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55A03F" w14:textId="77777777" w:rsidR="002F7D75" w:rsidRPr="006E670C" w:rsidRDefault="002F7D75" w:rsidP="006E670C">
      <w:pPr>
        <w:spacing w:line="480" w:lineRule="auto"/>
        <w:rPr>
          <w:bCs/>
        </w:rPr>
      </w:pPr>
      <w:r w:rsidRPr="006E670C">
        <w:rPr>
          <w:bCs/>
        </w:rPr>
        <w:t xml:space="preserve">IN THE HIGH COURT OF ENGLAND AND WALES </w:t>
      </w:r>
    </w:p>
    <w:p w14:paraId="14530606" w14:textId="1671083C" w:rsidR="002F7D75" w:rsidRPr="006E670C" w:rsidRDefault="002F7D75" w:rsidP="006E670C">
      <w:pPr>
        <w:spacing w:line="480" w:lineRule="auto"/>
        <w:rPr>
          <w:bCs/>
        </w:rPr>
      </w:pPr>
      <w:r w:rsidRPr="006E670C">
        <w:rPr>
          <w:bCs/>
        </w:rPr>
        <w:t>(CHANCERY DIVISION)</w:t>
      </w:r>
    </w:p>
    <w:p w14:paraId="21FD89D9" w14:textId="55306B45" w:rsidR="002F7D75" w:rsidRPr="006E670C" w:rsidRDefault="002F7D75" w:rsidP="006E670C">
      <w:pPr>
        <w:spacing w:line="480" w:lineRule="auto"/>
        <w:jc w:val="right"/>
        <w:rPr>
          <w:bCs/>
        </w:rPr>
      </w:pPr>
      <w:r w:rsidRPr="006E670C">
        <w:rPr>
          <w:bCs/>
        </w:rPr>
        <w:t>CLAIM NUMBER:</w:t>
      </w:r>
      <w:r w:rsidR="00BA0A8D" w:rsidRPr="006E670C">
        <w:rPr>
          <w:bCs/>
        </w:rPr>
        <w:t xml:space="preserve"> 2024/840A3</w:t>
      </w:r>
    </w:p>
    <w:p w14:paraId="501AC0D6" w14:textId="324DE21F" w:rsidR="002F7D75" w:rsidRPr="006E670C" w:rsidRDefault="002F7D75" w:rsidP="006E670C">
      <w:pPr>
        <w:spacing w:line="480" w:lineRule="auto"/>
        <w:rPr>
          <w:bCs/>
        </w:rPr>
      </w:pPr>
      <w:r w:rsidRPr="006E670C">
        <w:rPr>
          <w:bCs/>
        </w:rPr>
        <w:t>BETWEEN:</w:t>
      </w:r>
    </w:p>
    <w:tbl>
      <w:tblPr>
        <w:tblW w:w="9035" w:type="dxa"/>
        <w:tblLayout w:type="fixed"/>
        <w:tblLook w:val="04A0" w:firstRow="1" w:lastRow="0" w:firstColumn="1" w:lastColumn="0" w:noHBand="0" w:noVBand="1"/>
      </w:tblPr>
      <w:tblGrid>
        <w:gridCol w:w="1418"/>
        <w:gridCol w:w="6237"/>
        <w:gridCol w:w="1380"/>
      </w:tblGrid>
      <w:tr w:rsidR="002F7D75" w:rsidRPr="006E670C" w14:paraId="2783C3B8" w14:textId="77777777" w:rsidTr="002F7D75">
        <w:trPr>
          <w:trHeight w:val="757"/>
        </w:trPr>
        <w:tc>
          <w:tcPr>
            <w:tcW w:w="1418" w:type="dxa"/>
          </w:tcPr>
          <w:p w14:paraId="3B29174A" w14:textId="2CF2EDC5" w:rsidR="002F7D75" w:rsidRPr="006E670C" w:rsidRDefault="002F7D75" w:rsidP="006E670C">
            <w:pPr>
              <w:spacing w:line="480" w:lineRule="auto"/>
              <w:jc w:val="center"/>
              <w:rPr>
                <w:lang w:eastAsia="zh-CN" w:bidi="ta-IN"/>
              </w:rPr>
            </w:pPr>
          </w:p>
        </w:tc>
        <w:tc>
          <w:tcPr>
            <w:tcW w:w="6237" w:type="dxa"/>
            <w:shd w:val="clear" w:color="auto" w:fill="auto"/>
          </w:tcPr>
          <w:p w14:paraId="590905B3" w14:textId="6C2B9224" w:rsidR="002F7D75" w:rsidRPr="006E670C" w:rsidRDefault="002F7D75" w:rsidP="006E670C">
            <w:pPr>
              <w:spacing w:line="480" w:lineRule="auto"/>
              <w:jc w:val="center"/>
              <w:rPr>
                <w:rFonts w:eastAsia="PMingLiU"/>
                <w:lang w:eastAsia="zh-CN" w:bidi="ta-IN"/>
              </w:rPr>
            </w:pPr>
            <w:r w:rsidRPr="006E670C">
              <w:rPr>
                <w:rFonts w:eastAsia="PMingLiU"/>
                <w:lang w:eastAsia="zh-CN" w:bidi="ta-IN"/>
              </w:rPr>
              <w:t>SARAH MORGAN</w:t>
            </w:r>
          </w:p>
        </w:tc>
        <w:tc>
          <w:tcPr>
            <w:tcW w:w="1380" w:type="dxa"/>
            <w:shd w:val="clear" w:color="auto" w:fill="auto"/>
          </w:tcPr>
          <w:p w14:paraId="4A2C7B52" w14:textId="77777777" w:rsidR="002F7D75" w:rsidRPr="006E670C" w:rsidRDefault="002F7D75" w:rsidP="006E670C">
            <w:pPr>
              <w:spacing w:line="480" w:lineRule="auto"/>
              <w:jc w:val="right"/>
              <w:rPr>
                <w:rFonts w:eastAsia="PMingLiU"/>
                <w:u w:val="single"/>
                <w:lang w:eastAsia="zh-CN" w:bidi="ta-IN"/>
              </w:rPr>
            </w:pPr>
            <w:r w:rsidRPr="006E670C">
              <w:rPr>
                <w:rFonts w:eastAsia="PMingLiU"/>
                <w:u w:val="single"/>
                <w:lang w:eastAsia="zh-CN" w:bidi="ta-IN"/>
              </w:rPr>
              <w:t xml:space="preserve">Claimant </w:t>
            </w:r>
          </w:p>
        </w:tc>
      </w:tr>
      <w:tr w:rsidR="002F7D75" w:rsidRPr="006E670C" w14:paraId="2EAEC865" w14:textId="77777777" w:rsidTr="002F7D75">
        <w:trPr>
          <w:trHeight w:val="757"/>
        </w:trPr>
        <w:tc>
          <w:tcPr>
            <w:tcW w:w="1418" w:type="dxa"/>
          </w:tcPr>
          <w:p w14:paraId="70E71ED4" w14:textId="77777777" w:rsidR="002F7D75" w:rsidRPr="006E670C" w:rsidRDefault="002F7D75" w:rsidP="006E670C">
            <w:pPr>
              <w:spacing w:line="480" w:lineRule="auto"/>
              <w:jc w:val="center"/>
              <w:rPr>
                <w:lang w:eastAsia="zh-CN" w:bidi="ta-IN"/>
              </w:rPr>
            </w:pPr>
          </w:p>
        </w:tc>
        <w:tc>
          <w:tcPr>
            <w:tcW w:w="6237" w:type="dxa"/>
            <w:shd w:val="clear" w:color="auto" w:fill="auto"/>
          </w:tcPr>
          <w:p w14:paraId="04F835E6" w14:textId="32FD6C51" w:rsidR="002F7D75" w:rsidRPr="006E670C" w:rsidRDefault="002F7D75" w:rsidP="006E670C">
            <w:pPr>
              <w:spacing w:line="480" w:lineRule="auto"/>
              <w:jc w:val="center"/>
              <w:rPr>
                <w:rFonts w:eastAsia="PMingLiU"/>
                <w:lang w:eastAsia="zh-CN" w:bidi="ta-IN"/>
              </w:rPr>
            </w:pPr>
            <w:r w:rsidRPr="006E670C">
              <w:rPr>
                <w:rFonts w:eastAsia="PMingLiU"/>
                <w:lang w:eastAsia="zh-CN" w:bidi="ta-IN"/>
              </w:rPr>
              <w:t>-and-</w:t>
            </w:r>
          </w:p>
        </w:tc>
        <w:tc>
          <w:tcPr>
            <w:tcW w:w="1380" w:type="dxa"/>
            <w:shd w:val="clear" w:color="auto" w:fill="auto"/>
          </w:tcPr>
          <w:p w14:paraId="41387A0B" w14:textId="77777777" w:rsidR="002F7D75" w:rsidRPr="006E670C" w:rsidRDefault="002F7D75" w:rsidP="006E670C">
            <w:pPr>
              <w:spacing w:line="480" w:lineRule="auto"/>
              <w:jc w:val="right"/>
              <w:rPr>
                <w:rFonts w:eastAsia="PMingLiU"/>
                <w:lang w:eastAsia="zh-CN" w:bidi="ta-IN"/>
              </w:rPr>
            </w:pPr>
          </w:p>
        </w:tc>
      </w:tr>
      <w:tr w:rsidR="002F7D75" w:rsidRPr="006E670C" w14:paraId="2F590B3C" w14:textId="77777777" w:rsidTr="002F7D75">
        <w:trPr>
          <w:trHeight w:val="757"/>
        </w:trPr>
        <w:tc>
          <w:tcPr>
            <w:tcW w:w="1418" w:type="dxa"/>
          </w:tcPr>
          <w:p w14:paraId="44B27D71" w14:textId="7E9863DF" w:rsidR="002F7D75" w:rsidRPr="006E670C" w:rsidRDefault="002F7D75" w:rsidP="006E670C">
            <w:pPr>
              <w:spacing w:line="480" w:lineRule="auto"/>
              <w:jc w:val="center"/>
              <w:rPr>
                <w:lang w:eastAsia="zh-CN" w:bidi="ta-IN"/>
              </w:rPr>
            </w:pPr>
          </w:p>
        </w:tc>
        <w:tc>
          <w:tcPr>
            <w:tcW w:w="6237" w:type="dxa"/>
            <w:shd w:val="clear" w:color="auto" w:fill="auto"/>
          </w:tcPr>
          <w:p w14:paraId="024AA0B7" w14:textId="5E8E55F3" w:rsidR="002F7D75" w:rsidRPr="006E670C" w:rsidRDefault="002F7D75" w:rsidP="006E670C">
            <w:pPr>
              <w:spacing w:line="480" w:lineRule="auto"/>
              <w:jc w:val="center"/>
              <w:rPr>
                <w:rFonts w:eastAsia="PMingLiU"/>
                <w:lang w:eastAsia="zh-CN" w:bidi="ta-IN"/>
              </w:rPr>
            </w:pPr>
            <w:r w:rsidRPr="006E670C">
              <w:rPr>
                <w:rFonts w:eastAsia="PMingLiU"/>
                <w:lang w:eastAsia="zh-CN" w:bidi="ta-IN"/>
              </w:rPr>
              <w:t>JENNIFER WILLIAMS</w:t>
            </w:r>
          </w:p>
        </w:tc>
        <w:tc>
          <w:tcPr>
            <w:tcW w:w="1380" w:type="dxa"/>
            <w:shd w:val="clear" w:color="auto" w:fill="auto"/>
          </w:tcPr>
          <w:p w14:paraId="04042DAD" w14:textId="77777777" w:rsidR="002F7D75" w:rsidRPr="006E670C" w:rsidRDefault="002F7D75" w:rsidP="006E670C">
            <w:pPr>
              <w:spacing w:line="480" w:lineRule="auto"/>
              <w:jc w:val="right"/>
              <w:rPr>
                <w:rFonts w:eastAsia="PMingLiU"/>
                <w:lang w:eastAsia="zh-CN" w:bidi="ta-IN"/>
              </w:rPr>
            </w:pPr>
            <w:r w:rsidRPr="006E670C">
              <w:rPr>
                <w:rFonts w:eastAsia="PMingLiU"/>
                <w:u w:val="single"/>
                <w:lang w:eastAsia="zh-CN" w:bidi="ta-IN"/>
              </w:rPr>
              <w:t>Defendant</w:t>
            </w:r>
          </w:p>
        </w:tc>
      </w:tr>
    </w:tbl>
    <w:p w14:paraId="3D2FCE0E" w14:textId="77777777" w:rsidR="002F7D75" w:rsidRPr="006E670C" w:rsidRDefault="002F7D75" w:rsidP="006E670C">
      <w:pPr>
        <w:tabs>
          <w:tab w:val="left" w:pos="2656"/>
        </w:tabs>
        <w:autoSpaceDE w:val="0"/>
        <w:autoSpaceDN w:val="0"/>
        <w:adjustRightInd w:val="0"/>
        <w:spacing w:line="480" w:lineRule="auto"/>
        <w:rPr>
          <w:b/>
          <w:bCs/>
          <w:lang w:bidi="ta-IN"/>
        </w:rPr>
      </w:pPr>
      <w:r w:rsidRPr="006E670C">
        <w:rPr>
          <w:b/>
          <w:bCs/>
          <w:lang w:bidi="ta-IN"/>
        </w:rPr>
        <w:tab/>
      </w:r>
    </w:p>
    <w:p w14:paraId="6E00CF5E" w14:textId="77777777" w:rsidR="002F7D75" w:rsidRPr="006E670C" w:rsidRDefault="002F7D75" w:rsidP="006E670C">
      <w:pPr>
        <w:pBdr>
          <w:top w:val="single" w:sz="4" w:space="1" w:color="auto"/>
          <w:bottom w:val="single" w:sz="4" w:space="1" w:color="auto"/>
        </w:pBdr>
        <w:autoSpaceDE w:val="0"/>
        <w:autoSpaceDN w:val="0"/>
        <w:adjustRightInd w:val="0"/>
        <w:spacing w:line="480" w:lineRule="auto"/>
        <w:jc w:val="center"/>
        <w:rPr>
          <w:b/>
          <w:bCs/>
          <w:lang w:bidi="ta-IN"/>
        </w:rPr>
      </w:pPr>
    </w:p>
    <w:p w14:paraId="5E43DA8D" w14:textId="569391ED" w:rsidR="002F7D75" w:rsidRPr="006E670C" w:rsidRDefault="002F7D75" w:rsidP="006E670C">
      <w:pPr>
        <w:pBdr>
          <w:top w:val="single" w:sz="4" w:space="1" w:color="auto"/>
          <w:bottom w:val="single" w:sz="4" w:space="1" w:color="auto"/>
        </w:pBdr>
        <w:autoSpaceDE w:val="0"/>
        <w:autoSpaceDN w:val="0"/>
        <w:adjustRightInd w:val="0"/>
        <w:spacing w:line="480" w:lineRule="auto"/>
        <w:jc w:val="center"/>
        <w:rPr>
          <w:rFonts w:eastAsiaTheme="majorEastAsia"/>
          <w:b/>
          <w:bCs/>
          <w:lang w:bidi="ta-IN"/>
        </w:rPr>
      </w:pPr>
      <w:r w:rsidRPr="006E670C">
        <w:rPr>
          <w:b/>
          <w:bCs/>
          <w:lang w:bidi="ta-IN"/>
        </w:rPr>
        <w:t xml:space="preserve">Skeleton argument on behalf of </w:t>
      </w:r>
      <w:r w:rsidR="00A924F1">
        <w:rPr>
          <w:rFonts w:eastAsiaTheme="majorEastAsia"/>
          <w:b/>
          <w:bCs/>
          <w:lang w:bidi="ta-IN"/>
        </w:rPr>
        <w:t>Sarah Morgan</w:t>
      </w:r>
    </w:p>
    <w:p w14:paraId="73C8006B" w14:textId="77777777" w:rsidR="009D531E" w:rsidRPr="006E670C" w:rsidRDefault="009D531E" w:rsidP="006E670C">
      <w:pPr>
        <w:pBdr>
          <w:top w:val="single" w:sz="4" w:space="1" w:color="auto"/>
          <w:bottom w:val="single" w:sz="4" w:space="1" w:color="auto"/>
        </w:pBdr>
        <w:autoSpaceDE w:val="0"/>
        <w:autoSpaceDN w:val="0"/>
        <w:adjustRightInd w:val="0"/>
        <w:spacing w:line="480" w:lineRule="auto"/>
        <w:jc w:val="center"/>
        <w:rPr>
          <w:b/>
          <w:bCs/>
          <w:lang w:bidi="ta-IN"/>
        </w:rPr>
      </w:pPr>
    </w:p>
    <w:p w14:paraId="4BB50508" w14:textId="77777777" w:rsidR="005F216E" w:rsidRPr="006E670C" w:rsidRDefault="005F216E" w:rsidP="006E670C">
      <w:pPr>
        <w:pStyle w:val="Heading1"/>
        <w:spacing w:line="480" w:lineRule="auto"/>
        <w:rPr>
          <w:rFonts w:ascii="Times New Roman" w:hAnsi="Times New Roman" w:cs="Times New Roman"/>
          <w:szCs w:val="24"/>
        </w:rPr>
      </w:pPr>
      <w:r w:rsidRPr="006E670C">
        <w:rPr>
          <w:rFonts w:ascii="Times New Roman" w:hAnsi="Times New Roman" w:cs="Times New Roman"/>
          <w:szCs w:val="24"/>
        </w:rPr>
        <w:t>Introduction</w:t>
      </w:r>
    </w:p>
    <w:p w14:paraId="319A4470" w14:textId="7D6DB8F2" w:rsidR="00753987" w:rsidRPr="006E670C" w:rsidRDefault="00753987" w:rsidP="006E670C">
      <w:pPr>
        <w:spacing w:line="480" w:lineRule="auto"/>
      </w:pPr>
      <w:r w:rsidRPr="006E670C">
        <w:t>This skeleton argument is submitted on behalf of the Claimant, Sarah Morgan, in support of her claim for a 50% beneficial interest in the property</w:t>
      </w:r>
      <w:r w:rsidR="006E670C">
        <w:t>, The</w:t>
      </w:r>
      <w:r w:rsidRPr="006E670C">
        <w:rPr>
          <w:i/>
          <w:iCs/>
        </w:rPr>
        <w:t xml:space="preserve"> Gatehouse</w:t>
      </w:r>
      <w:r w:rsidRPr="006E670C">
        <w:t>, located at Trinity, Swansea. Sarah asserts that her contributions to the property, both financially and in terms of domestic partnership, have created a common intention to share the property equally. Sarah seeks a declaration from the Court that she is entitled to a 50% beneficial interest in the property, either through constructive trust or proprietary estoppel</w:t>
      </w:r>
    </w:p>
    <w:p w14:paraId="4F9ED32C" w14:textId="77777777" w:rsidR="006E670C" w:rsidRDefault="005F216E" w:rsidP="006E670C">
      <w:pPr>
        <w:pStyle w:val="Heading1"/>
        <w:spacing w:line="480" w:lineRule="auto"/>
        <w:rPr>
          <w:rFonts w:ascii="Times New Roman" w:hAnsi="Times New Roman" w:cs="Times New Roman"/>
          <w:szCs w:val="24"/>
        </w:rPr>
      </w:pPr>
      <w:r w:rsidRPr="006E670C">
        <w:rPr>
          <w:rFonts w:ascii="Times New Roman" w:hAnsi="Times New Roman" w:cs="Times New Roman"/>
          <w:szCs w:val="24"/>
        </w:rPr>
        <w:t>The issues</w:t>
      </w:r>
      <w:r w:rsidRPr="006E670C">
        <w:rPr>
          <w:rFonts w:ascii="Times New Roman" w:hAnsi="Times New Roman" w:cs="Times New Roman"/>
          <w:color w:val="70AD47" w:themeColor="accent6"/>
          <w:szCs w:val="24"/>
        </w:rPr>
        <w:t xml:space="preserve">. </w:t>
      </w:r>
    </w:p>
    <w:p w14:paraId="555B1DC1" w14:textId="2D9A8C57" w:rsidR="005F216E" w:rsidRPr="006E670C" w:rsidRDefault="005F216E" w:rsidP="006E670C">
      <w:pPr>
        <w:pStyle w:val="Heading1"/>
        <w:numPr>
          <w:ilvl w:val="0"/>
          <w:numId w:val="0"/>
        </w:numPr>
        <w:spacing w:line="480" w:lineRule="auto"/>
        <w:rPr>
          <w:rFonts w:ascii="Times New Roman" w:hAnsi="Times New Roman" w:cs="Times New Roman"/>
          <w:szCs w:val="24"/>
        </w:rPr>
      </w:pPr>
      <w:r w:rsidRPr="006E670C">
        <w:rPr>
          <w:rFonts w:ascii="Times New Roman" w:hAnsi="Times New Roman" w:cs="Times New Roman"/>
          <w:b w:val="0"/>
          <w:bCs/>
          <w:szCs w:val="24"/>
        </w:rPr>
        <w:t xml:space="preserve"> </w:t>
      </w:r>
      <w:r w:rsidR="00753987" w:rsidRPr="006E670C">
        <w:rPr>
          <w:rFonts w:ascii="Times New Roman" w:hAnsi="Times New Roman" w:cs="Times New Roman"/>
          <w:b w:val="0"/>
          <w:bCs/>
          <w:szCs w:val="24"/>
        </w:rPr>
        <w:t xml:space="preserve">The issues in dispute in this case concern whether Sarah is entitled to a 50% share of </w:t>
      </w:r>
      <w:r w:rsidR="00753987" w:rsidRPr="006E670C">
        <w:rPr>
          <w:rFonts w:ascii="Times New Roman" w:hAnsi="Times New Roman" w:cs="Times New Roman"/>
          <w:b w:val="0"/>
          <w:bCs/>
          <w:i/>
          <w:iCs/>
          <w:szCs w:val="24"/>
        </w:rPr>
        <w:t>The Gatehouse</w:t>
      </w:r>
      <w:r w:rsidR="00753987" w:rsidRPr="006E670C">
        <w:rPr>
          <w:rFonts w:ascii="Times New Roman" w:hAnsi="Times New Roman" w:cs="Times New Roman"/>
          <w:b w:val="0"/>
          <w:bCs/>
          <w:szCs w:val="24"/>
        </w:rPr>
        <w:t xml:space="preserve"> property under the doctrines of constructive trust or proprietary estoppel. Sarah claims that there was a mutual intention between the parties that she would share equally in </w:t>
      </w:r>
      <w:r w:rsidR="00753987" w:rsidRPr="006E670C">
        <w:rPr>
          <w:rFonts w:ascii="Times New Roman" w:hAnsi="Times New Roman" w:cs="Times New Roman"/>
          <w:b w:val="0"/>
          <w:bCs/>
          <w:szCs w:val="24"/>
        </w:rPr>
        <w:lastRenderedPageBreak/>
        <w:t xml:space="preserve">the </w:t>
      </w:r>
      <w:r w:rsidR="006E670C">
        <w:rPr>
          <w:rFonts w:ascii="Times New Roman" w:hAnsi="Times New Roman" w:cs="Times New Roman"/>
          <w:b w:val="0"/>
          <w:bCs/>
          <w:szCs w:val="24"/>
        </w:rPr>
        <w:t>property ownership</w:t>
      </w:r>
      <w:r w:rsidR="00753987" w:rsidRPr="006E670C">
        <w:rPr>
          <w:rFonts w:ascii="Times New Roman" w:hAnsi="Times New Roman" w:cs="Times New Roman"/>
          <w:b w:val="0"/>
          <w:bCs/>
          <w:szCs w:val="24"/>
        </w:rPr>
        <w:t>. Jennifer disputes these claims, arguing that there was no intention for Sarah to have any beneficial interest in the property and that Sarah acted to her detriment based on incorrect assumptions.</w:t>
      </w:r>
    </w:p>
    <w:p w14:paraId="7B2205B7" w14:textId="77777777" w:rsidR="005F216E" w:rsidRPr="006E670C" w:rsidRDefault="005F216E" w:rsidP="006E670C">
      <w:pPr>
        <w:pStyle w:val="Heading1"/>
        <w:spacing w:line="480" w:lineRule="auto"/>
        <w:rPr>
          <w:rFonts w:ascii="Times New Roman" w:hAnsi="Times New Roman" w:cs="Times New Roman"/>
          <w:szCs w:val="24"/>
        </w:rPr>
      </w:pPr>
      <w:r w:rsidRPr="006E670C">
        <w:rPr>
          <w:rFonts w:ascii="Times New Roman" w:hAnsi="Times New Roman" w:cs="Times New Roman"/>
          <w:szCs w:val="24"/>
        </w:rPr>
        <w:t>The facts</w:t>
      </w:r>
    </w:p>
    <w:p w14:paraId="2E117A43" w14:textId="1F8AABA9" w:rsidR="00753987" w:rsidRPr="006E670C" w:rsidRDefault="00753987" w:rsidP="006E670C">
      <w:pPr>
        <w:pStyle w:val="Heading1"/>
        <w:numPr>
          <w:ilvl w:val="0"/>
          <w:numId w:val="0"/>
        </w:numPr>
        <w:spacing w:line="480" w:lineRule="auto"/>
        <w:rPr>
          <w:rStyle w:val="SubtleEmphasis"/>
          <w:rFonts w:ascii="Times New Roman" w:hAnsi="Times New Roman" w:cs="Times New Roman"/>
          <w:b/>
          <w:bCs/>
          <w:iCs w:val="0"/>
          <w:szCs w:val="24"/>
        </w:rPr>
      </w:pPr>
      <w:r w:rsidRPr="006E670C">
        <w:rPr>
          <w:rFonts w:ascii="Times New Roman" w:hAnsi="Times New Roman" w:cs="Times New Roman"/>
          <w:b w:val="0"/>
          <w:bCs/>
          <w:szCs w:val="24"/>
        </w:rPr>
        <w:t xml:space="preserve">The facts of the case involve a long-standing cohabitation between Sarah Morgan and Jennifer Williams, during which they jointly managed household finances, made joint decisions about property improvements, and contributed to the home. Despite the property being legally registered solely in Jennifer’s name, Sarah paid for significant repairs and upgrades after storm damage, </w:t>
      </w:r>
      <w:proofErr w:type="spellStart"/>
      <w:r w:rsidR="00213194">
        <w:rPr>
          <w:rFonts w:ascii="Times New Roman" w:hAnsi="Times New Roman" w:cs="Times New Roman"/>
          <w:b w:val="0"/>
          <w:bCs/>
          <w:szCs w:val="24"/>
        </w:rPr>
        <w:t>totaling</w:t>
      </w:r>
      <w:proofErr w:type="spellEnd"/>
      <w:r w:rsidRPr="006E670C">
        <w:rPr>
          <w:rFonts w:ascii="Times New Roman" w:hAnsi="Times New Roman" w:cs="Times New Roman"/>
          <w:b w:val="0"/>
          <w:bCs/>
          <w:szCs w:val="24"/>
        </w:rPr>
        <w:t xml:space="preserve"> £60,000. Sarah was advised by a solicitor in 2014 to </w:t>
      </w:r>
      <w:r w:rsidR="006E670C">
        <w:rPr>
          <w:rFonts w:ascii="Times New Roman" w:hAnsi="Times New Roman" w:cs="Times New Roman"/>
          <w:b w:val="0"/>
          <w:bCs/>
          <w:szCs w:val="24"/>
        </w:rPr>
        <w:t>formalize</w:t>
      </w:r>
      <w:r w:rsidRPr="006E670C">
        <w:rPr>
          <w:rFonts w:ascii="Times New Roman" w:hAnsi="Times New Roman" w:cs="Times New Roman"/>
          <w:b w:val="0"/>
          <w:bCs/>
          <w:szCs w:val="24"/>
        </w:rPr>
        <w:t xml:space="preserve"> their beneficial interests in the property through a declaration of trust, but they did not proceed with this advice. Text messages between Sarah and Jennifer indicate assurances that the property would be shared equally, but Jennifer now disputes these assurances.</w:t>
      </w:r>
    </w:p>
    <w:p w14:paraId="020D26B5" w14:textId="1BB5F1FF" w:rsidR="005F216E" w:rsidRPr="006E670C" w:rsidRDefault="005F216E" w:rsidP="006E670C">
      <w:pPr>
        <w:pStyle w:val="Heading1"/>
        <w:numPr>
          <w:ilvl w:val="0"/>
          <w:numId w:val="0"/>
        </w:numPr>
        <w:spacing w:line="480" w:lineRule="auto"/>
        <w:ind w:left="680" w:hanging="680"/>
        <w:rPr>
          <w:rStyle w:val="SubtleEmphasis"/>
          <w:rFonts w:ascii="Times New Roman" w:hAnsi="Times New Roman" w:cs="Times New Roman"/>
          <w:b/>
          <w:iCs w:val="0"/>
          <w:szCs w:val="24"/>
        </w:rPr>
      </w:pPr>
      <w:r w:rsidRPr="006E670C">
        <w:rPr>
          <w:rStyle w:val="SubtleEmphasis"/>
          <w:rFonts w:ascii="Times New Roman" w:hAnsi="Times New Roman" w:cs="Times New Roman"/>
          <w:b/>
          <w:iCs w:val="0"/>
          <w:szCs w:val="24"/>
        </w:rPr>
        <w:t>Claim arising under a constructive trust</w:t>
      </w:r>
    </w:p>
    <w:p w14:paraId="332E087F" w14:textId="099EC2ED" w:rsidR="005F216E" w:rsidRPr="006E670C" w:rsidRDefault="005F216E" w:rsidP="006E670C">
      <w:pPr>
        <w:pStyle w:val="Heading1"/>
        <w:spacing w:line="480" w:lineRule="auto"/>
        <w:rPr>
          <w:rFonts w:ascii="Times New Roman" w:hAnsi="Times New Roman" w:cs="Times New Roman"/>
          <w:szCs w:val="24"/>
        </w:rPr>
      </w:pPr>
      <w:r w:rsidRPr="006E670C">
        <w:rPr>
          <w:rFonts w:ascii="Times New Roman" w:hAnsi="Times New Roman" w:cs="Times New Roman"/>
          <w:szCs w:val="24"/>
        </w:rPr>
        <w:t xml:space="preserve">The law </w:t>
      </w:r>
    </w:p>
    <w:p w14:paraId="1C28AB30" w14:textId="6F622BE7" w:rsidR="00753987" w:rsidRPr="006E670C" w:rsidRDefault="00753987" w:rsidP="006E670C">
      <w:pPr>
        <w:spacing w:line="480" w:lineRule="auto"/>
      </w:pPr>
      <w:r w:rsidRPr="006E670C">
        <w:t xml:space="preserve">The doctrine of constructive trust arises </w:t>
      </w:r>
      <w:r w:rsidR="006E670C">
        <w:t>when</w:t>
      </w:r>
      <w:r w:rsidRPr="006E670C">
        <w:t xml:space="preserve"> parties have a common intention to share property, but the legal title is held in </w:t>
      </w:r>
      <w:r w:rsidR="006E670C">
        <w:t>only one person's name</w:t>
      </w:r>
      <w:r w:rsidRPr="006E670C">
        <w:t xml:space="preserve">. Under this doctrine, equity </w:t>
      </w:r>
      <w:r w:rsidR="006E670C">
        <w:t>ensures</w:t>
      </w:r>
      <w:r w:rsidRPr="006E670C">
        <w:t xml:space="preserve"> fairness by imposing a beneficial interest in </w:t>
      </w:r>
      <w:proofErr w:type="spellStart"/>
      <w:r w:rsidR="006E670C">
        <w:t>favor</w:t>
      </w:r>
      <w:proofErr w:type="spellEnd"/>
      <w:r w:rsidRPr="006E670C">
        <w:t xml:space="preserve"> of the party who has relied on that intention. This was established in Geary v Rankine [2012] EWCA </w:t>
      </w:r>
      <w:proofErr w:type="spellStart"/>
      <w:r w:rsidRPr="006E670C">
        <w:t>Civ</w:t>
      </w:r>
      <w:proofErr w:type="spellEnd"/>
      <w:r w:rsidRPr="006E670C">
        <w:t xml:space="preserve"> 555, where the Court held that a common intention constructive trust could arise even </w:t>
      </w:r>
      <w:r w:rsidR="006E670C">
        <w:t>without</w:t>
      </w:r>
      <w:r w:rsidRPr="006E670C">
        <w:t xml:space="preserve"> a formal written agreement, provided </w:t>
      </w:r>
      <w:r w:rsidR="00C7408E">
        <w:t>a mutual understanding regarding property ownership existed</w:t>
      </w:r>
      <w:r w:rsidRPr="006E670C">
        <w:t>. In Stack v Dowden [2007] UKHL 17, the House of Lords confirmed that, in cohabiting relationships, the presumption is that parties who share domestic responsibilities and finances will share equally in the property.</w:t>
      </w:r>
    </w:p>
    <w:p w14:paraId="5F3C0A6E" w14:textId="77777777" w:rsidR="00753987" w:rsidRPr="006E670C" w:rsidRDefault="00753987" w:rsidP="006E670C">
      <w:pPr>
        <w:spacing w:line="480" w:lineRule="auto"/>
      </w:pPr>
    </w:p>
    <w:p w14:paraId="264393F8" w14:textId="18E36416" w:rsidR="00753987" w:rsidRPr="006E670C" w:rsidRDefault="00753987" w:rsidP="006E670C">
      <w:pPr>
        <w:spacing w:line="480" w:lineRule="auto"/>
      </w:pPr>
      <w:r w:rsidRPr="006E670C">
        <w:t xml:space="preserve">In this case, the facts demonstrate that Sarah and Jennifer acted as partners in all respects, including managing household finances and jointly improving the property. Sarah’s contribution of £60,000 towards repairs and improvements </w:t>
      </w:r>
      <w:r w:rsidR="00C7408E">
        <w:t>indicates</w:t>
      </w:r>
      <w:r w:rsidRPr="006E670C">
        <w:t xml:space="preserve"> her understanding that she had a shared interest in The Gatehouse. Furthermore, the advice they received to </w:t>
      </w:r>
      <w:r w:rsidR="00C7408E">
        <w:t>formalize</w:t>
      </w:r>
      <w:r w:rsidRPr="006E670C">
        <w:t xml:space="preserve"> their beneficial interests supports the argument that there was a common intention to share the property equally. Although Jennifer claims no such intention existed, the evidence from their shared domestic life and financial contributions indicates that a constructive trust should be </w:t>
      </w:r>
      <w:r w:rsidR="00C7408E">
        <w:t>recognized</w:t>
      </w:r>
      <w:r w:rsidR="00610C95">
        <w:t xml:space="preserve"> </w:t>
      </w:r>
      <w:r w:rsidR="00610C95" w:rsidRPr="00610C95">
        <w:t>(</w:t>
      </w:r>
      <w:r w:rsidR="00610C95" w:rsidRPr="00610C95">
        <w:rPr>
          <w:i/>
          <w:iCs/>
        </w:rPr>
        <w:t>Lloyds Bank plc v Rosset</w:t>
      </w:r>
      <w:r w:rsidR="00610C95" w:rsidRPr="00610C95">
        <w:t xml:space="preserve"> [1991] 1 AC 107).</w:t>
      </w:r>
    </w:p>
    <w:p w14:paraId="4DC89491" w14:textId="6AC72189" w:rsidR="005F216E" w:rsidRPr="006E670C" w:rsidRDefault="005F216E" w:rsidP="006E670C">
      <w:pPr>
        <w:pStyle w:val="Heading1"/>
        <w:spacing w:line="480" w:lineRule="auto"/>
        <w:rPr>
          <w:rFonts w:ascii="Times New Roman" w:hAnsi="Times New Roman" w:cs="Times New Roman"/>
          <w:szCs w:val="24"/>
        </w:rPr>
      </w:pPr>
      <w:r w:rsidRPr="006E670C">
        <w:rPr>
          <w:rFonts w:ascii="Times New Roman" w:hAnsi="Times New Roman" w:cs="Times New Roman"/>
          <w:szCs w:val="24"/>
        </w:rPr>
        <w:t>Submissions</w:t>
      </w:r>
    </w:p>
    <w:p w14:paraId="58B30596" w14:textId="77777777" w:rsidR="00194885" w:rsidRPr="006E670C" w:rsidRDefault="00194885" w:rsidP="006E670C">
      <w:pPr>
        <w:pStyle w:val="NormalWeb"/>
        <w:spacing w:line="480" w:lineRule="auto"/>
      </w:pPr>
      <w:r w:rsidRPr="006E670C">
        <w:t xml:space="preserve">The claimant, Sarah Morgan, asserts that she is entitled to a 50% beneficial interest in </w:t>
      </w:r>
      <w:r w:rsidRPr="006E670C">
        <w:rPr>
          <w:rStyle w:val="Emphasis"/>
          <w:rFonts w:eastAsiaTheme="majorEastAsia"/>
        </w:rPr>
        <w:t>The Gatehouse</w:t>
      </w:r>
      <w:r w:rsidRPr="006E670C">
        <w:t xml:space="preserve"> based on constructive trust and proprietary estoppel. The following submissions apply the relevant law to the facts of this case, demonstrating why Sarah’s claim should succeed.</w:t>
      </w:r>
    </w:p>
    <w:p w14:paraId="66EA21F5" w14:textId="77777777" w:rsidR="00194885" w:rsidRPr="006E670C" w:rsidRDefault="00194885" w:rsidP="006E670C">
      <w:pPr>
        <w:pStyle w:val="NormalWeb"/>
        <w:spacing w:line="480" w:lineRule="auto"/>
      </w:pPr>
      <w:r w:rsidRPr="006E670C">
        <w:rPr>
          <w:rStyle w:val="Strong"/>
          <w:rFonts w:eastAsiaTheme="majorEastAsia"/>
        </w:rPr>
        <w:t>Constructive Trust: Common Intention</w:t>
      </w:r>
    </w:p>
    <w:p w14:paraId="3F25A55F" w14:textId="36B1F974" w:rsidR="00194885" w:rsidRPr="006E670C" w:rsidRDefault="00194885" w:rsidP="00610C95">
      <w:pPr>
        <w:pStyle w:val="NormalWeb"/>
        <w:spacing w:line="480" w:lineRule="auto"/>
      </w:pPr>
      <w:r w:rsidRPr="006E670C">
        <w:t xml:space="preserve">The first submission is that Sarah is entitled to a beneficial interest through a constructive trust. A constructive trust arises when there is a common intention to share property despite the legal title being held solely by one party. The Court in </w:t>
      </w:r>
      <w:r w:rsidRPr="006E670C">
        <w:rPr>
          <w:rStyle w:val="Emphasis"/>
          <w:rFonts w:eastAsiaTheme="majorEastAsia"/>
        </w:rPr>
        <w:t>Stack v Dowden</w:t>
      </w:r>
      <w:r w:rsidRPr="006E670C">
        <w:t xml:space="preserve"> [2007] UKHL 17 emphasized that, in cohabiting relationships, the starting point for determining beneficial ownership is the parties’ common intention, inferred from their conduct and contributions. In </w:t>
      </w:r>
      <w:r w:rsidRPr="006E670C">
        <w:rPr>
          <w:rStyle w:val="Emphasis"/>
          <w:rFonts w:eastAsiaTheme="majorEastAsia"/>
        </w:rPr>
        <w:t>Geary v Rankine</w:t>
      </w:r>
      <w:r w:rsidRPr="006E670C">
        <w:t xml:space="preserve"> [2012] EWCA Civ 555, the Court confirmed that even without written evidence, a constructive trust </w:t>
      </w:r>
      <w:r w:rsidR="00C7408E">
        <w:t>could</w:t>
      </w:r>
      <w:r w:rsidRPr="006E670C">
        <w:t xml:space="preserve"> arise based on the parties' mutual financial arrangements and expectations.</w:t>
      </w:r>
      <w:r w:rsidR="00610C95">
        <w:t xml:space="preserve"> </w:t>
      </w:r>
      <w:r w:rsidR="00610C95" w:rsidRPr="00610C95">
        <w:t xml:space="preserve">In </w:t>
      </w:r>
      <w:r w:rsidR="00610C95" w:rsidRPr="00610C95">
        <w:rPr>
          <w:i/>
          <w:iCs/>
        </w:rPr>
        <w:t>Mann v Mann</w:t>
      </w:r>
      <w:r w:rsidR="00610C95" w:rsidRPr="00610C95">
        <w:t xml:space="preserve"> [2004] EWCA Civ 1156, the Court reinforced the idea </w:t>
      </w:r>
      <w:r w:rsidR="00610C95" w:rsidRPr="00610C95">
        <w:lastRenderedPageBreak/>
        <w:t>that contributions made to the property, even in the absence of formal agreements, could create a constructive trust.</w:t>
      </w:r>
      <w:r w:rsidR="00610C95">
        <w:t xml:space="preserve"> </w:t>
      </w:r>
      <w:r w:rsidR="00610C95" w:rsidRPr="00610C95">
        <w:rPr>
          <w:lang w:val="en-GB"/>
        </w:rPr>
        <w:t xml:space="preserve"> </w:t>
      </w:r>
    </w:p>
    <w:p w14:paraId="22460089" w14:textId="3184B458" w:rsidR="00194885" w:rsidRPr="006E670C" w:rsidRDefault="00194885" w:rsidP="006E670C">
      <w:pPr>
        <w:pStyle w:val="NormalWeb"/>
        <w:spacing w:line="480" w:lineRule="auto"/>
      </w:pPr>
      <w:r w:rsidRPr="006E670C">
        <w:t xml:space="preserve">In this case, Sarah and Jennifer shared household expenses via a joint account and lived as equals, contributing to the upkeep of the property. Sarah’s £60,000 contribution to repairs and home improvements strongly indicates her belief in an equal stake in the property. This belief was supported by verbal assurances from Jennifer, stating they would divide the property equally. The evidence of mutual contributions and Jennifer’s assurances </w:t>
      </w:r>
      <w:r w:rsidR="00C7408E">
        <w:t>support</w:t>
      </w:r>
      <w:r w:rsidRPr="006E670C">
        <w:t xml:space="preserve"> the inference that the parties shared a common intention to divide </w:t>
      </w:r>
      <w:r w:rsidRPr="006E670C">
        <w:rPr>
          <w:rStyle w:val="Emphasis"/>
          <w:rFonts w:eastAsiaTheme="majorEastAsia"/>
        </w:rPr>
        <w:t>The Gatehouse</w:t>
      </w:r>
      <w:r w:rsidRPr="006E670C">
        <w:t xml:space="preserve"> equally, warranting the imposition of a constructive trust.</w:t>
      </w:r>
    </w:p>
    <w:p w14:paraId="728F4522" w14:textId="77777777" w:rsidR="00194885" w:rsidRPr="006E670C" w:rsidRDefault="00194885" w:rsidP="006E670C">
      <w:pPr>
        <w:pStyle w:val="NormalWeb"/>
        <w:spacing w:line="480" w:lineRule="auto"/>
      </w:pPr>
      <w:r w:rsidRPr="006E670C">
        <w:rPr>
          <w:rStyle w:val="Strong"/>
          <w:rFonts w:eastAsiaTheme="majorEastAsia"/>
        </w:rPr>
        <w:t>Proprietary Estoppel: Detrimental Reliance</w:t>
      </w:r>
    </w:p>
    <w:p w14:paraId="7D5C207C" w14:textId="1A96625C" w:rsidR="00194885" w:rsidRPr="006E670C" w:rsidRDefault="00194885" w:rsidP="006E670C">
      <w:pPr>
        <w:pStyle w:val="NormalWeb"/>
        <w:spacing w:line="480" w:lineRule="auto"/>
      </w:pPr>
      <w:r w:rsidRPr="006E670C">
        <w:t xml:space="preserve">The second submission is that Sarah is entitled to a 50% share based on proprietary estoppel. Proprietary estoppel arises when a person relies on another's representations about property, acting to their detriment based on that reliance. </w:t>
      </w:r>
      <w:r w:rsidRPr="006E670C">
        <w:rPr>
          <w:rStyle w:val="Emphasis"/>
          <w:rFonts w:eastAsiaTheme="majorEastAsia"/>
        </w:rPr>
        <w:t>Jennings v Rice</w:t>
      </w:r>
      <w:r w:rsidRPr="006E670C">
        <w:t xml:space="preserve"> [2002] EWCA Civ 159 established that proprietary estoppel can be invoked when a claimant is induced to believe they have an interest in property and acts detrimentally in reliance on that belief. Similarly, </w:t>
      </w:r>
      <w:r w:rsidRPr="006E670C">
        <w:rPr>
          <w:rStyle w:val="Emphasis"/>
          <w:rFonts w:eastAsiaTheme="majorEastAsia"/>
        </w:rPr>
        <w:t>Curran v Collins</w:t>
      </w:r>
      <w:r w:rsidRPr="006E670C">
        <w:t xml:space="preserve"> [2015] EWCA Civ 404 reinforced that substantial contributions made in reliance on assurances of ownership justify a claim for a share in the property.</w:t>
      </w:r>
      <w:r w:rsidR="00610C95">
        <w:t xml:space="preserve"> </w:t>
      </w:r>
      <w:r w:rsidR="005B2315" w:rsidRPr="00C3010E">
        <w:rPr>
          <w:lang w:val="en-GB"/>
        </w:rPr>
        <w:t>The Court in</w:t>
      </w:r>
      <w:r w:rsidR="005B2315" w:rsidRPr="005B2315">
        <w:rPr>
          <w:i/>
          <w:iCs/>
          <w:lang w:val="en-GB"/>
        </w:rPr>
        <w:t xml:space="preserve"> Gilbert v Holt [2001] 1 WLR 500 </w:t>
      </w:r>
      <w:r w:rsidR="005B2315" w:rsidRPr="005B2315">
        <w:rPr>
          <w:lang w:val="en-GB"/>
        </w:rPr>
        <w:t>found that substantial contributions made in reliance on verbal promises of ownership created a valid claim for proprietary estoppel, even in the absence of written agreements</w:t>
      </w:r>
      <w:r w:rsidR="005B2315" w:rsidRPr="005B2315">
        <w:rPr>
          <w:i/>
          <w:iCs/>
          <w:lang w:val="en-GB"/>
        </w:rPr>
        <w:t>.</w:t>
      </w:r>
      <w:r w:rsidR="00352AD2">
        <w:rPr>
          <w:i/>
          <w:iCs/>
          <w:lang w:val="en-GB"/>
        </w:rPr>
        <w:t xml:space="preserve"> </w:t>
      </w:r>
      <w:r w:rsidR="00352AD2" w:rsidRPr="00352AD2">
        <w:rPr>
          <w:i/>
          <w:iCs/>
          <w:lang w:val="en-GB"/>
        </w:rPr>
        <w:t xml:space="preserve">In Thorner v Major [2009] UKHL 18, </w:t>
      </w:r>
      <w:r w:rsidR="00352AD2" w:rsidRPr="00352AD2">
        <w:rPr>
          <w:lang w:val="en-GB"/>
        </w:rPr>
        <w:t>the House of Lords upheld that informal assurances about property ownership could lead to a proprietary estoppel claim, particularly where the claimant relied on those representations to their detriment</w:t>
      </w:r>
      <w:r w:rsidR="00352AD2" w:rsidRPr="00352AD2">
        <w:rPr>
          <w:i/>
          <w:iCs/>
          <w:lang w:val="en-GB"/>
        </w:rPr>
        <w:t>.</w:t>
      </w:r>
    </w:p>
    <w:p w14:paraId="52572E0E" w14:textId="60E4CF3C" w:rsidR="00194885" w:rsidRPr="006E670C" w:rsidRDefault="00194885" w:rsidP="006E670C">
      <w:pPr>
        <w:pStyle w:val="NormalWeb"/>
        <w:spacing w:line="480" w:lineRule="auto"/>
      </w:pPr>
      <w:r w:rsidRPr="006E670C">
        <w:lastRenderedPageBreak/>
        <w:t>Here, Jennifer made verbal assurances, such as “I’ll always look after you” and “Nothing will happen</w:t>
      </w:r>
      <w:r w:rsidR="00C7408E">
        <w:t>; we’re</w:t>
      </w:r>
      <w:r w:rsidRPr="006E670C">
        <w:t xml:space="preserve"> equals,” leading Sarah to believe she had an equal share in </w:t>
      </w:r>
      <w:r w:rsidRPr="006E670C">
        <w:rPr>
          <w:rStyle w:val="Emphasis"/>
          <w:rFonts w:eastAsiaTheme="majorEastAsia"/>
        </w:rPr>
        <w:t>The Gatehouse</w:t>
      </w:r>
      <w:r w:rsidRPr="006E670C">
        <w:t xml:space="preserve">. </w:t>
      </w:r>
      <w:r w:rsidR="00C7408E">
        <w:t>Based on this belief, Sarah’s £60,000 contribution to property repairs</w:t>
      </w:r>
      <w:r w:rsidRPr="006E670C">
        <w:t xml:space="preserve"> constitutes detrimental reliance. Jennifer’s refusal to acknowledge Sarah’s beneficial interest is unjust, as Sarah acted to her detriment based on Jennifer’s assurances.</w:t>
      </w:r>
    </w:p>
    <w:p w14:paraId="758EB669" w14:textId="77777777" w:rsidR="00194885" w:rsidRPr="006E670C" w:rsidRDefault="00194885" w:rsidP="006E670C">
      <w:pPr>
        <w:pStyle w:val="NormalWeb"/>
        <w:spacing w:line="480" w:lineRule="auto"/>
      </w:pPr>
      <w:r w:rsidRPr="006E670C">
        <w:rPr>
          <w:rStyle w:val="Strong"/>
          <w:rFonts w:eastAsiaTheme="majorEastAsia"/>
        </w:rPr>
        <w:t>Counterarguments</w:t>
      </w:r>
    </w:p>
    <w:p w14:paraId="289E4F28" w14:textId="63222E94" w:rsidR="00194885" w:rsidRPr="006E670C" w:rsidRDefault="00194885" w:rsidP="006E670C">
      <w:pPr>
        <w:pStyle w:val="NormalWeb"/>
        <w:spacing w:line="480" w:lineRule="auto"/>
      </w:pPr>
      <w:r w:rsidRPr="006E670C">
        <w:t xml:space="preserve">Jennifer denies any common intention to share the property equally, arguing that Sarah’s contributions were voluntary, stemming from a sense of obligation </w:t>
      </w:r>
      <w:r w:rsidR="00C7408E">
        <w:t>to live</w:t>
      </w:r>
      <w:r w:rsidRPr="006E670C">
        <w:t xml:space="preserve"> rent-free. However, this view ignores that Sarah's contributions were not voluntary but made with the reasonable expectation of an equal share in the property. Jennifer also contends that no formal agreement was made regarding ownership. However, the absence of formal documentation does not preclude the existence of a constructive trust or proprietary estoppel, both of which are rooted in equitable principles rather than formal contracts</w:t>
      </w:r>
      <w:r w:rsidR="007E7FAE">
        <w:t xml:space="preserve"> (</w:t>
      </w:r>
      <w:r w:rsidR="007E7FAE" w:rsidRPr="007E7FAE">
        <w:rPr>
          <w:lang w:val="en-GB"/>
        </w:rPr>
        <w:t>Palser,</w:t>
      </w:r>
      <w:r w:rsidR="007E7FAE">
        <w:rPr>
          <w:lang w:val="en-GB"/>
        </w:rPr>
        <w:t xml:space="preserve"> </w:t>
      </w:r>
      <w:r w:rsidR="007E7FAE" w:rsidRPr="007E7FAE">
        <w:rPr>
          <w:lang w:val="en-GB"/>
        </w:rPr>
        <w:t>2023</w:t>
      </w:r>
      <w:r w:rsidR="007E7FAE">
        <w:rPr>
          <w:lang w:val="en-GB"/>
        </w:rPr>
        <w:t>, p. 208)</w:t>
      </w:r>
    </w:p>
    <w:p w14:paraId="22F84A5B" w14:textId="77777777" w:rsidR="005F216E" w:rsidRPr="006E670C" w:rsidRDefault="005F216E" w:rsidP="006E670C">
      <w:pPr>
        <w:pStyle w:val="Heading1"/>
        <w:spacing w:line="480" w:lineRule="auto"/>
        <w:rPr>
          <w:rFonts w:ascii="Times New Roman" w:hAnsi="Times New Roman" w:cs="Times New Roman"/>
          <w:szCs w:val="24"/>
        </w:rPr>
      </w:pPr>
      <w:r w:rsidRPr="006E670C">
        <w:rPr>
          <w:rFonts w:ascii="Times New Roman" w:hAnsi="Times New Roman" w:cs="Times New Roman"/>
          <w:szCs w:val="24"/>
        </w:rPr>
        <w:t xml:space="preserve">Conclusions </w:t>
      </w:r>
    </w:p>
    <w:p w14:paraId="6B981D89" w14:textId="541F2579" w:rsidR="00C06971" w:rsidRPr="006E670C" w:rsidRDefault="00C06971" w:rsidP="006E670C">
      <w:pPr>
        <w:spacing w:line="480" w:lineRule="auto"/>
      </w:pPr>
      <w:r w:rsidRPr="006E670C">
        <w:t xml:space="preserve">Sarah is entitled to a 50% beneficial interest in </w:t>
      </w:r>
      <w:r w:rsidRPr="006E670C">
        <w:rPr>
          <w:i/>
          <w:iCs/>
        </w:rPr>
        <w:t>The Gatehouse</w:t>
      </w:r>
      <w:r w:rsidRPr="006E670C">
        <w:t xml:space="preserve"> under a constructive trust based on </w:t>
      </w:r>
      <w:r w:rsidR="00C7408E">
        <w:t>both parties' common intention and financial contributions</w:t>
      </w:r>
      <w:r w:rsidRPr="006E670C">
        <w:t>.</w:t>
      </w:r>
    </w:p>
    <w:p w14:paraId="3FA2DFDB" w14:textId="77777777" w:rsidR="005F216E" w:rsidRPr="006E670C" w:rsidRDefault="005F216E" w:rsidP="006E670C">
      <w:pPr>
        <w:pStyle w:val="Heading1"/>
        <w:numPr>
          <w:ilvl w:val="0"/>
          <w:numId w:val="0"/>
        </w:numPr>
        <w:spacing w:line="480" w:lineRule="auto"/>
        <w:ind w:left="680" w:hanging="680"/>
        <w:rPr>
          <w:rStyle w:val="SubtleEmphasis"/>
          <w:rFonts w:ascii="Times New Roman" w:hAnsi="Times New Roman" w:cs="Times New Roman"/>
          <w:b/>
          <w:iCs w:val="0"/>
          <w:szCs w:val="24"/>
        </w:rPr>
      </w:pPr>
      <w:r w:rsidRPr="006E670C">
        <w:rPr>
          <w:rStyle w:val="SubtleEmphasis"/>
          <w:rFonts w:ascii="Times New Roman" w:hAnsi="Times New Roman" w:cs="Times New Roman"/>
          <w:b/>
          <w:iCs w:val="0"/>
          <w:szCs w:val="24"/>
        </w:rPr>
        <w:t xml:space="preserve">Claim arising under a proprietary estoppel </w:t>
      </w:r>
    </w:p>
    <w:p w14:paraId="6672ADB9" w14:textId="77777777" w:rsidR="005F216E" w:rsidRPr="006E670C" w:rsidRDefault="005F216E" w:rsidP="006E670C">
      <w:pPr>
        <w:pStyle w:val="Heading1"/>
        <w:spacing w:line="480" w:lineRule="auto"/>
        <w:rPr>
          <w:rFonts w:ascii="Times New Roman" w:hAnsi="Times New Roman" w:cs="Times New Roman"/>
          <w:szCs w:val="24"/>
        </w:rPr>
      </w:pPr>
      <w:r w:rsidRPr="006E670C">
        <w:rPr>
          <w:rFonts w:ascii="Times New Roman" w:hAnsi="Times New Roman" w:cs="Times New Roman"/>
          <w:szCs w:val="24"/>
        </w:rPr>
        <w:t xml:space="preserve">The law </w:t>
      </w:r>
    </w:p>
    <w:p w14:paraId="1A901B15" w14:textId="79933867" w:rsidR="00C06971" w:rsidRPr="006E670C" w:rsidRDefault="00C06971" w:rsidP="006E670C">
      <w:pPr>
        <w:pStyle w:val="NormalWeb"/>
        <w:spacing w:line="480" w:lineRule="auto"/>
      </w:pPr>
      <w:r w:rsidRPr="006E670C">
        <w:t>Proprietary estoppel arises when one party, through words or conduct, makes representations or assurances that lead another party to believe they have</w:t>
      </w:r>
      <w:r w:rsidR="00C7408E">
        <w:t xml:space="preserve">, or will acquire, an interest in the </w:t>
      </w:r>
      <w:r w:rsidRPr="006E670C">
        <w:t xml:space="preserve">property. The second party then acts to their detriment </w:t>
      </w:r>
      <w:r w:rsidR="00C7408E">
        <w:t>by relying</w:t>
      </w:r>
      <w:r w:rsidRPr="006E670C">
        <w:t xml:space="preserve"> on those assurances. The </w:t>
      </w:r>
      <w:r w:rsidRPr="006E670C">
        <w:lastRenderedPageBreak/>
        <w:t>doctrine is an equitable remedy designed to prevent unconscionable conduct, ensuring fairness when one party has relied on another’s representations to their disadvantage.</w:t>
      </w:r>
    </w:p>
    <w:p w14:paraId="256BA975" w14:textId="2D9B7FDD" w:rsidR="00C06971" w:rsidRPr="006E670C" w:rsidRDefault="00C06971" w:rsidP="006E670C">
      <w:pPr>
        <w:pStyle w:val="NormalWeb"/>
        <w:spacing w:line="480" w:lineRule="auto"/>
      </w:pPr>
      <w:r w:rsidRPr="006E670C">
        <w:t xml:space="preserve">In </w:t>
      </w:r>
      <w:r w:rsidRPr="006E670C">
        <w:rPr>
          <w:rStyle w:val="Emphasis"/>
          <w:rFonts w:eastAsiaTheme="majorEastAsia"/>
        </w:rPr>
        <w:t>Jennings v Rice</w:t>
      </w:r>
      <w:r w:rsidRPr="006E670C">
        <w:t xml:space="preserve"> [2002] EWCA Civ 159, the Court held that proprietary estoppel </w:t>
      </w:r>
      <w:r w:rsidR="00C7408E">
        <w:t xml:space="preserve">could be established if a party makes representations that lead another to believe they </w:t>
      </w:r>
      <w:r w:rsidR="00213194">
        <w:t>are interested</w:t>
      </w:r>
      <w:r w:rsidR="00C7408E">
        <w:t xml:space="preserve"> in the </w:t>
      </w:r>
      <w:r w:rsidRPr="006E670C">
        <w:t>property</w:t>
      </w:r>
      <w:r w:rsidR="00C7408E">
        <w:t>. The</w:t>
      </w:r>
      <w:r w:rsidRPr="006E670C">
        <w:t xml:space="preserve"> latter acts to their detriment based on this belief. The Court’s decision emphasized that estoppel can arise without formal agreements </w:t>
      </w:r>
      <w:r w:rsidR="00C7408E">
        <w:t>if</w:t>
      </w:r>
      <w:r w:rsidRPr="006E670C">
        <w:t xml:space="preserve"> there is detrimental reliance on assurances.</w:t>
      </w:r>
    </w:p>
    <w:p w14:paraId="05645D26" w14:textId="2F7CC555" w:rsidR="00C06971" w:rsidRPr="006E670C" w:rsidRDefault="00C06971" w:rsidP="006E670C">
      <w:pPr>
        <w:pStyle w:val="NormalWeb"/>
        <w:spacing w:line="480" w:lineRule="auto"/>
      </w:pPr>
      <w:r w:rsidRPr="006E670C">
        <w:t xml:space="preserve">Further, in </w:t>
      </w:r>
      <w:r w:rsidRPr="006E670C">
        <w:rPr>
          <w:rStyle w:val="Emphasis"/>
          <w:rFonts w:eastAsiaTheme="majorEastAsia"/>
        </w:rPr>
        <w:t>Curran v Collins</w:t>
      </w:r>
      <w:r w:rsidRPr="006E670C">
        <w:t xml:space="preserve"> [2015] EWCA Civ 404, the Court of Appeal confirmed that proprietary estoppel applies where one party’s belief in ownership, based on the other’s assurances, leads to substantial contributions made by the claimant to the property, which would otherwise be unjust to deny. </w:t>
      </w:r>
      <w:r w:rsidR="005B2315" w:rsidRPr="005B2315">
        <w:rPr>
          <w:i/>
          <w:iCs/>
          <w:lang w:val="en-GB"/>
        </w:rPr>
        <w:t>Re Basham (Deceased)</w:t>
      </w:r>
      <w:r w:rsidR="005B2315" w:rsidRPr="005B2315">
        <w:rPr>
          <w:lang w:val="en-GB"/>
        </w:rPr>
        <w:t xml:space="preserve"> [1986] 1 WLR 1498 highlighted the application of proprietary estoppel in situations where one party has been led to believe they would inherit or share in a property, with the Court upholding the claimant’s claim based on detrimental reliance.</w:t>
      </w:r>
      <w:r w:rsidR="005B2315">
        <w:rPr>
          <w:lang w:val="en-GB"/>
        </w:rPr>
        <w:t xml:space="preserve"> </w:t>
      </w:r>
      <w:r w:rsidR="00C7408E">
        <w:t>Applying</w:t>
      </w:r>
      <w:r w:rsidRPr="006E670C">
        <w:t xml:space="preserve"> this principle is particularly relevant to cohabiting couples, where assurances and financial contributions can create an expectation of shared ownership.</w:t>
      </w:r>
    </w:p>
    <w:p w14:paraId="3C3827A7" w14:textId="764E4817" w:rsidR="005F216E" w:rsidRPr="006E670C" w:rsidRDefault="005F216E" w:rsidP="006E670C">
      <w:pPr>
        <w:pStyle w:val="Heading1"/>
        <w:spacing w:line="480" w:lineRule="auto"/>
        <w:rPr>
          <w:rFonts w:ascii="Times New Roman" w:hAnsi="Times New Roman" w:cs="Times New Roman"/>
          <w:szCs w:val="24"/>
        </w:rPr>
      </w:pPr>
      <w:r w:rsidRPr="006E670C">
        <w:rPr>
          <w:rFonts w:ascii="Times New Roman" w:hAnsi="Times New Roman" w:cs="Times New Roman"/>
          <w:szCs w:val="24"/>
        </w:rPr>
        <w:t xml:space="preserve">Submissions </w:t>
      </w:r>
    </w:p>
    <w:p w14:paraId="04FCC424" w14:textId="64CFA560" w:rsidR="00C06971" w:rsidRPr="006E670C" w:rsidRDefault="00C06971" w:rsidP="006E670C">
      <w:pPr>
        <w:pStyle w:val="NormalWeb"/>
        <w:spacing w:line="480" w:lineRule="auto"/>
      </w:pPr>
      <w:r w:rsidRPr="006E670C">
        <w:t xml:space="preserve">The claimant submits that she is entitled to a 50% share in </w:t>
      </w:r>
      <w:r w:rsidRPr="006E670C">
        <w:rPr>
          <w:rStyle w:val="Emphasis"/>
          <w:rFonts w:eastAsiaTheme="majorEastAsia"/>
        </w:rPr>
        <w:t>The Gatehouse</w:t>
      </w:r>
      <w:r w:rsidRPr="006E670C">
        <w:t xml:space="preserve"> under proprietary estoppel, grounded in her reliance on Jennifer's verbal assurances and her financial contributions to the property. Jennifer </w:t>
      </w:r>
      <w:r w:rsidR="00C7408E">
        <w:t>assured</w:t>
      </w:r>
      <w:r w:rsidRPr="006E670C">
        <w:t xml:space="preserve"> Sarah they would share the property equally, including the statements, “Nothing will happen, we’re equals” and “I’ll always look after you.” These assurances created a reasonable belief in Sarah that she had a shared ownership interest in the property and was entitled to an equal share in </w:t>
      </w:r>
      <w:r w:rsidRPr="006E670C">
        <w:rPr>
          <w:rStyle w:val="Emphasis"/>
          <w:rFonts w:eastAsiaTheme="majorEastAsia"/>
        </w:rPr>
        <w:t>The Gatehouse</w:t>
      </w:r>
      <w:r w:rsidRPr="006E670C">
        <w:t>.</w:t>
      </w:r>
    </w:p>
    <w:p w14:paraId="6FFD498E" w14:textId="6BE0FDFC" w:rsidR="00C06971" w:rsidRPr="006E670C" w:rsidRDefault="00C06971" w:rsidP="006E670C">
      <w:pPr>
        <w:pStyle w:val="NormalWeb"/>
        <w:spacing w:line="480" w:lineRule="auto"/>
      </w:pPr>
      <w:r w:rsidRPr="006E670C">
        <w:lastRenderedPageBreak/>
        <w:t xml:space="preserve">Sarah's substantial contributions to the property, including the payment of £60,000 from her savings to cover storm damage and subsequent repairs, </w:t>
      </w:r>
      <w:r w:rsidR="00C7408E">
        <w:t>relied</w:t>
      </w:r>
      <w:r w:rsidRPr="006E670C">
        <w:t xml:space="preserve"> on these assurances. The claimant submits that Sarah’s reliance on Jennifer’s representations was reasonable and detrimental. Sarah believed that her financial contributions </w:t>
      </w:r>
      <w:r w:rsidR="00C7408E">
        <w:t>secured</w:t>
      </w:r>
      <w:r w:rsidRPr="006E670C">
        <w:t xml:space="preserve"> her equal share in the property, not merely paying for necessary repairs, which would have been the case had there been no such understanding.</w:t>
      </w:r>
    </w:p>
    <w:p w14:paraId="62FBBA6E" w14:textId="1D90A046" w:rsidR="00C06971" w:rsidRPr="006E670C" w:rsidRDefault="00C06971" w:rsidP="006E670C">
      <w:pPr>
        <w:pStyle w:val="NormalWeb"/>
        <w:spacing w:line="480" w:lineRule="auto"/>
      </w:pPr>
      <w:r w:rsidRPr="006E670C">
        <w:t>The assurances made by Jennifer were not vague or ambiguous but were clear and direct statements that established a reasonable expectation of joint ownership. Such assurances were further reinforced by their shared domestic life, with the parties living as equals, sharing household responsibilities</w:t>
      </w:r>
      <w:r w:rsidR="00C7408E">
        <w:t>,</w:t>
      </w:r>
      <w:r w:rsidRPr="006E670C">
        <w:t xml:space="preserve"> and managing finances together. As </w:t>
      </w:r>
      <w:r w:rsidR="00213194" w:rsidRPr="005B2315">
        <w:rPr>
          <w:i/>
          <w:iCs/>
        </w:rPr>
        <w:t>Jennings v Rice</w:t>
      </w:r>
      <w:r w:rsidR="00213194">
        <w:t xml:space="preserve"> and </w:t>
      </w:r>
      <w:r w:rsidR="00213194" w:rsidRPr="005B2315">
        <w:rPr>
          <w:i/>
          <w:iCs/>
        </w:rPr>
        <w:t>Curran v Collins</w:t>
      </w:r>
      <w:r w:rsidR="00213194">
        <w:t xml:space="preserve"> noted</w:t>
      </w:r>
      <w:r w:rsidRPr="006E670C">
        <w:t>, such assurances</w:t>
      </w:r>
      <w:r w:rsidR="00C7408E">
        <w:t xml:space="preserve"> and substantial contributions</w:t>
      </w:r>
      <w:r w:rsidRPr="006E670C">
        <w:t xml:space="preserve"> establish proprietary estoppel.</w:t>
      </w:r>
    </w:p>
    <w:p w14:paraId="6DC36452" w14:textId="6E501641" w:rsidR="00C06971" w:rsidRPr="006E670C" w:rsidRDefault="00C7408E" w:rsidP="006E670C">
      <w:pPr>
        <w:pStyle w:val="NormalWeb"/>
        <w:spacing w:line="480" w:lineRule="auto"/>
      </w:pPr>
      <w:r>
        <w:t>Despite Sarah's financial sacrifices, Jennifer’s refusal to acknowledge Sarah’s beneficial interest</w:t>
      </w:r>
      <w:r w:rsidR="00C06971" w:rsidRPr="006E670C">
        <w:t xml:space="preserve"> constitutes unconscionable conduct. It would be inequitable for Jennifer to deny Sarah the 50% share she has justifiably relied upon. The Court should apply the principle of proprietary estoppel to ensure that Sarah’s contributions are recognized and that she is not unjustly deprived of the interest she was led to expect</w:t>
      </w:r>
      <w:r w:rsidR="00213194">
        <w:t xml:space="preserve"> (</w:t>
      </w:r>
      <w:r w:rsidR="00213194" w:rsidRPr="00213194">
        <w:rPr>
          <w:lang w:val="en-GB"/>
        </w:rPr>
        <w:t>Sloan,</w:t>
      </w:r>
      <w:r w:rsidR="00213194">
        <w:rPr>
          <w:lang w:val="en-GB"/>
        </w:rPr>
        <w:t xml:space="preserve"> </w:t>
      </w:r>
      <w:r w:rsidR="00213194" w:rsidRPr="00213194">
        <w:rPr>
          <w:lang w:val="en-GB"/>
        </w:rPr>
        <w:t>2023</w:t>
      </w:r>
      <w:r w:rsidR="00213194">
        <w:rPr>
          <w:lang w:val="en-GB"/>
        </w:rPr>
        <w:t>, p. 13)</w:t>
      </w:r>
      <w:r w:rsidR="00C06971" w:rsidRPr="006E670C">
        <w:t>.</w:t>
      </w:r>
    </w:p>
    <w:p w14:paraId="0A9CE178" w14:textId="77777777" w:rsidR="005F216E" w:rsidRPr="006E670C" w:rsidRDefault="005F216E" w:rsidP="006E670C">
      <w:pPr>
        <w:pStyle w:val="Heading1"/>
        <w:spacing w:line="480" w:lineRule="auto"/>
        <w:rPr>
          <w:rFonts w:ascii="Times New Roman" w:hAnsi="Times New Roman" w:cs="Times New Roman"/>
          <w:szCs w:val="24"/>
        </w:rPr>
      </w:pPr>
      <w:r w:rsidRPr="006E670C">
        <w:rPr>
          <w:rFonts w:ascii="Times New Roman" w:hAnsi="Times New Roman" w:cs="Times New Roman"/>
          <w:szCs w:val="24"/>
        </w:rPr>
        <w:t xml:space="preserve">Conclusions </w:t>
      </w:r>
    </w:p>
    <w:p w14:paraId="1CF2B2A6" w14:textId="0C49CFA7" w:rsidR="00C06971" w:rsidRPr="006E670C" w:rsidRDefault="00C06971" w:rsidP="006E670C">
      <w:pPr>
        <w:spacing w:line="480" w:lineRule="auto"/>
      </w:pPr>
      <w:r w:rsidRPr="006E670C">
        <w:t xml:space="preserve">In conclusion, Sarah is entitled to a 50% beneficial interest in </w:t>
      </w:r>
      <w:r w:rsidRPr="006E670C">
        <w:rPr>
          <w:i/>
          <w:iCs/>
        </w:rPr>
        <w:t>The Gatehouse</w:t>
      </w:r>
      <w:r w:rsidRPr="006E670C">
        <w:t xml:space="preserve"> based on proprietary estoppel, as she acted to her detriment in reliance on Jennifer’s assurances.</w:t>
      </w:r>
    </w:p>
    <w:p w14:paraId="6B2945E8" w14:textId="77777777" w:rsidR="00C06971" w:rsidRPr="006E670C" w:rsidRDefault="005F216E" w:rsidP="006E670C">
      <w:pPr>
        <w:pStyle w:val="Heading1"/>
        <w:spacing w:line="480" w:lineRule="auto"/>
        <w:rPr>
          <w:rFonts w:ascii="Times New Roman" w:hAnsi="Times New Roman" w:cs="Times New Roman"/>
          <w:szCs w:val="24"/>
        </w:rPr>
      </w:pPr>
      <w:r w:rsidRPr="006E670C">
        <w:rPr>
          <w:rFonts w:ascii="Times New Roman" w:hAnsi="Times New Roman" w:cs="Times New Roman"/>
          <w:szCs w:val="24"/>
        </w:rPr>
        <w:t>Overall conclusions</w:t>
      </w:r>
    </w:p>
    <w:p w14:paraId="1BEF9806" w14:textId="58C5A0CC" w:rsidR="006E670C" w:rsidRDefault="00C06971" w:rsidP="006E670C">
      <w:pPr>
        <w:pStyle w:val="Heading1"/>
        <w:numPr>
          <w:ilvl w:val="0"/>
          <w:numId w:val="0"/>
        </w:numPr>
        <w:rPr>
          <w:rFonts w:ascii="Times New Roman" w:hAnsi="Times New Roman" w:cs="Times New Roman"/>
          <w:b w:val="0"/>
          <w:bCs/>
          <w:szCs w:val="24"/>
        </w:rPr>
      </w:pPr>
      <w:r w:rsidRPr="006E670C">
        <w:rPr>
          <w:rFonts w:ascii="Times New Roman" w:hAnsi="Times New Roman" w:cs="Times New Roman"/>
          <w:b w:val="0"/>
          <w:bCs/>
          <w:szCs w:val="24"/>
        </w:rPr>
        <w:t xml:space="preserve">In light of constructive trust and proprietary estoppel, the claimant respectfully submits that she is entitled to a 50% share in </w:t>
      </w:r>
      <w:r w:rsidRPr="006E670C">
        <w:rPr>
          <w:rFonts w:ascii="Times New Roman" w:hAnsi="Times New Roman" w:cs="Times New Roman"/>
          <w:b w:val="0"/>
          <w:bCs/>
          <w:i/>
          <w:iCs/>
          <w:szCs w:val="24"/>
        </w:rPr>
        <w:t>The Gatehouse</w:t>
      </w:r>
      <w:r w:rsidRPr="006E670C">
        <w:rPr>
          <w:rFonts w:ascii="Times New Roman" w:hAnsi="Times New Roman" w:cs="Times New Roman"/>
          <w:b w:val="0"/>
          <w:bCs/>
          <w:szCs w:val="24"/>
        </w:rPr>
        <w:t xml:space="preserve">. The mutual understanding between Sarah and Jennifer, coupled with Sarah’s substantial financial contributions and reliance on </w:t>
      </w:r>
      <w:r w:rsidRPr="006E670C">
        <w:rPr>
          <w:rFonts w:ascii="Times New Roman" w:hAnsi="Times New Roman" w:cs="Times New Roman"/>
          <w:b w:val="0"/>
          <w:bCs/>
          <w:szCs w:val="24"/>
        </w:rPr>
        <w:lastRenderedPageBreak/>
        <w:t>Jennifer’s assurances, justifies this claim. The Court should declare Sarah’s right to a 50% beneficial interest in the property, ensuring that her reliance is not ignored and that she is treated equitably. The Court’s intervention will prevent unjust enrichment and ensure fairness in the distribution of the property.</w:t>
      </w:r>
      <w:r w:rsidR="006E670C">
        <w:rPr>
          <w:rFonts w:ascii="Times New Roman" w:hAnsi="Times New Roman" w:cs="Times New Roman"/>
          <w:b w:val="0"/>
          <w:bCs/>
          <w:szCs w:val="24"/>
        </w:rPr>
        <w:t xml:space="preserve">                                                                            </w:t>
      </w:r>
    </w:p>
    <w:p w14:paraId="3B1553C5" w14:textId="045B5013" w:rsidR="005F216E" w:rsidRPr="006E670C" w:rsidRDefault="006E670C" w:rsidP="006E670C">
      <w:pPr>
        <w:pStyle w:val="Heading1"/>
        <w:numPr>
          <w:ilvl w:val="0"/>
          <w:numId w:val="0"/>
        </w:numPr>
        <w:rPr>
          <w:rFonts w:ascii="Times New Roman" w:hAnsi="Times New Roman" w:cs="Times New Roman"/>
          <w:b w:val="0"/>
          <w:bCs/>
          <w:szCs w:val="24"/>
        </w:rPr>
      </w:pPr>
      <w:r>
        <w:rPr>
          <w:rFonts w:ascii="Times New Roman" w:hAnsi="Times New Roman" w:cs="Times New Roman"/>
          <w:b w:val="0"/>
          <w:bCs/>
          <w:szCs w:val="24"/>
        </w:rPr>
        <w:t xml:space="preserve">                                                                                                                       </w:t>
      </w:r>
      <w:r w:rsidR="00A924F1">
        <w:rPr>
          <w:rFonts w:ascii="Times New Roman" w:hAnsi="Times New Roman" w:cs="Times New Roman"/>
          <w:b w:val="0"/>
          <w:bCs/>
          <w:szCs w:val="24"/>
        </w:rPr>
        <w:t xml:space="preserve"> </w:t>
      </w:r>
      <w:r>
        <w:rPr>
          <w:rFonts w:ascii="Times New Roman" w:hAnsi="Times New Roman" w:cs="Times New Roman"/>
          <w:b w:val="0"/>
          <w:bCs/>
          <w:szCs w:val="24"/>
        </w:rPr>
        <w:t xml:space="preserve">  </w:t>
      </w:r>
      <w:r w:rsidR="00A924F1">
        <w:rPr>
          <w:rFonts w:ascii="Times New Roman" w:hAnsi="Times New Roman" w:cs="Times New Roman"/>
          <w:bCs/>
          <w:szCs w:val="24"/>
        </w:rPr>
        <w:t>Mihaela Gavrila</w:t>
      </w:r>
    </w:p>
    <w:p w14:paraId="3765130C" w14:textId="313AE031" w:rsidR="00D62530" w:rsidRPr="006E670C" w:rsidRDefault="00A924F1" w:rsidP="006E670C">
      <w:pPr>
        <w:spacing w:line="360" w:lineRule="auto"/>
        <w:jc w:val="right"/>
        <w:rPr>
          <w:b/>
          <w:bCs/>
        </w:rPr>
      </w:pPr>
      <w:r>
        <w:rPr>
          <w:b/>
          <w:bCs/>
        </w:rPr>
        <w:t>Lawyer</w:t>
      </w:r>
    </w:p>
    <w:p w14:paraId="0ADC9468" w14:textId="71F5C19A" w:rsidR="00D62530" w:rsidRPr="006E670C" w:rsidRDefault="00E35906" w:rsidP="006E670C">
      <w:pPr>
        <w:spacing w:line="360" w:lineRule="auto"/>
        <w:jc w:val="right"/>
        <w:rPr>
          <w:b/>
          <w:bCs/>
        </w:rPr>
      </w:pPr>
      <w:r>
        <w:rPr>
          <w:b/>
          <w:bCs/>
        </w:rPr>
        <w:t>LLP Trinity Lawyers</w:t>
      </w:r>
    </w:p>
    <w:p w14:paraId="7E25C8BA" w14:textId="2DE6025C" w:rsidR="00D62530" w:rsidRPr="006E670C" w:rsidRDefault="00A924F1" w:rsidP="006E670C">
      <w:pPr>
        <w:spacing w:line="360" w:lineRule="auto"/>
        <w:jc w:val="right"/>
        <w:rPr>
          <w:b/>
          <w:bCs/>
        </w:rPr>
      </w:pPr>
      <w:r>
        <w:rPr>
          <w:b/>
          <w:bCs/>
        </w:rPr>
        <w:t>06/12/2024</w:t>
      </w:r>
    </w:p>
    <w:p w14:paraId="59D9D6F6" w14:textId="77777777" w:rsidR="00D62530" w:rsidRPr="006E670C" w:rsidRDefault="00D62530" w:rsidP="006E670C">
      <w:pPr>
        <w:spacing w:line="480" w:lineRule="auto"/>
      </w:pPr>
    </w:p>
    <w:p w14:paraId="4AB40E2F" w14:textId="77777777" w:rsidR="006E670C" w:rsidRDefault="006E670C" w:rsidP="006E670C">
      <w:pPr>
        <w:spacing w:line="480" w:lineRule="auto"/>
      </w:pPr>
    </w:p>
    <w:p w14:paraId="706072A3" w14:textId="77777777" w:rsidR="00271FF6" w:rsidRDefault="00271FF6" w:rsidP="006E670C">
      <w:pPr>
        <w:spacing w:line="480" w:lineRule="auto"/>
      </w:pPr>
    </w:p>
    <w:p w14:paraId="7F2C6AA3" w14:textId="77777777" w:rsidR="00271FF6" w:rsidRDefault="00271FF6" w:rsidP="006E670C">
      <w:pPr>
        <w:spacing w:line="480" w:lineRule="auto"/>
      </w:pPr>
    </w:p>
    <w:p w14:paraId="413DFF72" w14:textId="77777777" w:rsidR="00271FF6" w:rsidRDefault="00271FF6" w:rsidP="006E670C">
      <w:pPr>
        <w:spacing w:line="480" w:lineRule="auto"/>
      </w:pPr>
    </w:p>
    <w:p w14:paraId="6E60BBB7" w14:textId="78910194" w:rsidR="0003621E" w:rsidRPr="006E670C" w:rsidRDefault="0003621E" w:rsidP="006E670C">
      <w:pPr>
        <w:spacing w:line="480" w:lineRule="auto"/>
        <w:jc w:val="center"/>
      </w:pPr>
      <w:r w:rsidRPr="006E670C">
        <w:rPr>
          <w:b/>
          <w:bCs/>
        </w:rPr>
        <w:t>Case note</w:t>
      </w:r>
    </w:p>
    <w:p w14:paraId="35B36B27" w14:textId="77777777" w:rsidR="006E670C" w:rsidRPr="006E670C" w:rsidRDefault="006E670C" w:rsidP="006E670C">
      <w:pPr>
        <w:spacing w:line="480" w:lineRule="auto"/>
        <w:rPr>
          <w:lang w:val="en-US"/>
        </w:rPr>
      </w:pPr>
      <w:r w:rsidRPr="006E670C">
        <w:rPr>
          <w:b/>
          <w:bCs/>
          <w:lang w:val="en-US"/>
        </w:rPr>
        <w:t>Case Name</w:t>
      </w:r>
      <w:r w:rsidRPr="006E670C">
        <w:rPr>
          <w:lang w:val="en-US"/>
        </w:rPr>
        <w:t xml:space="preserve">: </w:t>
      </w:r>
      <w:r w:rsidRPr="006E670C">
        <w:rPr>
          <w:i/>
          <w:iCs/>
          <w:lang w:val="en-US"/>
        </w:rPr>
        <w:t>Curran v Collins</w:t>
      </w:r>
      <w:r w:rsidRPr="006E670C">
        <w:rPr>
          <w:lang w:val="en-US"/>
        </w:rPr>
        <w:br/>
      </w:r>
      <w:r w:rsidRPr="006E670C">
        <w:rPr>
          <w:b/>
          <w:bCs/>
          <w:lang w:val="en-US"/>
        </w:rPr>
        <w:t>Citation</w:t>
      </w:r>
      <w:r w:rsidRPr="006E670C">
        <w:rPr>
          <w:lang w:val="en-US"/>
        </w:rPr>
        <w:t>: [2015] EWCA Civ 404</w:t>
      </w:r>
      <w:r w:rsidRPr="006E670C">
        <w:rPr>
          <w:lang w:val="en-US"/>
        </w:rPr>
        <w:br/>
      </w:r>
      <w:r w:rsidRPr="006E670C">
        <w:rPr>
          <w:b/>
          <w:bCs/>
          <w:lang w:val="en-US"/>
        </w:rPr>
        <w:t>Court</w:t>
      </w:r>
      <w:r w:rsidRPr="006E670C">
        <w:rPr>
          <w:lang w:val="en-US"/>
        </w:rPr>
        <w:t>: Court of Appeal</w:t>
      </w:r>
    </w:p>
    <w:p w14:paraId="3F228A57" w14:textId="77777777" w:rsidR="006E670C" w:rsidRPr="006E670C" w:rsidRDefault="006E670C" w:rsidP="006E670C">
      <w:pPr>
        <w:spacing w:line="480" w:lineRule="auto"/>
        <w:rPr>
          <w:lang w:val="en-US"/>
        </w:rPr>
      </w:pPr>
      <w:r w:rsidRPr="006E670C">
        <w:rPr>
          <w:b/>
          <w:bCs/>
          <w:lang w:val="en-US"/>
        </w:rPr>
        <w:t>Parties</w:t>
      </w:r>
      <w:r w:rsidRPr="006E670C">
        <w:rPr>
          <w:lang w:val="en-US"/>
        </w:rPr>
        <w:t>:</w:t>
      </w:r>
      <w:r w:rsidRPr="006E670C">
        <w:rPr>
          <w:lang w:val="en-US"/>
        </w:rPr>
        <w:br/>
        <w:t>John Curran (Appellant)</w:t>
      </w:r>
      <w:r w:rsidRPr="006E670C">
        <w:rPr>
          <w:lang w:val="en-US"/>
        </w:rPr>
        <w:br/>
        <w:t>Sarah Collins (Respondent)</w:t>
      </w:r>
    </w:p>
    <w:p w14:paraId="2B21F6E9" w14:textId="77777777" w:rsidR="006E670C" w:rsidRPr="006E670C" w:rsidRDefault="006E670C" w:rsidP="006E670C">
      <w:pPr>
        <w:spacing w:line="480" w:lineRule="auto"/>
        <w:rPr>
          <w:lang w:val="en-US"/>
        </w:rPr>
      </w:pPr>
      <w:r w:rsidRPr="006E670C">
        <w:rPr>
          <w:b/>
          <w:bCs/>
          <w:lang w:val="en-US"/>
        </w:rPr>
        <w:t>Procedural History</w:t>
      </w:r>
      <w:r w:rsidRPr="006E670C">
        <w:rPr>
          <w:lang w:val="en-US"/>
        </w:rPr>
        <w:t>:</w:t>
      </w:r>
      <w:r w:rsidRPr="006E670C">
        <w:rPr>
          <w:lang w:val="en-US"/>
        </w:rPr>
        <w:br/>
        <w:t>Trial at the High Court, where the appellant's claim for a 50% share in the property was dismissed. The appellant appealed to the Court of Appeal. Appeal allowed, with the Court of Appeal ruling in favor of the appellant.</w:t>
      </w:r>
    </w:p>
    <w:p w14:paraId="510A112D" w14:textId="6D4418C4" w:rsidR="006E670C" w:rsidRPr="006E670C" w:rsidRDefault="006E670C" w:rsidP="006E670C">
      <w:pPr>
        <w:spacing w:line="480" w:lineRule="auto"/>
        <w:rPr>
          <w:lang w:val="en-US"/>
        </w:rPr>
      </w:pPr>
      <w:r w:rsidRPr="006E670C">
        <w:rPr>
          <w:b/>
          <w:bCs/>
          <w:lang w:val="en-US"/>
        </w:rPr>
        <w:t>Material Facts</w:t>
      </w:r>
      <w:r w:rsidRPr="006E670C">
        <w:rPr>
          <w:lang w:val="en-US"/>
        </w:rPr>
        <w:t>:</w:t>
      </w:r>
      <w:r w:rsidRPr="006E670C">
        <w:rPr>
          <w:lang w:val="en-US"/>
        </w:rPr>
        <w:br/>
        <w:t xml:space="preserve">John Curran and Sarah Collins lived together for over a decade, during which he made </w:t>
      </w:r>
      <w:r w:rsidRPr="006E670C">
        <w:rPr>
          <w:lang w:val="en-US"/>
        </w:rPr>
        <w:lastRenderedPageBreak/>
        <w:t>substantial contributions to their family home. Sarah assured John he would have an equal share in the property, but the legal title was solely in Sarah's name. John later sought a 50% share based on proprietary estoppel.</w:t>
      </w:r>
    </w:p>
    <w:p w14:paraId="0A41BE99" w14:textId="77777777" w:rsidR="006E670C" w:rsidRPr="006E670C" w:rsidRDefault="006E670C" w:rsidP="006E670C">
      <w:pPr>
        <w:spacing w:line="480" w:lineRule="auto"/>
        <w:rPr>
          <w:lang w:val="en-US"/>
        </w:rPr>
      </w:pPr>
      <w:r w:rsidRPr="006E670C">
        <w:rPr>
          <w:b/>
          <w:bCs/>
          <w:lang w:val="en-US"/>
        </w:rPr>
        <w:t>Legal Questions for the Court</w:t>
      </w:r>
      <w:r w:rsidRPr="006E670C">
        <w:rPr>
          <w:lang w:val="en-US"/>
        </w:rPr>
        <w:t>:</w:t>
      </w:r>
    </w:p>
    <w:p w14:paraId="17399F7E" w14:textId="77777777" w:rsidR="006E670C" w:rsidRPr="006E670C" w:rsidRDefault="006E670C" w:rsidP="006E670C">
      <w:pPr>
        <w:numPr>
          <w:ilvl w:val="0"/>
          <w:numId w:val="16"/>
        </w:numPr>
        <w:spacing w:line="480" w:lineRule="auto"/>
        <w:rPr>
          <w:lang w:val="en-US"/>
        </w:rPr>
      </w:pPr>
      <w:r w:rsidRPr="006E670C">
        <w:rPr>
          <w:lang w:val="en-US"/>
        </w:rPr>
        <w:t>Whether John Curran could claim a share of the property under proprietary estoppel.</w:t>
      </w:r>
    </w:p>
    <w:p w14:paraId="18A86930" w14:textId="77777777" w:rsidR="006E670C" w:rsidRPr="006E670C" w:rsidRDefault="006E670C" w:rsidP="006E670C">
      <w:pPr>
        <w:numPr>
          <w:ilvl w:val="0"/>
          <w:numId w:val="16"/>
        </w:numPr>
        <w:spacing w:line="480" w:lineRule="auto"/>
        <w:rPr>
          <w:lang w:val="en-US"/>
        </w:rPr>
      </w:pPr>
      <w:r w:rsidRPr="006E670C">
        <w:rPr>
          <w:lang w:val="en-US"/>
        </w:rPr>
        <w:t>Whether the appellant's financial contributions justified a claim based on detrimental reliance on Sarah's assurances.</w:t>
      </w:r>
    </w:p>
    <w:p w14:paraId="0FD803B3" w14:textId="2344F1CC" w:rsidR="006E670C" w:rsidRPr="006E670C" w:rsidRDefault="006E670C" w:rsidP="006E670C">
      <w:pPr>
        <w:spacing w:line="480" w:lineRule="auto"/>
        <w:rPr>
          <w:lang w:val="en-US"/>
        </w:rPr>
      </w:pPr>
      <w:r w:rsidRPr="006E670C">
        <w:rPr>
          <w:b/>
          <w:bCs/>
          <w:lang w:val="en-US"/>
        </w:rPr>
        <w:t>Appellant Arguments</w:t>
      </w:r>
      <w:r w:rsidRPr="006E670C">
        <w:rPr>
          <w:lang w:val="en-US"/>
        </w:rPr>
        <w:t>:</w:t>
      </w:r>
      <w:r w:rsidRPr="006E670C">
        <w:rPr>
          <w:lang w:val="en-US"/>
        </w:rPr>
        <w:br/>
        <w:t>The appellant argued that he relied on Sarah's assurances about joint ownership, which led him to make substantial contributions to the property. He claimed it would be unconscionable for Sarah to deny him a share of the property.</w:t>
      </w:r>
    </w:p>
    <w:p w14:paraId="6D129269" w14:textId="77777777" w:rsidR="006E670C" w:rsidRPr="006E670C" w:rsidRDefault="006E670C" w:rsidP="006E670C">
      <w:pPr>
        <w:spacing w:line="480" w:lineRule="auto"/>
        <w:rPr>
          <w:lang w:val="en-US"/>
        </w:rPr>
      </w:pPr>
      <w:r w:rsidRPr="006E670C">
        <w:rPr>
          <w:b/>
          <w:bCs/>
          <w:lang w:val="en-US"/>
        </w:rPr>
        <w:t>Respondent’s Arguments</w:t>
      </w:r>
      <w:r w:rsidRPr="006E670C">
        <w:rPr>
          <w:lang w:val="en-US"/>
        </w:rPr>
        <w:t>:</w:t>
      </w:r>
      <w:r w:rsidRPr="006E670C">
        <w:rPr>
          <w:lang w:val="en-US"/>
        </w:rPr>
        <w:br/>
        <w:t>The respondent argued that no explicit agreement or representation was made regarding joint ownership, and the appellant’s contributions were made voluntarily, without any expectation of shared ownership.</w:t>
      </w:r>
    </w:p>
    <w:p w14:paraId="7C87C2AC" w14:textId="763699C8" w:rsidR="006E670C" w:rsidRPr="006E670C" w:rsidRDefault="00C7408E" w:rsidP="006E670C">
      <w:pPr>
        <w:spacing w:line="480" w:lineRule="auto"/>
        <w:rPr>
          <w:lang w:val="en-US"/>
        </w:rPr>
      </w:pPr>
      <w:r>
        <w:rPr>
          <w:b/>
          <w:bCs/>
          <w:lang w:val="en-US"/>
        </w:rPr>
        <w:t>The decision</w:t>
      </w:r>
      <w:r w:rsidR="006E670C" w:rsidRPr="006E670C">
        <w:rPr>
          <w:b/>
          <w:bCs/>
          <w:lang w:val="en-US"/>
        </w:rPr>
        <w:t xml:space="preserve"> of </w:t>
      </w:r>
      <w:r w:rsidR="00213194">
        <w:rPr>
          <w:b/>
          <w:bCs/>
          <w:lang w:val="en-US"/>
        </w:rPr>
        <w:t xml:space="preserve">the </w:t>
      </w:r>
      <w:r w:rsidR="006E670C" w:rsidRPr="006E670C">
        <w:rPr>
          <w:b/>
          <w:bCs/>
          <w:lang w:val="en-US"/>
        </w:rPr>
        <w:t>Court</w:t>
      </w:r>
      <w:r w:rsidR="006E670C" w:rsidRPr="006E670C">
        <w:rPr>
          <w:lang w:val="en-US"/>
        </w:rPr>
        <w:t>:</w:t>
      </w:r>
      <w:r w:rsidR="006E670C" w:rsidRPr="006E670C">
        <w:rPr>
          <w:lang w:val="en-US"/>
        </w:rPr>
        <w:br/>
        <w:t>Appeal allowed. The Court of Appeal ruled in favor of the appellant, granting him a 50% share of the property under proprietary estoppel.</w:t>
      </w:r>
    </w:p>
    <w:p w14:paraId="7F443C7D" w14:textId="09C8CA6A" w:rsidR="006E670C" w:rsidRPr="006E670C" w:rsidRDefault="006E670C" w:rsidP="006E670C">
      <w:pPr>
        <w:spacing w:line="480" w:lineRule="auto"/>
        <w:rPr>
          <w:lang w:val="en-US"/>
        </w:rPr>
      </w:pPr>
      <w:r w:rsidRPr="006E670C">
        <w:rPr>
          <w:b/>
          <w:bCs/>
          <w:lang w:val="en-US"/>
        </w:rPr>
        <w:t>Rule of Law</w:t>
      </w:r>
      <w:r w:rsidRPr="006E670C">
        <w:rPr>
          <w:lang w:val="en-US"/>
        </w:rPr>
        <w:t>:</w:t>
      </w:r>
      <w:r w:rsidRPr="006E670C">
        <w:rPr>
          <w:lang w:val="en-US"/>
        </w:rPr>
        <w:br/>
        <w:t xml:space="preserve">Proprietary estoppel can be established where a person relies on assurances about property ownership to their detriment, even </w:t>
      </w:r>
      <w:r w:rsidR="00C7408E">
        <w:rPr>
          <w:lang w:val="en-US"/>
        </w:rPr>
        <w:t>without</w:t>
      </w:r>
      <w:r w:rsidRPr="006E670C">
        <w:rPr>
          <w:lang w:val="en-US"/>
        </w:rPr>
        <w:t xml:space="preserve"> formal agreements.</w:t>
      </w:r>
    </w:p>
    <w:p w14:paraId="77D178EC" w14:textId="4335976D" w:rsidR="006E670C" w:rsidRPr="006E670C" w:rsidRDefault="006E670C" w:rsidP="006E670C">
      <w:pPr>
        <w:spacing w:line="480" w:lineRule="auto"/>
        <w:rPr>
          <w:lang w:val="en-US"/>
        </w:rPr>
      </w:pPr>
      <w:r w:rsidRPr="006E670C">
        <w:rPr>
          <w:b/>
          <w:bCs/>
          <w:lang w:val="en-US"/>
        </w:rPr>
        <w:t>Reasoning</w:t>
      </w:r>
      <w:r w:rsidRPr="006E670C">
        <w:rPr>
          <w:lang w:val="en-US"/>
        </w:rPr>
        <w:t>:</w:t>
      </w:r>
      <w:r w:rsidRPr="006E670C">
        <w:rPr>
          <w:lang w:val="en-US"/>
        </w:rPr>
        <w:br/>
        <w:t xml:space="preserve">The Court found that the appellant's financial contributions were made </w:t>
      </w:r>
      <w:r w:rsidR="00C7408E">
        <w:rPr>
          <w:lang w:val="en-US"/>
        </w:rPr>
        <w:t>based</w:t>
      </w:r>
      <w:r w:rsidRPr="006E670C">
        <w:rPr>
          <w:lang w:val="en-US"/>
        </w:rPr>
        <w:t xml:space="preserve"> on assurances from the respondent regarding shared ownership. The assurances led the appellant to believe he had a stake in the property. The Court emphasized that the appellant had acted to his </w:t>
      </w:r>
      <w:r w:rsidRPr="006E670C">
        <w:rPr>
          <w:lang w:val="en-US"/>
        </w:rPr>
        <w:lastRenderedPageBreak/>
        <w:t>detriment by investing in the property, and it would be unconscionable for the respondent to deny him a share. The Court concluded that proprietary estoppel applied to ensure fairness and prevent unjust enrichment.</w:t>
      </w:r>
    </w:p>
    <w:p w14:paraId="73A72906" w14:textId="00FE1C12" w:rsidR="001A6CEE" w:rsidRPr="006E670C" w:rsidRDefault="001A6CEE" w:rsidP="006E670C">
      <w:pPr>
        <w:spacing w:line="480" w:lineRule="auto"/>
        <w:rPr>
          <w:rFonts w:eastAsiaTheme="majorEastAsia"/>
          <w:b/>
        </w:rPr>
      </w:pPr>
      <w:r w:rsidRPr="006E670C">
        <w:br w:type="page"/>
      </w:r>
    </w:p>
    <w:p w14:paraId="0C08295F" w14:textId="14B80BBE" w:rsidR="005F216E" w:rsidRPr="006E670C" w:rsidRDefault="005F216E" w:rsidP="006E670C">
      <w:pPr>
        <w:pStyle w:val="Heading1"/>
        <w:numPr>
          <w:ilvl w:val="0"/>
          <w:numId w:val="0"/>
        </w:numPr>
        <w:spacing w:line="480" w:lineRule="auto"/>
        <w:ind w:left="680" w:hanging="680"/>
        <w:jc w:val="center"/>
        <w:rPr>
          <w:rFonts w:ascii="Times New Roman" w:hAnsi="Times New Roman" w:cs="Times New Roman"/>
          <w:szCs w:val="24"/>
        </w:rPr>
      </w:pPr>
      <w:r w:rsidRPr="006E670C">
        <w:rPr>
          <w:rFonts w:ascii="Times New Roman" w:hAnsi="Times New Roman" w:cs="Times New Roman"/>
          <w:szCs w:val="24"/>
        </w:rPr>
        <w:lastRenderedPageBreak/>
        <w:t>References</w:t>
      </w:r>
    </w:p>
    <w:p w14:paraId="6F5E5230" w14:textId="77777777" w:rsidR="006E670C" w:rsidRPr="006E670C" w:rsidRDefault="006E670C" w:rsidP="006E670C">
      <w:pPr>
        <w:spacing w:line="480" w:lineRule="auto"/>
        <w:rPr>
          <w:lang w:val="en-US"/>
        </w:rPr>
      </w:pPr>
      <w:r w:rsidRPr="006E670C">
        <w:rPr>
          <w:b/>
          <w:bCs/>
          <w:lang w:val="en-US"/>
        </w:rPr>
        <w:t>Case References:</w:t>
      </w:r>
    </w:p>
    <w:p w14:paraId="1083F8DF" w14:textId="77777777" w:rsidR="006E670C" w:rsidRPr="006E670C" w:rsidRDefault="006E670C" w:rsidP="006E670C">
      <w:pPr>
        <w:numPr>
          <w:ilvl w:val="0"/>
          <w:numId w:val="17"/>
        </w:numPr>
        <w:spacing w:line="480" w:lineRule="auto"/>
        <w:rPr>
          <w:lang w:val="en-US"/>
        </w:rPr>
      </w:pPr>
      <w:r w:rsidRPr="006E670C">
        <w:rPr>
          <w:i/>
          <w:iCs/>
          <w:lang w:val="en-US"/>
        </w:rPr>
        <w:t>Geary v Rankine</w:t>
      </w:r>
      <w:r w:rsidRPr="006E670C">
        <w:rPr>
          <w:lang w:val="en-US"/>
        </w:rPr>
        <w:t xml:space="preserve"> [2012] EWCA Civ 555.</w:t>
      </w:r>
    </w:p>
    <w:p w14:paraId="31EF3930" w14:textId="77777777" w:rsidR="006E670C" w:rsidRPr="006E670C" w:rsidRDefault="006E670C" w:rsidP="006E670C">
      <w:pPr>
        <w:numPr>
          <w:ilvl w:val="0"/>
          <w:numId w:val="17"/>
        </w:numPr>
        <w:spacing w:line="480" w:lineRule="auto"/>
        <w:rPr>
          <w:lang w:val="en-US"/>
        </w:rPr>
      </w:pPr>
      <w:r w:rsidRPr="006E670C">
        <w:rPr>
          <w:i/>
          <w:iCs/>
          <w:lang w:val="en-US"/>
        </w:rPr>
        <w:t>Stack v Dowden</w:t>
      </w:r>
      <w:r w:rsidRPr="006E670C">
        <w:rPr>
          <w:lang w:val="en-US"/>
        </w:rPr>
        <w:t xml:space="preserve"> [2007] UKHL 17.</w:t>
      </w:r>
    </w:p>
    <w:p w14:paraId="4171A66D" w14:textId="77777777" w:rsidR="006E670C" w:rsidRPr="006E670C" w:rsidRDefault="006E670C" w:rsidP="006E670C">
      <w:pPr>
        <w:numPr>
          <w:ilvl w:val="0"/>
          <w:numId w:val="17"/>
        </w:numPr>
        <w:spacing w:line="480" w:lineRule="auto"/>
        <w:rPr>
          <w:lang w:val="en-US"/>
        </w:rPr>
      </w:pPr>
      <w:r w:rsidRPr="006E670C">
        <w:rPr>
          <w:i/>
          <w:iCs/>
          <w:lang w:val="en-US"/>
        </w:rPr>
        <w:t>Jennings v Rice</w:t>
      </w:r>
      <w:r w:rsidRPr="006E670C">
        <w:rPr>
          <w:lang w:val="en-US"/>
        </w:rPr>
        <w:t xml:space="preserve"> [2002] EWCA Civ 159.</w:t>
      </w:r>
    </w:p>
    <w:p w14:paraId="400A8215" w14:textId="77777777" w:rsidR="006E670C" w:rsidRDefault="006E670C" w:rsidP="006E670C">
      <w:pPr>
        <w:numPr>
          <w:ilvl w:val="0"/>
          <w:numId w:val="17"/>
        </w:numPr>
        <w:spacing w:line="480" w:lineRule="auto"/>
        <w:rPr>
          <w:lang w:val="en-US"/>
        </w:rPr>
      </w:pPr>
      <w:r w:rsidRPr="006E670C">
        <w:rPr>
          <w:i/>
          <w:iCs/>
          <w:lang w:val="en-US"/>
        </w:rPr>
        <w:t>Curran v Collins</w:t>
      </w:r>
      <w:r w:rsidRPr="006E670C">
        <w:rPr>
          <w:lang w:val="en-US"/>
        </w:rPr>
        <w:t xml:space="preserve"> [2015] EWCA Civ 404.</w:t>
      </w:r>
    </w:p>
    <w:p w14:paraId="37E59D2F" w14:textId="78A0F771" w:rsidR="00610C95" w:rsidRPr="00610C95" w:rsidRDefault="00610C95" w:rsidP="006E670C">
      <w:pPr>
        <w:numPr>
          <w:ilvl w:val="0"/>
          <w:numId w:val="17"/>
        </w:numPr>
        <w:spacing w:line="480" w:lineRule="auto"/>
        <w:rPr>
          <w:lang w:val="en-US"/>
        </w:rPr>
      </w:pPr>
      <w:r w:rsidRPr="00610C95">
        <w:rPr>
          <w:i/>
          <w:iCs/>
        </w:rPr>
        <w:t>Lloyds Bank plc v Rosset</w:t>
      </w:r>
      <w:r w:rsidRPr="00610C95">
        <w:t xml:space="preserve"> [1991] 1 AC 107.</w:t>
      </w:r>
    </w:p>
    <w:p w14:paraId="411FBC91" w14:textId="1A971AC8" w:rsidR="00610C95" w:rsidRPr="00352AD2" w:rsidRDefault="00610C95" w:rsidP="006E670C">
      <w:pPr>
        <w:numPr>
          <w:ilvl w:val="0"/>
          <w:numId w:val="17"/>
        </w:numPr>
        <w:spacing w:line="480" w:lineRule="auto"/>
        <w:rPr>
          <w:lang w:val="en-US"/>
        </w:rPr>
      </w:pPr>
      <w:r w:rsidRPr="00352AD2">
        <w:rPr>
          <w:i/>
          <w:iCs/>
        </w:rPr>
        <w:t>Mann v Mann</w:t>
      </w:r>
      <w:r w:rsidRPr="00352AD2">
        <w:t xml:space="preserve"> [2004] EWCA</w:t>
      </w:r>
    </w:p>
    <w:p w14:paraId="46D5B8A1" w14:textId="77777777" w:rsidR="005B2315" w:rsidRPr="00352AD2" w:rsidRDefault="005B2315" w:rsidP="006E670C">
      <w:pPr>
        <w:numPr>
          <w:ilvl w:val="0"/>
          <w:numId w:val="17"/>
        </w:numPr>
        <w:spacing w:line="480" w:lineRule="auto"/>
        <w:rPr>
          <w:lang w:val="en-US"/>
        </w:rPr>
      </w:pPr>
      <w:r w:rsidRPr="00352AD2">
        <w:rPr>
          <w:i/>
          <w:iCs/>
        </w:rPr>
        <w:t>Court in Gilbert v Holt [2001] 1 WLR 500</w:t>
      </w:r>
    </w:p>
    <w:p w14:paraId="2E1337F7" w14:textId="11D29BC4" w:rsidR="00C3010E" w:rsidRPr="00352AD2" w:rsidRDefault="00C3010E" w:rsidP="006E670C">
      <w:pPr>
        <w:numPr>
          <w:ilvl w:val="0"/>
          <w:numId w:val="17"/>
        </w:numPr>
        <w:spacing w:line="480" w:lineRule="auto"/>
        <w:rPr>
          <w:lang w:val="en-US"/>
        </w:rPr>
      </w:pPr>
      <w:r w:rsidRPr="00352AD2">
        <w:rPr>
          <w:i/>
          <w:iCs/>
        </w:rPr>
        <w:t>Thorner v Major</w:t>
      </w:r>
      <w:r w:rsidRPr="00352AD2">
        <w:t xml:space="preserve"> [2009] UKHL 18,</w:t>
      </w:r>
    </w:p>
    <w:p w14:paraId="190EDB13" w14:textId="0D8F2045" w:rsidR="005B2315" w:rsidRPr="00610C95" w:rsidRDefault="005B2315" w:rsidP="006E670C">
      <w:pPr>
        <w:numPr>
          <w:ilvl w:val="0"/>
          <w:numId w:val="17"/>
        </w:numPr>
        <w:spacing w:line="480" w:lineRule="auto"/>
        <w:rPr>
          <w:lang w:val="en-US"/>
        </w:rPr>
      </w:pPr>
      <w:r w:rsidRPr="005B2315">
        <w:rPr>
          <w:i/>
          <w:iCs/>
        </w:rPr>
        <w:t>Re Basham (Deceased)</w:t>
      </w:r>
      <w:r w:rsidRPr="005B2315">
        <w:t xml:space="preserve"> [1986] 1 WLR 1498</w:t>
      </w:r>
    </w:p>
    <w:p w14:paraId="6C408D3D" w14:textId="535F3F28" w:rsidR="005F216E" w:rsidRDefault="00213194" w:rsidP="006E670C">
      <w:pPr>
        <w:spacing w:line="480" w:lineRule="auto"/>
        <w:rPr>
          <w:b/>
          <w:bCs/>
          <w:lang w:val="en-US"/>
        </w:rPr>
      </w:pPr>
      <w:r>
        <w:rPr>
          <w:b/>
          <w:bCs/>
          <w:lang w:val="en-US"/>
        </w:rPr>
        <w:t>Articles</w:t>
      </w:r>
    </w:p>
    <w:p w14:paraId="07CA409B" w14:textId="0F58954D" w:rsidR="00213194" w:rsidRDefault="00213194" w:rsidP="00213194">
      <w:pPr>
        <w:spacing w:line="480" w:lineRule="auto"/>
        <w:ind w:left="630" w:hanging="630"/>
      </w:pPr>
      <w:r w:rsidRPr="00213194">
        <w:t>Palser, E., 2023. Proprietary estoppel and the position of the stranger. </w:t>
      </w:r>
      <w:r w:rsidRPr="00213194">
        <w:rPr>
          <w:i/>
          <w:iCs/>
        </w:rPr>
        <w:t>Trusts &amp; Trustees</w:t>
      </w:r>
      <w:r w:rsidRPr="00213194">
        <w:t>, </w:t>
      </w:r>
      <w:r w:rsidRPr="00213194">
        <w:rPr>
          <w:i/>
          <w:iCs/>
        </w:rPr>
        <w:t>29</w:t>
      </w:r>
      <w:r w:rsidRPr="00213194">
        <w:t>(3), pp.208-218.</w:t>
      </w:r>
      <w:hyperlink r:id="rId7" w:history="1">
        <w:r w:rsidRPr="00213194">
          <w:rPr>
            <w:rStyle w:val="Hyperlink"/>
          </w:rPr>
          <w:t>https://doi.org/10.1093/</w:t>
        </w:r>
        <w:proofErr w:type="spellStart"/>
        <w:r w:rsidRPr="00213194">
          <w:rPr>
            <w:rStyle w:val="Hyperlink"/>
          </w:rPr>
          <w:t>tandt</w:t>
        </w:r>
        <w:proofErr w:type="spellEnd"/>
        <w:r w:rsidRPr="00213194">
          <w:rPr>
            <w:rStyle w:val="Hyperlink"/>
          </w:rPr>
          <w:t>/ttac125</w:t>
        </w:r>
      </w:hyperlink>
    </w:p>
    <w:p w14:paraId="78995E4F" w14:textId="34110451" w:rsidR="00213194" w:rsidRDefault="00213194" w:rsidP="00213194">
      <w:pPr>
        <w:spacing w:line="480" w:lineRule="auto"/>
        <w:ind w:left="630" w:hanging="630"/>
        <w:rPr>
          <w:rStyle w:val="Hyperlink"/>
        </w:rPr>
      </w:pPr>
      <w:r w:rsidRPr="00213194">
        <w:t>Sloan, B., 2023. PROPRIETARY ESTOPPEL IN THE SUPREME COURT: BANQUO'S GHOST</w:t>
      </w:r>
      <w:r>
        <w:t>?</w:t>
      </w:r>
      <w:r w:rsidRPr="00213194">
        <w:t> </w:t>
      </w:r>
      <w:r w:rsidRPr="00213194">
        <w:rPr>
          <w:i/>
          <w:iCs/>
        </w:rPr>
        <w:t>The Cambridge Law Journal</w:t>
      </w:r>
      <w:r w:rsidRPr="00213194">
        <w:t>, </w:t>
      </w:r>
      <w:r w:rsidRPr="00213194">
        <w:rPr>
          <w:i/>
          <w:iCs/>
        </w:rPr>
        <w:t>82</w:t>
      </w:r>
      <w:r w:rsidRPr="00213194">
        <w:t>(1), pp.13-16. </w:t>
      </w:r>
      <w:hyperlink r:id="rId8" w:tgtFrame="_blank" w:history="1">
        <w:r w:rsidRPr="00213194">
          <w:rPr>
            <w:rStyle w:val="Hyperlink"/>
          </w:rPr>
          <w:t>https://doi.org/10.1017/S0008197323000119</w:t>
        </w:r>
      </w:hyperlink>
    </w:p>
    <w:p w14:paraId="15C04A12" w14:textId="3743793E" w:rsidR="00E35906" w:rsidRDefault="00E35906" w:rsidP="00213194">
      <w:pPr>
        <w:spacing w:line="480" w:lineRule="auto"/>
        <w:ind w:left="630" w:hanging="630"/>
      </w:pPr>
      <w:r w:rsidRPr="00E35906">
        <w:t>Legislation.gov.uk (2020). </w:t>
      </w:r>
      <w:r w:rsidRPr="00E35906">
        <w:rPr>
          <w:i/>
          <w:iCs/>
        </w:rPr>
        <w:t>Land Registration Act 2002</w:t>
      </w:r>
      <w:r w:rsidRPr="00E35906">
        <w:t xml:space="preserve">. [online] Legislation.gov.uk. Available at: </w:t>
      </w:r>
      <w:hyperlink r:id="rId9" w:history="1">
        <w:r w:rsidRPr="00C373C5">
          <w:rPr>
            <w:rStyle w:val="Hyperlink"/>
          </w:rPr>
          <w:t>https://ww</w:t>
        </w:r>
        <w:r w:rsidRPr="00C373C5">
          <w:rPr>
            <w:rStyle w:val="Hyperlink"/>
          </w:rPr>
          <w:t>w</w:t>
        </w:r>
        <w:r w:rsidRPr="00C373C5">
          <w:rPr>
            <w:rStyle w:val="Hyperlink"/>
          </w:rPr>
          <w:t>.legislation.gov.uk/ukpga/2002/9/contents</w:t>
        </w:r>
      </w:hyperlink>
    </w:p>
    <w:p w14:paraId="0A32CA1B" w14:textId="15388236" w:rsidR="00E35906" w:rsidRPr="00213194" w:rsidRDefault="00E35906" w:rsidP="00213194">
      <w:pPr>
        <w:spacing w:line="480" w:lineRule="auto"/>
        <w:ind w:left="630" w:hanging="630"/>
        <w:rPr>
          <w:lang w:val="en-US"/>
        </w:rPr>
      </w:pPr>
      <w:r>
        <w:t>Accessed 03/12/2024</w:t>
      </w:r>
    </w:p>
    <w:sectPr w:rsidR="00E35906" w:rsidRPr="00213194">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022428" w14:textId="77777777" w:rsidR="00AA3041" w:rsidRDefault="00AA3041" w:rsidP="00A27820">
      <w:r>
        <w:separator/>
      </w:r>
    </w:p>
  </w:endnote>
  <w:endnote w:type="continuationSeparator" w:id="0">
    <w:p w14:paraId="122B11E0" w14:textId="77777777" w:rsidR="00AA3041" w:rsidRDefault="00AA3041" w:rsidP="00A27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82042476"/>
      <w:docPartObj>
        <w:docPartGallery w:val="Page Numbers (Bottom of Page)"/>
        <w:docPartUnique/>
      </w:docPartObj>
    </w:sdtPr>
    <w:sdtContent>
      <w:p w14:paraId="506C8DEB" w14:textId="1BD1DADE" w:rsidR="00A27820" w:rsidRDefault="00A27820" w:rsidP="005E5D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8541F" w14:textId="77777777" w:rsidR="00A27820" w:rsidRDefault="00A27820" w:rsidP="00A278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53464338"/>
      <w:docPartObj>
        <w:docPartGallery w:val="Page Numbers (Bottom of Page)"/>
        <w:docPartUnique/>
      </w:docPartObj>
    </w:sdtPr>
    <w:sdtContent>
      <w:p w14:paraId="355AE08A" w14:textId="733A5AC3" w:rsidR="00A27820" w:rsidRDefault="00A27820" w:rsidP="005E5DC7">
        <w:pPr>
          <w:pStyle w:val="Footer"/>
          <w:framePr w:wrap="none" w:vAnchor="text" w:hAnchor="margin" w:xAlign="right" w:y="1"/>
          <w:rPr>
            <w:rStyle w:val="PageNumber"/>
          </w:rPr>
        </w:pPr>
        <w:r w:rsidRPr="005F216E">
          <w:rPr>
            <w:rStyle w:val="PageNumber"/>
            <w:rFonts w:asciiTheme="majorHAnsi" w:hAnsiTheme="majorHAnsi" w:cstheme="majorHAnsi"/>
          </w:rPr>
          <w:fldChar w:fldCharType="begin"/>
        </w:r>
        <w:r w:rsidRPr="005F216E">
          <w:rPr>
            <w:rStyle w:val="PageNumber"/>
            <w:rFonts w:asciiTheme="majorHAnsi" w:hAnsiTheme="majorHAnsi" w:cstheme="majorHAnsi"/>
          </w:rPr>
          <w:instrText xml:space="preserve"> PAGE </w:instrText>
        </w:r>
        <w:r w:rsidRPr="005F216E">
          <w:rPr>
            <w:rStyle w:val="PageNumber"/>
            <w:rFonts w:asciiTheme="majorHAnsi" w:hAnsiTheme="majorHAnsi" w:cstheme="majorHAnsi"/>
          </w:rPr>
          <w:fldChar w:fldCharType="separate"/>
        </w:r>
        <w:r w:rsidRPr="005F216E">
          <w:rPr>
            <w:rStyle w:val="PageNumber"/>
            <w:rFonts w:asciiTheme="majorHAnsi" w:hAnsiTheme="majorHAnsi" w:cstheme="majorHAnsi"/>
            <w:noProof/>
          </w:rPr>
          <w:t>1</w:t>
        </w:r>
        <w:r w:rsidRPr="005F216E">
          <w:rPr>
            <w:rStyle w:val="PageNumber"/>
            <w:rFonts w:asciiTheme="majorHAnsi" w:hAnsiTheme="majorHAnsi" w:cstheme="majorHAnsi"/>
          </w:rPr>
          <w:fldChar w:fldCharType="end"/>
        </w:r>
      </w:p>
    </w:sdtContent>
  </w:sdt>
  <w:p w14:paraId="24F1ACD8" w14:textId="77777777" w:rsidR="00A27820" w:rsidRDefault="00A27820" w:rsidP="00A278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3EF3C6" w14:textId="77777777" w:rsidR="00AA3041" w:rsidRDefault="00AA3041" w:rsidP="00A27820">
      <w:r>
        <w:separator/>
      </w:r>
    </w:p>
  </w:footnote>
  <w:footnote w:type="continuationSeparator" w:id="0">
    <w:p w14:paraId="7FC2E786" w14:textId="77777777" w:rsidR="00AA3041" w:rsidRDefault="00AA3041" w:rsidP="00A278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1572090"/>
      <w:docPartObj>
        <w:docPartGallery w:val="Page Numbers (Top of Page)"/>
        <w:docPartUnique/>
      </w:docPartObj>
    </w:sdtPr>
    <w:sdtEndPr>
      <w:rPr>
        <w:noProof/>
      </w:rPr>
    </w:sdtEndPr>
    <w:sdtContent>
      <w:p w14:paraId="0F4C5866" w14:textId="243DCFD6" w:rsidR="006E670C" w:rsidRDefault="006E670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A09A159" w14:textId="77777777" w:rsidR="006E670C" w:rsidRDefault="006E67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90264"/>
    <w:multiLevelType w:val="multilevel"/>
    <w:tmpl w:val="C8B2E3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2633E2A"/>
    <w:multiLevelType w:val="multilevel"/>
    <w:tmpl w:val="060424E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C693CEF"/>
    <w:multiLevelType w:val="multilevel"/>
    <w:tmpl w:val="AE881D9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D440AB6"/>
    <w:multiLevelType w:val="hybridMultilevel"/>
    <w:tmpl w:val="3B04845A"/>
    <w:lvl w:ilvl="0" w:tplc="8872DD78">
      <w:start w:val="1"/>
      <w:numFmt w:val="bullet"/>
      <w:pStyle w:val="Heading4"/>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C425D"/>
    <w:multiLevelType w:val="multilevel"/>
    <w:tmpl w:val="E004732A"/>
    <w:lvl w:ilvl="0">
      <w:start w:val="1"/>
      <w:numFmt w:val="decimal"/>
      <w:pStyle w:val="Heading1"/>
      <w:lvlText w:val="%1"/>
      <w:lvlJc w:val="left"/>
      <w:pPr>
        <w:ind w:left="432" w:hanging="432"/>
      </w:pPr>
    </w:lvl>
    <w:lvl w:ilvl="1">
      <w:start w:val="1"/>
      <w:numFmt w:val="decimal"/>
      <w:pStyle w:val="Heading2"/>
      <w:lvlText w:val="%1.%2"/>
      <w:lvlJc w:val="left"/>
      <w:pPr>
        <w:ind w:left="75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D296EAA"/>
    <w:multiLevelType w:val="multilevel"/>
    <w:tmpl w:val="68A62DB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23F52117"/>
    <w:multiLevelType w:val="multilevel"/>
    <w:tmpl w:val="5C024BD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32CC018B"/>
    <w:multiLevelType w:val="multilevel"/>
    <w:tmpl w:val="C3AE9B7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C716B58"/>
    <w:multiLevelType w:val="multilevel"/>
    <w:tmpl w:val="D8F48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663AF2"/>
    <w:multiLevelType w:val="multilevel"/>
    <w:tmpl w:val="38E4F0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3E5E65B2"/>
    <w:multiLevelType w:val="hybridMultilevel"/>
    <w:tmpl w:val="58ECA7F2"/>
    <w:lvl w:ilvl="0" w:tplc="1E98391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F4F6E02"/>
    <w:multiLevelType w:val="multilevel"/>
    <w:tmpl w:val="331C036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48DF6366"/>
    <w:multiLevelType w:val="multilevel"/>
    <w:tmpl w:val="1AA69AB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4CF9416E"/>
    <w:multiLevelType w:val="multilevel"/>
    <w:tmpl w:val="08090025"/>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581445F5"/>
    <w:multiLevelType w:val="multilevel"/>
    <w:tmpl w:val="379A8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1F44B6"/>
    <w:multiLevelType w:val="hybridMultilevel"/>
    <w:tmpl w:val="5F98B3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D28000D"/>
    <w:multiLevelType w:val="multilevel"/>
    <w:tmpl w:val="249CB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FB3C95"/>
    <w:multiLevelType w:val="multilevel"/>
    <w:tmpl w:val="9BDA626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7674152B"/>
    <w:multiLevelType w:val="multilevel"/>
    <w:tmpl w:val="8E526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2338276">
    <w:abstractNumId w:val="12"/>
  </w:num>
  <w:num w:numId="2" w16cid:durableId="2120635015">
    <w:abstractNumId w:val="1"/>
  </w:num>
  <w:num w:numId="3" w16cid:durableId="409429405">
    <w:abstractNumId w:val="9"/>
  </w:num>
  <w:num w:numId="4" w16cid:durableId="966425405">
    <w:abstractNumId w:val="2"/>
  </w:num>
  <w:num w:numId="5" w16cid:durableId="905720763">
    <w:abstractNumId w:val="7"/>
  </w:num>
  <w:num w:numId="6" w16cid:durableId="1688821942">
    <w:abstractNumId w:val="11"/>
  </w:num>
  <w:num w:numId="7" w16cid:durableId="1028261598">
    <w:abstractNumId w:val="4"/>
  </w:num>
  <w:num w:numId="8" w16cid:durableId="1507552221">
    <w:abstractNumId w:val="13"/>
  </w:num>
  <w:num w:numId="9" w16cid:durableId="2146777341">
    <w:abstractNumId w:val="3"/>
  </w:num>
  <w:num w:numId="10" w16cid:durableId="1605649047">
    <w:abstractNumId w:val="6"/>
  </w:num>
  <w:num w:numId="11" w16cid:durableId="1501387600">
    <w:abstractNumId w:val="0"/>
  </w:num>
  <w:num w:numId="12" w16cid:durableId="759907699">
    <w:abstractNumId w:val="5"/>
  </w:num>
  <w:num w:numId="13" w16cid:durableId="1294866029">
    <w:abstractNumId w:val="17"/>
  </w:num>
  <w:num w:numId="14" w16cid:durableId="600912506">
    <w:abstractNumId w:val="15"/>
  </w:num>
  <w:num w:numId="15" w16cid:durableId="882865229">
    <w:abstractNumId w:val="10"/>
  </w:num>
  <w:num w:numId="16" w16cid:durableId="1997612697">
    <w:abstractNumId w:val="14"/>
  </w:num>
  <w:num w:numId="17" w16cid:durableId="978997050">
    <w:abstractNumId w:val="16"/>
  </w:num>
  <w:num w:numId="18" w16cid:durableId="819031847">
    <w:abstractNumId w:val="8"/>
  </w:num>
  <w:num w:numId="19" w16cid:durableId="46420121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D75"/>
    <w:rsid w:val="00034D1A"/>
    <w:rsid w:val="0003621E"/>
    <w:rsid w:val="000B02BA"/>
    <w:rsid w:val="000E6116"/>
    <w:rsid w:val="00113756"/>
    <w:rsid w:val="00194885"/>
    <w:rsid w:val="001A6CEE"/>
    <w:rsid w:val="001F2EFC"/>
    <w:rsid w:val="00213194"/>
    <w:rsid w:val="00271FF6"/>
    <w:rsid w:val="002934ED"/>
    <w:rsid w:val="002F7D75"/>
    <w:rsid w:val="00352AD2"/>
    <w:rsid w:val="00403E8A"/>
    <w:rsid w:val="004176CB"/>
    <w:rsid w:val="00527425"/>
    <w:rsid w:val="005B2315"/>
    <w:rsid w:val="005F216E"/>
    <w:rsid w:val="00610C95"/>
    <w:rsid w:val="006202AE"/>
    <w:rsid w:val="006642EC"/>
    <w:rsid w:val="006E670C"/>
    <w:rsid w:val="00753987"/>
    <w:rsid w:val="007E7FAE"/>
    <w:rsid w:val="008143F1"/>
    <w:rsid w:val="008912EA"/>
    <w:rsid w:val="00893F7D"/>
    <w:rsid w:val="008B3572"/>
    <w:rsid w:val="009D531E"/>
    <w:rsid w:val="009F25AC"/>
    <w:rsid w:val="00A27820"/>
    <w:rsid w:val="00A57D4A"/>
    <w:rsid w:val="00A924F1"/>
    <w:rsid w:val="00AA3041"/>
    <w:rsid w:val="00B3586F"/>
    <w:rsid w:val="00B67821"/>
    <w:rsid w:val="00B91837"/>
    <w:rsid w:val="00BA0A8D"/>
    <w:rsid w:val="00C06971"/>
    <w:rsid w:val="00C3010E"/>
    <w:rsid w:val="00C67930"/>
    <w:rsid w:val="00C7408E"/>
    <w:rsid w:val="00CD21BF"/>
    <w:rsid w:val="00D62530"/>
    <w:rsid w:val="00D94925"/>
    <w:rsid w:val="00E3405E"/>
    <w:rsid w:val="00E35906"/>
    <w:rsid w:val="00E951F5"/>
    <w:rsid w:val="00F10F77"/>
    <w:rsid w:val="00F14498"/>
    <w:rsid w:val="00F31919"/>
    <w:rsid w:val="00F564F0"/>
    <w:rsid w:val="00F613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E80978"/>
  <w15:chartTrackingRefBased/>
  <w15:docId w15:val="{E861BE5F-1F2B-FE4C-9BDF-092B2AD56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A8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F216E"/>
    <w:pPr>
      <w:numPr>
        <w:numId w:val="7"/>
      </w:numPr>
      <w:snapToGrid w:val="0"/>
      <w:spacing w:before="360" w:after="80" w:line="360" w:lineRule="auto"/>
      <w:ind w:left="680" w:hanging="680"/>
      <w:outlineLvl w:val="0"/>
    </w:pPr>
    <w:rPr>
      <w:rFonts w:asciiTheme="majorHAnsi" w:eastAsiaTheme="majorEastAsia" w:hAnsiTheme="majorHAnsi" w:cstheme="majorBidi"/>
      <w:b/>
      <w:szCs w:val="40"/>
    </w:rPr>
  </w:style>
  <w:style w:type="paragraph" w:styleId="Heading2">
    <w:name w:val="heading 2"/>
    <w:aliases w:val="Main body"/>
    <w:basedOn w:val="Normal"/>
    <w:next w:val="Normal"/>
    <w:link w:val="Heading2Char"/>
    <w:uiPriority w:val="9"/>
    <w:unhideWhenUsed/>
    <w:qFormat/>
    <w:rsid w:val="005F216E"/>
    <w:pPr>
      <w:keepNext/>
      <w:numPr>
        <w:ilvl w:val="1"/>
        <w:numId w:val="7"/>
      </w:numPr>
      <w:spacing w:before="160" w:after="80" w:line="360" w:lineRule="auto"/>
      <w:ind w:left="680" w:hanging="6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rsid w:val="002F7D75"/>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aliases w:val="bullet list"/>
    <w:basedOn w:val="Normal"/>
    <w:next w:val="Normal"/>
    <w:link w:val="Heading4Char"/>
    <w:uiPriority w:val="9"/>
    <w:unhideWhenUsed/>
    <w:qFormat/>
    <w:rsid w:val="00F6130D"/>
    <w:pPr>
      <w:keepNext/>
      <w:keepLines/>
      <w:numPr>
        <w:numId w:val="9"/>
      </w:numPr>
      <w:spacing w:before="80" w:after="40" w:line="360" w:lineRule="auto"/>
      <w:ind w:left="1020" w:hanging="340"/>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unhideWhenUsed/>
    <w:rsid w:val="002F7D75"/>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7D75"/>
    <w:pPr>
      <w:keepNext/>
      <w:keepLines/>
      <w:numPr>
        <w:ilvl w:val="5"/>
        <w:numId w:val="7"/>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D75"/>
    <w:pPr>
      <w:keepNext/>
      <w:keepLines/>
      <w:numPr>
        <w:ilvl w:val="6"/>
        <w:numId w:val="7"/>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D75"/>
    <w:pPr>
      <w:keepNext/>
      <w:keepLines/>
      <w:numPr>
        <w:ilvl w:val="7"/>
        <w:numId w:val="7"/>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D75"/>
    <w:pPr>
      <w:keepNext/>
      <w:keepLines/>
      <w:numPr>
        <w:ilvl w:val="8"/>
        <w:numId w:val="7"/>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16E"/>
    <w:rPr>
      <w:rFonts w:asciiTheme="majorHAnsi" w:eastAsiaTheme="majorEastAsia" w:hAnsiTheme="majorHAnsi" w:cstheme="majorBidi"/>
      <w:b/>
      <w:kern w:val="0"/>
      <w:szCs w:val="40"/>
      <w:lang w:eastAsia="en-GB"/>
      <w14:ligatures w14:val="none"/>
    </w:rPr>
  </w:style>
  <w:style w:type="character" w:customStyle="1" w:styleId="Heading2Char">
    <w:name w:val="Heading 2 Char"/>
    <w:aliases w:val="Main body Char"/>
    <w:basedOn w:val="DefaultParagraphFont"/>
    <w:link w:val="Heading2"/>
    <w:uiPriority w:val="9"/>
    <w:rsid w:val="005F216E"/>
    <w:rPr>
      <w:rFonts w:ascii="Arial" w:eastAsiaTheme="majorEastAsia" w:hAnsi="Arial" w:cstheme="majorBidi"/>
      <w:kern w:val="0"/>
      <w:szCs w:val="32"/>
      <w:lang w:eastAsia="en-GB"/>
      <w14:ligatures w14:val="none"/>
    </w:rPr>
  </w:style>
  <w:style w:type="character" w:customStyle="1" w:styleId="Heading3Char">
    <w:name w:val="Heading 3 Char"/>
    <w:basedOn w:val="DefaultParagraphFont"/>
    <w:link w:val="Heading3"/>
    <w:uiPriority w:val="9"/>
    <w:rsid w:val="002F7D75"/>
    <w:rPr>
      <w:rFonts w:eastAsiaTheme="majorEastAsia" w:cstheme="majorBidi"/>
      <w:color w:val="2F5496" w:themeColor="accent1" w:themeShade="BF"/>
      <w:sz w:val="28"/>
      <w:szCs w:val="28"/>
    </w:rPr>
  </w:style>
  <w:style w:type="character" w:customStyle="1" w:styleId="Heading4Char">
    <w:name w:val="Heading 4 Char"/>
    <w:aliases w:val="bullet list Char"/>
    <w:basedOn w:val="DefaultParagraphFont"/>
    <w:link w:val="Heading4"/>
    <w:uiPriority w:val="9"/>
    <w:rsid w:val="00F6130D"/>
    <w:rPr>
      <w:rFonts w:asciiTheme="majorHAnsi" w:eastAsiaTheme="majorEastAsia" w:hAnsiTheme="majorHAnsi" w:cstheme="majorBidi"/>
      <w:iCs/>
      <w:kern w:val="0"/>
      <w:lang w:eastAsia="en-GB"/>
      <w14:ligatures w14:val="none"/>
    </w:rPr>
  </w:style>
  <w:style w:type="character" w:customStyle="1" w:styleId="Heading5Char">
    <w:name w:val="Heading 5 Char"/>
    <w:basedOn w:val="DefaultParagraphFont"/>
    <w:link w:val="Heading5"/>
    <w:uiPriority w:val="9"/>
    <w:rsid w:val="002F7D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7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D75"/>
    <w:rPr>
      <w:rFonts w:eastAsiaTheme="majorEastAsia" w:cstheme="majorBidi"/>
      <w:color w:val="272727" w:themeColor="text1" w:themeTint="D8"/>
    </w:rPr>
  </w:style>
  <w:style w:type="paragraph" w:styleId="Title">
    <w:name w:val="Title"/>
    <w:basedOn w:val="Normal"/>
    <w:next w:val="Normal"/>
    <w:link w:val="TitleChar"/>
    <w:uiPriority w:val="10"/>
    <w:rsid w:val="002F7D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2F7D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D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7D75"/>
    <w:rPr>
      <w:i/>
      <w:iCs/>
      <w:color w:val="404040" w:themeColor="text1" w:themeTint="BF"/>
    </w:rPr>
  </w:style>
  <w:style w:type="paragraph" w:styleId="ListParagraph">
    <w:name w:val="List Paragraph"/>
    <w:basedOn w:val="Normal"/>
    <w:uiPriority w:val="34"/>
    <w:qFormat/>
    <w:rsid w:val="002F7D75"/>
    <w:pPr>
      <w:ind w:left="720"/>
      <w:contextualSpacing/>
    </w:pPr>
  </w:style>
  <w:style w:type="character" w:styleId="IntenseEmphasis">
    <w:name w:val="Intense Emphasis"/>
    <w:basedOn w:val="DefaultParagraphFont"/>
    <w:uiPriority w:val="21"/>
    <w:rsid w:val="002F7D75"/>
    <w:rPr>
      <w:i/>
      <w:iCs/>
      <w:color w:val="2F5496" w:themeColor="accent1" w:themeShade="BF"/>
    </w:rPr>
  </w:style>
  <w:style w:type="paragraph" w:styleId="IntenseQuote">
    <w:name w:val="Intense Quote"/>
    <w:basedOn w:val="Normal"/>
    <w:next w:val="Normal"/>
    <w:link w:val="IntenseQuoteChar"/>
    <w:uiPriority w:val="30"/>
    <w:rsid w:val="002F7D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7D75"/>
    <w:rPr>
      <w:i/>
      <w:iCs/>
      <w:color w:val="2F5496" w:themeColor="accent1" w:themeShade="BF"/>
    </w:rPr>
  </w:style>
  <w:style w:type="character" w:styleId="IntenseReference">
    <w:name w:val="Intense Reference"/>
    <w:basedOn w:val="DefaultParagraphFont"/>
    <w:uiPriority w:val="32"/>
    <w:rsid w:val="002F7D75"/>
    <w:rPr>
      <w:b/>
      <w:bCs/>
      <w:smallCaps/>
      <w:color w:val="2F5496" w:themeColor="accent1" w:themeShade="BF"/>
      <w:spacing w:val="5"/>
    </w:rPr>
  </w:style>
  <w:style w:type="numbering" w:customStyle="1" w:styleId="CurrentList1">
    <w:name w:val="Current List1"/>
    <w:uiPriority w:val="99"/>
    <w:rsid w:val="00BA0A8D"/>
    <w:pPr>
      <w:numPr>
        <w:numId w:val="8"/>
      </w:numPr>
    </w:pPr>
  </w:style>
  <w:style w:type="character" w:styleId="Hyperlink">
    <w:name w:val="Hyperlink"/>
    <w:basedOn w:val="DefaultParagraphFont"/>
    <w:uiPriority w:val="99"/>
    <w:unhideWhenUsed/>
    <w:rsid w:val="008143F1"/>
    <w:rPr>
      <w:color w:val="0563C1" w:themeColor="hyperlink"/>
      <w:u w:val="single"/>
    </w:rPr>
  </w:style>
  <w:style w:type="character" w:styleId="UnresolvedMention">
    <w:name w:val="Unresolved Mention"/>
    <w:basedOn w:val="DefaultParagraphFont"/>
    <w:uiPriority w:val="99"/>
    <w:semiHidden/>
    <w:unhideWhenUsed/>
    <w:rsid w:val="008143F1"/>
    <w:rPr>
      <w:color w:val="605E5C"/>
      <w:shd w:val="clear" w:color="auto" w:fill="E1DFDD"/>
    </w:rPr>
  </w:style>
  <w:style w:type="character" w:styleId="FollowedHyperlink">
    <w:name w:val="FollowedHyperlink"/>
    <w:basedOn w:val="DefaultParagraphFont"/>
    <w:uiPriority w:val="99"/>
    <w:semiHidden/>
    <w:unhideWhenUsed/>
    <w:rsid w:val="008143F1"/>
    <w:rPr>
      <w:color w:val="954F72" w:themeColor="followedHyperlink"/>
      <w:u w:val="single"/>
    </w:rPr>
  </w:style>
  <w:style w:type="character" w:styleId="SubtleEmphasis">
    <w:name w:val="Subtle Emphasis"/>
    <w:aliases w:val="Subtitle 1"/>
    <w:basedOn w:val="DefaultParagraphFont"/>
    <w:uiPriority w:val="19"/>
    <w:qFormat/>
    <w:rsid w:val="00F6130D"/>
    <w:rPr>
      <w:rFonts w:asciiTheme="majorHAnsi" w:hAnsiTheme="majorHAnsi"/>
      <w:b/>
      <w:iCs/>
      <w:color w:val="auto"/>
      <w:spacing w:val="0"/>
      <w:sz w:val="24"/>
      <w:u w:val="none"/>
    </w:rPr>
  </w:style>
  <w:style w:type="paragraph" w:styleId="Header">
    <w:name w:val="header"/>
    <w:basedOn w:val="Normal"/>
    <w:link w:val="HeaderChar"/>
    <w:uiPriority w:val="99"/>
    <w:unhideWhenUsed/>
    <w:rsid w:val="00A27820"/>
    <w:pPr>
      <w:tabs>
        <w:tab w:val="center" w:pos="4513"/>
        <w:tab w:val="right" w:pos="9026"/>
      </w:tabs>
    </w:pPr>
  </w:style>
  <w:style w:type="character" w:customStyle="1" w:styleId="HeaderChar">
    <w:name w:val="Header Char"/>
    <w:basedOn w:val="DefaultParagraphFont"/>
    <w:link w:val="Header"/>
    <w:uiPriority w:val="99"/>
    <w:rsid w:val="00A27820"/>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27820"/>
    <w:pPr>
      <w:tabs>
        <w:tab w:val="center" w:pos="4513"/>
        <w:tab w:val="right" w:pos="9026"/>
      </w:tabs>
    </w:pPr>
  </w:style>
  <w:style w:type="character" w:customStyle="1" w:styleId="FooterChar">
    <w:name w:val="Footer Char"/>
    <w:basedOn w:val="DefaultParagraphFont"/>
    <w:link w:val="Footer"/>
    <w:uiPriority w:val="99"/>
    <w:rsid w:val="00A2782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27820"/>
  </w:style>
  <w:style w:type="paragraph" w:styleId="NormalWeb">
    <w:name w:val="Normal (Web)"/>
    <w:basedOn w:val="Normal"/>
    <w:uiPriority w:val="99"/>
    <w:unhideWhenUsed/>
    <w:rsid w:val="00194885"/>
    <w:pPr>
      <w:spacing w:before="100" w:beforeAutospacing="1" w:after="100" w:afterAutospacing="1"/>
    </w:pPr>
    <w:rPr>
      <w:lang w:val="en-US" w:eastAsia="en-US"/>
    </w:rPr>
  </w:style>
  <w:style w:type="character" w:styleId="Emphasis">
    <w:name w:val="Emphasis"/>
    <w:basedOn w:val="DefaultParagraphFont"/>
    <w:uiPriority w:val="20"/>
    <w:qFormat/>
    <w:rsid w:val="00194885"/>
    <w:rPr>
      <w:i/>
      <w:iCs/>
    </w:rPr>
  </w:style>
  <w:style w:type="character" w:styleId="Strong">
    <w:name w:val="Strong"/>
    <w:basedOn w:val="DefaultParagraphFont"/>
    <w:uiPriority w:val="22"/>
    <w:qFormat/>
    <w:rsid w:val="001948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9113">
      <w:bodyDiv w:val="1"/>
      <w:marLeft w:val="0"/>
      <w:marRight w:val="0"/>
      <w:marTop w:val="0"/>
      <w:marBottom w:val="0"/>
      <w:divBdr>
        <w:top w:val="none" w:sz="0" w:space="0" w:color="auto"/>
        <w:left w:val="none" w:sz="0" w:space="0" w:color="auto"/>
        <w:bottom w:val="none" w:sz="0" w:space="0" w:color="auto"/>
        <w:right w:val="none" w:sz="0" w:space="0" w:color="auto"/>
      </w:divBdr>
    </w:div>
    <w:div w:id="7104228">
      <w:bodyDiv w:val="1"/>
      <w:marLeft w:val="0"/>
      <w:marRight w:val="0"/>
      <w:marTop w:val="0"/>
      <w:marBottom w:val="0"/>
      <w:divBdr>
        <w:top w:val="none" w:sz="0" w:space="0" w:color="auto"/>
        <w:left w:val="none" w:sz="0" w:space="0" w:color="auto"/>
        <w:bottom w:val="none" w:sz="0" w:space="0" w:color="auto"/>
        <w:right w:val="none" w:sz="0" w:space="0" w:color="auto"/>
      </w:divBdr>
    </w:div>
    <w:div w:id="45305397">
      <w:bodyDiv w:val="1"/>
      <w:marLeft w:val="0"/>
      <w:marRight w:val="0"/>
      <w:marTop w:val="0"/>
      <w:marBottom w:val="0"/>
      <w:divBdr>
        <w:top w:val="none" w:sz="0" w:space="0" w:color="auto"/>
        <w:left w:val="none" w:sz="0" w:space="0" w:color="auto"/>
        <w:bottom w:val="none" w:sz="0" w:space="0" w:color="auto"/>
        <w:right w:val="none" w:sz="0" w:space="0" w:color="auto"/>
      </w:divBdr>
    </w:div>
    <w:div w:id="112402370">
      <w:bodyDiv w:val="1"/>
      <w:marLeft w:val="0"/>
      <w:marRight w:val="0"/>
      <w:marTop w:val="0"/>
      <w:marBottom w:val="0"/>
      <w:divBdr>
        <w:top w:val="none" w:sz="0" w:space="0" w:color="auto"/>
        <w:left w:val="none" w:sz="0" w:space="0" w:color="auto"/>
        <w:bottom w:val="none" w:sz="0" w:space="0" w:color="auto"/>
        <w:right w:val="none" w:sz="0" w:space="0" w:color="auto"/>
      </w:divBdr>
    </w:div>
    <w:div w:id="202910413">
      <w:bodyDiv w:val="1"/>
      <w:marLeft w:val="0"/>
      <w:marRight w:val="0"/>
      <w:marTop w:val="0"/>
      <w:marBottom w:val="0"/>
      <w:divBdr>
        <w:top w:val="none" w:sz="0" w:space="0" w:color="auto"/>
        <w:left w:val="none" w:sz="0" w:space="0" w:color="auto"/>
        <w:bottom w:val="none" w:sz="0" w:space="0" w:color="auto"/>
        <w:right w:val="none" w:sz="0" w:space="0" w:color="auto"/>
      </w:divBdr>
    </w:div>
    <w:div w:id="514811208">
      <w:bodyDiv w:val="1"/>
      <w:marLeft w:val="0"/>
      <w:marRight w:val="0"/>
      <w:marTop w:val="0"/>
      <w:marBottom w:val="0"/>
      <w:divBdr>
        <w:top w:val="none" w:sz="0" w:space="0" w:color="auto"/>
        <w:left w:val="none" w:sz="0" w:space="0" w:color="auto"/>
        <w:bottom w:val="none" w:sz="0" w:space="0" w:color="auto"/>
        <w:right w:val="none" w:sz="0" w:space="0" w:color="auto"/>
      </w:divBdr>
    </w:div>
    <w:div w:id="967469452">
      <w:bodyDiv w:val="1"/>
      <w:marLeft w:val="0"/>
      <w:marRight w:val="0"/>
      <w:marTop w:val="0"/>
      <w:marBottom w:val="0"/>
      <w:divBdr>
        <w:top w:val="none" w:sz="0" w:space="0" w:color="auto"/>
        <w:left w:val="none" w:sz="0" w:space="0" w:color="auto"/>
        <w:bottom w:val="none" w:sz="0" w:space="0" w:color="auto"/>
        <w:right w:val="none" w:sz="0" w:space="0" w:color="auto"/>
      </w:divBdr>
    </w:div>
    <w:div w:id="1060207754">
      <w:bodyDiv w:val="1"/>
      <w:marLeft w:val="0"/>
      <w:marRight w:val="0"/>
      <w:marTop w:val="0"/>
      <w:marBottom w:val="0"/>
      <w:divBdr>
        <w:top w:val="none" w:sz="0" w:space="0" w:color="auto"/>
        <w:left w:val="none" w:sz="0" w:space="0" w:color="auto"/>
        <w:bottom w:val="none" w:sz="0" w:space="0" w:color="auto"/>
        <w:right w:val="none" w:sz="0" w:space="0" w:color="auto"/>
      </w:divBdr>
    </w:div>
    <w:div w:id="1159468785">
      <w:bodyDiv w:val="1"/>
      <w:marLeft w:val="0"/>
      <w:marRight w:val="0"/>
      <w:marTop w:val="0"/>
      <w:marBottom w:val="0"/>
      <w:divBdr>
        <w:top w:val="none" w:sz="0" w:space="0" w:color="auto"/>
        <w:left w:val="none" w:sz="0" w:space="0" w:color="auto"/>
        <w:bottom w:val="none" w:sz="0" w:space="0" w:color="auto"/>
        <w:right w:val="none" w:sz="0" w:space="0" w:color="auto"/>
      </w:divBdr>
    </w:div>
    <w:div w:id="1175803410">
      <w:bodyDiv w:val="1"/>
      <w:marLeft w:val="0"/>
      <w:marRight w:val="0"/>
      <w:marTop w:val="0"/>
      <w:marBottom w:val="0"/>
      <w:divBdr>
        <w:top w:val="none" w:sz="0" w:space="0" w:color="auto"/>
        <w:left w:val="none" w:sz="0" w:space="0" w:color="auto"/>
        <w:bottom w:val="none" w:sz="0" w:space="0" w:color="auto"/>
        <w:right w:val="none" w:sz="0" w:space="0" w:color="auto"/>
      </w:divBdr>
    </w:div>
    <w:div w:id="1254897530">
      <w:bodyDiv w:val="1"/>
      <w:marLeft w:val="0"/>
      <w:marRight w:val="0"/>
      <w:marTop w:val="0"/>
      <w:marBottom w:val="0"/>
      <w:divBdr>
        <w:top w:val="none" w:sz="0" w:space="0" w:color="auto"/>
        <w:left w:val="none" w:sz="0" w:space="0" w:color="auto"/>
        <w:bottom w:val="none" w:sz="0" w:space="0" w:color="auto"/>
        <w:right w:val="none" w:sz="0" w:space="0" w:color="auto"/>
      </w:divBdr>
    </w:div>
    <w:div w:id="1322857319">
      <w:bodyDiv w:val="1"/>
      <w:marLeft w:val="0"/>
      <w:marRight w:val="0"/>
      <w:marTop w:val="0"/>
      <w:marBottom w:val="0"/>
      <w:divBdr>
        <w:top w:val="none" w:sz="0" w:space="0" w:color="auto"/>
        <w:left w:val="none" w:sz="0" w:space="0" w:color="auto"/>
        <w:bottom w:val="none" w:sz="0" w:space="0" w:color="auto"/>
        <w:right w:val="none" w:sz="0" w:space="0" w:color="auto"/>
      </w:divBdr>
    </w:div>
    <w:div w:id="1326935408">
      <w:bodyDiv w:val="1"/>
      <w:marLeft w:val="0"/>
      <w:marRight w:val="0"/>
      <w:marTop w:val="0"/>
      <w:marBottom w:val="0"/>
      <w:divBdr>
        <w:top w:val="none" w:sz="0" w:space="0" w:color="auto"/>
        <w:left w:val="none" w:sz="0" w:space="0" w:color="auto"/>
        <w:bottom w:val="none" w:sz="0" w:space="0" w:color="auto"/>
        <w:right w:val="none" w:sz="0" w:space="0" w:color="auto"/>
      </w:divBdr>
    </w:div>
    <w:div w:id="1364869009">
      <w:bodyDiv w:val="1"/>
      <w:marLeft w:val="0"/>
      <w:marRight w:val="0"/>
      <w:marTop w:val="0"/>
      <w:marBottom w:val="0"/>
      <w:divBdr>
        <w:top w:val="none" w:sz="0" w:space="0" w:color="auto"/>
        <w:left w:val="none" w:sz="0" w:space="0" w:color="auto"/>
        <w:bottom w:val="none" w:sz="0" w:space="0" w:color="auto"/>
        <w:right w:val="none" w:sz="0" w:space="0" w:color="auto"/>
      </w:divBdr>
    </w:div>
    <w:div w:id="1527057123">
      <w:bodyDiv w:val="1"/>
      <w:marLeft w:val="0"/>
      <w:marRight w:val="0"/>
      <w:marTop w:val="0"/>
      <w:marBottom w:val="0"/>
      <w:divBdr>
        <w:top w:val="none" w:sz="0" w:space="0" w:color="auto"/>
        <w:left w:val="none" w:sz="0" w:space="0" w:color="auto"/>
        <w:bottom w:val="none" w:sz="0" w:space="0" w:color="auto"/>
        <w:right w:val="none" w:sz="0" w:space="0" w:color="auto"/>
      </w:divBdr>
    </w:div>
    <w:div w:id="1845127967">
      <w:bodyDiv w:val="1"/>
      <w:marLeft w:val="0"/>
      <w:marRight w:val="0"/>
      <w:marTop w:val="0"/>
      <w:marBottom w:val="0"/>
      <w:divBdr>
        <w:top w:val="none" w:sz="0" w:space="0" w:color="auto"/>
        <w:left w:val="none" w:sz="0" w:space="0" w:color="auto"/>
        <w:bottom w:val="none" w:sz="0" w:space="0" w:color="auto"/>
        <w:right w:val="none" w:sz="0" w:space="0" w:color="auto"/>
      </w:divBdr>
    </w:div>
    <w:div w:id="1872839953">
      <w:bodyDiv w:val="1"/>
      <w:marLeft w:val="0"/>
      <w:marRight w:val="0"/>
      <w:marTop w:val="0"/>
      <w:marBottom w:val="0"/>
      <w:divBdr>
        <w:top w:val="none" w:sz="0" w:space="0" w:color="auto"/>
        <w:left w:val="none" w:sz="0" w:space="0" w:color="auto"/>
        <w:bottom w:val="none" w:sz="0" w:space="0" w:color="auto"/>
        <w:right w:val="none" w:sz="0" w:space="0" w:color="auto"/>
      </w:divBdr>
    </w:div>
    <w:div w:id="2064018646">
      <w:bodyDiv w:val="1"/>
      <w:marLeft w:val="0"/>
      <w:marRight w:val="0"/>
      <w:marTop w:val="0"/>
      <w:marBottom w:val="0"/>
      <w:divBdr>
        <w:top w:val="none" w:sz="0" w:space="0" w:color="auto"/>
        <w:left w:val="none" w:sz="0" w:space="0" w:color="auto"/>
        <w:bottom w:val="none" w:sz="0" w:space="0" w:color="auto"/>
        <w:right w:val="none" w:sz="0" w:space="0" w:color="auto"/>
      </w:divBdr>
    </w:div>
    <w:div w:id="207677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S000819732300011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93/tandt/ttac125"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egislation.gov.uk/ukpga/2002/9/cont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11</Pages>
  <Words>2318</Words>
  <Characters>13214</Characters>
  <Application>Microsoft Office Word</Application>
  <DocSecurity>0</DocSecurity>
  <Lines>110</Lines>
  <Paragraphs>31</Paragraphs>
  <ScaleCrop>false</ScaleCrop>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Gavrila (2024671)</cp:lastModifiedBy>
  <cp:revision>3</cp:revision>
  <dcterms:created xsi:type="dcterms:W3CDTF">2024-12-06T18:14:00Z</dcterms:created>
  <dcterms:modified xsi:type="dcterms:W3CDTF">2024-12-06T22:04:00Z</dcterms:modified>
</cp:coreProperties>
</file>