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D23EF8" w:rsidRDefault="00ED5964" w:rsidP="00D23EF8">
      <w:pPr>
        <w:pStyle w:val="NoSpacing"/>
      </w:pPr>
      <w:r w:rsidRPr="00D23EF8">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D23EF8" w:rsidRDefault="00ED5964" w:rsidP="00D23EF8">
      <w:pPr>
        <w:pStyle w:val="NoSpacing"/>
      </w:pPr>
    </w:p>
    <w:p w14:paraId="478C11A1" w14:textId="77777777" w:rsidR="00ED5964" w:rsidRPr="00D23EF8" w:rsidRDefault="00ED5964" w:rsidP="00D23EF8">
      <w:pPr>
        <w:pStyle w:val="NoSpacing"/>
      </w:pPr>
    </w:p>
    <w:p w14:paraId="6B8ADB81" w14:textId="77777777" w:rsidR="006A5CFC" w:rsidRPr="00D23EF8" w:rsidRDefault="006A5CFC" w:rsidP="00D23EF8">
      <w:pPr>
        <w:pStyle w:val="NoSpacing"/>
      </w:pPr>
    </w:p>
    <w:p w14:paraId="168F467C" w14:textId="77777777" w:rsidR="006A5CFC" w:rsidRPr="00FA25C9" w:rsidRDefault="006A5CFC" w:rsidP="00D23EF8">
      <w:pPr>
        <w:pStyle w:val="NoSpacing"/>
        <w:rPr>
          <w:rFonts w:ascii="Arial" w:hAnsi="Arial" w:cs="Arial"/>
          <w:b/>
          <w:bCs/>
          <w:sz w:val="22"/>
        </w:rPr>
      </w:pPr>
    </w:p>
    <w:p w14:paraId="3BEDB360" w14:textId="77777777" w:rsidR="00ED5964" w:rsidRPr="00FA25C9" w:rsidRDefault="00ED5964" w:rsidP="00D23EF8">
      <w:pPr>
        <w:pStyle w:val="NoSpacing"/>
        <w:rPr>
          <w:rFonts w:ascii="Arial" w:hAnsi="Arial" w:cs="Arial"/>
          <w:b/>
          <w:bCs/>
          <w:sz w:val="22"/>
        </w:rPr>
      </w:pPr>
    </w:p>
    <w:p w14:paraId="2EF804A0" w14:textId="0CDF8341" w:rsidR="00ED5964" w:rsidRPr="00FA25C9" w:rsidRDefault="00ED5964" w:rsidP="00D23EF8">
      <w:pPr>
        <w:pStyle w:val="NoSpacing"/>
        <w:rPr>
          <w:rFonts w:ascii="Arial" w:hAnsi="Arial" w:cs="Arial"/>
          <w:b/>
          <w:bCs/>
          <w:sz w:val="22"/>
        </w:rPr>
      </w:pPr>
      <w:r w:rsidRPr="00FA25C9">
        <w:rPr>
          <w:rFonts w:ascii="Arial" w:hAnsi="Arial" w:cs="Arial"/>
          <w:b/>
          <w:bCs/>
          <w:sz w:val="22"/>
        </w:rPr>
        <w:t xml:space="preserve">Name: </w:t>
      </w:r>
      <w:r w:rsidR="00D3058C" w:rsidRPr="00FA25C9">
        <w:rPr>
          <w:rFonts w:ascii="Arial" w:hAnsi="Arial" w:cs="Arial"/>
          <w:b/>
          <w:bCs/>
          <w:sz w:val="22"/>
        </w:rPr>
        <w:t>Gracielle Rodrigues Silva</w:t>
      </w:r>
    </w:p>
    <w:p w14:paraId="485B6F49" w14:textId="1DFFF6B0" w:rsidR="00ED5964" w:rsidRPr="00FA25C9" w:rsidRDefault="00ED5964" w:rsidP="00D23EF8">
      <w:pPr>
        <w:pStyle w:val="NoSpacing"/>
        <w:rPr>
          <w:rFonts w:ascii="Arial" w:hAnsi="Arial" w:cs="Arial"/>
          <w:b/>
          <w:bCs/>
          <w:sz w:val="22"/>
        </w:rPr>
      </w:pPr>
      <w:r w:rsidRPr="00FA25C9">
        <w:rPr>
          <w:rFonts w:ascii="Arial" w:hAnsi="Arial" w:cs="Arial"/>
          <w:b/>
          <w:bCs/>
          <w:sz w:val="22"/>
        </w:rPr>
        <w:t xml:space="preserve">Student ID: </w:t>
      </w:r>
      <w:r w:rsidR="00D3058C" w:rsidRPr="00FA25C9">
        <w:rPr>
          <w:rFonts w:ascii="Arial" w:hAnsi="Arial" w:cs="Arial"/>
          <w:b/>
          <w:bCs/>
          <w:sz w:val="22"/>
        </w:rPr>
        <w:t>2516014</w:t>
      </w:r>
    </w:p>
    <w:p w14:paraId="3C1E7A20" w14:textId="77D93626" w:rsidR="00ED5964" w:rsidRPr="00FA25C9" w:rsidRDefault="00ED5964" w:rsidP="00D23EF8">
      <w:pPr>
        <w:pStyle w:val="NoSpacing"/>
        <w:rPr>
          <w:rFonts w:ascii="Arial" w:hAnsi="Arial" w:cs="Arial"/>
          <w:b/>
          <w:bCs/>
          <w:sz w:val="22"/>
        </w:rPr>
      </w:pPr>
      <w:r w:rsidRPr="00FA25C9">
        <w:rPr>
          <w:rFonts w:ascii="Arial" w:hAnsi="Arial" w:cs="Arial"/>
          <w:b/>
          <w:bCs/>
          <w:sz w:val="22"/>
        </w:rPr>
        <w:t xml:space="preserve">Module Code: </w:t>
      </w:r>
      <w:r w:rsidR="0071733D" w:rsidRPr="00FA25C9">
        <w:rPr>
          <w:rFonts w:ascii="Arial" w:hAnsi="Arial" w:cs="Arial"/>
          <w:b/>
          <w:bCs/>
          <w:sz w:val="22"/>
        </w:rPr>
        <w:t>LCHS4001_LON</w:t>
      </w:r>
    </w:p>
    <w:p w14:paraId="4EEB2DA3" w14:textId="57EF2219" w:rsidR="00ED5964" w:rsidRPr="00FA25C9" w:rsidRDefault="00ED5964" w:rsidP="00D23EF8">
      <w:pPr>
        <w:pStyle w:val="NoSpacing"/>
        <w:rPr>
          <w:rFonts w:ascii="Arial" w:hAnsi="Arial" w:cs="Arial"/>
          <w:b/>
          <w:bCs/>
          <w:sz w:val="22"/>
        </w:rPr>
      </w:pPr>
      <w:r w:rsidRPr="00FA25C9">
        <w:rPr>
          <w:rFonts w:ascii="Arial" w:hAnsi="Arial" w:cs="Arial"/>
          <w:b/>
          <w:bCs/>
          <w:sz w:val="22"/>
        </w:rPr>
        <w:t xml:space="preserve">Module: </w:t>
      </w:r>
      <w:r w:rsidR="00C767D9" w:rsidRPr="00FA25C9">
        <w:rPr>
          <w:rFonts w:ascii="Arial" w:hAnsi="Arial" w:cs="Arial"/>
          <w:b/>
          <w:bCs/>
          <w:sz w:val="22"/>
        </w:rPr>
        <w:t>Academic and Employability Skills</w:t>
      </w:r>
    </w:p>
    <w:p w14:paraId="72ADED94" w14:textId="77777777" w:rsidR="007F12D5" w:rsidRPr="00FA25C9" w:rsidRDefault="00ED5964" w:rsidP="00D23EF8">
      <w:pPr>
        <w:pStyle w:val="NoSpacing"/>
        <w:rPr>
          <w:rFonts w:ascii="Arial" w:hAnsi="Arial" w:cs="Arial"/>
          <w:b/>
          <w:bCs/>
          <w:sz w:val="22"/>
        </w:rPr>
      </w:pPr>
      <w:r w:rsidRPr="00FA25C9">
        <w:rPr>
          <w:rFonts w:ascii="Arial" w:hAnsi="Arial" w:cs="Arial"/>
          <w:b/>
          <w:bCs/>
          <w:sz w:val="22"/>
        </w:rPr>
        <w:t xml:space="preserve">Lecturer: </w:t>
      </w:r>
      <w:r w:rsidR="007F12D5" w:rsidRPr="00FA25C9">
        <w:rPr>
          <w:rFonts w:ascii="Arial" w:hAnsi="Arial" w:cs="Arial"/>
          <w:b/>
          <w:bCs/>
          <w:sz w:val="22"/>
        </w:rPr>
        <w:t>Farah Wiita</w:t>
      </w:r>
    </w:p>
    <w:p w14:paraId="112342CB" w14:textId="15803643" w:rsidR="00ED5964" w:rsidRPr="00FA25C9" w:rsidRDefault="00ED5964" w:rsidP="00D23EF8">
      <w:pPr>
        <w:pStyle w:val="NoSpacing"/>
        <w:rPr>
          <w:rFonts w:ascii="Arial" w:hAnsi="Arial" w:cs="Arial"/>
          <w:b/>
          <w:bCs/>
          <w:sz w:val="22"/>
        </w:rPr>
      </w:pPr>
    </w:p>
    <w:p w14:paraId="072506E1" w14:textId="3D98AD75" w:rsidR="00ED5964" w:rsidRPr="00FA25C9" w:rsidRDefault="00ED5964" w:rsidP="00D23EF8">
      <w:pPr>
        <w:pStyle w:val="NoSpacing"/>
        <w:rPr>
          <w:rFonts w:ascii="Arial" w:hAnsi="Arial" w:cs="Arial"/>
          <w:b/>
          <w:bCs/>
          <w:sz w:val="22"/>
        </w:rPr>
      </w:pPr>
      <w:r w:rsidRPr="00FA25C9">
        <w:rPr>
          <w:rFonts w:ascii="Arial" w:hAnsi="Arial" w:cs="Arial"/>
          <w:b/>
          <w:bCs/>
          <w:sz w:val="22"/>
        </w:rPr>
        <w:t xml:space="preserve">Submitted on: </w:t>
      </w:r>
      <w:r w:rsidR="007D4741" w:rsidRPr="00FA25C9">
        <w:rPr>
          <w:rFonts w:ascii="Arial" w:hAnsi="Arial" w:cs="Arial"/>
          <w:b/>
          <w:bCs/>
          <w:sz w:val="22"/>
        </w:rPr>
        <w:t>0</w:t>
      </w:r>
      <w:r w:rsidR="006D2BB8" w:rsidRPr="00FA25C9">
        <w:rPr>
          <w:rFonts w:ascii="Arial" w:hAnsi="Arial" w:cs="Arial"/>
          <w:b/>
          <w:bCs/>
          <w:sz w:val="22"/>
        </w:rPr>
        <w:t>2</w:t>
      </w:r>
      <w:r w:rsidR="007D4741" w:rsidRPr="00FA25C9">
        <w:rPr>
          <w:rFonts w:ascii="Arial" w:hAnsi="Arial" w:cs="Arial"/>
          <w:b/>
          <w:bCs/>
          <w:sz w:val="22"/>
        </w:rPr>
        <w:t>/12/2025</w:t>
      </w:r>
    </w:p>
    <w:p w14:paraId="3C6FB008" w14:textId="77777777" w:rsidR="00ED5964" w:rsidRPr="00FA25C9" w:rsidRDefault="00ED5964" w:rsidP="00D23EF8">
      <w:pPr>
        <w:pStyle w:val="NoSpacing"/>
        <w:rPr>
          <w:rFonts w:ascii="Arial" w:hAnsi="Arial" w:cs="Arial"/>
          <w:sz w:val="22"/>
        </w:rPr>
      </w:pPr>
    </w:p>
    <w:p w14:paraId="3EA711CF" w14:textId="77777777" w:rsidR="00ED5964" w:rsidRPr="00FA25C9" w:rsidRDefault="00ED5964" w:rsidP="00D23EF8">
      <w:pPr>
        <w:pStyle w:val="NoSpacing"/>
        <w:rPr>
          <w:rFonts w:ascii="Arial" w:hAnsi="Arial" w:cs="Arial"/>
          <w:sz w:val="22"/>
        </w:rPr>
      </w:pPr>
    </w:p>
    <w:p w14:paraId="32C3A4F9" w14:textId="77777777" w:rsidR="00ED5964" w:rsidRPr="00FA25C9" w:rsidRDefault="00ED5964" w:rsidP="00D23EF8">
      <w:pPr>
        <w:pStyle w:val="NoSpacing"/>
        <w:rPr>
          <w:rFonts w:ascii="Arial" w:hAnsi="Arial" w:cs="Arial"/>
          <w:sz w:val="22"/>
        </w:rPr>
      </w:pPr>
    </w:p>
    <w:p w14:paraId="1434F2B1" w14:textId="77777777" w:rsidR="00ED5964" w:rsidRPr="00FA25C9" w:rsidRDefault="00ED5964" w:rsidP="00D23EF8">
      <w:pPr>
        <w:pStyle w:val="NoSpacing"/>
        <w:rPr>
          <w:rFonts w:ascii="Arial" w:hAnsi="Arial" w:cs="Arial"/>
          <w:sz w:val="22"/>
        </w:rPr>
      </w:pPr>
    </w:p>
    <w:p w14:paraId="4F979E62" w14:textId="77777777" w:rsidR="00ED5964" w:rsidRPr="00FA25C9" w:rsidRDefault="00ED5964" w:rsidP="00D23EF8">
      <w:pPr>
        <w:pStyle w:val="NoSpacing"/>
        <w:rPr>
          <w:rFonts w:ascii="Arial" w:hAnsi="Arial" w:cs="Arial"/>
          <w:sz w:val="22"/>
        </w:rPr>
      </w:pPr>
    </w:p>
    <w:p w14:paraId="4180CDBC" w14:textId="77777777" w:rsidR="00ED5964" w:rsidRPr="00FA25C9" w:rsidRDefault="00ED5964" w:rsidP="00D23EF8">
      <w:pPr>
        <w:pStyle w:val="NoSpacing"/>
        <w:rPr>
          <w:rFonts w:ascii="Arial" w:hAnsi="Arial" w:cs="Arial"/>
          <w:sz w:val="22"/>
        </w:rPr>
      </w:pPr>
    </w:p>
    <w:p w14:paraId="65C35C1C" w14:textId="77777777" w:rsidR="00A11150" w:rsidRPr="00FA25C9" w:rsidRDefault="00A11150" w:rsidP="00D23EF8">
      <w:pPr>
        <w:pStyle w:val="NoSpacing"/>
        <w:rPr>
          <w:rFonts w:ascii="Arial" w:hAnsi="Arial" w:cs="Arial"/>
          <w:sz w:val="22"/>
        </w:rPr>
      </w:pPr>
    </w:p>
    <w:p w14:paraId="5CB460CE" w14:textId="77777777" w:rsidR="00A11150" w:rsidRPr="00FA25C9" w:rsidRDefault="00A11150" w:rsidP="00D23EF8">
      <w:pPr>
        <w:pStyle w:val="NoSpacing"/>
        <w:rPr>
          <w:rFonts w:ascii="Arial" w:hAnsi="Arial" w:cs="Arial"/>
          <w:sz w:val="22"/>
        </w:rPr>
      </w:pPr>
    </w:p>
    <w:p w14:paraId="0DDA7F60" w14:textId="77777777" w:rsidR="00A11150" w:rsidRPr="00FA25C9" w:rsidRDefault="00A11150" w:rsidP="00D23EF8">
      <w:pPr>
        <w:pStyle w:val="NoSpacing"/>
        <w:rPr>
          <w:rFonts w:ascii="Arial" w:hAnsi="Arial" w:cs="Arial"/>
          <w:sz w:val="22"/>
        </w:rPr>
      </w:pPr>
    </w:p>
    <w:p w14:paraId="69247346" w14:textId="77777777" w:rsidR="00A11150" w:rsidRPr="00FA25C9" w:rsidRDefault="00A11150" w:rsidP="00D23EF8">
      <w:pPr>
        <w:pStyle w:val="NoSpacing"/>
        <w:rPr>
          <w:rFonts w:ascii="Arial" w:hAnsi="Arial" w:cs="Arial"/>
          <w:sz w:val="22"/>
        </w:rPr>
      </w:pPr>
    </w:p>
    <w:sdt>
      <w:sdtPr>
        <w:rPr>
          <w:rFonts w:ascii="Arial" w:hAnsi="Arial" w:cs="Arial"/>
          <w:b/>
          <w:sz w:val="22"/>
        </w:rPr>
        <w:id w:val="2083777713"/>
        <w:docPartObj>
          <w:docPartGallery w:val="Table of Contents"/>
          <w:docPartUnique/>
        </w:docPartObj>
      </w:sdtPr>
      <w:sdtEndPr>
        <w:rPr>
          <w:b w:val="0"/>
        </w:rPr>
      </w:sdtEndPr>
      <w:sdtContent>
        <w:p w14:paraId="69A45AB4" w14:textId="1BC22B3F" w:rsidR="00184A9A" w:rsidRPr="00FA25C9" w:rsidRDefault="00184A9A" w:rsidP="00D23EF8">
          <w:pPr>
            <w:pStyle w:val="NoSpacing"/>
            <w:rPr>
              <w:rFonts w:ascii="Arial" w:hAnsi="Arial" w:cs="Arial"/>
              <w:sz w:val="22"/>
            </w:rPr>
          </w:pPr>
          <w:r w:rsidRPr="00FA25C9">
            <w:rPr>
              <w:rFonts w:ascii="Arial" w:hAnsi="Arial" w:cs="Arial"/>
              <w:sz w:val="22"/>
            </w:rPr>
            <w:t>Table of Contents</w:t>
          </w:r>
        </w:p>
        <w:p w14:paraId="5D06697C" w14:textId="1BFA9792" w:rsidR="00824CB1" w:rsidRPr="00FA25C9" w:rsidRDefault="0156E134" w:rsidP="00D23EF8">
          <w:pPr>
            <w:pStyle w:val="NoSpacing"/>
            <w:rPr>
              <w:rStyle w:val="Hyperlink"/>
              <w:rFonts w:ascii="Arial" w:hAnsi="Arial" w:cs="Arial"/>
              <w:noProof/>
              <w:color w:val="auto"/>
              <w:sz w:val="22"/>
              <w:lang w:eastAsia="en-GB"/>
            </w:rPr>
          </w:pPr>
          <w:r w:rsidRPr="00FA25C9">
            <w:rPr>
              <w:rFonts w:ascii="Arial" w:hAnsi="Arial" w:cs="Arial"/>
              <w:sz w:val="22"/>
            </w:rPr>
            <w:fldChar w:fldCharType="begin"/>
          </w:r>
          <w:r w:rsidR="00184A9A" w:rsidRPr="00FA25C9">
            <w:rPr>
              <w:rFonts w:ascii="Arial" w:hAnsi="Arial" w:cs="Arial"/>
              <w:sz w:val="22"/>
            </w:rPr>
            <w:instrText>TOC \o "1-3" \z \u \h</w:instrText>
          </w:r>
          <w:r w:rsidRPr="00FA25C9">
            <w:rPr>
              <w:rFonts w:ascii="Arial" w:hAnsi="Arial" w:cs="Arial"/>
              <w:sz w:val="22"/>
            </w:rPr>
            <w:fldChar w:fldCharType="separate"/>
          </w:r>
          <w:hyperlink w:anchor="_Toc695233283">
            <w:r w:rsidR="0CF501EC" w:rsidRPr="00FA25C9">
              <w:rPr>
                <w:rStyle w:val="Hyperlink"/>
                <w:rFonts w:ascii="Arial" w:hAnsi="Arial" w:cs="Arial"/>
                <w:noProof/>
                <w:color w:val="auto"/>
                <w:sz w:val="22"/>
              </w:rPr>
              <w:t>1.1 Introduction</w:t>
            </w:r>
            <w:r w:rsidR="006D2BB8" w:rsidRPr="00FA25C9">
              <w:rPr>
                <w:rFonts w:ascii="Arial" w:hAnsi="Arial" w:cs="Arial"/>
                <w:noProof/>
                <w:sz w:val="22"/>
              </w:rPr>
              <w:t xml:space="preserve"> </w:t>
            </w:r>
            <w:r w:rsidR="00184A9A" w:rsidRPr="00FA25C9">
              <w:rPr>
                <w:rFonts w:ascii="Arial" w:hAnsi="Arial" w:cs="Arial"/>
                <w:noProof/>
                <w:sz w:val="22"/>
              </w:rPr>
              <w:fldChar w:fldCharType="begin"/>
            </w:r>
            <w:r w:rsidR="00184A9A" w:rsidRPr="00FA25C9">
              <w:rPr>
                <w:rFonts w:ascii="Arial" w:hAnsi="Arial" w:cs="Arial"/>
                <w:noProof/>
                <w:sz w:val="22"/>
              </w:rPr>
              <w:instrText>PAGEREF _Toc695233283 \h</w:instrText>
            </w:r>
            <w:r w:rsidR="00184A9A" w:rsidRPr="00FA25C9">
              <w:rPr>
                <w:rFonts w:ascii="Arial" w:hAnsi="Arial" w:cs="Arial"/>
                <w:noProof/>
                <w:sz w:val="22"/>
              </w:rPr>
            </w:r>
            <w:r w:rsidR="00184A9A" w:rsidRPr="00FA25C9">
              <w:rPr>
                <w:rFonts w:ascii="Arial" w:hAnsi="Arial" w:cs="Arial"/>
                <w:noProof/>
                <w:sz w:val="22"/>
              </w:rPr>
              <w:fldChar w:fldCharType="separate"/>
            </w:r>
            <w:r w:rsidR="0CF501EC" w:rsidRPr="00FA25C9">
              <w:rPr>
                <w:rStyle w:val="Hyperlink"/>
                <w:rFonts w:ascii="Arial" w:hAnsi="Arial" w:cs="Arial"/>
                <w:noProof/>
                <w:color w:val="auto"/>
                <w:sz w:val="22"/>
              </w:rPr>
              <w:t>3</w:t>
            </w:r>
            <w:r w:rsidR="00184A9A" w:rsidRPr="00FA25C9">
              <w:rPr>
                <w:rFonts w:ascii="Arial" w:hAnsi="Arial" w:cs="Arial"/>
                <w:noProof/>
                <w:sz w:val="22"/>
              </w:rPr>
              <w:fldChar w:fldCharType="end"/>
            </w:r>
          </w:hyperlink>
        </w:p>
        <w:p w14:paraId="5A09ADA9" w14:textId="7DA51B9F" w:rsidR="00824CB1" w:rsidRPr="00FA25C9" w:rsidRDefault="0CF501EC" w:rsidP="00D23EF8">
          <w:pPr>
            <w:pStyle w:val="NoSpacing"/>
            <w:rPr>
              <w:rStyle w:val="Hyperlink"/>
              <w:rFonts w:ascii="Arial" w:hAnsi="Arial" w:cs="Arial"/>
              <w:noProof/>
              <w:color w:val="auto"/>
              <w:sz w:val="22"/>
              <w:lang w:eastAsia="en-GB"/>
            </w:rPr>
          </w:pPr>
          <w:hyperlink w:anchor="_Toc1915621813">
            <w:r w:rsidRPr="00FA25C9">
              <w:rPr>
                <w:rStyle w:val="Hyperlink"/>
                <w:rFonts w:ascii="Arial" w:hAnsi="Arial" w:cs="Arial"/>
                <w:noProof/>
                <w:color w:val="auto"/>
                <w:sz w:val="22"/>
              </w:rPr>
              <w:t xml:space="preserve">2 </w:t>
            </w:r>
            <w:r w:rsidR="00A7542F" w:rsidRPr="00FA25C9">
              <w:rPr>
                <w:rFonts w:ascii="Arial" w:hAnsi="Arial" w:cs="Arial"/>
                <w:sz w:val="22"/>
              </w:rPr>
              <w:t>Paediatric Haemoglobinopathy nurse</w:t>
            </w:r>
            <w:r w:rsidRPr="00FA25C9">
              <w:rPr>
                <w:rStyle w:val="Hyperlink"/>
                <w:rFonts w:ascii="Arial" w:hAnsi="Arial" w:cs="Arial"/>
                <w:noProof/>
                <w:color w:val="auto"/>
                <w:sz w:val="22"/>
              </w:rPr>
              <w:t xml:space="preserve"> in the Health and Social Care Field</w:t>
            </w:r>
            <w:r w:rsidR="006D2BB8" w:rsidRPr="00FA25C9">
              <w:rPr>
                <w:rFonts w:ascii="Arial" w:hAnsi="Arial" w:cs="Arial"/>
                <w:noProof/>
                <w:sz w:val="22"/>
              </w:rPr>
              <w:t xml:space="preserve"> </w:t>
            </w:r>
            <w:r w:rsidR="00824CB1" w:rsidRPr="00FA25C9">
              <w:rPr>
                <w:rFonts w:ascii="Arial" w:hAnsi="Arial" w:cs="Arial"/>
                <w:noProof/>
                <w:sz w:val="22"/>
              </w:rPr>
              <w:fldChar w:fldCharType="begin"/>
            </w:r>
            <w:r w:rsidR="00824CB1" w:rsidRPr="00FA25C9">
              <w:rPr>
                <w:rFonts w:ascii="Arial" w:hAnsi="Arial" w:cs="Arial"/>
                <w:noProof/>
                <w:sz w:val="22"/>
              </w:rPr>
              <w:instrText>PAGEREF _Toc1915621813 \h</w:instrText>
            </w:r>
            <w:r w:rsidR="00824CB1" w:rsidRPr="00FA25C9">
              <w:rPr>
                <w:rFonts w:ascii="Arial" w:hAnsi="Arial" w:cs="Arial"/>
                <w:noProof/>
                <w:sz w:val="22"/>
              </w:rPr>
            </w:r>
            <w:r w:rsidR="00824CB1" w:rsidRPr="00FA25C9">
              <w:rPr>
                <w:rFonts w:ascii="Arial" w:hAnsi="Arial" w:cs="Arial"/>
                <w:noProof/>
                <w:sz w:val="22"/>
              </w:rPr>
              <w:fldChar w:fldCharType="separate"/>
            </w:r>
            <w:r w:rsidRPr="00FA25C9">
              <w:rPr>
                <w:rStyle w:val="Hyperlink"/>
                <w:rFonts w:ascii="Arial" w:hAnsi="Arial" w:cs="Arial"/>
                <w:noProof/>
                <w:color w:val="auto"/>
                <w:sz w:val="22"/>
              </w:rPr>
              <w:t>3</w:t>
            </w:r>
            <w:r w:rsidR="00824CB1" w:rsidRPr="00FA25C9">
              <w:rPr>
                <w:rFonts w:ascii="Arial" w:hAnsi="Arial" w:cs="Arial"/>
                <w:noProof/>
                <w:sz w:val="22"/>
              </w:rPr>
              <w:fldChar w:fldCharType="end"/>
            </w:r>
          </w:hyperlink>
        </w:p>
        <w:p w14:paraId="405810A6" w14:textId="1065D22A" w:rsidR="00824CB1" w:rsidRPr="00FA25C9" w:rsidRDefault="0CF501EC" w:rsidP="00D23EF8">
          <w:pPr>
            <w:pStyle w:val="NoSpacing"/>
            <w:rPr>
              <w:rStyle w:val="Hyperlink"/>
              <w:rFonts w:ascii="Arial" w:hAnsi="Arial" w:cs="Arial"/>
              <w:noProof/>
              <w:color w:val="auto"/>
              <w:sz w:val="22"/>
              <w:lang w:eastAsia="en-GB"/>
            </w:rPr>
          </w:pPr>
          <w:hyperlink w:anchor="_Toc796087951">
            <w:r w:rsidRPr="00FA25C9">
              <w:rPr>
                <w:rStyle w:val="Hyperlink"/>
                <w:rFonts w:ascii="Arial" w:hAnsi="Arial" w:cs="Arial"/>
                <w:noProof/>
                <w:color w:val="auto"/>
                <w:sz w:val="22"/>
              </w:rPr>
              <w:t>2.1 Description of  in Health and Social Care</w:t>
            </w:r>
            <w:r w:rsidR="006D2BB8" w:rsidRPr="00FA25C9">
              <w:rPr>
                <w:rFonts w:ascii="Arial" w:hAnsi="Arial" w:cs="Arial"/>
                <w:noProof/>
                <w:sz w:val="22"/>
              </w:rPr>
              <w:t xml:space="preserve"> </w:t>
            </w:r>
            <w:r w:rsidR="00824CB1" w:rsidRPr="00FA25C9">
              <w:rPr>
                <w:rFonts w:ascii="Arial" w:hAnsi="Arial" w:cs="Arial"/>
                <w:noProof/>
                <w:sz w:val="22"/>
              </w:rPr>
              <w:fldChar w:fldCharType="begin"/>
            </w:r>
            <w:r w:rsidR="00824CB1" w:rsidRPr="00FA25C9">
              <w:rPr>
                <w:rFonts w:ascii="Arial" w:hAnsi="Arial" w:cs="Arial"/>
                <w:noProof/>
                <w:sz w:val="22"/>
              </w:rPr>
              <w:instrText>PAGEREF _Toc796087951 \h</w:instrText>
            </w:r>
            <w:r w:rsidR="00824CB1" w:rsidRPr="00FA25C9">
              <w:rPr>
                <w:rFonts w:ascii="Arial" w:hAnsi="Arial" w:cs="Arial"/>
                <w:noProof/>
                <w:sz w:val="22"/>
              </w:rPr>
            </w:r>
            <w:r w:rsidR="00824CB1" w:rsidRPr="00FA25C9">
              <w:rPr>
                <w:rFonts w:ascii="Arial" w:hAnsi="Arial" w:cs="Arial"/>
                <w:noProof/>
                <w:sz w:val="22"/>
              </w:rPr>
              <w:fldChar w:fldCharType="separate"/>
            </w:r>
            <w:r w:rsidRPr="00FA25C9">
              <w:rPr>
                <w:rStyle w:val="Hyperlink"/>
                <w:rFonts w:ascii="Arial" w:hAnsi="Arial" w:cs="Arial"/>
                <w:noProof/>
                <w:color w:val="auto"/>
                <w:sz w:val="22"/>
              </w:rPr>
              <w:t>3</w:t>
            </w:r>
            <w:r w:rsidR="00824CB1" w:rsidRPr="00FA25C9">
              <w:rPr>
                <w:rFonts w:ascii="Arial" w:hAnsi="Arial" w:cs="Arial"/>
                <w:noProof/>
                <w:sz w:val="22"/>
              </w:rPr>
              <w:fldChar w:fldCharType="end"/>
            </w:r>
          </w:hyperlink>
        </w:p>
        <w:p w14:paraId="0D838B7F" w14:textId="4F5AB71B" w:rsidR="00824CB1" w:rsidRPr="00FA25C9" w:rsidRDefault="0CF501EC" w:rsidP="00D23EF8">
          <w:pPr>
            <w:pStyle w:val="NoSpacing"/>
            <w:rPr>
              <w:rStyle w:val="Hyperlink"/>
              <w:rFonts w:ascii="Arial" w:hAnsi="Arial" w:cs="Arial"/>
              <w:noProof/>
              <w:color w:val="auto"/>
              <w:sz w:val="22"/>
              <w:lang w:eastAsia="en-GB"/>
            </w:rPr>
          </w:pPr>
          <w:hyperlink w:anchor="_Toc1426973069">
            <w:r w:rsidRPr="00FA25C9">
              <w:rPr>
                <w:rStyle w:val="Hyperlink"/>
                <w:rFonts w:ascii="Arial" w:hAnsi="Arial" w:cs="Arial"/>
                <w:noProof/>
                <w:color w:val="auto"/>
                <w:sz w:val="22"/>
              </w:rPr>
              <w:t xml:space="preserve">2.2 Explanation of Most Significant Skills Needed for </w:t>
            </w:r>
            <w:r w:rsidR="0070114E" w:rsidRPr="00FA25C9">
              <w:rPr>
                <w:rFonts w:ascii="Arial" w:hAnsi="Arial" w:cs="Arial"/>
                <w:sz w:val="22"/>
              </w:rPr>
              <w:t>Paediatric Haemoglobinopathy nurse</w:t>
            </w:r>
            <w:r w:rsidRPr="00FA25C9">
              <w:rPr>
                <w:rStyle w:val="Hyperlink"/>
                <w:rFonts w:ascii="Arial" w:hAnsi="Arial" w:cs="Arial"/>
                <w:noProof/>
                <w:color w:val="auto"/>
                <w:sz w:val="22"/>
              </w:rPr>
              <w:t xml:space="preserve"> in Health and Social Care</w:t>
            </w:r>
            <w:r w:rsidR="006D2BB8" w:rsidRPr="00FA25C9">
              <w:rPr>
                <w:rFonts w:ascii="Arial" w:hAnsi="Arial" w:cs="Arial"/>
                <w:noProof/>
                <w:sz w:val="22"/>
              </w:rPr>
              <w:t xml:space="preserve"> </w:t>
            </w:r>
            <w:r w:rsidR="00824CB1" w:rsidRPr="00FA25C9">
              <w:rPr>
                <w:rFonts w:ascii="Arial" w:hAnsi="Arial" w:cs="Arial"/>
                <w:noProof/>
                <w:sz w:val="22"/>
              </w:rPr>
              <w:fldChar w:fldCharType="begin"/>
            </w:r>
            <w:r w:rsidR="00824CB1" w:rsidRPr="00FA25C9">
              <w:rPr>
                <w:rFonts w:ascii="Arial" w:hAnsi="Arial" w:cs="Arial"/>
                <w:noProof/>
                <w:sz w:val="22"/>
              </w:rPr>
              <w:instrText>PAGEREF _Toc1426973069 \h</w:instrText>
            </w:r>
            <w:r w:rsidR="00824CB1" w:rsidRPr="00FA25C9">
              <w:rPr>
                <w:rFonts w:ascii="Arial" w:hAnsi="Arial" w:cs="Arial"/>
                <w:noProof/>
                <w:sz w:val="22"/>
              </w:rPr>
            </w:r>
            <w:r w:rsidR="00824CB1" w:rsidRPr="00FA25C9">
              <w:rPr>
                <w:rFonts w:ascii="Arial" w:hAnsi="Arial" w:cs="Arial"/>
                <w:noProof/>
                <w:sz w:val="22"/>
              </w:rPr>
              <w:fldChar w:fldCharType="separate"/>
            </w:r>
            <w:r w:rsidRPr="00FA25C9">
              <w:rPr>
                <w:rStyle w:val="Hyperlink"/>
                <w:rFonts w:ascii="Arial" w:hAnsi="Arial" w:cs="Arial"/>
                <w:noProof/>
                <w:color w:val="auto"/>
                <w:sz w:val="22"/>
              </w:rPr>
              <w:t>3</w:t>
            </w:r>
            <w:r w:rsidR="00824CB1" w:rsidRPr="00FA25C9">
              <w:rPr>
                <w:rFonts w:ascii="Arial" w:hAnsi="Arial" w:cs="Arial"/>
                <w:noProof/>
                <w:sz w:val="22"/>
              </w:rPr>
              <w:fldChar w:fldCharType="end"/>
            </w:r>
          </w:hyperlink>
        </w:p>
        <w:p w14:paraId="0A8B3CCA" w14:textId="4655E70A" w:rsidR="00824CB1" w:rsidRPr="00FA25C9" w:rsidRDefault="0CF501EC" w:rsidP="00D23EF8">
          <w:pPr>
            <w:pStyle w:val="NoSpacing"/>
            <w:rPr>
              <w:rStyle w:val="Hyperlink"/>
              <w:rFonts w:ascii="Arial" w:hAnsi="Arial" w:cs="Arial"/>
              <w:noProof/>
              <w:color w:val="auto"/>
              <w:sz w:val="22"/>
              <w:lang w:eastAsia="en-GB"/>
            </w:rPr>
          </w:pPr>
          <w:hyperlink w:anchor="_Toc992114325">
            <w:r w:rsidRPr="00FA25C9">
              <w:rPr>
                <w:rStyle w:val="Hyperlink"/>
                <w:rFonts w:ascii="Arial" w:hAnsi="Arial" w:cs="Arial"/>
                <w:noProof/>
                <w:color w:val="auto"/>
                <w:sz w:val="22"/>
              </w:rPr>
              <w:t xml:space="preserve">3 Strategies for Skill Improvement for </w:t>
            </w:r>
            <w:r w:rsidR="0070114E" w:rsidRPr="00FA25C9">
              <w:rPr>
                <w:rFonts w:ascii="Arial" w:hAnsi="Arial" w:cs="Arial"/>
                <w:sz w:val="22"/>
              </w:rPr>
              <w:t>Paediatric Haemoglobinopathy nurse</w:t>
            </w:r>
            <w:r w:rsidR="006D2BB8" w:rsidRPr="00FA25C9">
              <w:rPr>
                <w:rFonts w:ascii="Arial" w:hAnsi="Arial" w:cs="Arial"/>
                <w:noProof/>
                <w:sz w:val="22"/>
              </w:rPr>
              <w:t xml:space="preserve"> </w:t>
            </w:r>
            <w:r w:rsidR="00824CB1" w:rsidRPr="00FA25C9">
              <w:rPr>
                <w:rFonts w:ascii="Arial" w:hAnsi="Arial" w:cs="Arial"/>
                <w:noProof/>
                <w:sz w:val="22"/>
              </w:rPr>
              <w:fldChar w:fldCharType="begin"/>
            </w:r>
            <w:r w:rsidR="00824CB1" w:rsidRPr="00FA25C9">
              <w:rPr>
                <w:rFonts w:ascii="Arial" w:hAnsi="Arial" w:cs="Arial"/>
                <w:noProof/>
                <w:sz w:val="22"/>
              </w:rPr>
              <w:instrText>PAGEREF _Toc992114325 \h</w:instrText>
            </w:r>
            <w:r w:rsidR="00824CB1" w:rsidRPr="00FA25C9">
              <w:rPr>
                <w:rFonts w:ascii="Arial" w:hAnsi="Arial" w:cs="Arial"/>
                <w:noProof/>
                <w:sz w:val="22"/>
              </w:rPr>
            </w:r>
            <w:r w:rsidR="00824CB1" w:rsidRPr="00FA25C9">
              <w:rPr>
                <w:rFonts w:ascii="Arial" w:hAnsi="Arial" w:cs="Arial"/>
                <w:noProof/>
                <w:sz w:val="22"/>
              </w:rPr>
              <w:fldChar w:fldCharType="separate"/>
            </w:r>
            <w:r w:rsidRPr="00FA25C9">
              <w:rPr>
                <w:rStyle w:val="Hyperlink"/>
                <w:rFonts w:ascii="Arial" w:hAnsi="Arial" w:cs="Arial"/>
                <w:noProof/>
                <w:color w:val="auto"/>
                <w:sz w:val="22"/>
              </w:rPr>
              <w:t>4</w:t>
            </w:r>
            <w:r w:rsidR="00824CB1" w:rsidRPr="00FA25C9">
              <w:rPr>
                <w:rFonts w:ascii="Arial" w:hAnsi="Arial" w:cs="Arial"/>
                <w:noProof/>
                <w:sz w:val="22"/>
              </w:rPr>
              <w:fldChar w:fldCharType="end"/>
            </w:r>
          </w:hyperlink>
        </w:p>
        <w:p w14:paraId="1AA7C6F6" w14:textId="79A670E8" w:rsidR="00824CB1" w:rsidRPr="00FA25C9" w:rsidRDefault="0CF501EC" w:rsidP="00D23EF8">
          <w:pPr>
            <w:pStyle w:val="NoSpacing"/>
            <w:rPr>
              <w:rStyle w:val="Hyperlink"/>
              <w:rFonts w:ascii="Arial" w:hAnsi="Arial" w:cs="Arial"/>
              <w:noProof/>
              <w:color w:val="auto"/>
              <w:sz w:val="22"/>
              <w:lang w:eastAsia="en-GB"/>
            </w:rPr>
          </w:pPr>
          <w:hyperlink w:anchor="_Toc1405407187">
            <w:r w:rsidRPr="00FA25C9">
              <w:rPr>
                <w:rStyle w:val="Hyperlink"/>
                <w:rFonts w:ascii="Arial" w:hAnsi="Arial" w:cs="Arial"/>
                <w:noProof/>
                <w:color w:val="auto"/>
                <w:sz w:val="22"/>
              </w:rPr>
              <w:t xml:space="preserve">3.1 Three Strategies to Improve the Skills for </w:t>
            </w:r>
            <w:r w:rsidR="00A7542F" w:rsidRPr="00FA25C9">
              <w:rPr>
                <w:rFonts w:ascii="Arial" w:hAnsi="Arial" w:cs="Arial"/>
                <w:sz w:val="22"/>
              </w:rPr>
              <w:t>Paediatric Haemoglobinopathy nurse</w:t>
            </w:r>
            <w:r w:rsidR="00A7542F" w:rsidRPr="00FA25C9">
              <w:rPr>
                <w:rFonts w:ascii="Arial" w:hAnsi="Arial" w:cs="Arial"/>
                <w:noProof/>
                <w:sz w:val="22"/>
              </w:rPr>
              <w:t xml:space="preserve"> </w:t>
            </w:r>
            <w:r w:rsidR="00824CB1" w:rsidRPr="00FA25C9">
              <w:rPr>
                <w:rFonts w:ascii="Arial" w:hAnsi="Arial" w:cs="Arial"/>
                <w:noProof/>
                <w:sz w:val="22"/>
              </w:rPr>
              <w:fldChar w:fldCharType="begin"/>
            </w:r>
            <w:r w:rsidR="00824CB1" w:rsidRPr="00FA25C9">
              <w:rPr>
                <w:rFonts w:ascii="Arial" w:hAnsi="Arial" w:cs="Arial"/>
                <w:noProof/>
                <w:sz w:val="22"/>
              </w:rPr>
              <w:instrText>PAGEREF _Toc1405407187 \h</w:instrText>
            </w:r>
            <w:r w:rsidR="00824CB1" w:rsidRPr="00FA25C9">
              <w:rPr>
                <w:rFonts w:ascii="Arial" w:hAnsi="Arial" w:cs="Arial"/>
                <w:noProof/>
                <w:sz w:val="22"/>
              </w:rPr>
            </w:r>
            <w:r w:rsidR="00824CB1" w:rsidRPr="00FA25C9">
              <w:rPr>
                <w:rFonts w:ascii="Arial" w:hAnsi="Arial" w:cs="Arial"/>
                <w:noProof/>
                <w:sz w:val="22"/>
              </w:rPr>
              <w:fldChar w:fldCharType="separate"/>
            </w:r>
            <w:r w:rsidRPr="00FA25C9">
              <w:rPr>
                <w:rStyle w:val="Hyperlink"/>
                <w:rFonts w:ascii="Arial" w:hAnsi="Arial" w:cs="Arial"/>
                <w:noProof/>
                <w:color w:val="auto"/>
                <w:sz w:val="22"/>
              </w:rPr>
              <w:t>4</w:t>
            </w:r>
            <w:r w:rsidR="00824CB1" w:rsidRPr="00FA25C9">
              <w:rPr>
                <w:rFonts w:ascii="Arial" w:hAnsi="Arial" w:cs="Arial"/>
                <w:noProof/>
                <w:sz w:val="22"/>
              </w:rPr>
              <w:fldChar w:fldCharType="end"/>
            </w:r>
          </w:hyperlink>
        </w:p>
        <w:p w14:paraId="318879F9" w14:textId="5AC227C8" w:rsidR="00824CB1" w:rsidRPr="00FA25C9" w:rsidRDefault="0CF501EC" w:rsidP="00D23EF8">
          <w:pPr>
            <w:pStyle w:val="NoSpacing"/>
            <w:rPr>
              <w:rStyle w:val="Hyperlink"/>
              <w:rFonts w:ascii="Arial" w:hAnsi="Arial" w:cs="Arial"/>
              <w:noProof/>
              <w:color w:val="auto"/>
              <w:sz w:val="22"/>
              <w:lang w:eastAsia="en-GB"/>
            </w:rPr>
          </w:pPr>
          <w:hyperlink w:anchor="_Toc1799977123">
            <w:r w:rsidRPr="00FA25C9">
              <w:rPr>
                <w:rStyle w:val="Hyperlink"/>
                <w:rFonts w:ascii="Arial" w:hAnsi="Arial" w:cs="Arial"/>
                <w:noProof/>
                <w:color w:val="auto"/>
                <w:sz w:val="22"/>
              </w:rPr>
              <w:t>4 Conclusion</w:t>
            </w:r>
            <w:r w:rsidR="00824CB1" w:rsidRPr="00FA25C9">
              <w:rPr>
                <w:rFonts w:ascii="Arial" w:hAnsi="Arial" w:cs="Arial"/>
                <w:noProof/>
                <w:sz w:val="22"/>
              </w:rPr>
              <w:tab/>
            </w:r>
            <w:r w:rsidR="00824CB1" w:rsidRPr="00FA25C9">
              <w:rPr>
                <w:rFonts w:ascii="Arial" w:hAnsi="Arial" w:cs="Arial"/>
                <w:noProof/>
                <w:sz w:val="22"/>
              </w:rPr>
              <w:fldChar w:fldCharType="begin"/>
            </w:r>
            <w:r w:rsidR="00824CB1" w:rsidRPr="00FA25C9">
              <w:rPr>
                <w:rFonts w:ascii="Arial" w:hAnsi="Arial" w:cs="Arial"/>
                <w:noProof/>
                <w:sz w:val="22"/>
              </w:rPr>
              <w:instrText>PAGEREF _Toc1799977123 \h</w:instrText>
            </w:r>
            <w:r w:rsidR="00824CB1" w:rsidRPr="00FA25C9">
              <w:rPr>
                <w:rFonts w:ascii="Arial" w:hAnsi="Arial" w:cs="Arial"/>
                <w:noProof/>
                <w:sz w:val="22"/>
              </w:rPr>
            </w:r>
            <w:r w:rsidR="00824CB1" w:rsidRPr="00FA25C9">
              <w:rPr>
                <w:rFonts w:ascii="Arial" w:hAnsi="Arial" w:cs="Arial"/>
                <w:noProof/>
                <w:sz w:val="22"/>
              </w:rPr>
              <w:fldChar w:fldCharType="separate"/>
            </w:r>
            <w:r w:rsidRPr="00FA25C9">
              <w:rPr>
                <w:rStyle w:val="Hyperlink"/>
                <w:rFonts w:ascii="Arial" w:hAnsi="Arial" w:cs="Arial"/>
                <w:noProof/>
                <w:color w:val="auto"/>
                <w:sz w:val="22"/>
              </w:rPr>
              <w:t>4</w:t>
            </w:r>
            <w:r w:rsidR="00824CB1" w:rsidRPr="00FA25C9">
              <w:rPr>
                <w:rFonts w:ascii="Arial" w:hAnsi="Arial" w:cs="Arial"/>
                <w:noProof/>
                <w:sz w:val="22"/>
              </w:rPr>
              <w:fldChar w:fldCharType="end"/>
            </w:r>
          </w:hyperlink>
        </w:p>
        <w:p w14:paraId="2F2A1EA8" w14:textId="0E63DE6B" w:rsidR="0156E134" w:rsidRPr="00FA25C9" w:rsidRDefault="0CF501EC" w:rsidP="00D23EF8">
          <w:pPr>
            <w:pStyle w:val="NoSpacing"/>
            <w:rPr>
              <w:rStyle w:val="Hyperlink"/>
              <w:rFonts w:ascii="Arial" w:hAnsi="Arial" w:cs="Arial"/>
              <w:color w:val="auto"/>
              <w:sz w:val="22"/>
            </w:rPr>
          </w:pPr>
          <w:hyperlink w:anchor="_Toc1911583216">
            <w:r w:rsidRPr="00FA25C9">
              <w:rPr>
                <w:rStyle w:val="Hyperlink"/>
                <w:rFonts w:ascii="Arial" w:hAnsi="Arial" w:cs="Arial"/>
                <w:noProof/>
                <w:color w:val="auto"/>
                <w:sz w:val="22"/>
              </w:rPr>
              <w:t>5 Reference List</w:t>
            </w:r>
            <w:r w:rsidR="00212240" w:rsidRPr="00FA25C9">
              <w:rPr>
                <w:rFonts w:ascii="Arial" w:hAnsi="Arial" w:cs="Arial"/>
                <w:noProof/>
                <w:sz w:val="22"/>
              </w:rPr>
              <w:t xml:space="preserve"> </w:t>
            </w:r>
            <w:r w:rsidR="0156E134" w:rsidRPr="00FA25C9">
              <w:rPr>
                <w:rFonts w:ascii="Arial" w:hAnsi="Arial" w:cs="Arial"/>
                <w:noProof/>
                <w:sz w:val="22"/>
              </w:rPr>
              <w:fldChar w:fldCharType="begin"/>
            </w:r>
            <w:r w:rsidR="0156E134" w:rsidRPr="00FA25C9">
              <w:rPr>
                <w:rFonts w:ascii="Arial" w:hAnsi="Arial" w:cs="Arial"/>
                <w:noProof/>
                <w:sz w:val="22"/>
              </w:rPr>
              <w:instrText>PAGEREF _Toc1911583216 \h</w:instrText>
            </w:r>
            <w:r w:rsidR="0156E134" w:rsidRPr="00FA25C9">
              <w:rPr>
                <w:rFonts w:ascii="Arial" w:hAnsi="Arial" w:cs="Arial"/>
                <w:noProof/>
                <w:sz w:val="22"/>
              </w:rPr>
            </w:r>
            <w:r w:rsidR="0156E134" w:rsidRPr="00FA25C9">
              <w:rPr>
                <w:rFonts w:ascii="Arial" w:hAnsi="Arial" w:cs="Arial"/>
                <w:noProof/>
                <w:sz w:val="22"/>
              </w:rPr>
              <w:fldChar w:fldCharType="separate"/>
            </w:r>
            <w:r w:rsidRPr="00FA25C9">
              <w:rPr>
                <w:rStyle w:val="Hyperlink"/>
                <w:rFonts w:ascii="Arial" w:hAnsi="Arial" w:cs="Arial"/>
                <w:noProof/>
                <w:color w:val="auto"/>
                <w:sz w:val="22"/>
              </w:rPr>
              <w:t>5</w:t>
            </w:r>
            <w:r w:rsidR="0156E134" w:rsidRPr="00FA25C9">
              <w:rPr>
                <w:rFonts w:ascii="Arial" w:hAnsi="Arial" w:cs="Arial"/>
                <w:noProof/>
                <w:sz w:val="22"/>
              </w:rPr>
              <w:fldChar w:fldCharType="end"/>
            </w:r>
          </w:hyperlink>
          <w:r w:rsidR="0156E134" w:rsidRPr="00FA25C9">
            <w:rPr>
              <w:rFonts w:ascii="Arial" w:hAnsi="Arial" w:cs="Arial"/>
              <w:sz w:val="22"/>
            </w:rPr>
            <w:fldChar w:fldCharType="end"/>
          </w:r>
        </w:p>
      </w:sdtContent>
    </w:sdt>
    <w:p w14:paraId="6138A55F" w14:textId="5BBC1E8C" w:rsidR="00184A9A" w:rsidRPr="00FA25C9" w:rsidRDefault="00184A9A" w:rsidP="00D23EF8">
      <w:pPr>
        <w:pStyle w:val="NoSpacing"/>
        <w:rPr>
          <w:rFonts w:ascii="Arial" w:hAnsi="Arial" w:cs="Arial"/>
          <w:sz w:val="22"/>
        </w:rPr>
      </w:pPr>
    </w:p>
    <w:p w14:paraId="4A159F97" w14:textId="77777777" w:rsidR="00ED5964" w:rsidRPr="00FA25C9" w:rsidRDefault="00ED5964" w:rsidP="00D23EF8">
      <w:pPr>
        <w:pStyle w:val="NoSpacing"/>
        <w:rPr>
          <w:rFonts w:ascii="Arial" w:hAnsi="Arial" w:cs="Arial"/>
          <w:b/>
          <w:bCs/>
          <w:sz w:val="22"/>
        </w:rPr>
      </w:pPr>
    </w:p>
    <w:p w14:paraId="09E24E55" w14:textId="77777777" w:rsidR="00ED5964" w:rsidRPr="00D23EF8" w:rsidRDefault="00ED5964" w:rsidP="00D23EF8">
      <w:pPr>
        <w:pStyle w:val="NoSpacing"/>
        <w:rPr>
          <w:b/>
          <w:bCs/>
        </w:rPr>
      </w:pPr>
    </w:p>
    <w:p w14:paraId="40BC340F" w14:textId="77777777" w:rsidR="00ED5964" w:rsidRPr="00D23EF8" w:rsidRDefault="00ED5964" w:rsidP="00D23EF8">
      <w:pPr>
        <w:pStyle w:val="NoSpacing"/>
        <w:rPr>
          <w:b/>
          <w:bCs/>
        </w:rPr>
      </w:pPr>
    </w:p>
    <w:p w14:paraId="41A63835" w14:textId="77777777" w:rsidR="00ED5964" w:rsidRPr="00D23EF8" w:rsidRDefault="00ED5964" w:rsidP="00D23EF8">
      <w:pPr>
        <w:pStyle w:val="NoSpacing"/>
        <w:rPr>
          <w:b/>
          <w:bCs/>
        </w:rPr>
      </w:pPr>
    </w:p>
    <w:p w14:paraId="123865CA" w14:textId="77777777" w:rsidR="00ED5964" w:rsidRPr="00D23EF8" w:rsidRDefault="00ED5964" w:rsidP="00D23EF8">
      <w:pPr>
        <w:pStyle w:val="NoSpacing"/>
        <w:rPr>
          <w:b/>
          <w:bCs/>
        </w:rPr>
      </w:pPr>
    </w:p>
    <w:p w14:paraId="2A21042D" w14:textId="77777777" w:rsidR="00ED5964" w:rsidRPr="00D23EF8" w:rsidRDefault="00ED5964" w:rsidP="00D23EF8">
      <w:pPr>
        <w:pStyle w:val="NoSpacing"/>
        <w:rPr>
          <w:b/>
          <w:bCs/>
        </w:rPr>
      </w:pPr>
    </w:p>
    <w:p w14:paraId="48382F67" w14:textId="77777777" w:rsidR="00ED5964" w:rsidRPr="00D23EF8" w:rsidRDefault="00ED5964" w:rsidP="00D23EF8">
      <w:pPr>
        <w:pStyle w:val="NoSpacing"/>
        <w:rPr>
          <w:b/>
          <w:bCs/>
        </w:rPr>
      </w:pPr>
    </w:p>
    <w:p w14:paraId="6A057EFD" w14:textId="77777777" w:rsidR="00ED5964" w:rsidRPr="00D23EF8" w:rsidRDefault="00ED5964" w:rsidP="00D23EF8">
      <w:pPr>
        <w:pStyle w:val="NoSpacing"/>
        <w:rPr>
          <w:b/>
          <w:bCs/>
        </w:rPr>
      </w:pPr>
    </w:p>
    <w:p w14:paraId="55078F3B" w14:textId="77777777" w:rsidR="00ED5964" w:rsidRPr="00D23EF8" w:rsidRDefault="00ED5964" w:rsidP="00D23EF8">
      <w:pPr>
        <w:pStyle w:val="NoSpacing"/>
        <w:rPr>
          <w:b/>
          <w:bCs/>
        </w:rPr>
      </w:pPr>
    </w:p>
    <w:p w14:paraId="4CEF6B46" w14:textId="77777777" w:rsidR="005709B1" w:rsidRPr="00D23EF8" w:rsidRDefault="005709B1" w:rsidP="00D23EF8">
      <w:pPr>
        <w:pStyle w:val="NoSpacing"/>
      </w:pPr>
    </w:p>
    <w:p w14:paraId="3E34A5EF" w14:textId="77777777" w:rsidR="002E71BA" w:rsidRPr="00D23EF8" w:rsidRDefault="002E71BA" w:rsidP="00D23EF8">
      <w:pPr>
        <w:pStyle w:val="NoSpacing"/>
        <w:rPr>
          <w:b/>
          <w:bCs/>
        </w:rPr>
      </w:pPr>
      <w:r w:rsidRPr="00D23EF8">
        <w:rPr>
          <w:b/>
          <w:bCs/>
        </w:rPr>
        <w:br w:type="page"/>
      </w:r>
    </w:p>
    <w:p w14:paraId="7E817B09" w14:textId="50F31860" w:rsidR="00A035CD" w:rsidRPr="00D0177A" w:rsidRDefault="00AA77C8" w:rsidP="00D23EF8">
      <w:pPr>
        <w:pStyle w:val="NoSpacing"/>
        <w:rPr>
          <w:rFonts w:ascii="Arial" w:hAnsi="Arial" w:cs="Arial"/>
          <w:sz w:val="22"/>
        </w:rPr>
      </w:pPr>
      <w:bookmarkStart w:id="0" w:name="_Toc695233283"/>
      <w:r w:rsidRPr="00D0177A">
        <w:rPr>
          <w:rFonts w:ascii="Arial" w:hAnsi="Arial" w:cs="Arial"/>
          <w:sz w:val="22"/>
        </w:rPr>
        <w:lastRenderedPageBreak/>
        <w:t>1</w:t>
      </w:r>
      <w:r w:rsidR="00500295" w:rsidRPr="00D0177A">
        <w:rPr>
          <w:rFonts w:ascii="Arial" w:hAnsi="Arial" w:cs="Arial"/>
          <w:sz w:val="22"/>
        </w:rPr>
        <w:t xml:space="preserve">.1 </w:t>
      </w:r>
      <w:r w:rsidR="00A035CD" w:rsidRPr="00D0177A">
        <w:rPr>
          <w:rFonts w:ascii="Arial" w:hAnsi="Arial" w:cs="Arial"/>
          <w:sz w:val="22"/>
        </w:rPr>
        <w:t>Introduction</w:t>
      </w:r>
      <w:bookmarkEnd w:id="0"/>
    </w:p>
    <w:p w14:paraId="13FBFFDD" w14:textId="77777777" w:rsidR="006840E3" w:rsidRPr="00D0177A" w:rsidRDefault="006840E3" w:rsidP="00D23EF8">
      <w:pPr>
        <w:pStyle w:val="NoSpacing"/>
        <w:rPr>
          <w:rFonts w:ascii="Arial" w:hAnsi="Arial" w:cs="Arial"/>
          <w:sz w:val="22"/>
        </w:rPr>
      </w:pPr>
    </w:p>
    <w:p w14:paraId="64F8EAD3" w14:textId="77777777" w:rsidR="00DE10A0" w:rsidRPr="00DE10A0" w:rsidRDefault="00DE10A0" w:rsidP="00DE10A0">
      <w:pPr>
        <w:pStyle w:val="NoSpacing"/>
        <w:rPr>
          <w:rFonts w:ascii="Arial" w:hAnsi="Arial" w:cs="Arial"/>
          <w:sz w:val="22"/>
        </w:rPr>
      </w:pPr>
      <w:r w:rsidRPr="00DE10A0">
        <w:rPr>
          <w:rFonts w:ascii="Arial" w:hAnsi="Arial" w:cs="Arial"/>
          <w:sz w:val="22"/>
        </w:rPr>
        <w:t>The chosen role for this report is the Paediatric Haemoglobinopathy Nurse, a highly specialised and multifaceted position dedicated to supporting children living with complex blood disorders such as sickle cell anaemia and thalassemia. These conditions, which remain prevalent in many communities, often place significant physical, emotional, and social burdens on young patients and their families. As such, the role of the paediatric haemoglobinopathy nurse is central to ensuring that affected children receive comprehensive, holistic care that not only addresses their immediate clinical needs but also helps to prevent long-term disease progression, minimise complications, and reduce the risk of functional disability.</w:t>
      </w:r>
    </w:p>
    <w:p w14:paraId="3C5597B7" w14:textId="77777777" w:rsidR="00DE10A0" w:rsidRPr="00DE10A0" w:rsidRDefault="00DE10A0" w:rsidP="00DE10A0">
      <w:pPr>
        <w:pStyle w:val="NoSpacing"/>
        <w:rPr>
          <w:rFonts w:ascii="Arial" w:hAnsi="Arial" w:cs="Arial"/>
          <w:sz w:val="22"/>
        </w:rPr>
      </w:pPr>
      <w:r w:rsidRPr="00DE10A0">
        <w:rPr>
          <w:rFonts w:ascii="Arial" w:hAnsi="Arial" w:cs="Arial"/>
          <w:sz w:val="22"/>
        </w:rPr>
        <w:t>Paediatric haemoglobinopathy nurses work within multidisciplinary teams to promote healthy development and enhance the overall quality of life for the children under their care. Their practice encompasses a wide range of responsibilities, including coordinating treatment pathways, monitoring symptoms, administering specialist therapies, and providing ongoing education to empower families in managing chronic conditions. Beyond clinical duties, these nurses play a crucial role in offering emotional reassurance, social support, and advocacy, helping families navigate healthcare systems and access the resources they need.</w:t>
      </w:r>
    </w:p>
    <w:p w14:paraId="3AAA1302" w14:textId="77777777" w:rsidR="00DE10A0" w:rsidRPr="00DE10A0" w:rsidRDefault="00DE10A0" w:rsidP="00DE10A0">
      <w:pPr>
        <w:pStyle w:val="NoSpacing"/>
        <w:rPr>
          <w:rFonts w:ascii="Arial" w:hAnsi="Arial" w:cs="Arial"/>
          <w:sz w:val="22"/>
        </w:rPr>
      </w:pPr>
      <w:r w:rsidRPr="00DE10A0">
        <w:rPr>
          <w:rFonts w:ascii="Arial" w:hAnsi="Arial" w:cs="Arial"/>
          <w:sz w:val="22"/>
        </w:rPr>
        <w:t>This report will explore the core responsibilities associated with the paediatric haemoglobinopathy nursing role in detail, highlighting the clinical, communicative, and interpersonal competencies required for effective practice. It will also examine the specialist knowledge needed to deliver evidence-based care and consider strategies to promote continuous professional development within this field. By doing so, the report aims to demonstrate how paediatric haemoglobinopathy nurses contribute to improved health outcomes and support the long-term wellbeing of children affected by haemoglobinopathies.</w:t>
      </w:r>
    </w:p>
    <w:p w14:paraId="342B0825" w14:textId="77777777" w:rsidR="00154991" w:rsidRPr="00D0177A" w:rsidRDefault="00154991" w:rsidP="00D23EF8">
      <w:pPr>
        <w:pStyle w:val="NoSpacing"/>
        <w:rPr>
          <w:rFonts w:ascii="Arial" w:hAnsi="Arial" w:cs="Arial"/>
          <w:sz w:val="22"/>
        </w:rPr>
      </w:pPr>
    </w:p>
    <w:p w14:paraId="64F36E68" w14:textId="41E6B42A" w:rsidR="3C659699" w:rsidRPr="00D0177A" w:rsidRDefault="3C659699" w:rsidP="00D23EF8">
      <w:pPr>
        <w:pStyle w:val="NoSpacing"/>
        <w:rPr>
          <w:rFonts w:ascii="Arial" w:hAnsi="Arial" w:cs="Arial"/>
          <w:sz w:val="22"/>
        </w:rPr>
      </w:pPr>
      <w:bookmarkStart w:id="1" w:name="_Toc1915621813"/>
      <w:r w:rsidRPr="00D0177A">
        <w:rPr>
          <w:rFonts w:ascii="Arial" w:hAnsi="Arial" w:cs="Arial"/>
          <w:sz w:val="22"/>
        </w:rPr>
        <w:t xml:space="preserve">2 </w:t>
      </w:r>
      <w:r w:rsidR="00A02423" w:rsidRPr="00D0177A">
        <w:rPr>
          <w:rFonts w:ascii="Arial" w:hAnsi="Arial" w:cs="Arial"/>
          <w:sz w:val="22"/>
        </w:rPr>
        <w:t>Paediatric Haemoglobinopathy nurse</w:t>
      </w:r>
      <w:r w:rsidRPr="00D0177A">
        <w:rPr>
          <w:rFonts w:ascii="Arial" w:hAnsi="Arial" w:cs="Arial"/>
          <w:sz w:val="22"/>
        </w:rPr>
        <w:t xml:space="preserve"> in the Health and Social Care Field</w:t>
      </w:r>
      <w:bookmarkEnd w:id="1"/>
    </w:p>
    <w:p w14:paraId="3C079BEF" w14:textId="401104E7" w:rsidR="0156E134" w:rsidRPr="00D0177A" w:rsidRDefault="0156E134" w:rsidP="00D23EF8">
      <w:pPr>
        <w:pStyle w:val="NoSpacing"/>
        <w:rPr>
          <w:rFonts w:ascii="Arial" w:hAnsi="Arial" w:cs="Arial"/>
          <w:sz w:val="22"/>
        </w:rPr>
      </w:pPr>
    </w:p>
    <w:p w14:paraId="50A9FBC6" w14:textId="63262A93" w:rsidR="008B0B22" w:rsidRPr="00D0177A" w:rsidRDefault="5CF7C3DB" w:rsidP="00D23EF8">
      <w:pPr>
        <w:pStyle w:val="NoSpacing"/>
        <w:rPr>
          <w:rFonts w:ascii="Arial" w:hAnsi="Arial" w:cs="Arial"/>
          <w:sz w:val="22"/>
        </w:rPr>
      </w:pPr>
      <w:bookmarkStart w:id="2" w:name="_Toc796087951"/>
      <w:r w:rsidRPr="00D0177A">
        <w:rPr>
          <w:rFonts w:ascii="Arial" w:hAnsi="Arial" w:cs="Arial"/>
          <w:sz w:val="22"/>
        </w:rPr>
        <w:t>2.1</w:t>
      </w:r>
      <w:r w:rsidR="002370CE" w:rsidRPr="00D0177A">
        <w:rPr>
          <w:rFonts w:ascii="Arial" w:hAnsi="Arial" w:cs="Arial"/>
          <w:sz w:val="22"/>
        </w:rPr>
        <w:t xml:space="preserve"> </w:t>
      </w:r>
      <w:r w:rsidR="071F48DC" w:rsidRPr="00D0177A">
        <w:rPr>
          <w:rFonts w:ascii="Arial" w:hAnsi="Arial" w:cs="Arial"/>
          <w:sz w:val="22"/>
        </w:rPr>
        <w:t>Description</w:t>
      </w:r>
      <w:r w:rsidR="00070818" w:rsidRPr="00D0177A">
        <w:rPr>
          <w:rFonts w:ascii="Arial" w:hAnsi="Arial" w:cs="Arial"/>
          <w:sz w:val="22"/>
        </w:rPr>
        <w:t xml:space="preserve"> </w:t>
      </w:r>
      <w:r w:rsidR="13BD3D5D" w:rsidRPr="00D0177A">
        <w:rPr>
          <w:rFonts w:ascii="Arial" w:hAnsi="Arial" w:cs="Arial"/>
          <w:sz w:val="22"/>
        </w:rPr>
        <w:t xml:space="preserve">of </w:t>
      </w:r>
      <w:r w:rsidR="00991947" w:rsidRPr="00D0177A">
        <w:rPr>
          <w:rFonts w:ascii="Arial" w:hAnsi="Arial" w:cs="Arial"/>
          <w:sz w:val="22"/>
        </w:rPr>
        <w:t xml:space="preserve">Paediatric Haemoglobinopathy nurse </w:t>
      </w:r>
      <w:r w:rsidR="008B0B22" w:rsidRPr="00D0177A">
        <w:rPr>
          <w:rFonts w:ascii="Arial" w:hAnsi="Arial" w:cs="Arial"/>
          <w:sz w:val="22"/>
        </w:rPr>
        <w:t>in Health</w:t>
      </w:r>
      <w:r w:rsidR="3464B4D3" w:rsidRPr="00D0177A">
        <w:rPr>
          <w:rFonts w:ascii="Arial" w:hAnsi="Arial" w:cs="Arial"/>
          <w:sz w:val="22"/>
        </w:rPr>
        <w:t xml:space="preserve"> and Social </w:t>
      </w:r>
      <w:r w:rsidR="3D6135D7" w:rsidRPr="00D0177A">
        <w:rPr>
          <w:rFonts w:ascii="Arial" w:hAnsi="Arial" w:cs="Arial"/>
          <w:sz w:val="22"/>
        </w:rPr>
        <w:t>C</w:t>
      </w:r>
      <w:r w:rsidR="008B0B22" w:rsidRPr="00D0177A">
        <w:rPr>
          <w:rFonts w:ascii="Arial" w:hAnsi="Arial" w:cs="Arial"/>
          <w:sz w:val="22"/>
        </w:rPr>
        <w:t>are</w:t>
      </w:r>
      <w:bookmarkEnd w:id="2"/>
      <w:r w:rsidR="008B0B22" w:rsidRPr="00D0177A">
        <w:rPr>
          <w:rFonts w:ascii="Arial" w:hAnsi="Arial" w:cs="Arial"/>
          <w:sz w:val="22"/>
        </w:rPr>
        <w:t xml:space="preserve"> </w:t>
      </w:r>
    </w:p>
    <w:p w14:paraId="4C21603D" w14:textId="7B309BA4" w:rsidR="48942F29" w:rsidRPr="00D0177A" w:rsidRDefault="48942F29" w:rsidP="00D23EF8">
      <w:pPr>
        <w:pStyle w:val="NoSpacing"/>
        <w:rPr>
          <w:rFonts w:ascii="Arial" w:hAnsi="Arial" w:cs="Arial"/>
          <w:sz w:val="22"/>
        </w:rPr>
      </w:pPr>
    </w:p>
    <w:p w14:paraId="7E28A412" w14:textId="301FD1BD" w:rsidR="00D23EF8" w:rsidRPr="00D0177A" w:rsidRDefault="0026316C" w:rsidP="00D23EF8">
      <w:pPr>
        <w:pStyle w:val="NoSpacing"/>
        <w:rPr>
          <w:rFonts w:ascii="Arial" w:hAnsi="Arial" w:cs="Arial"/>
          <w:sz w:val="22"/>
        </w:rPr>
      </w:pPr>
      <w:r w:rsidRPr="00D0177A">
        <w:rPr>
          <w:rFonts w:ascii="Arial" w:hAnsi="Arial" w:cs="Arial"/>
          <w:sz w:val="22"/>
        </w:rPr>
        <w:t>Paediatric Haemoglobinopathy Nurse cares for children with blood disorders such as sickle cell disease and thalassemia. This role is important because early monitoring and intervention help prevent conditions from worsening and reduce the risk of long-term functional disability. The nurse works closely with patients and their families, providing holistic care that includes monitoring symptoms, delivering treatments, and supporting overall management of the condition. Paediatric haemoglobinopathy nurses are usually based in hospitals, but they also work within community settings to ensure continuity of care. Their responsibilities include providing educational, emotional, and clinical support to help children and their families understand and manage these lifelong conditions effectively.</w:t>
      </w:r>
      <w:bookmarkStart w:id="3" w:name="_Toc1426973069"/>
      <w:r w:rsidR="00D23EF8" w:rsidRPr="00D0177A">
        <w:rPr>
          <w:rFonts w:ascii="Arial" w:hAnsi="Arial" w:cs="Arial"/>
          <w:sz w:val="22"/>
        </w:rPr>
        <w:br/>
      </w:r>
    </w:p>
    <w:p w14:paraId="178F7777" w14:textId="77777777" w:rsidR="00D23EF8" w:rsidRPr="00D0177A" w:rsidRDefault="04019B15" w:rsidP="00D23EF8">
      <w:pPr>
        <w:pStyle w:val="NoSpacing"/>
        <w:rPr>
          <w:rFonts w:ascii="Arial" w:eastAsia="Segoe UI" w:hAnsi="Arial" w:cs="Arial"/>
          <w:sz w:val="22"/>
        </w:rPr>
      </w:pPr>
      <w:r w:rsidRPr="00D0177A">
        <w:rPr>
          <w:rFonts w:ascii="Arial" w:hAnsi="Arial" w:cs="Arial"/>
          <w:sz w:val="22"/>
        </w:rPr>
        <w:t>2.2</w:t>
      </w:r>
      <w:r w:rsidR="00676FEB" w:rsidRPr="00D0177A">
        <w:rPr>
          <w:rFonts w:ascii="Arial" w:hAnsi="Arial" w:cs="Arial"/>
          <w:sz w:val="22"/>
        </w:rPr>
        <w:t xml:space="preserve"> </w:t>
      </w:r>
      <w:r w:rsidR="00DD5135" w:rsidRPr="00D0177A">
        <w:rPr>
          <w:rFonts w:ascii="Arial" w:hAnsi="Arial" w:cs="Arial"/>
          <w:sz w:val="22"/>
        </w:rPr>
        <w:t>Explanation</w:t>
      </w:r>
      <w:r w:rsidR="00805726" w:rsidRPr="00D0177A">
        <w:rPr>
          <w:rFonts w:ascii="Arial" w:hAnsi="Arial" w:cs="Arial"/>
          <w:sz w:val="22"/>
        </w:rPr>
        <w:t xml:space="preserve"> of </w:t>
      </w:r>
      <w:r w:rsidR="549B9698" w:rsidRPr="00D0177A">
        <w:rPr>
          <w:rFonts w:ascii="Arial" w:hAnsi="Arial" w:cs="Arial"/>
          <w:sz w:val="22"/>
        </w:rPr>
        <w:t>M</w:t>
      </w:r>
      <w:r w:rsidR="00824CB1" w:rsidRPr="00D0177A">
        <w:rPr>
          <w:rFonts w:ascii="Arial" w:hAnsi="Arial" w:cs="Arial"/>
          <w:sz w:val="22"/>
        </w:rPr>
        <w:t xml:space="preserve">ost </w:t>
      </w:r>
      <w:r w:rsidR="7AC44C89" w:rsidRPr="00D0177A">
        <w:rPr>
          <w:rFonts w:ascii="Arial" w:hAnsi="Arial" w:cs="Arial"/>
          <w:sz w:val="22"/>
        </w:rPr>
        <w:t>S</w:t>
      </w:r>
      <w:r w:rsidR="00824CB1" w:rsidRPr="00D0177A">
        <w:rPr>
          <w:rFonts w:ascii="Arial" w:hAnsi="Arial" w:cs="Arial"/>
          <w:sz w:val="22"/>
        </w:rPr>
        <w:t xml:space="preserve">ignificant </w:t>
      </w:r>
      <w:r w:rsidR="556E2D6A" w:rsidRPr="00D0177A">
        <w:rPr>
          <w:rFonts w:ascii="Arial" w:hAnsi="Arial" w:cs="Arial"/>
          <w:sz w:val="22"/>
        </w:rPr>
        <w:t>S</w:t>
      </w:r>
      <w:r w:rsidR="00D4006B" w:rsidRPr="00D0177A">
        <w:rPr>
          <w:rFonts w:ascii="Arial" w:hAnsi="Arial" w:cs="Arial"/>
          <w:sz w:val="22"/>
        </w:rPr>
        <w:t xml:space="preserve">kills </w:t>
      </w:r>
      <w:r w:rsidR="653BE314" w:rsidRPr="00D0177A">
        <w:rPr>
          <w:rFonts w:ascii="Arial" w:hAnsi="Arial" w:cs="Arial"/>
          <w:sz w:val="22"/>
        </w:rPr>
        <w:t>N</w:t>
      </w:r>
      <w:r w:rsidR="00D4006B" w:rsidRPr="00D0177A">
        <w:rPr>
          <w:rFonts w:ascii="Arial" w:hAnsi="Arial" w:cs="Arial"/>
          <w:sz w:val="22"/>
        </w:rPr>
        <w:t xml:space="preserve">eeded for </w:t>
      </w:r>
      <w:bookmarkEnd w:id="3"/>
      <w:r w:rsidR="00A11150" w:rsidRPr="00D0177A">
        <w:rPr>
          <w:rFonts w:ascii="Arial" w:hAnsi="Arial" w:cs="Arial"/>
          <w:sz w:val="22"/>
        </w:rPr>
        <w:t>Paediatric Haemoglobinopathy Nurse</w:t>
      </w:r>
      <w:r w:rsidR="00A11150" w:rsidRPr="00D0177A">
        <w:rPr>
          <w:rFonts w:ascii="Arial" w:eastAsia="Segoe UI" w:hAnsi="Arial" w:cs="Arial"/>
          <w:sz w:val="22"/>
        </w:rPr>
        <w:t xml:space="preserve"> </w:t>
      </w:r>
      <w:bookmarkStart w:id="4" w:name="_Toc992114325"/>
    </w:p>
    <w:p w14:paraId="23BE0E81" w14:textId="46C0F37E" w:rsidR="00343E55" w:rsidRPr="00D0177A" w:rsidRDefault="00D23EF8" w:rsidP="00D23EF8">
      <w:pPr>
        <w:pStyle w:val="NoSpacing"/>
        <w:rPr>
          <w:rFonts w:ascii="Arial" w:hAnsi="Arial" w:cs="Arial"/>
          <w:sz w:val="22"/>
        </w:rPr>
      </w:pPr>
      <w:r w:rsidRPr="00D0177A">
        <w:rPr>
          <w:rFonts w:ascii="Arial" w:eastAsia="Segoe UI" w:hAnsi="Arial" w:cs="Arial"/>
          <w:sz w:val="22"/>
        </w:rPr>
        <w:br/>
      </w:r>
      <w:r w:rsidR="00343E55" w:rsidRPr="00D0177A">
        <w:rPr>
          <w:rFonts w:ascii="Arial" w:eastAsia="Segoe UI" w:hAnsi="Arial" w:cs="Arial"/>
          <w:sz w:val="22"/>
        </w:rPr>
        <w:t xml:space="preserve">Communication is a key skill for a Paediatric Haemoglobinopathy Nurse because clear explanations help children and their families understand sickle cell disease and its </w:t>
      </w:r>
      <w:r w:rsidR="008F79A7" w:rsidRPr="00D0177A">
        <w:rPr>
          <w:rFonts w:ascii="Arial" w:eastAsia="Segoe UI" w:hAnsi="Arial" w:cs="Arial"/>
          <w:sz w:val="22"/>
        </w:rPr>
        <w:t>treatments. Communicates</w:t>
      </w:r>
      <w:r w:rsidR="00343E55" w:rsidRPr="00D0177A">
        <w:rPr>
          <w:rFonts w:ascii="Arial" w:eastAsia="Segoe UI" w:hAnsi="Arial" w:cs="Arial"/>
          <w:sz w:val="22"/>
        </w:rPr>
        <w:t xml:space="preserve"> effectively</w:t>
      </w:r>
      <w:r w:rsidR="008F79A7" w:rsidRPr="00D0177A">
        <w:rPr>
          <w:rFonts w:ascii="Arial" w:eastAsia="Segoe UI" w:hAnsi="Arial" w:cs="Arial"/>
          <w:sz w:val="22"/>
        </w:rPr>
        <w:t xml:space="preserve"> </w:t>
      </w:r>
      <w:r w:rsidR="00582A53" w:rsidRPr="00D0177A">
        <w:rPr>
          <w:rFonts w:ascii="Arial" w:eastAsia="Segoe UI" w:hAnsi="Arial" w:cs="Arial"/>
          <w:sz w:val="22"/>
        </w:rPr>
        <w:t>for</w:t>
      </w:r>
      <w:r w:rsidR="00343E55" w:rsidRPr="00D0177A">
        <w:rPr>
          <w:rFonts w:ascii="Arial" w:eastAsia="Segoe UI" w:hAnsi="Arial" w:cs="Arial"/>
          <w:sz w:val="22"/>
        </w:rPr>
        <w:t xml:space="preserve"> example, explaining the steps of a blood transfusion in simple, age-appropriate language helps the child feel reassured and prepares the family for what to expect. Communication therefore ensures that families remain informed, confident, and engaged in their child’s care.</w:t>
      </w:r>
    </w:p>
    <w:p w14:paraId="4D3F3B43" w14:textId="77777777" w:rsidR="00343E55" w:rsidRPr="00D0177A" w:rsidRDefault="00343E55" w:rsidP="00D23EF8">
      <w:pPr>
        <w:pStyle w:val="NoSpacing"/>
        <w:rPr>
          <w:rFonts w:ascii="Arial" w:eastAsia="Segoe UI" w:hAnsi="Arial" w:cs="Arial"/>
          <w:sz w:val="22"/>
        </w:rPr>
      </w:pPr>
    </w:p>
    <w:p w14:paraId="0DD14F5C" w14:textId="76DAAF28" w:rsidR="00343E55" w:rsidRPr="00D0177A" w:rsidRDefault="00343E55" w:rsidP="00D23EF8">
      <w:pPr>
        <w:pStyle w:val="NoSpacing"/>
        <w:rPr>
          <w:rFonts w:ascii="Arial" w:eastAsia="Segoe UI" w:hAnsi="Arial" w:cs="Arial"/>
          <w:sz w:val="22"/>
        </w:rPr>
      </w:pPr>
      <w:r w:rsidRPr="00D0177A">
        <w:rPr>
          <w:rFonts w:ascii="Arial" w:eastAsia="Segoe UI" w:hAnsi="Arial" w:cs="Arial"/>
          <w:sz w:val="22"/>
        </w:rPr>
        <w:t xml:space="preserve">Cultural awareness is another essential skill, as sickle cell conditions are more common among Black African, Caribbean, and South Asian </w:t>
      </w:r>
      <w:r w:rsidR="008F79A7" w:rsidRPr="00D0177A">
        <w:rPr>
          <w:rFonts w:ascii="Arial" w:eastAsia="Segoe UI" w:hAnsi="Arial" w:cs="Arial"/>
          <w:sz w:val="22"/>
        </w:rPr>
        <w:t>communities. And f</w:t>
      </w:r>
      <w:r w:rsidRPr="00D0177A">
        <w:rPr>
          <w:rFonts w:ascii="Arial" w:eastAsia="Segoe UI" w:hAnsi="Arial" w:cs="Arial"/>
          <w:sz w:val="22"/>
        </w:rPr>
        <w:t xml:space="preserve">or example, recognising that different </w:t>
      </w:r>
      <w:r w:rsidR="00582A53" w:rsidRPr="00D0177A">
        <w:rPr>
          <w:rFonts w:ascii="Arial" w:eastAsia="Segoe UI" w:hAnsi="Arial" w:cs="Arial"/>
          <w:sz w:val="22"/>
        </w:rPr>
        <w:t>community’s</w:t>
      </w:r>
      <w:r w:rsidRPr="00D0177A">
        <w:rPr>
          <w:rFonts w:ascii="Arial" w:eastAsia="Segoe UI" w:hAnsi="Arial" w:cs="Arial"/>
          <w:sz w:val="22"/>
        </w:rPr>
        <w:t xml:space="preserve"> express pain differently enables the nurse to assess symptoms accurately and avoid </w:t>
      </w:r>
      <w:r w:rsidR="008F79A7" w:rsidRPr="00D0177A">
        <w:rPr>
          <w:rFonts w:ascii="Arial" w:eastAsia="Segoe UI" w:hAnsi="Arial" w:cs="Arial"/>
          <w:sz w:val="22"/>
        </w:rPr>
        <w:t xml:space="preserve">misunderstanding. </w:t>
      </w:r>
    </w:p>
    <w:p w14:paraId="31DE43FB" w14:textId="77777777" w:rsidR="00343E55" w:rsidRPr="00D0177A" w:rsidRDefault="00343E55" w:rsidP="00D23EF8">
      <w:pPr>
        <w:pStyle w:val="NoSpacing"/>
        <w:rPr>
          <w:rFonts w:ascii="Arial" w:eastAsia="Segoe UI" w:hAnsi="Arial" w:cs="Arial"/>
          <w:sz w:val="22"/>
        </w:rPr>
      </w:pPr>
    </w:p>
    <w:p w14:paraId="36E2B991" w14:textId="77777777" w:rsidR="00343E55" w:rsidRPr="00D0177A" w:rsidRDefault="00343E55" w:rsidP="00D23EF8">
      <w:pPr>
        <w:pStyle w:val="NoSpacing"/>
        <w:rPr>
          <w:rFonts w:ascii="Arial" w:eastAsia="Segoe UI" w:hAnsi="Arial" w:cs="Arial"/>
          <w:sz w:val="22"/>
        </w:rPr>
      </w:pPr>
      <w:r w:rsidRPr="00D0177A">
        <w:rPr>
          <w:rFonts w:ascii="Arial" w:eastAsia="Segoe UI" w:hAnsi="Arial" w:cs="Arial"/>
          <w:sz w:val="22"/>
        </w:rPr>
        <w:lastRenderedPageBreak/>
        <w:t>Critical thinking and decision-making are also vital skills because children with haemoglobinopathies may experience sudden pain crises or life-threatening complications. Nurses must quickly interpret clinical signs such as fever, oxygen changes, or neurological symptoms to determine whether escalation is required (Royal College of Nursing, 2021). Fast, accurate decision-making protects the child from severe complications and ensures timely intervention. For example, recognising a high fever alongside increasing pain may indicate infection, requiring urgent hospital admission to prevent deterioration. Critical thinking ensures that risks are identified early and that safe, evidence-based decisions are made.</w:t>
      </w:r>
    </w:p>
    <w:p w14:paraId="32F5D129" w14:textId="77777777" w:rsidR="00343E55" w:rsidRPr="00D0177A" w:rsidRDefault="00343E55" w:rsidP="00D23EF8">
      <w:pPr>
        <w:pStyle w:val="NoSpacing"/>
        <w:rPr>
          <w:rFonts w:ascii="Arial" w:eastAsia="Segoe UI" w:hAnsi="Arial" w:cs="Arial"/>
          <w:sz w:val="22"/>
        </w:rPr>
      </w:pPr>
    </w:p>
    <w:p w14:paraId="2CAEA1EC" w14:textId="2C206A5D" w:rsidR="002370CE" w:rsidRPr="00D0177A" w:rsidRDefault="00343E55" w:rsidP="00D23EF8">
      <w:pPr>
        <w:pStyle w:val="NoSpacing"/>
        <w:rPr>
          <w:rFonts w:ascii="Arial" w:hAnsi="Arial" w:cs="Arial"/>
          <w:sz w:val="22"/>
        </w:rPr>
      </w:pPr>
      <w:r w:rsidRPr="00D0177A">
        <w:rPr>
          <w:rFonts w:ascii="Arial" w:eastAsia="Segoe UI" w:hAnsi="Arial" w:cs="Arial"/>
          <w:sz w:val="22"/>
        </w:rPr>
        <w:t xml:space="preserve">A lack of communication, cultural awareness, or critical thinking can negatively affect outcomes for children with haemoglobinopathies. Poor communication can lead to mistrust and confusion, reduced adherence to treatment, and increased anxiety. Insufficient cultural awareness may cause misunderstanding, misinterpretation of symptoms, and reduced engagement from families. Weak critical thinking may delay essential treatment, putting the child at risk of severe complications. These potential consequences highlight the importance of ensuring that paediatric haemoglobinopathy nurses develop and maintain these essential skills to deliver safe, effective care. </w:t>
      </w:r>
      <w:r w:rsidR="1F09BC6E" w:rsidRPr="00D0177A">
        <w:rPr>
          <w:rFonts w:ascii="Arial" w:hAnsi="Arial" w:cs="Arial"/>
          <w:sz w:val="22"/>
        </w:rPr>
        <w:t>3</w:t>
      </w:r>
      <w:r w:rsidR="005D5457" w:rsidRPr="00D0177A">
        <w:rPr>
          <w:rFonts w:ascii="Arial" w:hAnsi="Arial" w:cs="Arial"/>
          <w:sz w:val="22"/>
        </w:rPr>
        <w:t xml:space="preserve"> </w:t>
      </w:r>
      <w:r w:rsidR="003003FD" w:rsidRPr="00D0177A">
        <w:rPr>
          <w:rFonts w:ascii="Arial" w:hAnsi="Arial" w:cs="Arial"/>
          <w:sz w:val="22"/>
        </w:rPr>
        <w:t>Strategies</w:t>
      </w:r>
      <w:r w:rsidR="00183CB9" w:rsidRPr="00D0177A">
        <w:rPr>
          <w:rFonts w:ascii="Arial" w:hAnsi="Arial" w:cs="Arial"/>
          <w:sz w:val="22"/>
        </w:rPr>
        <w:t xml:space="preserve"> </w:t>
      </w:r>
      <w:r w:rsidR="59AB5A3E" w:rsidRPr="00D0177A">
        <w:rPr>
          <w:rFonts w:ascii="Arial" w:hAnsi="Arial" w:cs="Arial"/>
          <w:sz w:val="22"/>
        </w:rPr>
        <w:t xml:space="preserve">for Skill Improvement for </w:t>
      </w:r>
      <w:bookmarkEnd w:id="4"/>
      <w:r w:rsidR="003D1702" w:rsidRPr="00D0177A">
        <w:rPr>
          <w:rFonts w:ascii="Arial" w:hAnsi="Arial" w:cs="Arial"/>
          <w:sz w:val="22"/>
        </w:rPr>
        <w:t>Paediatric Haemoglobinopathy Nurse</w:t>
      </w:r>
    </w:p>
    <w:p w14:paraId="5A2B33C6" w14:textId="77777777" w:rsidR="00343E55" w:rsidRPr="00D0177A" w:rsidRDefault="00343E55" w:rsidP="00D23EF8">
      <w:pPr>
        <w:pStyle w:val="NoSpacing"/>
        <w:rPr>
          <w:rFonts w:ascii="Arial" w:hAnsi="Arial" w:cs="Arial"/>
          <w:sz w:val="22"/>
        </w:rPr>
      </w:pPr>
    </w:p>
    <w:p w14:paraId="790ADE75" w14:textId="56624236" w:rsidR="0156E134" w:rsidRPr="00D0177A" w:rsidRDefault="0C5D0C5C" w:rsidP="00D23EF8">
      <w:pPr>
        <w:pStyle w:val="NoSpacing"/>
        <w:rPr>
          <w:rFonts w:ascii="Arial" w:hAnsi="Arial" w:cs="Arial"/>
          <w:sz w:val="22"/>
        </w:rPr>
      </w:pPr>
      <w:bookmarkStart w:id="5" w:name="_Toc1405407187"/>
      <w:r w:rsidRPr="00D0177A">
        <w:rPr>
          <w:rFonts w:ascii="Arial" w:hAnsi="Arial" w:cs="Arial"/>
          <w:sz w:val="22"/>
        </w:rPr>
        <w:t xml:space="preserve">3.1 Three Strategies </w:t>
      </w:r>
      <w:r w:rsidR="00183CB9" w:rsidRPr="00D0177A">
        <w:rPr>
          <w:rFonts w:ascii="Arial" w:hAnsi="Arial" w:cs="Arial"/>
          <w:sz w:val="22"/>
        </w:rPr>
        <w:t xml:space="preserve">to </w:t>
      </w:r>
      <w:r w:rsidR="5CE671C3" w:rsidRPr="00D0177A">
        <w:rPr>
          <w:rFonts w:ascii="Arial" w:hAnsi="Arial" w:cs="Arial"/>
          <w:sz w:val="22"/>
        </w:rPr>
        <w:t>I</w:t>
      </w:r>
      <w:r w:rsidR="00183CB9" w:rsidRPr="00D0177A">
        <w:rPr>
          <w:rFonts w:ascii="Arial" w:hAnsi="Arial" w:cs="Arial"/>
          <w:sz w:val="22"/>
        </w:rPr>
        <w:t xml:space="preserve">mprove the </w:t>
      </w:r>
      <w:r w:rsidR="40F0AB75" w:rsidRPr="00D0177A">
        <w:rPr>
          <w:rFonts w:ascii="Arial" w:hAnsi="Arial" w:cs="Arial"/>
          <w:sz w:val="22"/>
        </w:rPr>
        <w:t>S</w:t>
      </w:r>
      <w:r w:rsidR="00183CB9" w:rsidRPr="00D0177A">
        <w:rPr>
          <w:rFonts w:ascii="Arial" w:hAnsi="Arial" w:cs="Arial"/>
          <w:sz w:val="22"/>
        </w:rPr>
        <w:t>kills</w:t>
      </w:r>
      <w:r w:rsidR="005D5457" w:rsidRPr="00D0177A">
        <w:rPr>
          <w:rFonts w:ascii="Arial" w:hAnsi="Arial" w:cs="Arial"/>
          <w:sz w:val="22"/>
        </w:rPr>
        <w:t xml:space="preserve"> </w:t>
      </w:r>
      <w:r w:rsidR="00070818" w:rsidRPr="00D0177A">
        <w:rPr>
          <w:rFonts w:ascii="Arial" w:hAnsi="Arial" w:cs="Arial"/>
          <w:sz w:val="22"/>
        </w:rPr>
        <w:t xml:space="preserve">for </w:t>
      </w:r>
      <w:bookmarkEnd w:id="5"/>
      <w:r w:rsidR="003D1702" w:rsidRPr="00D0177A">
        <w:rPr>
          <w:rFonts w:ascii="Arial" w:hAnsi="Arial" w:cs="Arial"/>
          <w:sz w:val="22"/>
        </w:rPr>
        <w:t>Paediatric Haemoglobinopathy Nurse</w:t>
      </w:r>
      <w:r w:rsidR="004D1E08" w:rsidRPr="00D0177A">
        <w:rPr>
          <w:rFonts w:ascii="Arial" w:hAnsi="Arial" w:cs="Arial"/>
          <w:sz w:val="22"/>
        </w:rPr>
        <w:br/>
      </w:r>
    </w:p>
    <w:p w14:paraId="47DF812C" w14:textId="161CD0DC" w:rsidR="00A877D1" w:rsidRPr="00D0177A" w:rsidRDefault="00A877D1" w:rsidP="00D23EF8">
      <w:pPr>
        <w:pStyle w:val="NoSpacing"/>
        <w:rPr>
          <w:rFonts w:ascii="Arial" w:hAnsi="Arial" w:cs="Arial"/>
          <w:sz w:val="22"/>
        </w:rPr>
      </w:pPr>
      <w:r w:rsidRPr="00D0177A">
        <w:rPr>
          <w:rFonts w:ascii="Arial" w:hAnsi="Arial" w:cs="Arial"/>
          <w:sz w:val="22"/>
        </w:rPr>
        <w:t xml:space="preserve">A key strategy for improving communication in paediatric haemoglobinopathy care is the consistent use of clear, structured, and personalised communication when supporting children and their families. This is particularly important because poor communication often leads to suspicion and mistrust, especially among families affected by sickle cell disease who may have experienced negative interactions with healthcare services in the past (NHS England, 2021). When patients feel misunderstood or judged, they may become defensive or appear hostile, which increases the risk of further miscommunication and reduces the effectiveness of care. For example, </w:t>
      </w:r>
      <w:r w:rsidR="00CC205E" w:rsidRPr="00D0177A">
        <w:rPr>
          <w:rFonts w:ascii="Arial" w:hAnsi="Arial" w:cs="Arial"/>
          <w:sz w:val="22"/>
        </w:rPr>
        <w:t>this</w:t>
      </w:r>
      <w:r w:rsidRPr="00D0177A">
        <w:rPr>
          <w:rFonts w:ascii="Arial" w:hAnsi="Arial" w:cs="Arial"/>
          <w:sz w:val="22"/>
        </w:rPr>
        <w:t xml:space="preserve"> strategy strengthens engagement, improves cooperation, and supports safer and more positive healthcare experiences for both children and their families.</w:t>
      </w:r>
    </w:p>
    <w:p w14:paraId="7943F9CC" w14:textId="706FA193" w:rsidR="003D1702" w:rsidRPr="00D0177A" w:rsidRDefault="00662DA8" w:rsidP="00D23EF8">
      <w:pPr>
        <w:pStyle w:val="NoSpacing"/>
        <w:rPr>
          <w:rFonts w:ascii="Arial" w:hAnsi="Arial" w:cs="Arial"/>
          <w:sz w:val="22"/>
        </w:rPr>
      </w:pPr>
      <w:r w:rsidRPr="00D0177A">
        <w:rPr>
          <w:rFonts w:ascii="Arial" w:hAnsi="Arial" w:cs="Arial"/>
          <w:sz w:val="22"/>
        </w:rPr>
        <w:br/>
      </w:r>
      <w:r w:rsidR="00140509" w:rsidRPr="00D0177A">
        <w:rPr>
          <w:rFonts w:ascii="Arial" w:hAnsi="Arial" w:cs="Arial"/>
          <w:sz w:val="22"/>
        </w:rPr>
        <w:t>Cultural disaster This strategy is important because many families face cultural misconceptions, stigma, or different understandings of pain and genetic inheritance, which influence how they experience and communicate their child’s condition (Sickle Cell Society, 2023). Training helps professionals recognise these beliefs and respond respectfully, reducing the risk of misunderstanding and improving trust in the healthcare system. Working with community groups also provides valuable insight into lived experiences, empowering nurses to adapt their communication and assessment methods appropriately. For This strategy reduces cultural barriers, supports respectful family-centred care, and contributes to better clinical outcomes.</w:t>
      </w:r>
    </w:p>
    <w:p w14:paraId="2B90C781" w14:textId="77777777" w:rsidR="00140509" w:rsidRPr="00D0177A" w:rsidRDefault="00140509" w:rsidP="00D23EF8">
      <w:pPr>
        <w:pStyle w:val="NoSpacing"/>
        <w:rPr>
          <w:rFonts w:ascii="Arial" w:hAnsi="Arial" w:cs="Arial"/>
          <w:sz w:val="22"/>
        </w:rPr>
      </w:pPr>
    </w:p>
    <w:p w14:paraId="5B971EFD" w14:textId="78C4111E" w:rsidR="007A6B0E" w:rsidRPr="00D0177A" w:rsidRDefault="00D23EF8" w:rsidP="00D23EF8">
      <w:pPr>
        <w:pStyle w:val="NoSpacing"/>
        <w:rPr>
          <w:rFonts w:ascii="Arial" w:hAnsi="Arial" w:cs="Arial"/>
          <w:sz w:val="22"/>
        </w:rPr>
      </w:pPr>
      <w:bookmarkStart w:id="6" w:name="_Toc1799977123"/>
      <w:r w:rsidRPr="00D0177A">
        <w:rPr>
          <w:rFonts w:ascii="Arial" w:hAnsi="Arial" w:cs="Arial"/>
          <w:sz w:val="22"/>
        </w:rPr>
        <w:t xml:space="preserve">Critical thinking can be improved through regular simulation training for sickle cell emergencies, reviewing case studies, and receiving mentorship from senior haematology professionals. These activities help nurses practise structured responses to real clinical situations and learn how to identify early signs of complications such as fever, low oxygen saturation, or sudden pain crises (Royal College of Nursing, 2021). Simulation-based learning builds confidence by allowing nurses to rehearse emergency actions in a safe environment, while case studies deepen understanding of how clinical decisions are made in practice. Mentorship also provides guidance and feedback that supports continuous improvement and professional growth. For example, practising scenarios involving a child with rapidly increasing pain or oxygen difficulty teaches nurses how to escalate care promptly and select the safest intervention. This strategy strengthens clinical judgement, </w:t>
      </w:r>
      <w:r w:rsidRPr="00D0177A">
        <w:rPr>
          <w:rFonts w:ascii="Arial" w:hAnsi="Arial" w:cs="Arial"/>
          <w:sz w:val="22"/>
        </w:rPr>
        <w:lastRenderedPageBreak/>
        <w:t>improves decision-making accuracy, and prepares nurses to respond effectively when managing haemoglobinopathy crises.</w:t>
      </w:r>
    </w:p>
    <w:p w14:paraId="452AECCB" w14:textId="77777777" w:rsidR="00D23EF8" w:rsidRPr="00D0177A" w:rsidRDefault="00D23EF8" w:rsidP="00D23EF8">
      <w:pPr>
        <w:pStyle w:val="NoSpacing"/>
        <w:rPr>
          <w:rFonts w:ascii="Arial" w:hAnsi="Arial" w:cs="Arial"/>
          <w:sz w:val="22"/>
        </w:rPr>
      </w:pPr>
    </w:p>
    <w:p w14:paraId="767DA8BE" w14:textId="052D94B9" w:rsidR="00F310FC" w:rsidRPr="00D0177A" w:rsidRDefault="5617AA6E" w:rsidP="00D23EF8">
      <w:pPr>
        <w:pStyle w:val="NoSpacing"/>
        <w:rPr>
          <w:rFonts w:ascii="Arial" w:hAnsi="Arial" w:cs="Arial"/>
          <w:b/>
          <w:bCs/>
          <w:sz w:val="22"/>
        </w:rPr>
      </w:pPr>
      <w:r w:rsidRPr="00D0177A">
        <w:rPr>
          <w:rFonts w:ascii="Arial" w:hAnsi="Arial" w:cs="Arial"/>
          <w:b/>
          <w:bCs/>
          <w:sz w:val="22"/>
        </w:rPr>
        <w:t>4</w:t>
      </w:r>
      <w:r w:rsidR="00A946CB" w:rsidRPr="00D0177A">
        <w:rPr>
          <w:rFonts w:ascii="Arial" w:hAnsi="Arial" w:cs="Arial"/>
          <w:b/>
          <w:bCs/>
          <w:sz w:val="22"/>
        </w:rPr>
        <w:t xml:space="preserve"> Conclusion</w:t>
      </w:r>
      <w:bookmarkEnd w:id="6"/>
    </w:p>
    <w:p w14:paraId="18ED5AC7" w14:textId="77777777" w:rsidR="00D23EF8" w:rsidRPr="00D0177A" w:rsidRDefault="00547470" w:rsidP="00D23EF8">
      <w:pPr>
        <w:pStyle w:val="NoSpacing"/>
        <w:rPr>
          <w:rFonts w:ascii="Arial" w:hAnsi="Arial" w:cs="Arial"/>
          <w:sz w:val="22"/>
        </w:rPr>
      </w:pPr>
      <w:r w:rsidRPr="00D0177A">
        <w:rPr>
          <w:rFonts w:ascii="Arial" w:hAnsi="Arial" w:cs="Arial"/>
          <w:sz w:val="22"/>
        </w:rPr>
        <w:t>The role of a Paediatric Haemoglobinopathy Nurse is crucial in supporting children with sickle cell disease and thalassemia through specialised, safe, and holistic care. Communication, cultural awareness, and critical thinking are essential skills that enable nurses to deliver effective education, family engagement, and swift clinical responses. The strategies discussed—structured communication, cultural competence training, and simulation-based learning—support the development of these skills and strengthen overall care quality. Ensuring that nurses possess and enhance these core abilities contributes to improved outcomes, reduced complications, and positive experiences for children and their families.</w:t>
      </w:r>
      <w:bookmarkStart w:id="7" w:name="_Toc1911583216"/>
    </w:p>
    <w:p w14:paraId="5C3AAD76" w14:textId="77777777" w:rsidR="00F310FC" w:rsidRPr="00D0177A" w:rsidRDefault="00F310FC" w:rsidP="00D23EF8">
      <w:pPr>
        <w:pStyle w:val="NoSpacing"/>
        <w:rPr>
          <w:rFonts w:ascii="Arial" w:hAnsi="Arial" w:cs="Arial"/>
          <w:sz w:val="22"/>
        </w:rPr>
      </w:pPr>
    </w:p>
    <w:p w14:paraId="37976D0E" w14:textId="77777777" w:rsidR="00595655" w:rsidRDefault="00595655" w:rsidP="00D23EF8">
      <w:pPr>
        <w:pStyle w:val="NoSpacing"/>
        <w:rPr>
          <w:rFonts w:ascii="Arial" w:hAnsi="Arial" w:cs="Arial"/>
          <w:b/>
          <w:bCs/>
          <w:sz w:val="22"/>
        </w:rPr>
      </w:pPr>
    </w:p>
    <w:p w14:paraId="6A470785" w14:textId="77777777" w:rsidR="00595655" w:rsidRDefault="00226D31" w:rsidP="00D23EF8">
      <w:pPr>
        <w:pStyle w:val="NoSpacing"/>
        <w:rPr>
          <w:rFonts w:ascii="Arial" w:hAnsi="Arial" w:cs="Arial"/>
          <w:sz w:val="22"/>
        </w:rPr>
      </w:pPr>
      <w:r w:rsidRPr="00D0177A">
        <w:rPr>
          <w:rFonts w:ascii="Arial" w:hAnsi="Arial" w:cs="Arial"/>
          <w:b/>
          <w:bCs/>
          <w:sz w:val="22"/>
        </w:rPr>
        <w:t>5 Reference List</w:t>
      </w:r>
      <w:bookmarkEnd w:id="7"/>
      <w:r w:rsidR="002D780C" w:rsidRPr="00D0177A">
        <w:rPr>
          <w:rFonts w:ascii="Arial" w:hAnsi="Arial" w:cs="Arial"/>
          <w:sz w:val="22"/>
        </w:rPr>
        <w:br/>
      </w:r>
    </w:p>
    <w:p w14:paraId="0C8FF18B" w14:textId="473F810F" w:rsidR="00D23EF8" w:rsidRPr="00E5264A" w:rsidRDefault="00783604" w:rsidP="00D23EF8">
      <w:pPr>
        <w:pStyle w:val="NoSpacing"/>
        <w:rPr>
          <w:rFonts w:ascii="Arial" w:hAnsi="Arial" w:cs="Arial"/>
          <w:b/>
          <w:bCs/>
          <w:sz w:val="22"/>
        </w:rPr>
      </w:pPr>
      <w:r w:rsidRPr="00D0177A">
        <w:rPr>
          <w:rFonts w:ascii="Arial" w:hAnsi="Arial" w:cs="Arial"/>
          <w:sz w:val="22"/>
        </w:rPr>
        <w:t>NHS. (2023) Paediatric haematology services. Available at: https://www.nhs.uk(Accessed: 1 December 2025).</w:t>
      </w:r>
    </w:p>
    <w:p w14:paraId="4204DD11" w14:textId="77777777" w:rsidR="00E5264A" w:rsidRPr="00D0177A" w:rsidRDefault="00E5264A" w:rsidP="00D23EF8">
      <w:pPr>
        <w:pStyle w:val="NoSpacing"/>
        <w:rPr>
          <w:rFonts w:ascii="Arial" w:hAnsi="Arial" w:cs="Arial"/>
          <w:sz w:val="22"/>
        </w:rPr>
      </w:pPr>
    </w:p>
    <w:p w14:paraId="518C3B00" w14:textId="77777777" w:rsidR="00DD5A06" w:rsidRDefault="00783604" w:rsidP="00D23EF8">
      <w:pPr>
        <w:pStyle w:val="NoSpacing"/>
        <w:rPr>
          <w:rFonts w:ascii="Arial" w:hAnsi="Arial" w:cs="Arial"/>
          <w:sz w:val="22"/>
        </w:rPr>
      </w:pPr>
      <w:r w:rsidRPr="00D0177A">
        <w:rPr>
          <w:rFonts w:ascii="Arial" w:hAnsi="Arial" w:cs="Arial"/>
          <w:sz w:val="22"/>
        </w:rPr>
        <w:t xml:space="preserve">NHS England. (2021) Improving communication in clinical care. </w:t>
      </w:r>
    </w:p>
    <w:p w14:paraId="6C945C4F" w14:textId="77777777" w:rsidR="00DD5A06" w:rsidRDefault="00DD5A06" w:rsidP="00D23EF8">
      <w:pPr>
        <w:pStyle w:val="NoSpacing"/>
        <w:rPr>
          <w:rFonts w:ascii="Arial" w:hAnsi="Arial" w:cs="Arial"/>
          <w:sz w:val="22"/>
        </w:rPr>
      </w:pPr>
    </w:p>
    <w:p w14:paraId="66DAB7B4" w14:textId="71B54104" w:rsidR="00D23EF8" w:rsidRDefault="00783604" w:rsidP="00D23EF8">
      <w:pPr>
        <w:pStyle w:val="NoSpacing"/>
        <w:rPr>
          <w:rFonts w:ascii="Arial" w:hAnsi="Arial" w:cs="Arial"/>
          <w:sz w:val="22"/>
        </w:rPr>
      </w:pPr>
      <w:r w:rsidRPr="00D0177A">
        <w:rPr>
          <w:rFonts w:ascii="Arial" w:hAnsi="Arial" w:cs="Arial"/>
          <w:sz w:val="22"/>
        </w:rPr>
        <w:t>Offhttps://www.england.nhs.uk (Accessed: 1 December 2025).</w:t>
      </w:r>
    </w:p>
    <w:p w14:paraId="0A87A189" w14:textId="77777777" w:rsidR="00DD5A06" w:rsidRPr="00D0177A" w:rsidRDefault="00DD5A06" w:rsidP="00D23EF8">
      <w:pPr>
        <w:pStyle w:val="NoSpacing"/>
        <w:rPr>
          <w:rFonts w:ascii="Arial" w:hAnsi="Arial" w:cs="Arial"/>
          <w:sz w:val="22"/>
        </w:rPr>
      </w:pPr>
    </w:p>
    <w:p w14:paraId="7979C70E" w14:textId="77777777" w:rsidR="00D23EF8" w:rsidRPr="00D0177A" w:rsidRDefault="00783604" w:rsidP="00D23EF8">
      <w:pPr>
        <w:pStyle w:val="NoSpacing"/>
        <w:rPr>
          <w:rFonts w:ascii="Arial" w:hAnsi="Arial" w:cs="Arial"/>
          <w:sz w:val="22"/>
        </w:rPr>
      </w:pPr>
      <w:r w:rsidRPr="00D0177A">
        <w:rPr>
          <w:rFonts w:ascii="Arial" w:hAnsi="Arial" w:cs="Arial"/>
          <w:sz w:val="22"/>
        </w:rPr>
        <w:t>NHS England. (2022) Special.https://www.england.nhs.uk (Accessed: 1 December 2025).</w:t>
      </w:r>
    </w:p>
    <w:p w14:paraId="2ECB8F6F" w14:textId="77777777" w:rsidR="00D23EF8" w:rsidRDefault="00783604" w:rsidP="00D23EF8">
      <w:pPr>
        <w:pStyle w:val="NoSpacing"/>
        <w:rPr>
          <w:rFonts w:ascii="Arial" w:hAnsi="Arial" w:cs="Arial"/>
          <w:sz w:val="22"/>
        </w:rPr>
      </w:pPr>
      <w:r w:rsidRPr="00D0177A">
        <w:rPr>
          <w:rFonts w:ascii="Arial" w:hAnsi="Arial" w:cs="Arial"/>
          <w:sz w:val="22"/>
        </w:rPr>
        <w:t xml:space="preserve">Nursing and Midwifery Council. (2018) The Code: Professional standards of practice and behaviour for nurses and midwives. Available at: </w:t>
      </w:r>
      <w:hyperlink r:id="rId9" w:history="1">
        <w:r w:rsidR="00D23EF8" w:rsidRPr="00D0177A">
          <w:rPr>
            <w:rStyle w:val="Hyperlink"/>
            <w:rFonts w:ascii="Arial" w:hAnsi="Arial" w:cs="Arial"/>
            <w:color w:val="auto"/>
            <w:sz w:val="22"/>
          </w:rPr>
          <w:t>https://www.nmc.org.uk</w:t>
        </w:r>
      </w:hyperlink>
      <w:r w:rsidR="00D23EF8" w:rsidRPr="00D0177A">
        <w:rPr>
          <w:rFonts w:ascii="Arial" w:hAnsi="Arial" w:cs="Arial"/>
          <w:sz w:val="22"/>
        </w:rPr>
        <w:t xml:space="preserve"> </w:t>
      </w:r>
      <w:r w:rsidRPr="00D0177A">
        <w:rPr>
          <w:rFonts w:ascii="Arial" w:hAnsi="Arial" w:cs="Arial"/>
          <w:sz w:val="22"/>
        </w:rPr>
        <w:t>(Accessed: 1 December 2025).</w:t>
      </w:r>
    </w:p>
    <w:p w14:paraId="6D951468" w14:textId="77777777" w:rsidR="00DD5A06" w:rsidRPr="00D0177A" w:rsidRDefault="00DD5A06" w:rsidP="00D23EF8">
      <w:pPr>
        <w:pStyle w:val="NoSpacing"/>
        <w:rPr>
          <w:rFonts w:ascii="Arial" w:hAnsi="Arial" w:cs="Arial"/>
          <w:sz w:val="22"/>
        </w:rPr>
      </w:pPr>
    </w:p>
    <w:p w14:paraId="36DB98A2" w14:textId="77777777" w:rsidR="00D23EF8" w:rsidRDefault="00783604" w:rsidP="00D23EF8">
      <w:pPr>
        <w:pStyle w:val="NoSpacing"/>
        <w:rPr>
          <w:rFonts w:ascii="Arial" w:hAnsi="Arial" w:cs="Arial"/>
          <w:sz w:val="22"/>
        </w:rPr>
      </w:pPr>
      <w:r w:rsidRPr="00D0177A">
        <w:rPr>
          <w:rFonts w:ascii="Arial" w:hAnsi="Arial" w:cs="Arial"/>
          <w:sz w:val="22"/>
        </w:rPr>
        <w:t>Royal College of Nursing. (2021) Haemoglobinopathy nursing guidance. Available at: https://www.rcn.org.uk (Accessed: 1 December 2025).</w:t>
      </w:r>
    </w:p>
    <w:p w14:paraId="347B78A6" w14:textId="77777777" w:rsidR="00DD5A06" w:rsidRPr="00D0177A" w:rsidRDefault="00DD5A06" w:rsidP="00D23EF8">
      <w:pPr>
        <w:pStyle w:val="NoSpacing"/>
        <w:rPr>
          <w:rFonts w:ascii="Arial" w:hAnsi="Arial" w:cs="Arial"/>
          <w:sz w:val="22"/>
        </w:rPr>
      </w:pPr>
    </w:p>
    <w:p w14:paraId="1D0F2D59" w14:textId="607B56DF" w:rsidR="004552CE" w:rsidRPr="00D0177A" w:rsidRDefault="00783604" w:rsidP="00D23EF8">
      <w:pPr>
        <w:pStyle w:val="NoSpacing"/>
        <w:rPr>
          <w:rFonts w:ascii="Arial" w:hAnsi="Arial" w:cs="Arial"/>
          <w:sz w:val="22"/>
        </w:rPr>
      </w:pPr>
      <w:r w:rsidRPr="00D0177A">
        <w:rPr>
          <w:rFonts w:ascii="Arial" w:hAnsi="Arial" w:cs="Arial"/>
          <w:sz w:val="22"/>
        </w:rPr>
        <w:t>Sickle Cell Society. (2023) Understanding sickle cell in diverse communities. Available at: https://www.sicklecellsociety.org</w:t>
      </w:r>
    </w:p>
    <w:sectPr w:rsidR="004552CE" w:rsidRPr="00D0177A"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D05F1" w14:textId="77777777" w:rsidR="00E21319" w:rsidRDefault="00E21319" w:rsidP="003C7C97">
      <w:pPr>
        <w:spacing w:after="0" w:line="240" w:lineRule="auto"/>
      </w:pPr>
      <w:r>
        <w:separator/>
      </w:r>
    </w:p>
  </w:endnote>
  <w:endnote w:type="continuationSeparator" w:id="0">
    <w:p w14:paraId="04D7A9D9" w14:textId="77777777" w:rsidR="00E21319" w:rsidRDefault="00E2131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E5D11" w14:textId="77777777" w:rsidR="00E21319" w:rsidRDefault="00E21319" w:rsidP="003C7C97">
      <w:pPr>
        <w:spacing w:after="0" w:line="240" w:lineRule="auto"/>
      </w:pPr>
      <w:r>
        <w:separator/>
      </w:r>
    </w:p>
  </w:footnote>
  <w:footnote w:type="continuationSeparator" w:id="0">
    <w:p w14:paraId="749DFEA4" w14:textId="77777777" w:rsidR="00E21319" w:rsidRDefault="00E2131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327C19D2">
      <w:start w:val="1"/>
      <w:numFmt w:val="bullet"/>
      <w:lvlText w:val=""/>
      <w:lvlJc w:val="left"/>
      <w:pPr>
        <w:ind w:left="720" w:hanging="360"/>
      </w:pPr>
      <w:rPr>
        <w:rFonts w:ascii="Symbol" w:hAnsi="Symbol" w:hint="default"/>
      </w:rPr>
    </w:lvl>
    <w:lvl w:ilvl="1" w:tplc="1564FF3E">
      <w:start w:val="1"/>
      <w:numFmt w:val="bullet"/>
      <w:lvlText w:val="o"/>
      <w:lvlJc w:val="left"/>
      <w:pPr>
        <w:ind w:left="1440" w:hanging="360"/>
      </w:pPr>
      <w:rPr>
        <w:rFonts w:ascii="Courier New" w:hAnsi="Courier New" w:hint="default"/>
      </w:rPr>
    </w:lvl>
    <w:lvl w:ilvl="2" w:tplc="89AE72D4">
      <w:start w:val="1"/>
      <w:numFmt w:val="bullet"/>
      <w:lvlText w:val=""/>
      <w:lvlJc w:val="left"/>
      <w:pPr>
        <w:ind w:left="2160" w:hanging="360"/>
      </w:pPr>
      <w:rPr>
        <w:rFonts w:ascii="Wingdings" w:hAnsi="Wingdings" w:hint="default"/>
      </w:rPr>
    </w:lvl>
    <w:lvl w:ilvl="3" w:tplc="BF441116">
      <w:start w:val="1"/>
      <w:numFmt w:val="bullet"/>
      <w:lvlText w:val=""/>
      <w:lvlJc w:val="left"/>
      <w:pPr>
        <w:ind w:left="2880" w:hanging="360"/>
      </w:pPr>
      <w:rPr>
        <w:rFonts w:ascii="Symbol" w:hAnsi="Symbol" w:hint="default"/>
      </w:rPr>
    </w:lvl>
    <w:lvl w:ilvl="4" w:tplc="CBCE5916">
      <w:start w:val="1"/>
      <w:numFmt w:val="bullet"/>
      <w:lvlText w:val="o"/>
      <w:lvlJc w:val="left"/>
      <w:pPr>
        <w:ind w:left="3600" w:hanging="360"/>
      </w:pPr>
      <w:rPr>
        <w:rFonts w:ascii="Courier New" w:hAnsi="Courier New" w:hint="default"/>
      </w:rPr>
    </w:lvl>
    <w:lvl w:ilvl="5" w:tplc="20BACE14">
      <w:start w:val="1"/>
      <w:numFmt w:val="bullet"/>
      <w:lvlText w:val=""/>
      <w:lvlJc w:val="left"/>
      <w:pPr>
        <w:ind w:left="4320" w:hanging="360"/>
      </w:pPr>
      <w:rPr>
        <w:rFonts w:ascii="Wingdings" w:hAnsi="Wingdings" w:hint="default"/>
      </w:rPr>
    </w:lvl>
    <w:lvl w:ilvl="6" w:tplc="8C785684">
      <w:start w:val="1"/>
      <w:numFmt w:val="bullet"/>
      <w:lvlText w:val=""/>
      <w:lvlJc w:val="left"/>
      <w:pPr>
        <w:ind w:left="5040" w:hanging="360"/>
      </w:pPr>
      <w:rPr>
        <w:rFonts w:ascii="Symbol" w:hAnsi="Symbol" w:hint="default"/>
      </w:rPr>
    </w:lvl>
    <w:lvl w:ilvl="7" w:tplc="77AA4C40">
      <w:start w:val="1"/>
      <w:numFmt w:val="bullet"/>
      <w:lvlText w:val="o"/>
      <w:lvlJc w:val="left"/>
      <w:pPr>
        <w:ind w:left="5760" w:hanging="360"/>
      </w:pPr>
      <w:rPr>
        <w:rFonts w:ascii="Courier New" w:hAnsi="Courier New" w:hint="default"/>
      </w:rPr>
    </w:lvl>
    <w:lvl w:ilvl="8" w:tplc="9F42218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3D320E82">
      <w:start w:val="1"/>
      <w:numFmt w:val="bullet"/>
      <w:lvlText w:val=""/>
      <w:lvlJc w:val="left"/>
      <w:pPr>
        <w:ind w:left="720" w:hanging="360"/>
      </w:pPr>
      <w:rPr>
        <w:rFonts w:ascii="Symbol" w:hAnsi="Symbol" w:hint="default"/>
      </w:rPr>
    </w:lvl>
    <w:lvl w:ilvl="1" w:tplc="F924869C">
      <w:start w:val="1"/>
      <w:numFmt w:val="bullet"/>
      <w:lvlText w:val="o"/>
      <w:lvlJc w:val="left"/>
      <w:pPr>
        <w:ind w:left="1440" w:hanging="360"/>
      </w:pPr>
      <w:rPr>
        <w:rFonts w:ascii="Courier New" w:hAnsi="Courier New" w:hint="default"/>
      </w:rPr>
    </w:lvl>
    <w:lvl w:ilvl="2" w:tplc="74EAB178">
      <w:start w:val="1"/>
      <w:numFmt w:val="bullet"/>
      <w:lvlText w:val=""/>
      <w:lvlJc w:val="left"/>
      <w:pPr>
        <w:ind w:left="2160" w:hanging="360"/>
      </w:pPr>
      <w:rPr>
        <w:rFonts w:ascii="Wingdings" w:hAnsi="Wingdings" w:hint="default"/>
      </w:rPr>
    </w:lvl>
    <w:lvl w:ilvl="3" w:tplc="B428E326">
      <w:start w:val="1"/>
      <w:numFmt w:val="bullet"/>
      <w:lvlText w:val=""/>
      <w:lvlJc w:val="left"/>
      <w:pPr>
        <w:ind w:left="2880" w:hanging="360"/>
      </w:pPr>
      <w:rPr>
        <w:rFonts w:ascii="Symbol" w:hAnsi="Symbol" w:hint="default"/>
      </w:rPr>
    </w:lvl>
    <w:lvl w:ilvl="4" w:tplc="A7D4F6FA">
      <w:start w:val="1"/>
      <w:numFmt w:val="bullet"/>
      <w:lvlText w:val="o"/>
      <w:lvlJc w:val="left"/>
      <w:pPr>
        <w:ind w:left="3600" w:hanging="360"/>
      </w:pPr>
      <w:rPr>
        <w:rFonts w:ascii="Courier New" w:hAnsi="Courier New" w:hint="default"/>
      </w:rPr>
    </w:lvl>
    <w:lvl w:ilvl="5" w:tplc="5F9A1294">
      <w:start w:val="1"/>
      <w:numFmt w:val="bullet"/>
      <w:lvlText w:val=""/>
      <w:lvlJc w:val="left"/>
      <w:pPr>
        <w:ind w:left="4320" w:hanging="360"/>
      </w:pPr>
      <w:rPr>
        <w:rFonts w:ascii="Wingdings" w:hAnsi="Wingdings" w:hint="default"/>
      </w:rPr>
    </w:lvl>
    <w:lvl w:ilvl="6" w:tplc="2FE01584">
      <w:start w:val="1"/>
      <w:numFmt w:val="bullet"/>
      <w:lvlText w:val=""/>
      <w:lvlJc w:val="left"/>
      <w:pPr>
        <w:ind w:left="5040" w:hanging="360"/>
      </w:pPr>
      <w:rPr>
        <w:rFonts w:ascii="Symbol" w:hAnsi="Symbol" w:hint="default"/>
      </w:rPr>
    </w:lvl>
    <w:lvl w:ilvl="7" w:tplc="E9DE8608">
      <w:start w:val="1"/>
      <w:numFmt w:val="bullet"/>
      <w:lvlText w:val="o"/>
      <w:lvlJc w:val="left"/>
      <w:pPr>
        <w:ind w:left="5760" w:hanging="360"/>
      </w:pPr>
      <w:rPr>
        <w:rFonts w:ascii="Courier New" w:hAnsi="Courier New" w:hint="default"/>
      </w:rPr>
    </w:lvl>
    <w:lvl w:ilvl="8" w:tplc="41A6D3D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21CA9BE8">
      <w:start w:val="1"/>
      <w:numFmt w:val="bullet"/>
      <w:lvlText w:val=""/>
      <w:lvlJc w:val="left"/>
      <w:pPr>
        <w:ind w:left="720" w:hanging="360"/>
      </w:pPr>
      <w:rPr>
        <w:rFonts w:ascii="Symbol" w:hAnsi="Symbol" w:hint="default"/>
      </w:rPr>
    </w:lvl>
    <w:lvl w:ilvl="1" w:tplc="AACE4AA8">
      <w:start w:val="1"/>
      <w:numFmt w:val="bullet"/>
      <w:lvlText w:val="o"/>
      <w:lvlJc w:val="left"/>
      <w:pPr>
        <w:ind w:left="1440" w:hanging="360"/>
      </w:pPr>
      <w:rPr>
        <w:rFonts w:ascii="Courier New" w:hAnsi="Courier New" w:hint="default"/>
      </w:rPr>
    </w:lvl>
    <w:lvl w:ilvl="2" w:tplc="A2F41864">
      <w:start w:val="1"/>
      <w:numFmt w:val="bullet"/>
      <w:lvlText w:val=""/>
      <w:lvlJc w:val="left"/>
      <w:pPr>
        <w:ind w:left="2160" w:hanging="360"/>
      </w:pPr>
      <w:rPr>
        <w:rFonts w:ascii="Wingdings" w:hAnsi="Wingdings" w:hint="default"/>
      </w:rPr>
    </w:lvl>
    <w:lvl w:ilvl="3" w:tplc="160C14AA">
      <w:start w:val="1"/>
      <w:numFmt w:val="bullet"/>
      <w:lvlText w:val=""/>
      <w:lvlJc w:val="left"/>
      <w:pPr>
        <w:ind w:left="2880" w:hanging="360"/>
      </w:pPr>
      <w:rPr>
        <w:rFonts w:ascii="Symbol" w:hAnsi="Symbol" w:hint="default"/>
      </w:rPr>
    </w:lvl>
    <w:lvl w:ilvl="4" w:tplc="315870E2">
      <w:start w:val="1"/>
      <w:numFmt w:val="bullet"/>
      <w:lvlText w:val="o"/>
      <w:lvlJc w:val="left"/>
      <w:pPr>
        <w:ind w:left="3600" w:hanging="360"/>
      </w:pPr>
      <w:rPr>
        <w:rFonts w:ascii="Courier New" w:hAnsi="Courier New" w:hint="default"/>
      </w:rPr>
    </w:lvl>
    <w:lvl w:ilvl="5" w:tplc="252EE0AE">
      <w:start w:val="1"/>
      <w:numFmt w:val="bullet"/>
      <w:lvlText w:val=""/>
      <w:lvlJc w:val="left"/>
      <w:pPr>
        <w:ind w:left="4320" w:hanging="360"/>
      </w:pPr>
      <w:rPr>
        <w:rFonts w:ascii="Wingdings" w:hAnsi="Wingdings" w:hint="default"/>
      </w:rPr>
    </w:lvl>
    <w:lvl w:ilvl="6" w:tplc="0CF44038">
      <w:start w:val="1"/>
      <w:numFmt w:val="bullet"/>
      <w:lvlText w:val=""/>
      <w:lvlJc w:val="left"/>
      <w:pPr>
        <w:ind w:left="5040" w:hanging="360"/>
      </w:pPr>
      <w:rPr>
        <w:rFonts w:ascii="Symbol" w:hAnsi="Symbol" w:hint="default"/>
      </w:rPr>
    </w:lvl>
    <w:lvl w:ilvl="7" w:tplc="127C7582">
      <w:start w:val="1"/>
      <w:numFmt w:val="bullet"/>
      <w:lvlText w:val="o"/>
      <w:lvlJc w:val="left"/>
      <w:pPr>
        <w:ind w:left="5760" w:hanging="360"/>
      </w:pPr>
      <w:rPr>
        <w:rFonts w:ascii="Courier New" w:hAnsi="Courier New" w:hint="default"/>
      </w:rPr>
    </w:lvl>
    <w:lvl w:ilvl="8" w:tplc="8E08705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20D01B64">
      <w:start w:val="1"/>
      <w:numFmt w:val="bullet"/>
      <w:lvlText w:val=""/>
      <w:lvlJc w:val="left"/>
      <w:pPr>
        <w:ind w:left="720" w:hanging="360"/>
      </w:pPr>
      <w:rPr>
        <w:rFonts w:ascii="Symbol" w:hAnsi="Symbol" w:hint="default"/>
      </w:rPr>
    </w:lvl>
    <w:lvl w:ilvl="1" w:tplc="543C1B70">
      <w:start w:val="1"/>
      <w:numFmt w:val="bullet"/>
      <w:lvlText w:val="o"/>
      <w:lvlJc w:val="left"/>
      <w:pPr>
        <w:ind w:left="1440" w:hanging="360"/>
      </w:pPr>
      <w:rPr>
        <w:rFonts w:ascii="Courier New" w:hAnsi="Courier New" w:hint="default"/>
      </w:rPr>
    </w:lvl>
    <w:lvl w:ilvl="2" w:tplc="EE56DA16">
      <w:start w:val="1"/>
      <w:numFmt w:val="bullet"/>
      <w:lvlText w:val=""/>
      <w:lvlJc w:val="left"/>
      <w:pPr>
        <w:ind w:left="2160" w:hanging="360"/>
      </w:pPr>
      <w:rPr>
        <w:rFonts w:ascii="Wingdings" w:hAnsi="Wingdings" w:hint="default"/>
      </w:rPr>
    </w:lvl>
    <w:lvl w:ilvl="3" w:tplc="0568E4BE">
      <w:start w:val="1"/>
      <w:numFmt w:val="bullet"/>
      <w:lvlText w:val=""/>
      <w:lvlJc w:val="left"/>
      <w:pPr>
        <w:ind w:left="2880" w:hanging="360"/>
      </w:pPr>
      <w:rPr>
        <w:rFonts w:ascii="Symbol" w:hAnsi="Symbol" w:hint="default"/>
      </w:rPr>
    </w:lvl>
    <w:lvl w:ilvl="4" w:tplc="D688DE2E">
      <w:start w:val="1"/>
      <w:numFmt w:val="bullet"/>
      <w:lvlText w:val="o"/>
      <w:lvlJc w:val="left"/>
      <w:pPr>
        <w:ind w:left="3600" w:hanging="360"/>
      </w:pPr>
      <w:rPr>
        <w:rFonts w:ascii="Courier New" w:hAnsi="Courier New" w:hint="default"/>
      </w:rPr>
    </w:lvl>
    <w:lvl w:ilvl="5" w:tplc="22C44380">
      <w:start w:val="1"/>
      <w:numFmt w:val="bullet"/>
      <w:lvlText w:val=""/>
      <w:lvlJc w:val="left"/>
      <w:pPr>
        <w:ind w:left="4320" w:hanging="360"/>
      </w:pPr>
      <w:rPr>
        <w:rFonts w:ascii="Wingdings" w:hAnsi="Wingdings" w:hint="default"/>
      </w:rPr>
    </w:lvl>
    <w:lvl w:ilvl="6" w:tplc="03B45504">
      <w:start w:val="1"/>
      <w:numFmt w:val="bullet"/>
      <w:lvlText w:val=""/>
      <w:lvlJc w:val="left"/>
      <w:pPr>
        <w:ind w:left="5040" w:hanging="360"/>
      </w:pPr>
      <w:rPr>
        <w:rFonts w:ascii="Symbol" w:hAnsi="Symbol" w:hint="default"/>
      </w:rPr>
    </w:lvl>
    <w:lvl w:ilvl="7" w:tplc="F97474A0">
      <w:start w:val="1"/>
      <w:numFmt w:val="bullet"/>
      <w:lvlText w:val="o"/>
      <w:lvlJc w:val="left"/>
      <w:pPr>
        <w:ind w:left="5760" w:hanging="360"/>
      </w:pPr>
      <w:rPr>
        <w:rFonts w:ascii="Courier New" w:hAnsi="Courier New" w:hint="default"/>
      </w:rPr>
    </w:lvl>
    <w:lvl w:ilvl="8" w:tplc="8CFAB81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ED602C82">
      <w:start w:val="1"/>
      <w:numFmt w:val="bullet"/>
      <w:lvlText w:val=""/>
      <w:lvlJc w:val="left"/>
      <w:pPr>
        <w:ind w:left="720" w:hanging="360"/>
      </w:pPr>
      <w:rPr>
        <w:rFonts w:ascii="Symbol" w:hAnsi="Symbol" w:hint="default"/>
      </w:rPr>
    </w:lvl>
    <w:lvl w:ilvl="1" w:tplc="D70A339E">
      <w:start w:val="1"/>
      <w:numFmt w:val="bullet"/>
      <w:lvlText w:val="o"/>
      <w:lvlJc w:val="left"/>
      <w:pPr>
        <w:ind w:left="1440" w:hanging="360"/>
      </w:pPr>
      <w:rPr>
        <w:rFonts w:ascii="Courier New" w:hAnsi="Courier New" w:hint="default"/>
      </w:rPr>
    </w:lvl>
    <w:lvl w:ilvl="2" w:tplc="94A609BC">
      <w:start w:val="1"/>
      <w:numFmt w:val="bullet"/>
      <w:lvlText w:val=""/>
      <w:lvlJc w:val="left"/>
      <w:pPr>
        <w:ind w:left="2160" w:hanging="360"/>
      </w:pPr>
      <w:rPr>
        <w:rFonts w:ascii="Wingdings" w:hAnsi="Wingdings" w:hint="default"/>
      </w:rPr>
    </w:lvl>
    <w:lvl w:ilvl="3" w:tplc="E506D534">
      <w:start w:val="1"/>
      <w:numFmt w:val="bullet"/>
      <w:lvlText w:val=""/>
      <w:lvlJc w:val="left"/>
      <w:pPr>
        <w:ind w:left="2880" w:hanging="360"/>
      </w:pPr>
      <w:rPr>
        <w:rFonts w:ascii="Symbol" w:hAnsi="Symbol" w:hint="default"/>
      </w:rPr>
    </w:lvl>
    <w:lvl w:ilvl="4" w:tplc="E0E2D562">
      <w:start w:val="1"/>
      <w:numFmt w:val="bullet"/>
      <w:lvlText w:val="o"/>
      <w:lvlJc w:val="left"/>
      <w:pPr>
        <w:ind w:left="3600" w:hanging="360"/>
      </w:pPr>
      <w:rPr>
        <w:rFonts w:ascii="Courier New" w:hAnsi="Courier New" w:hint="default"/>
      </w:rPr>
    </w:lvl>
    <w:lvl w:ilvl="5" w:tplc="AB4277FC">
      <w:start w:val="1"/>
      <w:numFmt w:val="bullet"/>
      <w:lvlText w:val=""/>
      <w:lvlJc w:val="left"/>
      <w:pPr>
        <w:ind w:left="4320" w:hanging="360"/>
      </w:pPr>
      <w:rPr>
        <w:rFonts w:ascii="Wingdings" w:hAnsi="Wingdings" w:hint="default"/>
      </w:rPr>
    </w:lvl>
    <w:lvl w:ilvl="6" w:tplc="8DCAEF6A">
      <w:start w:val="1"/>
      <w:numFmt w:val="bullet"/>
      <w:lvlText w:val=""/>
      <w:lvlJc w:val="left"/>
      <w:pPr>
        <w:ind w:left="5040" w:hanging="360"/>
      </w:pPr>
      <w:rPr>
        <w:rFonts w:ascii="Symbol" w:hAnsi="Symbol" w:hint="default"/>
      </w:rPr>
    </w:lvl>
    <w:lvl w:ilvl="7" w:tplc="6C882C1C">
      <w:start w:val="1"/>
      <w:numFmt w:val="bullet"/>
      <w:lvlText w:val="o"/>
      <w:lvlJc w:val="left"/>
      <w:pPr>
        <w:ind w:left="5760" w:hanging="360"/>
      </w:pPr>
      <w:rPr>
        <w:rFonts w:ascii="Courier New" w:hAnsi="Courier New" w:hint="default"/>
      </w:rPr>
    </w:lvl>
    <w:lvl w:ilvl="8" w:tplc="B09E50B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2C60C6CC">
      <w:start w:val="1"/>
      <w:numFmt w:val="bullet"/>
      <w:lvlText w:val=""/>
      <w:lvlJc w:val="left"/>
      <w:pPr>
        <w:ind w:left="720" w:hanging="360"/>
      </w:pPr>
      <w:rPr>
        <w:rFonts w:ascii="Symbol" w:hAnsi="Symbol" w:hint="default"/>
      </w:rPr>
    </w:lvl>
    <w:lvl w:ilvl="1" w:tplc="10A01F6E">
      <w:start w:val="1"/>
      <w:numFmt w:val="bullet"/>
      <w:lvlText w:val="o"/>
      <w:lvlJc w:val="left"/>
      <w:pPr>
        <w:ind w:left="1440" w:hanging="360"/>
      </w:pPr>
      <w:rPr>
        <w:rFonts w:ascii="Courier New" w:hAnsi="Courier New" w:hint="default"/>
      </w:rPr>
    </w:lvl>
    <w:lvl w:ilvl="2" w:tplc="48D8D7A2">
      <w:start w:val="1"/>
      <w:numFmt w:val="bullet"/>
      <w:lvlText w:val=""/>
      <w:lvlJc w:val="left"/>
      <w:pPr>
        <w:ind w:left="2160" w:hanging="360"/>
      </w:pPr>
      <w:rPr>
        <w:rFonts w:ascii="Wingdings" w:hAnsi="Wingdings" w:hint="default"/>
      </w:rPr>
    </w:lvl>
    <w:lvl w:ilvl="3" w:tplc="FC14356A">
      <w:start w:val="1"/>
      <w:numFmt w:val="bullet"/>
      <w:lvlText w:val=""/>
      <w:lvlJc w:val="left"/>
      <w:pPr>
        <w:ind w:left="2880" w:hanging="360"/>
      </w:pPr>
      <w:rPr>
        <w:rFonts w:ascii="Symbol" w:hAnsi="Symbol" w:hint="default"/>
      </w:rPr>
    </w:lvl>
    <w:lvl w:ilvl="4" w:tplc="6E6CA504">
      <w:start w:val="1"/>
      <w:numFmt w:val="bullet"/>
      <w:lvlText w:val="o"/>
      <w:lvlJc w:val="left"/>
      <w:pPr>
        <w:ind w:left="3600" w:hanging="360"/>
      </w:pPr>
      <w:rPr>
        <w:rFonts w:ascii="Courier New" w:hAnsi="Courier New" w:hint="default"/>
      </w:rPr>
    </w:lvl>
    <w:lvl w:ilvl="5" w:tplc="19122E56">
      <w:start w:val="1"/>
      <w:numFmt w:val="bullet"/>
      <w:lvlText w:val=""/>
      <w:lvlJc w:val="left"/>
      <w:pPr>
        <w:ind w:left="4320" w:hanging="360"/>
      </w:pPr>
      <w:rPr>
        <w:rFonts w:ascii="Wingdings" w:hAnsi="Wingdings" w:hint="default"/>
      </w:rPr>
    </w:lvl>
    <w:lvl w:ilvl="6" w:tplc="1B54BA46">
      <w:start w:val="1"/>
      <w:numFmt w:val="bullet"/>
      <w:lvlText w:val=""/>
      <w:lvlJc w:val="left"/>
      <w:pPr>
        <w:ind w:left="5040" w:hanging="360"/>
      </w:pPr>
      <w:rPr>
        <w:rFonts w:ascii="Symbol" w:hAnsi="Symbol" w:hint="default"/>
      </w:rPr>
    </w:lvl>
    <w:lvl w:ilvl="7" w:tplc="C38C6F54">
      <w:start w:val="1"/>
      <w:numFmt w:val="bullet"/>
      <w:lvlText w:val="o"/>
      <w:lvlJc w:val="left"/>
      <w:pPr>
        <w:ind w:left="5760" w:hanging="360"/>
      </w:pPr>
      <w:rPr>
        <w:rFonts w:ascii="Courier New" w:hAnsi="Courier New" w:hint="default"/>
      </w:rPr>
    </w:lvl>
    <w:lvl w:ilvl="8" w:tplc="44AC114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1844591">
    <w:abstractNumId w:val="11"/>
  </w:num>
  <w:num w:numId="2" w16cid:durableId="1037391548">
    <w:abstractNumId w:val="12"/>
  </w:num>
  <w:num w:numId="3" w16cid:durableId="148055196">
    <w:abstractNumId w:val="1"/>
  </w:num>
  <w:num w:numId="4" w16cid:durableId="1286082924">
    <w:abstractNumId w:val="3"/>
  </w:num>
  <w:num w:numId="5" w16cid:durableId="1101099643">
    <w:abstractNumId w:val="15"/>
  </w:num>
  <w:num w:numId="6" w16cid:durableId="161363099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29BF"/>
    <w:rsid w:val="00070818"/>
    <w:rsid w:val="0008224D"/>
    <w:rsid w:val="0008238F"/>
    <w:rsid w:val="00082EC6"/>
    <w:rsid w:val="00085388"/>
    <w:rsid w:val="000B6B78"/>
    <w:rsid w:val="000D41DC"/>
    <w:rsid w:val="000F1805"/>
    <w:rsid w:val="00125D37"/>
    <w:rsid w:val="00127C1A"/>
    <w:rsid w:val="00130295"/>
    <w:rsid w:val="00135B7C"/>
    <w:rsid w:val="00140509"/>
    <w:rsid w:val="00150D81"/>
    <w:rsid w:val="00154991"/>
    <w:rsid w:val="00166CEB"/>
    <w:rsid w:val="0016750E"/>
    <w:rsid w:val="001802AF"/>
    <w:rsid w:val="00183CB9"/>
    <w:rsid w:val="00184A9A"/>
    <w:rsid w:val="001947DF"/>
    <w:rsid w:val="00196AFE"/>
    <w:rsid w:val="001B19C9"/>
    <w:rsid w:val="001B22BB"/>
    <w:rsid w:val="001B619C"/>
    <w:rsid w:val="001D1D3C"/>
    <w:rsid w:val="0020004B"/>
    <w:rsid w:val="00212240"/>
    <w:rsid w:val="002205D4"/>
    <w:rsid w:val="00222C3A"/>
    <w:rsid w:val="00226D31"/>
    <w:rsid w:val="00235AB8"/>
    <w:rsid w:val="00236401"/>
    <w:rsid w:val="002370CE"/>
    <w:rsid w:val="00242974"/>
    <w:rsid w:val="0026316C"/>
    <w:rsid w:val="00271044"/>
    <w:rsid w:val="0027748B"/>
    <w:rsid w:val="002976D4"/>
    <w:rsid w:val="002A5577"/>
    <w:rsid w:val="002B4AA4"/>
    <w:rsid w:val="002D780C"/>
    <w:rsid w:val="002E71BA"/>
    <w:rsid w:val="002F5066"/>
    <w:rsid w:val="003003FD"/>
    <w:rsid w:val="00310245"/>
    <w:rsid w:val="00311587"/>
    <w:rsid w:val="003124B0"/>
    <w:rsid w:val="00316C95"/>
    <w:rsid w:val="00343E55"/>
    <w:rsid w:val="003458DB"/>
    <w:rsid w:val="003523D3"/>
    <w:rsid w:val="00364C35"/>
    <w:rsid w:val="00396F60"/>
    <w:rsid w:val="003A51D6"/>
    <w:rsid w:val="003B125E"/>
    <w:rsid w:val="003B2A5E"/>
    <w:rsid w:val="003B6FA1"/>
    <w:rsid w:val="003C7C97"/>
    <w:rsid w:val="003D08E3"/>
    <w:rsid w:val="003D1702"/>
    <w:rsid w:val="00406B8D"/>
    <w:rsid w:val="00410068"/>
    <w:rsid w:val="00414D7F"/>
    <w:rsid w:val="0041618E"/>
    <w:rsid w:val="00417AD9"/>
    <w:rsid w:val="0042295C"/>
    <w:rsid w:val="00426285"/>
    <w:rsid w:val="00426EEC"/>
    <w:rsid w:val="004466C3"/>
    <w:rsid w:val="004552CE"/>
    <w:rsid w:val="00481FF7"/>
    <w:rsid w:val="004A39D7"/>
    <w:rsid w:val="004C658D"/>
    <w:rsid w:val="004D1E08"/>
    <w:rsid w:val="00500295"/>
    <w:rsid w:val="00501AAF"/>
    <w:rsid w:val="005071A7"/>
    <w:rsid w:val="005269F6"/>
    <w:rsid w:val="00527AFA"/>
    <w:rsid w:val="005419DA"/>
    <w:rsid w:val="00547470"/>
    <w:rsid w:val="005678AC"/>
    <w:rsid w:val="005679BD"/>
    <w:rsid w:val="005709B1"/>
    <w:rsid w:val="00572B3B"/>
    <w:rsid w:val="00582A53"/>
    <w:rsid w:val="005836D2"/>
    <w:rsid w:val="00587C58"/>
    <w:rsid w:val="00595655"/>
    <w:rsid w:val="005A7FD4"/>
    <w:rsid w:val="005B1A84"/>
    <w:rsid w:val="005D1AF9"/>
    <w:rsid w:val="005D5457"/>
    <w:rsid w:val="005E2699"/>
    <w:rsid w:val="005E44B5"/>
    <w:rsid w:val="00602D1D"/>
    <w:rsid w:val="00606453"/>
    <w:rsid w:val="00612DEA"/>
    <w:rsid w:val="00614572"/>
    <w:rsid w:val="006232DF"/>
    <w:rsid w:val="00624371"/>
    <w:rsid w:val="00631F2E"/>
    <w:rsid w:val="00641815"/>
    <w:rsid w:val="006457C0"/>
    <w:rsid w:val="00652BB7"/>
    <w:rsid w:val="00661758"/>
    <w:rsid w:val="00662DA8"/>
    <w:rsid w:val="00673BB8"/>
    <w:rsid w:val="0067612C"/>
    <w:rsid w:val="00676FEB"/>
    <w:rsid w:val="006840E3"/>
    <w:rsid w:val="006912C4"/>
    <w:rsid w:val="006A5CFC"/>
    <w:rsid w:val="006C5138"/>
    <w:rsid w:val="006C689B"/>
    <w:rsid w:val="006D2BB8"/>
    <w:rsid w:val="006E005C"/>
    <w:rsid w:val="006E6EE5"/>
    <w:rsid w:val="006F0029"/>
    <w:rsid w:val="006F23E1"/>
    <w:rsid w:val="0070114E"/>
    <w:rsid w:val="007138EF"/>
    <w:rsid w:val="0071733D"/>
    <w:rsid w:val="00726286"/>
    <w:rsid w:val="00746946"/>
    <w:rsid w:val="007632A9"/>
    <w:rsid w:val="00774092"/>
    <w:rsid w:val="00782830"/>
    <w:rsid w:val="00783604"/>
    <w:rsid w:val="0078664A"/>
    <w:rsid w:val="007A6B0E"/>
    <w:rsid w:val="007A7351"/>
    <w:rsid w:val="007B0F6D"/>
    <w:rsid w:val="007B1672"/>
    <w:rsid w:val="007C62C3"/>
    <w:rsid w:val="007D25AA"/>
    <w:rsid w:val="007D4741"/>
    <w:rsid w:val="007E3026"/>
    <w:rsid w:val="007F0873"/>
    <w:rsid w:val="007F12D5"/>
    <w:rsid w:val="00805726"/>
    <w:rsid w:val="00815117"/>
    <w:rsid w:val="00824CB1"/>
    <w:rsid w:val="00851642"/>
    <w:rsid w:val="008520F8"/>
    <w:rsid w:val="00855F34"/>
    <w:rsid w:val="008826B6"/>
    <w:rsid w:val="008B0B22"/>
    <w:rsid w:val="008B48C5"/>
    <w:rsid w:val="008C58B0"/>
    <w:rsid w:val="008C591B"/>
    <w:rsid w:val="008C6182"/>
    <w:rsid w:val="008D7C19"/>
    <w:rsid w:val="008F79A7"/>
    <w:rsid w:val="0090779E"/>
    <w:rsid w:val="00926458"/>
    <w:rsid w:val="00933720"/>
    <w:rsid w:val="00950B70"/>
    <w:rsid w:val="009510B3"/>
    <w:rsid w:val="00973572"/>
    <w:rsid w:val="00991450"/>
    <w:rsid w:val="00991947"/>
    <w:rsid w:val="009B0663"/>
    <w:rsid w:val="009C7E52"/>
    <w:rsid w:val="009E4934"/>
    <w:rsid w:val="009E4E20"/>
    <w:rsid w:val="009F1926"/>
    <w:rsid w:val="009F40A7"/>
    <w:rsid w:val="009F5CE6"/>
    <w:rsid w:val="00A02423"/>
    <w:rsid w:val="00A035CD"/>
    <w:rsid w:val="00A11150"/>
    <w:rsid w:val="00A23972"/>
    <w:rsid w:val="00A50E80"/>
    <w:rsid w:val="00A513B0"/>
    <w:rsid w:val="00A63F7F"/>
    <w:rsid w:val="00A667CE"/>
    <w:rsid w:val="00A75042"/>
    <w:rsid w:val="00A7542F"/>
    <w:rsid w:val="00A774BC"/>
    <w:rsid w:val="00A82678"/>
    <w:rsid w:val="00A877D1"/>
    <w:rsid w:val="00A946CB"/>
    <w:rsid w:val="00AA77C8"/>
    <w:rsid w:val="00AC7BE2"/>
    <w:rsid w:val="00AD1743"/>
    <w:rsid w:val="00AE35BF"/>
    <w:rsid w:val="00B1067E"/>
    <w:rsid w:val="00B15399"/>
    <w:rsid w:val="00B1562F"/>
    <w:rsid w:val="00B37D0A"/>
    <w:rsid w:val="00B41F66"/>
    <w:rsid w:val="00B65F47"/>
    <w:rsid w:val="00B7322B"/>
    <w:rsid w:val="00B81790"/>
    <w:rsid w:val="00B81BBC"/>
    <w:rsid w:val="00BD03D5"/>
    <w:rsid w:val="00BE65E2"/>
    <w:rsid w:val="00C02921"/>
    <w:rsid w:val="00C161FC"/>
    <w:rsid w:val="00C3215E"/>
    <w:rsid w:val="00C3777C"/>
    <w:rsid w:val="00C45272"/>
    <w:rsid w:val="00C47770"/>
    <w:rsid w:val="00C75542"/>
    <w:rsid w:val="00C75856"/>
    <w:rsid w:val="00C767D9"/>
    <w:rsid w:val="00C85A7C"/>
    <w:rsid w:val="00C95214"/>
    <w:rsid w:val="00CB77BC"/>
    <w:rsid w:val="00CC205E"/>
    <w:rsid w:val="00CC3F59"/>
    <w:rsid w:val="00CD4774"/>
    <w:rsid w:val="00CD70F1"/>
    <w:rsid w:val="00CE1732"/>
    <w:rsid w:val="00D0177A"/>
    <w:rsid w:val="00D10AAF"/>
    <w:rsid w:val="00D20CA9"/>
    <w:rsid w:val="00D23EF8"/>
    <w:rsid w:val="00D27540"/>
    <w:rsid w:val="00D3058C"/>
    <w:rsid w:val="00D33A04"/>
    <w:rsid w:val="00D4006B"/>
    <w:rsid w:val="00D40D7A"/>
    <w:rsid w:val="00D456A0"/>
    <w:rsid w:val="00D56423"/>
    <w:rsid w:val="00D64A0D"/>
    <w:rsid w:val="00D676C3"/>
    <w:rsid w:val="00D750B4"/>
    <w:rsid w:val="00D81C18"/>
    <w:rsid w:val="00D8461A"/>
    <w:rsid w:val="00D86884"/>
    <w:rsid w:val="00D95CAF"/>
    <w:rsid w:val="00D95CB2"/>
    <w:rsid w:val="00DB60B6"/>
    <w:rsid w:val="00DC1CC6"/>
    <w:rsid w:val="00DD5135"/>
    <w:rsid w:val="00DD5A06"/>
    <w:rsid w:val="00DE10A0"/>
    <w:rsid w:val="00DE3EA1"/>
    <w:rsid w:val="00E067A8"/>
    <w:rsid w:val="00E13924"/>
    <w:rsid w:val="00E15FD5"/>
    <w:rsid w:val="00E1725A"/>
    <w:rsid w:val="00E21319"/>
    <w:rsid w:val="00E33758"/>
    <w:rsid w:val="00E5264A"/>
    <w:rsid w:val="00E53E5E"/>
    <w:rsid w:val="00E64325"/>
    <w:rsid w:val="00E673C5"/>
    <w:rsid w:val="00E67967"/>
    <w:rsid w:val="00E71BC1"/>
    <w:rsid w:val="00E82723"/>
    <w:rsid w:val="00EA183C"/>
    <w:rsid w:val="00EA29A5"/>
    <w:rsid w:val="00EC107C"/>
    <w:rsid w:val="00EC7ACC"/>
    <w:rsid w:val="00EC7EBE"/>
    <w:rsid w:val="00EC7FD2"/>
    <w:rsid w:val="00ED5964"/>
    <w:rsid w:val="00EE0881"/>
    <w:rsid w:val="00EF13EF"/>
    <w:rsid w:val="00F103B2"/>
    <w:rsid w:val="00F1720B"/>
    <w:rsid w:val="00F310FC"/>
    <w:rsid w:val="00F36ADC"/>
    <w:rsid w:val="00F47DFE"/>
    <w:rsid w:val="00F50AD3"/>
    <w:rsid w:val="00F605C6"/>
    <w:rsid w:val="00F6117F"/>
    <w:rsid w:val="00F6785B"/>
    <w:rsid w:val="00F9012D"/>
    <w:rsid w:val="00F915D6"/>
    <w:rsid w:val="00FA25C9"/>
    <w:rsid w:val="00FB17B6"/>
    <w:rsid w:val="00FC2DEC"/>
    <w:rsid w:val="00FD1DB0"/>
    <w:rsid w:val="00FF15F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B37D0A"/>
    <w:rPr>
      <w:color w:val="605E5C"/>
      <w:shd w:val="clear" w:color="auto" w:fill="E1DFDD"/>
    </w:rPr>
  </w:style>
  <w:style w:type="paragraph" w:styleId="NoSpacing">
    <w:name w:val="No Spacing"/>
    <w:uiPriority w:val="1"/>
    <w:qFormat/>
    <w:rsid w:val="00D23EF8"/>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1604</Words>
  <Characters>9145</Characters>
  <Application>Microsoft Office Word</Application>
  <DocSecurity>0</DocSecurity>
  <Lines>76</Lines>
  <Paragraphs>21</Paragraphs>
  <ScaleCrop>false</ScaleCrop>
  <Company>University of Wales Trinity Saint David</Company>
  <LinksUpToDate>false</LinksUpToDate>
  <CharactersWithSpaces>10728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Gracie R Silva</cp:lastModifiedBy>
  <cp:revision>2</cp:revision>
  <dcterms:created xsi:type="dcterms:W3CDTF">2025-12-02T09:28:00Z</dcterms:created>
  <dcterms:modified xsi:type="dcterms:W3CDTF">2025-12-02T09:28:00Z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