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pPr>
      <w:r>
        <w:rPr/>
        <w:drawing>
          <wp:inline distT="0" distB="0" distL="0" distR="0">
            <wp:extent cx="2367280" cy="1183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7280" cy="1183640"/>
                    </a:xfrm>
                    <a:prstGeom prst="rect">
                      <a:avLst/>
                    </a:prstGeom>
                  </pic:spPr>
                </pic:pic>
              </a:graphicData>
            </a:graphic>
          </wp:inline>
        </w:drawing>
      </w:r>
    </w:p>
    <w:p>
      <w:pPr>
        <w:pStyle w:val="Normal1"/>
        <w:spacing w:lineRule="auto" w:line="360" w:before="0" w:after="0"/>
        <w:jc w:val="center"/>
        <w:rPr>
          <w:rFonts w:ascii="Times New Roman" w:hAnsi="Times New Roman" w:cs="Times New Roman"/>
          <w:color w:val="000000" w:themeColor="text1"/>
          <w:sz w:val="36"/>
          <w:szCs w:val="36"/>
        </w:rPr>
      </w:pPr>
      <w:r>
        <w:rPr>
          <w:rFonts w:eastAsia="Times New Roman" w:cs="Times New Roman" w:ascii="Times New Roman" w:hAnsi="Times New Roman"/>
          <w:b/>
          <w:color w:val="000000" w:themeColor="text1"/>
          <w:sz w:val="36"/>
          <w:szCs w:val="36"/>
          <w:shd w:fill="FFFFFF" w:val="clear"/>
          <w:lang w:val="en-GB"/>
        </w:rPr>
        <w:t>COMMUNITY ENGAGEMENT</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center"/>
        <w:rPr>
          <w:rFonts w:ascii="Times New Roman" w:hAnsi="Times New Roman" w:cs="Times New Roman"/>
          <w:b/>
          <w:b/>
          <w:color w:val="000000" w:themeColor="text1"/>
          <w:sz w:val="48"/>
          <w:szCs w:val="48"/>
        </w:rPr>
      </w:pPr>
      <w:r>
        <w:rPr>
          <w:rFonts w:cs="Times New Roman" w:ascii="Times New Roman" w:hAnsi="Times New Roman"/>
          <w:b/>
          <w:color w:val="000000" w:themeColor="text1"/>
          <w:sz w:val="48"/>
          <w:szCs w:val="48"/>
        </w:rPr>
      </w:r>
    </w:p>
    <w:p>
      <w:pPr>
        <w:pStyle w:val="Normal"/>
        <w:spacing w:lineRule="auto" w:line="360" w:before="0" w:after="0"/>
        <w:jc w:val="center"/>
        <w:rPr>
          <w:rFonts w:ascii="Times New Roman" w:hAnsi="Times New Roman" w:cs="Times New Roman"/>
          <w:b/>
          <w:b/>
          <w:color w:val="000000" w:themeColor="text1"/>
        </w:rPr>
      </w:pPr>
      <w:r>
        <w:rPr>
          <w:rFonts w:cs="Times New Roman" w:ascii="Times New Roman" w:hAnsi="Times New Roman"/>
          <w:b/>
          <w:color w:val="000000" w:themeColor="text1"/>
        </w:rPr>
      </w:r>
    </w:p>
    <w:p>
      <w:pPr>
        <w:pStyle w:val="Normal"/>
        <w:spacing w:lineRule="auto" w:line="360" w:before="0" w:after="0"/>
        <w:jc w:val="center"/>
        <w:rPr>
          <w:sz w:val="60"/>
          <w:szCs w:val="60"/>
        </w:rPr>
      </w:pPr>
      <w:r>
        <w:rPr>
          <w:rFonts w:eastAsia="Times New Roman" w:cs="Times New Roman" w:ascii="Times New Roman" w:hAnsi="Times New Roman"/>
          <w:b/>
          <w:bCs/>
          <w:color w:val="000000" w:themeColor="text1"/>
          <w:sz w:val="60"/>
          <w:szCs w:val="60"/>
          <w:lang w:val="en-GB"/>
        </w:rPr>
        <w:t xml:space="preserve">Unilever </w:t>
      </w:r>
    </w:p>
    <w:p>
      <w:pPr>
        <w:pStyle w:val="Normal1"/>
        <w:spacing w:lineRule="auto" w:line="360"/>
        <w:jc w:val="center"/>
        <w:rPr>
          <w:sz w:val="52"/>
          <w:szCs w:val="52"/>
        </w:rPr>
      </w:pPr>
      <w:r>
        <w:rPr>
          <w:rFonts w:eastAsia="Times New Roman" w:cs="Times New Roman" w:ascii="Times New Roman" w:hAnsi="Times New Roman"/>
          <w:b/>
          <w:color w:val="000000" w:themeColor="text1"/>
          <w:sz w:val="52"/>
          <w:szCs w:val="52"/>
          <w:shd w:fill="FFFFFF" w:val="clear"/>
          <w:lang w:val="en-GB"/>
        </w:rPr>
        <w:t xml:space="preserve"> </w:t>
      </w:r>
      <w:bookmarkStart w:id="0" w:name="__DdeLink__218_3392382455"/>
      <w:r>
        <w:rPr>
          <w:rFonts w:eastAsia="Times New Roman" w:cs="Times New Roman" w:ascii="Times New Roman" w:hAnsi="Times New Roman"/>
          <w:b/>
          <w:color w:val="000000" w:themeColor="text1"/>
          <w:sz w:val="44"/>
          <w:szCs w:val="44"/>
          <w:shd w:fill="FFFFFF" w:val="clear"/>
          <w:lang w:val="en-GB"/>
        </w:rPr>
        <w:t>COMMUNITY ENGAGEMENT</w:t>
      </w:r>
      <w:bookmarkEnd w:id="0"/>
      <w:r>
        <w:rPr>
          <w:rFonts w:eastAsia="Times New Roman" w:cs="Times New Roman" w:ascii="Times New Roman" w:hAnsi="Times New Roman"/>
          <w:b/>
          <w:color w:val="000000" w:themeColor="text1"/>
          <w:sz w:val="44"/>
          <w:szCs w:val="44"/>
          <w:shd w:fill="FFFFFF" w:val="clear"/>
          <w:lang w:val="en-GB"/>
        </w:rPr>
        <w:t xml:space="preserve"> Assessment 1</w:t>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center"/>
        <w:rPr>
          <w:rFonts w:ascii="Times New Roman" w:hAnsi="Times New Roman" w:eastAsia="Times New Roman" w:cs="Times New Roman"/>
          <w:b/>
          <w:b/>
          <w:color w:val="000000" w:themeColor="text1"/>
          <w:sz w:val="44"/>
          <w:szCs w:val="44"/>
          <w:highlight w:val="white"/>
          <w:lang w:val="en-GB"/>
        </w:rPr>
      </w:pPr>
      <w:r>
        <w:rPr>
          <w:rFonts w:eastAsia="Times New Roman" w:cs="Times New Roman" w:ascii="Times New Roman" w:hAnsi="Times New Roman"/>
          <w:b/>
          <w:color w:val="000000" w:themeColor="text1"/>
          <w:sz w:val="44"/>
          <w:szCs w:val="44"/>
          <w:highlight w:val="white"/>
          <w:lang w:val="en-GB"/>
        </w:rPr>
      </w:r>
    </w:p>
    <w:p>
      <w:pPr>
        <w:pStyle w:val="Normal1"/>
        <w:spacing w:lineRule="auto" w:line="360"/>
        <w:jc w:val="right"/>
        <w:rPr/>
      </w:pPr>
      <w:r>
        <w:rPr>
          <w:rFonts w:eastAsia="Times New Roman" w:cs="Times New Roman" w:ascii="Times New Roman" w:hAnsi="Times New Roman"/>
          <w:b/>
          <w:sz w:val="32"/>
          <w:szCs w:val="32"/>
          <w:lang w:val="en-GB"/>
        </w:rPr>
        <w:t>Name student: ANA BAICU</w:t>
      </w:r>
    </w:p>
    <w:p>
      <w:pPr>
        <w:pStyle w:val="Normal1"/>
        <w:spacing w:lineRule="auto" w:line="360"/>
        <w:jc w:val="right"/>
        <w:rPr/>
      </w:pPr>
      <w:r>
        <w:rPr>
          <w:rFonts w:eastAsia="Times New Roman" w:cs="Times New Roman" w:ascii="Times New Roman" w:hAnsi="Times New Roman"/>
          <w:b/>
          <w:sz w:val="32"/>
          <w:szCs w:val="32"/>
          <w:lang w:val="en-GB"/>
        </w:rPr>
        <w:t>Student Number: 2012401</w:t>
      </w:r>
    </w:p>
    <w:p>
      <w:pPr>
        <w:pStyle w:val="Normal1"/>
        <w:spacing w:lineRule="auto" w:line="360" w:before="0" w:after="0"/>
        <w:jc w:val="right"/>
        <w:rPr/>
      </w:pPr>
      <w:r>
        <w:rPr>
          <w:rFonts w:eastAsia="Times New Roman" w:cs="Times New Roman" w:ascii="Times New Roman" w:hAnsi="Times New Roman"/>
          <w:b/>
          <w:color w:val="000000" w:themeColor="text1"/>
          <w:sz w:val="32"/>
          <w:szCs w:val="32"/>
          <w:shd w:fill="FFFFFF" w:val="clear"/>
          <w:lang w:val="en-GB"/>
        </w:rPr>
        <w:t xml:space="preserve">Module lecturer’s name: </w:t>
      </w:r>
      <w:r>
        <w:rPr>
          <w:rFonts w:cs="Times New Roman" w:ascii="Times New Roman" w:hAnsi="Times New Roman"/>
          <w:b/>
          <w:color w:val="000000" w:themeColor="text1"/>
          <w:sz w:val="24"/>
          <w:szCs w:val="24"/>
        </w:rPr>
        <w:t>GREGORY COWAN</w:t>
      </w:r>
    </w:p>
    <w:p>
      <w:pPr>
        <w:pStyle w:val="Normal1"/>
        <w:spacing w:lineRule="auto" w:line="360" w:before="0" w:after="0"/>
        <w:jc w:val="right"/>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1"/>
        <w:spacing w:lineRule="auto" w:line="360" w:before="0" w:after="0"/>
        <w:jc w:val="center"/>
        <w:rPr/>
      </w:pPr>
      <w:r>
        <w:rPr>
          <w:rFonts w:cs="Times New Roman" w:ascii="Times New Roman" w:hAnsi="Times New Roman"/>
          <w:b/>
          <w:color w:val="000000" w:themeColor="text1"/>
          <w:sz w:val="24"/>
          <w:szCs w:val="24"/>
        </w:rPr>
        <w:t>Executive Summary</w:t>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color w:val="000000" w:themeColor="text1"/>
          <w:sz w:val="24"/>
          <w:szCs w:val="24"/>
        </w:rPr>
        <w:t>Community Engagement mainly brings social and environmental changes within an organization. This report mainly focuses on community engagement and its influence upon Unilever. It has been illustrated that Unilever offers wide employment opportunities to local people. The results indicate that Unilever engages with local communities to improve customer service. The company also collaborates with stakeholders to resolve potential issues. Community Engagement mainly promotes the wellbeing of people. The report has demonstrated that why stakeholder engagement is essential for business success. The organization can increase employee engagement by offering appropriate guidance to employees regarding local communities. They must support local nonprofits organizations.</w:t>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TOCHeading"/>
        <w:jc w:val="center"/>
        <w:rPr/>
      </w:pPr>
      <w:r>
        <w:rPr>
          <w:rFonts w:cs="Times New Roman" w:ascii="Times New Roman" w:hAnsi="Times New Roman"/>
          <w:color w:val="auto"/>
          <w:sz w:val="24"/>
          <w:szCs w:val="24"/>
        </w:rPr>
        <w:t>Table of Content</w:t>
      </w:r>
    </w:p>
    <w:p>
      <w:pPr>
        <w:pStyle w:val="Normal"/>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Contents2"/>
        <w:tabs>
          <w:tab w:val="clear" w:pos="720"/>
          <w:tab w:val="right" w:pos="9350" w:leader="dot"/>
        </w:tabs>
        <w:rPr/>
      </w:pPr>
      <w:hyperlink w:anchor="_Toc57376371">
        <w:r>
          <w:rPr>
            <w:rStyle w:val="IndexLink"/>
            <w:rFonts w:cs="Times New Roman" w:ascii="Times New Roman" w:hAnsi="Times New Roman"/>
          </w:rPr>
          <w:t>Introduction</w:t>
        </w:r>
        <w:r>
          <w:fldChar w:fldCharType="begin"/>
        </w:r>
        <w:r>
          <w:rPr>
            <w:rStyle w:val="ListLabel3"/>
          </w:rPr>
        </w:r>
        <w:r>
          <w:rPr>
            <w:rStyle w:val="ListLabel3"/>
          </w:rPr>
          <w:fldChar w:fldCharType="separate"/>
        </w:r>
        <w:bookmarkStart w:id="1" w:name="Bookmark"/>
        <w:r>
          <w:rPr>
            <w:rStyle w:val="ListLabel3"/>
          </w:rPr>
        </w:r>
        <w:r>
          <w:rPr>
            <w:rStyle w:val="ListLabel3"/>
          </w:rPr>
        </w:r>
        <w:r>
          <w:rPr>
            <w:rStyle w:val="ListLabel3"/>
          </w:rPr>
          <w:fldChar w:fldCharType="end"/>
        </w:r>
        <w:bookmarkEnd w:id="1"/>
        <w:r>
          <w:rPr>
            <w:webHidden/>
          </w:rPr>
          <w:fldChar w:fldCharType="begin"/>
        </w:r>
        <w:r>
          <w:rPr>
            <w:webHidden/>
          </w:rPr>
          <w:instrText>PAGEREF _Toc57376371 \h</w:instrText>
        </w:r>
        <w:r>
          <w:rPr>
            <w:webHidden/>
          </w:rPr>
          <w:fldChar w:fldCharType="separate"/>
        </w:r>
        <w:r>
          <w:rPr>
            <w:rStyle w:val="ListLabel1"/>
            <w:vanish/>
          </w:rPr>
          <w:fldChar w:fldCharType="begin"/>
        </w:r>
        <w:r>
          <w:rPr>
            <w:webHidden/>
          </w:rPr>
          <w:fldChar w:fldCharType="end"/>
        </w:r>
        <w:r>
          <w:rPr>
            <w:rStyle w:val="ListLabel1"/>
            <w:vanish/>
          </w:rPr>
          <w:instrText> PAGEREF _Toc57376371 \h </w:instrText>
        </w:r>
        <w:r>
          <w:rPr>
            <w:rStyle w:val="ListLabel1"/>
            <w:vanish/>
          </w:rPr>
          <w:fldChar w:fldCharType="separate"/>
        </w:r>
        <w:r>
          <w:rPr>
            <w:rStyle w:val="ListLabel1"/>
            <w:vanish/>
          </w:rPr>
          <w:t>4</w:t>
        </w:r>
        <w:r>
          <w:rPr>
            <w:rStyle w:val="ListLabel1"/>
            <w:vanish/>
          </w:rPr>
          <w:fldChar w:fldCharType="end"/>
        </w:r>
      </w:hyperlink>
    </w:p>
    <w:p>
      <w:pPr>
        <w:pStyle w:val="Contents2"/>
        <w:tabs>
          <w:tab w:val="clear" w:pos="720"/>
          <w:tab w:val="right" w:pos="9350" w:leader="dot"/>
        </w:tabs>
        <w:rPr/>
      </w:pPr>
      <w:hyperlink w:anchor="_Toc57376372">
        <w:r>
          <w:rPr>
            <w:rStyle w:val="IndexLink"/>
            <w:rFonts w:cs="Times New Roman" w:ascii="Times New Roman" w:hAnsi="Times New Roman"/>
          </w:rPr>
          <w:t>Company Overview</w:t>
        </w:r>
        <w:r>
          <w:fldChar w:fldCharType="begin"/>
        </w:r>
        <w:r>
          <w:rPr>
            <w:rStyle w:val="ListLabel3"/>
          </w:rPr>
        </w:r>
        <w:r>
          <w:rPr>
            <w:rStyle w:val="ListLabel3"/>
          </w:rPr>
          <w:fldChar w:fldCharType="separate"/>
        </w:r>
        <w:bookmarkStart w:id="2" w:name="Bookmark1"/>
        <w:r>
          <w:rPr>
            <w:rStyle w:val="ListLabel3"/>
          </w:rPr>
        </w:r>
        <w:r>
          <w:rPr>
            <w:rStyle w:val="ListLabel3"/>
          </w:rPr>
        </w:r>
        <w:r>
          <w:rPr>
            <w:rStyle w:val="ListLabel3"/>
          </w:rPr>
          <w:fldChar w:fldCharType="end"/>
        </w:r>
        <w:bookmarkEnd w:id="2"/>
        <w:r>
          <w:rPr>
            <w:webHidden/>
          </w:rPr>
          <w:fldChar w:fldCharType="begin"/>
        </w:r>
        <w:r>
          <w:rPr>
            <w:webHidden/>
          </w:rPr>
          <w:instrText>PAGEREF _Toc57376372 \h</w:instrText>
        </w:r>
        <w:r>
          <w:rPr>
            <w:webHidden/>
          </w:rPr>
          <w:fldChar w:fldCharType="separate"/>
        </w:r>
        <w:r>
          <w:rPr>
            <w:rStyle w:val="ListLabel1"/>
            <w:vanish/>
          </w:rPr>
          <w:fldChar w:fldCharType="begin"/>
        </w:r>
        <w:r>
          <w:rPr>
            <w:webHidden/>
          </w:rPr>
          <w:fldChar w:fldCharType="end"/>
        </w:r>
        <w:r>
          <w:rPr>
            <w:rStyle w:val="ListLabel1"/>
            <w:vanish/>
          </w:rPr>
          <w:instrText> PAGEREF _Toc57376372 \h </w:instrText>
        </w:r>
        <w:r>
          <w:rPr>
            <w:rStyle w:val="ListLabel1"/>
            <w:vanish/>
          </w:rPr>
          <w:fldChar w:fldCharType="separate"/>
        </w:r>
        <w:r>
          <w:rPr>
            <w:rStyle w:val="ListLabel1"/>
            <w:vanish/>
          </w:rPr>
          <w:t>4</w:t>
        </w:r>
        <w:r>
          <w:rPr>
            <w:rStyle w:val="ListLabel1"/>
            <w:vanish/>
          </w:rPr>
          <w:fldChar w:fldCharType="end"/>
        </w:r>
      </w:hyperlink>
    </w:p>
    <w:p>
      <w:pPr>
        <w:pStyle w:val="Contents2"/>
        <w:tabs>
          <w:tab w:val="clear" w:pos="720"/>
          <w:tab w:val="right" w:pos="9350" w:leader="dot"/>
        </w:tabs>
        <w:rPr/>
      </w:pPr>
      <w:hyperlink w:anchor="_Toc57376373">
        <w:r>
          <w:rPr>
            <w:rStyle w:val="IndexLink"/>
            <w:rFonts w:cs="Times New Roman" w:ascii="Times New Roman" w:hAnsi="Times New Roman"/>
          </w:rPr>
          <w:t>Best Practices upon Community Engagement</w:t>
        </w:r>
        <w:r>
          <w:fldChar w:fldCharType="begin"/>
        </w:r>
        <w:r>
          <w:rPr>
            <w:rStyle w:val="ListLabel3"/>
          </w:rPr>
        </w:r>
        <w:r>
          <w:rPr>
            <w:rStyle w:val="ListLabel3"/>
          </w:rPr>
          <w:fldChar w:fldCharType="separate"/>
        </w:r>
        <w:bookmarkStart w:id="3" w:name="Bookmark2"/>
        <w:r>
          <w:rPr>
            <w:rStyle w:val="ListLabel3"/>
          </w:rPr>
        </w:r>
        <w:r>
          <w:rPr>
            <w:rStyle w:val="ListLabel3"/>
          </w:rPr>
        </w:r>
        <w:r>
          <w:rPr>
            <w:rStyle w:val="ListLabel3"/>
          </w:rPr>
          <w:fldChar w:fldCharType="end"/>
        </w:r>
        <w:bookmarkEnd w:id="3"/>
        <w:r>
          <w:rPr>
            <w:webHidden/>
          </w:rPr>
          <w:fldChar w:fldCharType="begin"/>
        </w:r>
        <w:r>
          <w:rPr>
            <w:webHidden/>
          </w:rPr>
          <w:instrText>PAGEREF _Toc57376373 \h</w:instrText>
        </w:r>
        <w:r>
          <w:rPr>
            <w:webHidden/>
          </w:rPr>
          <w:fldChar w:fldCharType="separate"/>
        </w:r>
        <w:r>
          <w:rPr>
            <w:rStyle w:val="ListLabel1"/>
            <w:vanish/>
          </w:rPr>
          <w:fldChar w:fldCharType="begin"/>
        </w:r>
        <w:r>
          <w:rPr>
            <w:webHidden/>
          </w:rPr>
          <w:fldChar w:fldCharType="end"/>
        </w:r>
        <w:r>
          <w:rPr>
            <w:rStyle w:val="ListLabel1"/>
            <w:vanish/>
          </w:rPr>
          <w:instrText> PAGEREF _Toc57376373 \h </w:instrText>
        </w:r>
        <w:r>
          <w:rPr>
            <w:rStyle w:val="ListLabel1"/>
            <w:vanish/>
          </w:rPr>
          <w:fldChar w:fldCharType="separate"/>
        </w:r>
        <w:r>
          <w:rPr>
            <w:rStyle w:val="ListLabel1"/>
            <w:vanish/>
          </w:rPr>
          <w:t>5</w:t>
        </w:r>
        <w:r>
          <w:rPr>
            <w:rStyle w:val="ListLabel1"/>
            <w:vanish/>
          </w:rPr>
          <w:fldChar w:fldCharType="end"/>
        </w:r>
      </w:hyperlink>
    </w:p>
    <w:p>
      <w:pPr>
        <w:pStyle w:val="Contents2"/>
        <w:tabs>
          <w:tab w:val="clear" w:pos="720"/>
          <w:tab w:val="right" w:pos="9350" w:leader="dot"/>
        </w:tabs>
        <w:rPr/>
      </w:pPr>
      <w:hyperlink w:anchor="_Toc57376374">
        <w:r>
          <w:rPr>
            <w:rStyle w:val="IndexLink"/>
            <w:rFonts w:cs="Times New Roman" w:ascii="Times New Roman" w:hAnsi="Times New Roman"/>
          </w:rPr>
          <w:t>Stakeholder Participation in Unilever</w:t>
        </w:r>
        <w:r>
          <w:fldChar w:fldCharType="begin"/>
        </w:r>
        <w:r>
          <w:rPr>
            <w:rStyle w:val="ListLabel3"/>
          </w:rPr>
        </w:r>
        <w:r>
          <w:rPr>
            <w:rStyle w:val="ListLabel3"/>
          </w:rPr>
          <w:fldChar w:fldCharType="separate"/>
        </w:r>
        <w:bookmarkStart w:id="4" w:name="Bookmark3"/>
        <w:r>
          <w:rPr>
            <w:rStyle w:val="ListLabel3"/>
          </w:rPr>
        </w:r>
        <w:r>
          <w:rPr>
            <w:rStyle w:val="ListLabel3"/>
          </w:rPr>
        </w:r>
        <w:r>
          <w:rPr>
            <w:rStyle w:val="ListLabel3"/>
          </w:rPr>
          <w:fldChar w:fldCharType="end"/>
        </w:r>
        <w:bookmarkEnd w:id="4"/>
        <w:r>
          <w:rPr>
            <w:webHidden/>
          </w:rPr>
          <w:fldChar w:fldCharType="begin"/>
        </w:r>
        <w:r>
          <w:rPr>
            <w:webHidden/>
          </w:rPr>
          <w:instrText>PAGEREF _Toc57376374 \h</w:instrText>
        </w:r>
        <w:r>
          <w:rPr>
            <w:webHidden/>
          </w:rPr>
          <w:fldChar w:fldCharType="separate"/>
        </w:r>
        <w:r>
          <w:rPr>
            <w:rStyle w:val="ListLabel1"/>
            <w:vanish/>
          </w:rPr>
          <w:fldChar w:fldCharType="begin"/>
        </w:r>
        <w:r>
          <w:rPr>
            <w:webHidden/>
          </w:rPr>
          <w:fldChar w:fldCharType="end"/>
        </w:r>
        <w:r>
          <w:rPr>
            <w:rStyle w:val="ListLabel1"/>
            <w:vanish/>
          </w:rPr>
          <w:instrText> PAGEREF _Toc57376374 \h </w:instrText>
        </w:r>
        <w:r>
          <w:rPr>
            <w:rStyle w:val="ListLabel1"/>
            <w:vanish/>
          </w:rPr>
          <w:fldChar w:fldCharType="separate"/>
        </w:r>
        <w:r>
          <w:rPr>
            <w:rStyle w:val="ListLabel1"/>
            <w:vanish/>
          </w:rPr>
          <w:t>7</w:t>
        </w:r>
        <w:r>
          <w:rPr>
            <w:rStyle w:val="ListLabel1"/>
            <w:vanish/>
          </w:rPr>
          <w:fldChar w:fldCharType="end"/>
        </w:r>
      </w:hyperlink>
    </w:p>
    <w:p>
      <w:pPr>
        <w:pStyle w:val="Contents2"/>
        <w:tabs>
          <w:tab w:val="clear" w:pos="720"/>
          <w:tab w:val="right" w:pos="9350" w:leader="dot"/>
        </w:tabs>
        <w:rPr/>
      </w:pPr>
      <w:hyperlink w:anchor="_Toc57376375">
        <w:r>
          <w:rPr>
            <w:rStyle w:val="IndexLink"/>
            <w:rFonts w:cs="Times New Roman" w:ascii="Times New Roman" w:hAnsi="Times New Roman"/>
          </w:rPr>
          <w:t>How Employees can contribute to community projects</w:t>
        </w:r>
        <w:r>
          <w:fldChar w:fldCharType="begin"/>
        </w:r>
        <w:r>
          <w:rPr>
            <w:rStyle w:val="ListLabel3"/>
          </w:rPr>
        </w:r>
        <w:r>
          <w:rPr>
            <w:rStyle w:val="ListLabel3"/>
          </w:rPr>
          <w:fldChar w:fldCharType="separate"/>
        </w:r>
        <w:bookmarkStart w:id="5" w:name="Bookmark4"/>
        <w:r>
          <w:rPr>
            <w:rStyle w:val="ListLabel3"/>
          </w:rPr>
        </w:r>
        <w:r>
          <w:rPr>
            <w:rStyle w:val="ListLabel3"/>
          </w:rPr>
        </w:r>
        <w:r>
          <w:rPr>
            <w:rStyle w:val="ListLabel3"/>
          </w:rPr>
          <w:fldChar w:fldCharType="end"/>
        </w:r>
        <w:bookmarkEnd w:id="5"/>
        <w:r>
          <w:rPr>
            <w:webHidden/>
          </w:rPr>
          <w:fldChar w:fldCharType="begin"/>
        </w:r>
        <w:r>
          <w:rPr>
            <w:webHidden/>
          </w:rPr>
          <w:instrText>PAGEREF _Toc57376375 \h</w:instrText>
        </w:r>
        <w:r>
          <w:rPr>
            <w:webHidden/>
          </w:rPr>
          <w:fldChar w:fldCharType="separate"/>
        </w:r>
        <w:r>
          <w:rPr>
            <w:rStyle w:val="ListLabel1"/>
            <w:vanish/>
          </w:rPr>
          <w:fldChar w:fldCharType="begin"/>
        </w:r>
        <w:r>
          <w:rPr>
            <w:webHidden/>
          </w:rPr>
          <w:fldChar w:fldCharType="end"/>
        </w:r>
        <w:r>
          <w:rPr>
            <w:rStyle w:val="ListLabel1"/>
            <w:vanish/>
          </w:rPr>
          <w:instrText> PAGEREF _Toc57376375 \h </w:instrText>
        </w:r>
        <w:r>
          <w:rPr>
            <w:rStyle w:val="ListLabel1"/>
            <w:vanish/>
          </w:rPr>
          <w:fldChar w:fldCharType="separate"/>
        </w:r>
        <w:r>
          <w:rPr>
            <w:rStyle w:val="ListLabel1"/>
            <w:vanish/>
          </w:rPr>
          <w:t>9</w:t>
        </w:r>
        <w:r>
          <w:rPr>
            <w:rStyle w:val="ListLabel1"/>
            <w:vanish/>
          </w:rPr>
          <w:fldChar w:fldCharType="end"/>
        </w:r>
      </w:hyperlink>
    </w:p>
    <w:p>
      <w:pPr>
        <w:pStyle w:val="Contents2"/>
        <w:tabs>
          <w:tab w:val="clear" w:pos="720"/>
          <w:tab w:val="right" w:pos="9350" w:leader="dot"/>
        </w:tabs>
        <w:rPr/>
      </w:pPr>
      <w:hyperlink w:anchor="_Toc57376376">
        <w:r>
          <w:rPr>
            <w:webHidden/>
          </w:rPr>
          <w:fldChar w:fldCharType="begin"/>
        </w:r>
        <w:r>
          <w:rPr>
            <w:webHidden/>
          </w:rPr>
          <w:instrText>PAGEREF _Toc57376376 \h</w:instrText>
        </w:r>
        <w:r>
          <w:rPr>
            <w:webHidden/>
          </w:rPr>
          <w:fldChar w:fldCharType="separate"/>
        </w:r>
        <w:r>
          <w:rPr>
            <w:rStyle w:val="InternetLink"/>
            <w:vanish/>
          </w:rPr>
          <w:fldChar w:fldCharType="begin"/>
        </w:r>
        <w:r>
          <w:rPr>
            <w:webHidden/>
          </w:rPr>
          <w:fldChar w:fldCharType="end"/>
        </w:r>
        <w:r>
          <w:rPr>
            <w:rStyle w:val="InternetLink"/>
            <w:vanish/>
          </w:rPr>
          <w:instrText> PAGEREF _Toc57376376 \h </w:instrText>
        </w:r>
        <w:r>
          <w:rPr>
            <w:rStyle w:val="InternetLink"/>
            <w:vanish/>
          </w:rPr>
          <w:fldChar w:fldCharType="separate"/>
        </w:r>
        <w:r>
          <w:rPr>
            <w:rStyle w:val="InternetLink"/>
            <w:vanish/>
          </w:rPr>
          <w:t>11</w:t>
        </w:r>
        <w:r>
          <w:rPr>
            <w:rStyle w:val="InternetLink"/>
            <w:vanish/>
          </w:rPr>
          <w:fldChar w:fldCharType="end"/>
        </w:r>
      </w:hyperlink>
    </w:p>
    <w:p>
      <w:pPr>
        <w:pStyle w:val="Contents2"/>
        <w:tabs>
          <w:tab w:val="clear" w:pos="720"/>
          <w:tab w:val="right" w:pos="9350" w:leader="dot"/>
        </w:tabs>
        <w:rPr/>
      </w:pPr>
      <w:hyperlink w:anchor="_Toc57376377">
        <w:r>
          <w:rPr>
            <w:rStyle w:val="IndexLink"/>
            <w:rFonts w:cs="Times New Roman" w:ascii="Times New Roman" w:hAnsi="Times New Roman"/>
            <w:color w:val="auto"/>
            <w:sz w:val="24"/>
            <w:szCs w:val="24"/>
          </w:rPr>
          <w:t>Reference List</w:t>
        </w:r>
        <w:r>
          <w:fldChar w:fldCharType="begin"/>
        </w:r>
        <w:r>
          <w:rPr>
            <w:rStyle w:val="ListLabel4"/>
          </w:rPr>
        </w:r>
        <w:r>
          <w:rPr>
            <w:rStyle w:val="ListLabel4"/>
          </w:rPr>
          <w:fldChar w:fldCharType="separate"/>
        </w:r>
        <w:bookmarkStart w:id="6" w:name="Bookmark5"/>
        <w:r>
          <w:rPr>
            <w:rStyle w:val="ListLabel4"/>
          </w:rPr>
        </w:r>
        <w:r>
          <w:rPr>
            <w:rStyle w:val="ListLabel4"/>
          </w:rPr>
        </w:r>
        <w:r>
          <w:rPr>
            <w:rStyle w:val="ListLabel4"/>
          </w:rPr>
          <w:fldChar w:fldCharType="end"/>
        </w:r>
        <w:bookmarkEnd w:id="6"/>
        <w:r>
          <w:rPr>
            <w:webHidden/>
          </w:rPr>
          <w:fldChar w:fldCharType="begin"/>
        </w:r>
        <w:r>
          <w:rPr>
            <w:webHidden/>
          </w:rPr>
          <w:instrText>PAGEREF _Toc57376377 \h</w:instrText>
        </w:r>
        <w:r>
          <w:rPr>
            <w:webHidden/>
          </w:rPr>
          <w:fldChar w:fldCharType="separate"/>
        </w:r>
        <w:r>
          <w:rPr>
            <w:rStyle w:val="ListLabel2"/>
            <w:vanish/>
          </w:rPr>
          <w:fldChar w:fldCharType="begin"/>
        </w:r>
        <w:r>
          <w:rPr>
            <w:webHidden/>
          </w:rPr>
          <w:fldChar w:fldCharType="end"/>
        </w:r>
        <w:r>
          <w:rPr>
            <w:rStyle w:val="ListLabel2"/>
            <w:vanish/>
          </w:rPr>
          <w:instrText> PAGEREF _Toc57376377 \h </w:instrText>
        </w:r>
        <w:r>
          <w:rPr>
            <w:rStyle w:val="ListLabel2"/>
            <w:vanish/>
          </w:rPr>
          <w:fldChar w:fldCharType="separate"/>
        </w:r>
        <w:r>
          <w:rPr>
            <w:rStyle w:val="ListLabel2"/>
            <w:vanish/>
          </w:rPr>
          <w:t>12</w:t>
        </w:r>
        <w:r>
          <w:rPr>
            <w:rStyle w:val="ListLabel2"/>
            <w:vanish/>
          </w:rPr>
          <w:fldChar w:fldCharType="end"/>
        </w:r>
      </w:hyperlink>
    </w:p>
    <w:p>
      <w:pPr>
        <w:pStyle w:val="Normal"/>
        <w:spacing w:lineRule="auto" w:line="360" w:before="0" w:after="0"/>
        <w:jc w:val="both"/>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Heading2"/>
        <w:rPr>
          <w:rFonts w:cs="Times New Roman"/>
          <w:szCs w:val="24"/>
        </w:rPr>
      </w:pPr>
      <w:bookmarkStart w:id="7" w:name="_Toc57376371"/>
      <w:r>
        <w:rPr>
          <w:rFonts w:cs="Times New Roman"/>
          <w:szCs w:val="24"/>
        </w:rPr>
        <w:t>Introduction</w:t>
      </w:r>
      <w:bookmarkEnd w:id="7"/>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This report provides a deep explanation of community practices and their importance in Unilever. It also highlights how employees can contribute to a community project. The report also demonstrates an in-depth understanding of stakeholder participation and its influence on business performance. Local communities play a crucial role in the economic development of business. The organization can enjoy several benefits by collaborating with local communities and creating wide employment opportunities.</w:t>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Heading2"/>
        <w:rPr>
          <w:rFonts w:cs="Times New Roman"/>
          <w:szCs w:val="24"/>
        </w:rPr>
      </w:pPr>
      <w:bookmarkStart w:id="8" w:name="_Toc57376372"/>
      <w:r>
        <w:rPr>
          <w:rFonts w:cs="Times New Roman"/>
          <w:szCs w:val="24"/>
        </w:rPr>
        <w:t>Company Overview</w:t>
      </w:r>
      <w:bookmarkEnd w:id="8"/>
      <w:r>
        <w:rPr>
          <w:rFonts w:cs="Times New Roman"/>
          <w:szCs w:val="24"/>
        </w:rPr>
        <w:t xml:space="preserve"> </w:t>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Unilever is One of   multinational consumer goods companies in the UK. The company mainly offers beverages, cosmetics, and other household items to customers. The consumer retailer is well known for its sustainable practices and superior customer service. In 2009, Unilever has increased its growth by around 3.5%. The company mainly operates its services in Asia, UK, Europe, and America. Unilever was able to produce remarkable sales growth of around 13.3%. The company has employed 163, 000 employees across the world.</w:t>
      </w:r>
    </w:p>
    <w:p>
      <w:pPr>
        <w:pStyle w:val="Normal"/>
        <w:spacing w:lineRule="auto" w:line="360" w:before="0" w:after="0"/>
        <w:jc w:val="center"/>
        <w:rPr>
          <w:rFonts w:ascii="Times New Roman" w:hAnsi="Times New Roman" w:cs="Times New Roman"/>
          <w:color w:val="000000" w:themeColor="text1"/>
          <w:sz w:val="24"/>
          <w:szCs w:val="24"/>
        </w:rPr>
      </w:pPr>
      <w:r>
        <w:rPr/>
        <w:drawing>
          <wp:inline distT="0" distB="0" distL="0" distR="0">
            <wp:extent cx="4724400" cy="2811145"/>
            <wp:effectExtent l="0" t="0" r="0" b="0"/>
            <wp:docPr id="2"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
                    <pic:cNvPicPr>
                      <a:picLocks noChangeAspect="1" noChangeArrowheads="1"/>
                    </pic:cNvPicPr>
                  </pic:nvPicPr>
                  <pic:blipFill>
                    <a:blip r:embed="rId3"/>
                    <a:stretch>
                      <a:fillRect/>
                    </a:stretch>
                  </pic:blipFill>
                  <pic:spPr bwMode="auto">
                    <a:xfrm>
                      <a:off x="0" y="0"/>
                      <a:ext cx="4724400" cy="2811145"/>
                    </a:xfrm>
                    <a:prstGeom prst="rect">
                      <a:avLst/>
                    </a:prstGeom>
                  </pic:spPr>
                </pic:pic>
              </a:graphicData>
            </a:graphic>
          </wp:inline>
        </w:drawing>
      </w:r>
    </w:p>
    <w:p>
      <w:pPr>
        <w:pStyle w:val="Normal"/>
        <w:spacing w:lineRule="auto" w:line="36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 xml:space="preserve">Figure: </w:t>
      </w:r>
      <w:bookmarkStart w:id="9" w:name="__DdeLink__205_4055940894"/>
      <w:r>
        <w:rPr>
          <w:rFonts w:cs="Times New Roman" w:ascii="Times New Roman" w:hAnsi="Times New Roman"/>
          <w:b/>
          <w:bCs/>
          <w:color w:val="000000" w:themeColor="text1"/>
          <w:sz w:val="24"/>
          <w:szCs w:val="24"/>
        </w:rPr>
        <w:t xml:space="preserve">Unilever </w:t>
      </w:r>
      <w:bookmarkEnd w:id="9"/>
    </w:p>
    <w:p>
      <w:pPr>
        <w:pStyle w:val="Normal"/>
        <w:spacing w:lineRule="auto" w:line="360" w:before="0" w:after="0"/>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 xml:space="preserve">Source: </w:t>
      </w:r>
      <w:r>
        <w:rPr>
          <w:rFonts w:cs="Times New Roman" w:ascii="Times New Roman" w:hAnsi="Times New Roman"/>
          <w:b/>
          <w:bCs/>
          <w:color w:val="000000" w:themeColor="text1"/>
          <w:sz w:val="24"/>
          <w:szCs w:val="24"/>
          <w:shd w:fill="FFFFFF" w:val="clear"/>
        </w:rPr>
        <w:t>(Ma, 2017)</w:t>
      </w:r>
    </w:p>
    <w:p>
      <w:pPr>
        <w:pStyle w:val="Heading2"/>
        <w:rPr>
          <w:rFonts w:cs="Times New Roman"/>
          <w:szCs w:val="24"/>
        </w:rPr>
      </w:pPr>
      <w:bookmarkStart w:id="10" w:name="_Toc57376373"/>
      <w:r>
        <w:rPr>
          <w:rFonts w:cs="Times New Roman"/>
          <w:szCs w:val="24"/>
        </w:rPr>
        <w:t>B</w:t>
      </w:r>
      <w:bookmarkStart w:id="11" w:name="__DdeLink__516_2581791721"/>
      <w:r>
        <w:rPr>
          <w:rFonts w:cs="Times New Roman"/>
          <w:szCs w:val="24"/>
        </w:rPr>
        <w:t>est Practices upon Community Engagement</w:t>
      </w:r>
      <w:bookmarkEnd w:id="10"/>
      <w:r>
        <w:rPr>
          <w:rFonts w:cs="Times New Roman"/>
          <w:szCs w:val="24"/>
        </w:rPr>
        <w:t xml:space="preserve"> </w:t>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 xml:space="preserve">Importance of Communities </w:t>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Community Engagement is all about individual contribution towards societal development. It has a deep influence on stakeholder's actions. On the other side, Community Engagement mainly embraces social change within an organization. It may contribute towards sustainable decision making and improve living standards. Thus, Community Engagement is very much important for organizations, government bodies, and individuals. In this way, Firms can gain a better understanding of the community's aspirations. Community engagement is very beneficial for creating social capital </w:t>
      </w:r>
      <w:r>
        <w:rPr>
          <w:rFonts w:cs="Times New Roman" w:ascii="Times New Roman" w:hAnsi="Times New Roman"/>
          <w:color w:val="000000" w:themeColor="text1"/>
          <w:sz w:val="24"/>
          <w:szCs w:val="24"/>
          <w:shd w:fill="FFFFFF" w:val="clear"/>
        </w:rPr>
        <w:t>(Wu et al., 2018)</w:t>
      </w:r>
      <w:r>
        <w:rPr>
          <w:rFonts w:cs="Times New Roman" w:ascii="Times New Roman" w:hAnsi="Times New Roman"/>
          <w:color w:val="000000" w:themeColor="text1"/>
          <w:sz w:val="24"/>
          <w:szCs w:val="24"/>
        </w:rPr>
        <w:t>.</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 xml:space="preserve">Practices in Unilever </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Unilever mainly creates wide employment opportunities for local communities. The company has developed a sustainable living plan to support local communities. The consumer retailer always pays corporate taxes to legislative bodies. Unilever also takes active participation in community investment activities. Around 70% of employees were engaged in volunteering activities. In recent years, Unilever has donated its income to Feeding America. Unilever is constantly working with suppliers to support local communities </w:t>
      </w:r>
      <w:r>
        <w:rPr>
          <w:rFonts w:cs="Times New Roman" w:ascii="Times New Roman" w:hAnsi="Times New Roman"/>
          <w:color w:val="000000" w:themeColor="text1"/>
          <w:sz w:val="24"/>
          <w:szCs w:val="24"/>
          <w:shd w:fill="FFFFFF" w:val="clear"/>
        </w:rPr>
        <w:t>(Paine et al., 2019)</w:t>
      </w:r>
      <w:r>
        <w:rPr>
          <w:rFonts w:cs="Times New Roman" w:ascii="Times New Roman" w:hAnsi="Times New Roman"/>
          <w:color w:val="000000" w:themeColor="text1"/>
          <w:sz w:val="24"/>
          <w:szCs w:val="24"/>
        </w:rPr>
        <w:t xml:space="preserve">. The company has maintained a strong relationship with farmers to improve living standards. Unilever mainly supplies agricultural materials from local farmers. The consumer retailer tries to create a sustainable future for smallholders. The success of Unilever is entirely dependent upon local communities. The company mainly focuses on certain things which are income diversification and agricultural practices.  Unilever offers efficient training and financial support to smallholder farmers. The company conducts several programs to analyze potential barriers to smallholder growth. In 2019, Unilever has collaborated with Madagascar to improve livelihoods </w:t>
      </w:r>
      <w:r>
        <w:rPr>
          <w:rFonts w:cs="Times New Roman" w:ascii="Times New Roman" w:hAnsi="Times New Roman"/>
          <w:color w:val="000000" w:themeColor="text1"/>
          <w:sz w:val="24"/>
          <w:szCs w:val="24"/>
          <w:shd w:fill="FFFFFF" w:val="clear"/>
        </w:rPr>
        <w:t>(Gilmore et al., 2020)</w:t>
      </w:r>
      <w:r>
        <w:rPr>
          <w:rFonts w:cs="Times New Roman" w:ascii="Times New Roman" w:hAnsi="Times New Roman"/>
          <w:color w:val="000000" w:themeColor="text1"/>
          <w:sz w:val="24"/>
          <w:szCs w:val="24"/>
        </w:rPr>
        <w:t xml:space="preserve">. </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The company has adopted a holistic initiative to reach 59, 000 people. This strategic alliance may help Unilever to access fair financial management. The company also trains local people in developing business skills. Unilever also takes youth development measures to build a peaceful society. In this way, the consumer retailer may bring positive change in society. Unilever mainly focuses on sustainable sourcing to build strong relationships with local communities. These partnerships may help businesses to tackle environmental issues. In this way, Unilever can tackle deforestation and industrial waste. The company is making a positive difference in individual lives. The company also provides necessary food items to food banks. Unilever is also making huge awareness among customers regarding local communities. The company has introduced “ Project Prabhat" to support local people. Apart from this, Unilever is contributing to rural communities like factories, depots, and branches. The company makes sure that the Sustainable Living Plan is linked with community development </w:t>
      </w:r>
      <w:r>
        <w:rPr>
          <w:rFonts w:cs="Times New Roman" w:ascii="Times New Roman" w:hAnsi="Times New Roman"/>
          <w:color w:val="000000" w:themeColor="text1"/>
          <w:sz w:val="24"/>
          <w:szCs w:val="24"/>
          <w:shd w:fill="FFFFFF" w:val="clear"/>
        </w:rPr>
        <w:t>(Pine et al, 2020)</w:t>
      </w:r>
      <w:r>
        <w:rPr>
          <w:rFonts w:cs="Times New Roman" w:ascii="Times New Roman" w:hAnsi="Times New Roman"/>
          <w:color w:val="000000" w:themeColor="text1"/>
          <w:sz w:val="24"/>
          <w:szCs w:val="24"/>
        </w:rPr>
        <w:t>. Unilever has supported local communities in several ways which are described below:</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Improving employability skills: </w:t>
      </w:r>
      <w:r>
        <w:rPr>
          <w:rFonts w:cs="Times New Roman" w:ascii="Times New Roman" w:hAnsi="Times New Roman"/>
          <w:color w:val="000000" w:themeColor="text1"/>
          <w:sz w:val="24"/>
          <w:szCs w:val="24"/>
        </w:rPr>
        <w:t xml:space="preserve">Unilever tries to improve income generation among local communities. The company has established its Livelihood center to embrace positive change. Unilever tries to inculcate an entrepreneurial mindset among local people. The company provides vocational training to younger adults and women. The consumer retailer has collaborated with multiple NGOs to offer appropriate guidance to local communities. Unilever has created job opportunities for 41841 individuals. Apart from this, the company train local people to become e-commerce professional </w:t>
      </w:r>
      <w:r>
        <w:rPr>
          <w:rFonts w:cs="Times New Roman" w:ascii="Times New Roman" w:hAnsi="Times New Roman"/>
          <w:color w:val="000000" w:themeColor="text1"/>
          <w:sz w:val="24"/>
          <w:szCs w:val="24"/>
          <w:shd w:fill="FFFFFF" w:val="clear"/>
        </w:rPr>
        <w:t>(De Weger et al., 2018)</w:t>
      </w:r>
      <w:r>
        <w:rPr>
          <w:rFonts w:cs="Times New Roman" w:ascii="Times New Roman" w:hAnsi="Times New Roman"/>
          <w:color w:val="000000" w:themeColor="text1"/>
          <w:sz w:val="24"/>
          <w:szCs w:val="24"/>
        </w:rPr>
        <w:t>.</w:t>
      </w:r>
      <w:bookmarkEnd w:id="11"/>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Promoting Health and Wellbeing: </w:t>
      </w:r>
      <w:r>
        <w:rPr>
          <w:rFonts w:cs="Times New Roman" w:ascii="Times New Roman" w:hAnsi="Times New Roman"/>
          <w:color w:val="000000" w:themeColor="text1"/>
          <w:sz w:val="24"/>
          <w:szCs w:val="24"/>
        </w:rPr>
        <w:t xml:space="preserve">Unilever has launched a rural led communication program for local communities. Under this program, the agents have shown two-minute stories regarding a healthy lifestyle. Through this program, Unilever was able to reach 21 million people and build huge awareness regarding good hygienic practices in communities. The company always align their project with Nutrition Mission. Apart from this, Unilever is providing greater support to young women. </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Working with farmers: </w:t>
      </w:r>
      <w:r>
        <w:rPr>
          <w:rFonts w:cs="Times New Roman" w:ascii="Times New Roman" w:hAnsi="Times New Roman"/>
          <w:color w:val="000000" w:themeColor="text1"/>
          <w:sz w:val="24"/>
          <w:szCs w:val="24"/>
        </w:rPr>
        <w:t xml:space="preserve">Unilever has maintained a strong partnership with farmers to manage water consumption. The company is constantly making several efforts to improve agricultural practices. Unilever tries to analyze water resources in local communities. This program may help local people to build an efficient water structure. In this way, Farmers were able to access freshwater during cropping seasons. The company is also managing water consumption at the village level </w:t>
      </w:r>
      <w:r>
        <w:rPr>
          <w:rFonts w:cs="Times New Roman" w:ascii="Times New Roman" w:hAnsi="Times New Roman"/>
          <w:color w:val="000000" w:themeColor="text1"/>
          <w:sz w:val="24"/>
          <w:szCs w:val="24"/>
          <w:shd w:fill="FFFFFF" w:val="clear"/>
        </w:rPr>
        <w:t>(Di Napoli et al., 2019)</w:t>
      </w:r>
      <w:r>
        <w:rPr>
          <w:rFonts w:cs="Times New Roman" w:ascii="Times New Roman" w:hAnsi="Times New Roman"/>
          <w:color w:val="000000" w:themeColor="text1"/>
          <w:sz w:val="24"/>
          <w:szCs w:val="24"/>
        </w:rPr>
        <w:t>.</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Unplastic Initiative: </w:t>
      </w:r>
      <w:r>
        <w:rPr>
          <w:rFonts w:cs="Times New Roman" w:ascii="Times New Roman" w:hAnsi="Times New Roman"/>
          <w:color w:val="000000" w:themeColor="text1"/>
          <w:sz w:val="24"/>
          <w:szCs w:val="24"/>
        </w:rPr>
        <w:t>Unilever is working with business partners to offer innovative solutions to local communities. Under this program, the agents collect plastic waste as much as possible. The company also rewards people for reducing plastic wastage. The company tries to collect plastic waste at the housing level. This may support the development of local communities. Unilever may further utilize this waste in making t-shirts, furniture, and raw materials for building roads. These community projects are mainly operated near 26 locations across the country. Employee Engagement is another beneficial factor for local communities</w:t>
      </w:r>
      <w:r>
        <w:rPr>
          <w:rFonts w:cs="Times New Roman" w:ascii="Times New Roman" w:hAnsi="Times New Roman"/>
          <w:color w:val="000000" w:themeColor="text1"/>
          <w:sz w:val="24"/>
          <w:szCs w:val="24"/>
          <w:shd w:fill="FFFFFF" w:val="clear"/>
        </w:rPr>
        <w:t xml:space="preserve"> (O’Meara and Jaeger, 2019)</w:t>
      </w:r>
      <w:r>
        <w:rPr>
          <w:rFonts w:cs="Times New Roman" w:ascii="Times New Roman" w:hAnsi="Times New Roman"/>
          <w:color w:val="000000" w:themeColor="text1"/>
          <w:sz w:val="24"/>
          <w:szCs w:val="24"/>
        </w:rPr>
        <w:t>.</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p>
    <w:p>
      <w:pPr>
        <w:pStyle w:val="Heading2"/>
        <w:rPr>
          <w:rFonts w:cs="Times New Roman"/>
          <w:szCs w:val="24"/>
        </w:rPr>
      </w:pPr>
      <w:bookmarkStart w:id="12" w:name="_Toc57376374"/>
      <w:r>
        <w:rPr>
          <w:rFonts w:cs="Times New Roman"/>
          <w:szCs w:val="24"/>
        </w:rPr>
        <w:t>Stakeholder Participation in Unilever</w:t>
      </w:r>
      <w:bookmarkEnd w:id="12"/>
      <w:r>
        <w:rPr>
          <w:rFonts w:cs="Times New Roman"/>
          <w:szCs w:val="24"/>
        </w:rPr>
        <w:t xml:space="preserve"> </w:t>
      </w:r>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 stakeholder is defined as an independent party who takes a huge interest in business activities. These stakeholders have a deep influence on business policies. Over the past few years, Unilever has maintained a strong relationship with stakeholders to generate huge wealth. The company mainly focuses on its suppliers, customers, investors, and local communities. Unilever also provides appreciation to employees for performing better. The company mainly works with stakeholders to develop a sustainable living plan. Unilever pays much attention to stakeholder engagement. The company mainly established close relationships with NGOs to promote the social cause and enhance business reputation. The company also conducts leadership development programs for their staff members. The consumer retailer also conducts regular meetings to discuss potential issues with stakeholders. Stakeholder Engagement is an integral part of the Unilever Sustainable Plan. The company works closely with stakeholders to attain a transformational change in society. Unilever mainly engages with different stakeholders to perform business practices which are described below:</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Customers: </w:t>
      </w:r>
      <w:r>
        <w:rPr>
          <w:rFonts w:cs="Times New Roman" w:ascii="Times New Roman" w:hAnsi="Times New Roman"/>
          <w:color w:val="000000" w:themeColor="text1"/>
          <w:sz w:val="24"/>
          <w:szCs w:val="24"/>
        </w:rPr>
        <w:t xml:space="preserve">Unilever mainly gives the highest priority to potential buyers. Customers are very much interested in high-quality products and services. A satisfied customer can increase revenue and sales collection. For example, Unilever makes continuous improvements in their production activities and sustainability initiatives. The company has mainly adopted extensive innovation procedures to achieve customer satisfaction. Unilever tries to build an ideal image among potential buyers. The company makes innovative efforts to maintain its financial position within the global marketplace </w:t>
      </w:r>
      <w:r>
        <w:rPr>
          <w:rFonts w:cs="Times New Roman" w:ascii="Times New Roman" w:hAnsi="Times New Roman"/>
          <w:color w:val="000000" w:themeColor="text1"/>
          <w:sz w:val="24"/>
          <w:szCs w:val="24"/>
          <w:shd w:fill="FFFFFF" w:val="clear"/>
        </w:rPr>
        <w:t>(Warner, 2016)</w:t>
      </w:r>
      <w:r>
        <w:rPr>
          <w:rFonts w:cs="Times New Roman" w:ascii="Times New Roman" w:hAnsi="Times New Roman"/>
          <w:color w:val="000000" w:themeColor="text1"/>
          <w:sz w:val="24"/>
          <w:szCs w:val="24"/>
        </w:rPr>
        <w:t>.</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Employees: </w:t>
      </w:r>
      <w:r>
        <w:rPr>
          <w:rFonts w:cs="Times New Roman" w:ascii="Times New Roman" w:hAnsi="Times New Roman"/>
          <w:color w:val="000000" w:themeColor="text1"/>
          <w:sz w:val="24"/>
          <w:szCs w:val="24"/>
        </w:rPr>
        <w:t>These stakeholders are considered as a second priority within the workplace. Employees are mainly interested in fair compensation and career development programs. Unilever mainly conducts an agile working program for their staff members. The company mainly demonstrates flexible working hours to promote employee development. Unilever also motivates its staff members to participate in sustainability initiatives. In this way, employees take much interest in business processes and operations. The company also offers attractive travel packages to customers. Unilever also appeals to its employees to comply with certain government regulations and policies. The company mainly creates an ethical code of conduct to make employees more disciplined and successful in real life. Unilever also prioritizes its stakeholders in executing corporate strategy.</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Investors: </w:t>
      </w:r>
      <w:r>
        <w:rPr>
          <w:rFonts w:cs="Times New Roman" w:ascii="Times New Roman" w:hAnsi="Times New Roman"/>
          <w:color w:val="000000" w:themeColor="text1"/>
          <w:sz w:val="24"/>
          <w:szCs w:val="24"/>
        </w:rPr>
        <w:t xml:space="preserve">These stakeholders are ultimately responsible for attaining financial success. Higher profit margins may increase an investor's confidence. Investors have deep influence over business capital and funding options. Unilever mainly adopts an intensive growth strategy to ensure dominance in the consumer goods market. The company maintains a good relationship with investors to increase operational efficiency and drive product innovation. In this way, Unilever can easily create a competitive advantage </w:t>
      </w:r>
      <w:r>
        <w:rPr>
          <w:rFonts w:cs="Times New Roman" w:ascii="Times New Roman" w:hAnsi="Times New Roman"/>
          <w:color w:val="000000" w:themeColor="text1"/>
          <w:sz w:val="24"/>
          <w:szCs w:val="24"/>
          <w:shd w:fill="FFFFFF" w:val="clear"/>
        </w:rPr>
        <w:t>(Derakhshan et al., 2019)</w:t>
      </w:r>
      <w:r>
        <w:rPr>
          <w:rFonts w:cs="Times New Roman" w:ascii="Times New Roman" w:hAnsi="Times New Roman"/>
          <w:color w:val="000000" w:themeColor="text1"/>
          <w:sz w:val="24"/>
          <w:szCs w:val="24"/>
        </w:rPr>
        <w:t>.</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Suppliers: </w:t>
      </w:r>
      <w:r>
        <w:rPr>
          <w:rFonts w:cs="Times New Roman" w:ascii="Times New Roman" w:hAnsi="Times New Roman"/>
          <w:color w:val="000000" w:themeColor="text1"/>
          <w:sz w:val="24"/>
          <w:szCs w:val="24"/>
        </w:rPr>
        <w:t>These stakeholders try to improve the quality of the products. Suppliers have a deep influence on business capacity. Unilever has mainly launched the “Partner to Win" program to build strong relationships with stakeholders.  Under this program, the company provides relevant instructions and guidance to employees regarding business operations. The consumer retailer also develops certain policies to monitor supplier's actions.</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Local Communities: </w:t>
      </w:r>
      <w:r>
        <w:rPr>
          <w:rFonts w:cs="Times New Roman" w:ascii="Times New Roman" w:hAnsi="Times New Roman"/>
          <w:color w:val="000000" w:themeColor="text1"/>
          <w:sz w:val="24"/>
          <w:szCs w:val="24"/>
        </w:rPr>
        <w:t xml:space="preserve">These stakeholders are very much interested in societal development and environmental protection. For instance, Unilever mainly collaborates with stakeholders to achieve customer confidence. The company also conducts several programs for nutrition, sanitation, and personal development. Local communities provide positive feedback to Unilever for achieving customer appreciation. This may help Unilever to build a strong brand image among customers </w:t>
      </w:r>
      <w:r>
        <w:rPr>
          <w:rFonts w:cs="Times New Roman" w:ascii="Times New Roman" w:hAnsi="Times New Roman"/>
          <w:color w:val="000000" w:themeColor="text1"/>
          <w:sz w:val="24"/>
          <w:szCs w:val="24"/>
          <w:shd w:fill="FFFFFF" w:val="clear"/>
        </w:rPr>
        <w:t>(Paine et al., 2019)</w:t>
      </w:r>
      <w:r>
        <w:rPr>
          <w:rFonts w:cs="Times New Roman" w:ascii="Times New Roman" w:hAnsi="Times New Roman"/>
          <w:color w:val="000000" w:themeColor="text1"/>
          <w:sz w:val="24"/>
          <w:szCs w:val="24"/>
        </w:rPr>
        <w:t xml:space="preserve">.  </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Overall, It can be stated that stakeholder participation is very much significant for the smooth functioning of the business. Unilever </w:t>
      </w:r>
      <w:bookmarkStart w:id="13" w:name="_GoBack"/>
      <w:bookmarkEnd w:id="13"/>
      <w:r>
        <w:rPr>
          <w:rFonts w:cs="Times New Roman" w:ascii="Times New Roman" w:hAnsi="Times New Roman"/>
          <w:color w:val="000000" w:themeColor="text1"/>
          <w:sz w:val="24"/>
          <w:szCs w:val="24"/>
        </w:rPr>
        <w:t xml:space="preserve">mostly conducts CSR programs to analyze stakeholder interests and expectations. The company also focuses on CSR strategy to discover potential issues and gain success in the global marketplace. Stakeholder engagement may help Unilever to make a strong presence in the international market. Unilever often utilizes its strong brand image to spread huge awareness among customers regarding local communities. Thus, Unilever must concentrate on public awareness to support corporate citizenship. The company has shown greater performance in fulfilling CSR responsibilities. Apart from this, Unilever often engages with peer companies to accomplish policy objectives </w:t>
      </w:r>
      <w:r>
        <w:rPr>
          <w:rFonts w:cs="Times New Roman" w:ascii="Times New Roman" w:hAnsi="Times New Roman"/>
          <w:color w:val="000000" w:themeColor="text1"/>
          <w:sz w:val="24"/>
          <w:szCs w:val="24"/>
          <w:shd w:fill="FFFFFF" w:val="clear"/>
        </w:rPr>
        <w:t>(Al-Bayati and Panzer, 2020)</w:t>
      </w:r>
      <w:r>
        <w:rPr>
          <w:rFonts w:cs="Times New Roman" w:ascii="Times New Roman" w:hAnsi="Times New Roman"/>
          <w:color w:val="000000" w:themeColor="text1"/>
          <w:sz w:val="24"/>
          <w:szCs w:val="24"/>
        </w:rPr>
        <w:t>.</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Heading2"/>
        <w:rPr>
          <w:rFonts w:cs="Times New Roman"/>
          <w:szCs w:val="24"/>
        </w:rPr>
      </w:pPr>
      <w:bookmarkStart w:id="14" w:name="_Toc57376375"/>
      <w:r>
        <w:rPr>
          <w:rFonts w:cs="Times New Roman"/>
          <w:szCs w:val="24"/>
        </w:rPr>
        <w:t>How Employees can contribute to community projects</w:t>
      </w:r>
      <w:bookmarkEnd w:id="14"/>
    </w:p>
    <w:p>
      <w:pPr>
        <w:pStyle w:val="Normal"/>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Volunteering plays a crucial role in improving employees' performance. Employees engaged in a community project can achieve a better outcome. Thus, Community Engagement may create a positive working atmosphere for staff members. Unilever also encourages its employees to participate in volunteer activities. In this way, employees are more loyal and accountable towards scheduled tasks. Community Engagement may create a peaceful and emotional experience for staff members. Successful Organization often used their charitable efforts to connect with customers. Thus, community engagement may drive towards a more engaged and productive workforce. The organization must adopt the following ways to engage employees in community projects which are described below:</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Newsletter: </w:t>
      </w:r>
      <w:r>
        <w:rPr>
          <w:rFonts w:cs="Times New Roman" w:ascii="Times New Roman" w:hAnsi="Times New Roman"/>
          <w:color w:val="000000" w:themeColor="text1"/>
          <w:sz w:val="24"/>
          <w:szCs w:val="24"/>
        </w:rPr>
        <w:t xml:space="preserve">Organization must give immense freedom to employees to manage their newsletter. They should motivate staff members to share relevant information regarding community events. This newsletter may build open communication among staff members. In this way, the team can easily share their volunteer experiences with other subordinates. Volunteering should be an integral part of workplace culture. In this way, employees are more passionate about community projects </w:t>
      </w:r>
      <w:r>
        <w:rPr>
          <w:rFonts w:cs="Times New Roman" w:ascii="Times New Roman" w:hAnsi="Times New Roman"/>
          <w:color w:val="000000" w:themeColor="text1"/>
          <w:sz w:val="24"/>
          <w:szCs w:val="24"/>
          <w:shd w:fill="FFFFFF" w:val="clear"/>
        </w:rPr>
        <w:t>(Ma, 2017)</w:t>
      </w:r>
      <w:r>
        <w:rPr>
          <w:rFonts w:cs="Times New Roman" w:ascii="Times New Roman" w:hAnsi="Times New Roman"/>
          <w:color w:val="000000" w:themeColor="text1"/>
          <w:sz w:val="24"/>
          <w:szCs w:val="24"/>
        </w:rPr>
        <w:t>.</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Donation Program: </w:t>
      </w:r>
      <w:r>
        <w:rPr>
          <w:rFonts w:cs="Times New Roman" w:ascii="Times New Roman" w:hAnsi="Times New Roman"/>
          <w:color w:val="000000" w:themeColor="text1"/>
          <w:sz w:val="24"/>
          <w:szCs w:val="24"/>
        </w:rPr>
        <w:t>Organization must encourage staff members to give some donations to the charitable organization. In this way, owners can easily grab customers' attention and interests.  This may help businesses to demonstrate a friendly and personalized experience towards staff members. They must ensure that each employee is focused on giving major efforts in a charitable organization.</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Volunteering as Team Building Opportunities: </w:t>
      </w:r>
      <w:r>
        <w:rPr>
          <w:rFonts w:cs="Times New Roman" w:ascii="Times New Roman" w:hAnsi="Times New Roman"/>
          <w:color w:val="000000" w:themeColor="text1"/>
          <w:sz w:val="24"/>
          <w:szCs w:val="24"/>
        </w:rPr>
        <w:t xml:space="preserve">Organization can use volunteering to develop cooperation and understanding among employees. For example, employees can help in setting a park for a fundraising event. Thus, shared victory may develop a sense of accomplishment and friendship among staff members. They should ask different departments to collect certain goods for a social cause. This may bring healthy competition among staff members. In this way, employees may respect local culture and accomplish business objectives. Thus, Community based projects may boosts employee engagement.  </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t xml:space="preserve">Promote Leadership: </w:t>
      </w:r>
      <w:r>
        <w:rPr>
          <w:rFonts w:cs="Times New Roman" w:ascii="Times New Roman" w:hAnsi="Times New Roman"/>
          <w:color w:val="000000" w:themeColor="text1"/>
          <w:sz w:val="24"/>
          <w:szCs w:val="24"/>
        </w:rPr>
        <w:t xml:space="preserve">Good manager motivates employees to achieve excellence in certain fields. Managers always push their employees to perform better. Community projects provide an opportunity to staff members to learn new professional skills. Thus, Community projects may expand the individual knowledge base and skills. These projects may develop highly transferrable skills among customers </w:t>
      </w:r>
      <w:r>
        <w:rPr>
          <w:rFonts w:cs="Times New Roman" w:ascii="Times New Roman" w:hAnsi="Times New Roman"/>
          <w:color w:val="000000" w:themeColor="text1"/>
          <w:sz w:val="24"/>
          <w:szCs w:val="24"/>
          <w:shd w:fill="FFFFFF" w:val="clear"/>
        </w:rPr>
        <w:t>(Murphy and Murphy, 2018)</w:t>
      </w:r>
      <w:r>
        <w:rPr>
          <w:rFonts w:cs="Times New Roman" w:ascii="Times New Roman" w:hAnsi="Times New Roman"/>
          <w:color w:val="000000" w:themeColor="text1"/>
          <w:sz w:val="24"/>
          <w:szCs w:val="24"/>
        </w:rPr>
        <w:t>.</w:t>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Heading2"/>
        <w:rPr>
          <w:rFonts w:cs="Times New Roman"/>
          <w:szCs w:val="24"/>
        </w:rPr>
      </w:pPr>
      <w:bookmarkStart w:id="15" w:name="_Toc57376376"/>
      <w:r>
        <w:rPr>
          <w:rFonts w:cs="Times New Roman"/>
          <w:szCs w:val="24"/>
        </w:rPr>
        <w:t>Conclusion &amp; Recommendation</w:t>
      </w:r>
      <w:bookmarkEnd w:id="15"/>
      <w:r>
        <w:rPr>
          <w:rFonts w:cs="Times New Roman"/>
          <w:szCs w:val="24"/>
        </w:rPr>
        <w:t xml:space="preserve"> </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b/>
          <w:color w:val="000000" w:themeColor="text1"/>
          <w:sz w:val="24"/>
          <w:szCs w:val="24"/>
        </w:rPr>
        <w:br/>
      </w:r>
      <w:r>
        <w:rPr>
          <w:rFonts w:cs="Times New Roman" w:ascii="Times New Roman" w:hAnsi="Times New Roman"/>
          <w:color w:val="000000" w:themeColor="text1"/>
          <w:sz w:val="24"/>
          <w:szCs w:val="24"/>
        </w:rPr>
        <w:t>The report concluded that community engagement is beneficial for business. It was observed that Unilever mainly collaborates with local communities to attain sustainability goals. The report has analyzed how Unilever fulfill stakeholder's expectations. It has demonstrated that Unilever provides financial support to local communities. The recommendation is that Unilever must guide their employees regarding local culture and traditions. This may develop enthusiasm and happiness among staff members. Organizations can engage with local communities by tackling environmental issues and promoting volunteering activities. They must encourage their staff members to support local communities. Firms must promote diversity and inclusion among staff members. They must provide specialized tools and equipment to employees for achieving financial success. CSR programs may help staff members to attract a highly skilled workforce for achieving business objectives. They must encourage staff members to participate in community projects.</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Heading2"/>
        <w:rPr>
          <w:rFonts w:cs="Times New Roman"/>
          <w:szCs w:val="24"/>
        </w:rPr>
      </w:pPr>
      <w:bookmarkStart w:id="16" w:name="_Toc57376377"/>
      <w:r>
        <w:rPr>
          <w:rFonts w:cs="Times New Roman"/>
          <w:szCs w:val="24"/>
        </w:rPr>
        <w:t>Reference List</w:t>
      </w:r>
      <w:bookmarkEnd w:id="16"/>
    </w:p>
    <w:p>
      <w:pPr>
        <w:pStyle w:val="Normal"/>
        <w:spacing w:lineRule="auto" w:line="360" w:before="0" w:after="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 xml:space="preserve">Al-Bayati, A.J., and Panzer, L., 2020. Reducing Damages to Underground Utilities: Importance of Stakeholders' Behaviors. </w:t>
      </w:r>
      <w:r>
        <w:rPr>
          <w:rFonts w:cs="Times New Roman" w:ascii="Times New Roman" w:hAnsi="Times New Roman"/>
          <w:i/>
          <w:iCs/>
          <w:color w:val="000000" w:themeColor="text1"/>
          <w:sz w:val="24"/>
          <w:szCs w:val="24"/>
          <w:shd w:fill="FFFFFF" w:val="clear"/>
        </w:rPr>
        <w:t>Journal of construction engineering and management</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146</w:t>
      </w:r>
      <w:r>
        <w:rPr>
          <w:rFonts w:cs="Times New Roman" w:ascii="Times New Roman" w:hAnsi="Times New Roman"/>
          <w:color w:val="000000" w:themeColor="text1"/>
          <w:sz w:val="24"/>
          <w:szCs w:val="24"/>
          <w:shd w:fill="FFFFFF" w:val="clear"/>
        </w:rPr>
        <w:t xml:space="preserve">(9), p.04020107. </w:t>
      </w:r>
    </w:p>
    <w:p>
      <w:pPr>
        <w:pStyle w:val="Normal"/>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De Weger, E., Van Vooren, N., Luijkx, K.G., Baan, C.A. and Drewes, H.W., 2018. Achieving successful community engagement: a rapid realist review. </w:t>
      </w:r>
      <w:r>
        <w:rPr>
          <w:rFonts w:cs="Times New Roman" w:ascii="Times New Roman" w:hAnsi="Times New Roman"/>
          <w:i/>
          <w:iCs/>
          <w:color w:val="000000" w:themeColor="text1"/>
          <w:sz w:val="24"/>
          <w:szCs w:val="24"/>
          <w:shd w:fill="FFFFFF" w:val="clear"/>
        </w:rPr>
        <w:t>BMC health services research</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18</w:t>
      </w:r>
      <w:r>
        <w:rPr>
          <w:rFonts w:cs="Times New Roman" w:ascii="Times New Roman" w:hAnsi="Times New Roman"/>
          <w:color w:val="000000" w:themeColor="text1"/>
          <w:sz w:val="24"/>
          <w:szCs w:val="24"/>
          <w:shd w:fill="FFFFFF" w:val="clear"/>
        </w:rPr>
        <w:t xml:space="preserve">(1), p.285. </w:t>
      </w:r>
    </w:p>
    <w:p>
      <w:pPr>
        <w:pStyle w:val="Normal"/>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 xml:space="preserve">Derakhshan, R., Turner, R., and Mancini, M., 2019. Project governance and stakeholders: a literature review. </w:t>
      </w:r>
      <w:r>
        <w:rPr>
          <w:rFonts w:cs="Times New Roman" w:ascii="Times New Roman" w:hAnsi="Times New Roman"/>
          <w:i/>
          <w:iCs/>
          <w:color w:val="000000" w:themeColor="text1"/>
          <w:sz w:val="24"/>
          <w:szCs w:val="24"/>
          <w:shd w:fill="FFFFFF" w:val="clear"/>
        </w:rPr>
        <w:t>International Journal of Project Management</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37</w:t>
      </w:r>
      <w:r>
        <w:rPr>
          <w:rFonts w:cs="Times New Roman" w:ascii="Times New Roman" w:hAnsi="Times New Roman"/>
          <w:color w:val="000000" w:themeColor="text1"/>
          <w:sz w:val="24"/>
          <w:szCs w:val="24"/>
          <w:shd w:fill="FFFFFF" w:val="clear"/>
        </w:rPr>
        <w:t xml:space="preserve">(1), pp.98-116. </w:t>
      </w:r>
    </w:p>
    <w:p>
      <w:pPr>
        <w:pStyle w:val="Normal"/>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 xml:space="preserve">Di Napoli, I., Dolce, P., and Arcidiacono, C., 2019. Community trust: A social indicator related to community Engagement. </w:t>
      </w:r>
      <w:r>
        <w:rPr>
          <w:rFonts w:cs="Times New Roman" w:ascii="Times New Roman" w:hAnsi="Times New Roman"/>
          <w:i/>
          <w:iCs/>
          <w:color w:val="000000" w:themeColor="text1"/>
          <w:sz w:val="24"/>
          <w:szCs w:val="24"/>
          <w:shd w:fill="FFFFFF" w:val="clear"/>
        </w:rPr>
        <w:t>Social Indicators Research</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145</w:t>
      </w:r>
      <w:r>
        <w:rPr>
          <w:rFonts w:cs="Times New Roman" w:ascii="Times New Roman" w:hAnsi="Times New Roman"/>
          <w:color w:val="000000" w:themeColor="text1"/>
          <w:sz w:val="24"/>
          <w:szCs w:val="24"/>
          <w:shd w:fill="FFFFFF" w:val="clear"/>
        </w:rPr>
        <w:t xml:space="preserve">(2), pp.551-579. </w:t>
      </w:r>
    </w:p>
    <w:p>
      <w:pPr>
        <w:pStyle w:val="Normal"/>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 xml:space="preserve">Gilmore, B., Ndejjo, R., Tchetchia, A., de Claro, V., Mago, E., Lopes, C., and Bhattacharyya, S., 2020. Community engagement for COVID-19 prevention and control: a rapid evidence synthesis. </w:t>
      </w:r>
      <w:r>
        <w:rPr>
          <w:rFonts w:cs="Times New Roman" w:ascii="Times New Roman" w:hAnsi="Times New Roman"/>
          <w:i/>
          <w:iCs/>
          <w:color w:val="000000" w:themeColor="text1"/>
          <w:sz w:val="24"/>
          <w:szCs w:val="24"/>
          <w:shd w:fill="FFFFFF" w:val="clear"/>
        </w:rPr>
        <w:t>BMJ global health</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5</w:t>
      </w:r>
      <w:r>
        <w:rPr>
          <w:rFonts w:cs="Times New Roman" w:ascii="Times New Roman" w:hAnsi="Times New Roman"/>
          <w:color w:val="000000" w:themeColor="text1"/>
          <w:sz w:val="24"/>
          <w:szCs w:val="24"/>
          <w:shd w:fill="FFFFFF" w:val="clear"/>
        </w:rPr>
        <w:t xml:space="preserve">(10), p.e003188. </w:t>
      </w:r>
    </w:p>
    <w:p>
      <w:pPr>
        <w:pStyle w:val="Normal"/>
        <w:tabs>
          <w:tab w:val="clear" w:pos="720"/>
          <w:tab w:val="left" w:pos="6372" w:leader="none"/>
        </w:tabs>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 xml:space="preserve">Ma, L., 2017. Financial Analysis of Unilever Company.  </w:t>
      </w:r>
    </w:p>
    <w:p>
      <w:pPr>
        <w:pStyle w:val="Normal"/>
        <w:spacing w:lineRule="auto" w:line="360" w:before="0" w:after="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shd w:fill="FFFFFF" w:val="clear"/>
        </w:rPr>
        <w:t xml:space="preserve">Murphy, P.E., and Murphy, C.E., 2018. Sustainable Living: Unilever. In </w:t>
      </w:r>
      <w:r>
        <w:rPr>
          <w:rFonts w:cs="Times New Roman" w:ascii="Times New Roman" w:hAnsi="Times New Roman"/>
          <w:i/>
          <w:iCs/>
          <w:color w:val="000000" w:themeColor="text1"/>
          <w:sz w:val="24"/>
          <w:szCs w:val="24"/>
          <w:shd w:fill="FFFFFF" w:val="clear"/>
        </w:rPr>
        <w:t>Progressive Business Models</w:t>
      </w:r>
      <w:r>
        <w:rPr>
          <w:rFonts w:cs="Times New Roman" w:ascii="Times New Roman" w:hAnsi="Times New Roman"/>
          <w:color w:val="000000" w:themeColor="text1"/>
          <w:sz w:val="24"/>
          <w:szCs w:val="24"/>
          <w:shd w:fill="FFFFFF" w:val="clear"/>
        </w:rPr>
        <w:t xml:space="preserve"> (pp. 263-286). Palgrave Macmillan, Cham. </w:t>
      </w:r>
    </w:p>
    <w:p>
      <w:pPr>
        <w:pStyle w:val="Normal"/>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 xml:space="preserve">O'Meara, K., and Jaeger, A.J., 2019. PREPARING FUTURE FACULTY FOR COMMUNITY ENGAGEMENT. </w:t>
      </w:r>
      <w:r>
        <w:rPr>
          <w:rFonts w:cs="Times New Roman" w:ascii="Times New Roman" w:hAnsi="Times New Roman"/>
          <w:i/>
          <w:iCs/>
          <w:color w:val="000000" w:themeColor="text1"/>
          <w:sz w:val="24"/>
          <w:szCs w:val="24"/>
          <w:shd w:fill="FFFFFF" w:val="clear"/>
        </w:rPr>
        <w:t>Building the field of higher education engagement: Foundational ideas and future directions</w:t>
      </w:r>
      <w:r>
        <w:rPr>
          <w:rFonts w:cs="Times New Roman" w:ascii="Times New Roman" w:hAnsi="Times New Roman"/>
          <w:color w:val="000000" w:themeColor="text1"/>
          <w:sz w:val="24"/>
          <w:szCs w:val="24"/>
          <w:shd w:fill="FFFFFF" w:val="clear"/>
        </w:rPr>
        <w:t>.</w:t>
      </w:r>
    </w:p>
    <w:p>
      <w:pPr>
        <w:pStyle w:val="Normal"/>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 xml:space="preserve">Paine, L.S., Costas, R. and Zogbi, P., 2019. Mãe Terra and Unilever (A). </w:t>
      </w:r>
    </w:p>
    <w:p>
      <w:pPr>
        <w:pStyle w:val="Normal"/>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 xml:space="preserve">Pine, K.H., Hinrichs, M.M., Wang, J., Lewis, D., and Johnston, E., 2020. For impactful community engagement: check your role. </w:t>
      </w:r>
      <w:r>
        <w:rPr>
          <w:rFonts w:cs="Times New Roman" w:ascii="Times New Roman" w:hAnsi="Times New Roman"/>
          <w:i/>
          <w:iCs/>
          <w:color w:val="000000" w:themeColor="text1"/>
          <w:sz w:val="24"/>
          <w:szCs w:val="24"/>
          <w:shd w:fill="FFFFFF" w:val="clear"/>
        </w:rPr>
        <w:t>Communications of the ACM</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63</w:t>
      </w:r>
      <w:r>
        <w:rPr>
          <w:rFonts w:cs="Times New Roman" w:ascii="Times New Roman" w:hAnsi="Times New Roman"/>
          <w:color w:val="000000" w:themeColor="text1"/>
          <w:sz w:val="24"/>
          <w:szCs w:val="24"/>
          <w:shd w:fill="FFFFFF" w:val="clear"/>
        </w:rPr>
        <w:t xml:space="preserve">(7), pp.26-28. </w:t>
      </w:r>
    </w:p>
    <w:p>
      <w:pPr>
        <w:pStyle w:val="Normal"/>
        <w:spacing w:lineRule="auto" w:line="360" w:before="0" w:after="0"/>
        <w:jc w:val="both"/>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Warner, J., 2016. The beauty of the beast: Multi-stakeholder participation for integrated catchment management. In </w:t>
      </w:r>
      <w:r>
        <w:rPr>
          <w:rFonts w:cs="Times New Roman" w:ascii="Times New Roman" w:hAnsi="Times New Roman"/>
          <w:i/>
          <w:iCs/>
          <w:color w:val="000000" w:themeColor="text1"/>
          <w:sz w:val="24"/>
          <w:szCs w:val="24"/>
          <w:shd w:fill="FFFFFF" w:val="clear"/>
        </w:rPr>
        <w:t>Multi-stakeholder platforms for integrated water management</w:t>
      </w:r>
      <w:r>
        <w:rPr>
          <w:rFonts w:cs="Times New Roman" w:ascii="Times New Roman" w:hAnsi="Times New Roman"/>
          <w:color w:val="000000" w:themeColor="text1"/>
          <w:sz w:val="24"/>
          <w:szCs w:val="24"/>
          <w:shd w:fill="FFFFFF" w:val="clear"/>
        </w:rPr>
        <w:t xml:space="preserve"> (pp. 17-36). Routledge. </w:t>
      </w:r>
    </w:p>
    <w:p>
      <w:pPr>
        <w:pStyle w:val="Normal"/>
        <w:spacing w:lineRule="auto" w:line="360" w:before="0" w:after="0"/>
        <w:jc w:val="both"/>
        <w:rPr/>
      </w:pPr>
      <w:r>
        <w:rPr>
          <w:rFonts w:cs="Times New Roman" w:ascii="Times New Roman" w:hAnsi="Times New Roman"/>
          <w:color w:val="000000" w:themeColor="text1"/>
          <w:sz w:val="24"/>
          <w:szCs w:val="24"/>
          <w:shd w:fill="FFFFFF" w:val="clear"/>
        </w:rPr>
        <w:t xml:space="preserve">Wu, J., Fan, S., and Zhao, J.L., 2018. Community engagement and online word of mouth: An empirical investigation. </w:t>
      </w:r>
      <w:r>
        <w:rPr>
          <w:rFonts w:cs="Times New Roman" w:ascii="Times New Roman" w:hAnsi="Times New Roman"/>
          <w:i/>
          <w:iCs/>
          <w:color w:val="000000" w:themeColor="text1"/>
          <w:sz w:val="24"/>
          <w:szCs w:val="24"/>
          <w:shd w:fill="FFFFFF" w:val="clear"/>
        </w:rPr>
        <w:t>Information &amp; Management</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55</w:t>
      </w:r>
      <w:r>
        <w:rPr>
          <w:rFonts w:cs="Times New Roman" w:ascii="Times New Roman" w:hAnsi="Times New Roman"/>
          <w:color w:val="000000" w:themeColor="text1"/>
          <w:sz w:val="24"/>
          <w:szCs w:val="24"/>
          <w:shd w:fill="FFFFFF" w:val="clear"/>
        </w:rPr>
        <w:t>(2), pp.258-270.</w:t>
      </w:r>
    </w:p>
    <w:sectPr>
      <w:footerReference w:type="default" r:id="rId4"/>
      <w:type w:val="nextPage"/>
      <w:pgSz w:w="12240" w:h="15840"/>
      <w:pgMar w:left="1440" w:right="1440" w:header="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18301194"/>
    </w:sdtPr>
    <w:sdtContent>
      <w:p>
        <w:pPr>
          <w:pStyle w:val="Footer"/>
          <w:jc w:val="right"/>
          <w:rPr/>
        </w:pPr>
        <w:r>
          <w:rPr/>
          <w:fldChar w:fldCharType="begin"/>
        </w:r>
        <w:r>
          <w:rPr/>
          <w:instrText> PAGE </w:instrText>
        </w:r>
        <w:r>
          <w:rPr/>
          <w:fldChar w:fldCharType="separate"/>
        </w:r>
        <w:r>
          <w:rPr/>
          <w:t>12</w:t>
        </w:r>
        <w:r>
          <w:rPr/>
          <w:fldChar w:fldCharType="end"/>
        </w:r>
      </w:p>
    </w:sdtContent>
  </w:sdt>
  <w:p>
    <w:pPr>
      <w:pStyle w:val="Footer"/>
      <w:rPr/>
    </w:pPr>
    <w:r>
      <w:rPr/>
    </w:r>
  </w:p>
</w:ftr>
</file>

<file path=word/settings.xml><?xml version="1.0" encoding="utf-8"?>
<w:settings xmlns:w="http://schemas.openxmlformats.org/wordprocessingml/2006/main">
  <w:zoom w:percent="100"/>
  <w:defaultTabStop w:val="720"/>
  <w:compat>
    <w:compatSetting w:name="compatibilityMode" w:uri="http://schemas.microsoft.com/office/word" w:val="12"/>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95f16"/>
    <w:pPr>
      <w:widowControl/>
      <w:bidi w:val="0"/>
      <w:spacing w:lineRule="auto" w:line="276" w:before="0" w:after="200"/>
      <w:jc w:val="left"/>
    </w:pPr>
    <w:rPr>
      <w:rFonts w:ascii="Calibri" w:hAnsi="Calibri" w:eastAsia="Calibri" w:cs="Arial"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24773e"/>
    <w:pPr>
      <w:keepNext w:val="true"/>
      <w:keepLines/>
      <w:spacing w:before="480" w:after="0"/>
      <w:outlineLvl w:val="0"/>
    </w:pPr>
    <w:rPr>
      <w:rFonts w:ascii="Cambria" w:hAnsi="Cambria" w:eastAsia="" w:cs="Times New Roman"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03646d"/>
    <w:pPr>
      <w:keepNext w:val="true"/>
      <w:keepLines/>
      <w:spacing w:before="200" w:after="0"/>
      <w:jc w:val="center"/>
      <w:outlineLvl w:val="1"/>
    </w:pPr>
    <w:rPr>
      <w:rFonts w:ascii="Times New Roman" w:hAnsi="Times New Roman" w:eastAsia="" w:cs="Times New Roman" w:cstheme="majorBidi" w:eastAsiaTheme="majorEastAsia"/>
      <w:b/>
      <w:bCs/>
      <w:color w:val="000000" w:themeColor="text1"/>
      <w:sz w:val="24"/>
      <w:szCs w:val="26"/>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8c0939"/>
    <w:rPr>
      <w:rFonts w:ascii="Tahoma" w:hAnsi="Tahoma" w:cs="Tahoma"/>
      <w:sz w:val="16"/>
      <w:szCs w:val="16"/>
    </w:rPr>
  </w:style>
  <w:style w:type="character" w:styleId="Heading2Char" w:customStyle="1">
    <w:name w:val="Heading 2 Char"/>
    <w:basedOn w:val="DefaultParagraphFont"/>
    <w:link w:val="Heading2"/>
    <w:uiPriority w:val="9"/>
    <w:qFormat/>
    <w:rsid w:val="0003646d"/>
    <w:rPr>
      <w:rFonts w:ascii="Times New Roman" w:hAnsi="Times New Roman" w:eastAsia="" w:cs="Times New Roman" w:cstheme="majorBidi" w:eastAsiaTheme="majorEastAsia"/>
      <w:b/>
      <w:bCs/>
      <w:color w:val="000000" w:themeColor="text1"/>
      <w:sz w:val="24"/>
      <w:szCs w:val="26"/>
    </w:rPr>
  </w:style>
  <w:style w:type="character" w:styleId="Heading1Char" w:customStyle="1">
    <w:name w:val="Heading 1 Char"/>
    <w:basedOn w:val="DefaultParagraphFont"/>
    <w:link w:val="Heading1"/>
    <w:uiPriority w:val="9"/>
    <w:qFormat/>
    <w:rsid w:val="0024773e"/>
    <w:rPr>
      <w:rFonts w:ascii="Cambria" w:hAnsi="Cambria" w:eastAsia="" w:cs="Times New Roman" w:asciiTheme="majorHAnsi" w:cstheme="majorBidi" w:eastAsiaTheme="majorEastAsia" w:hAnsiTheme="majorHAnsi"/>
      <w:b/>
      <w:bCs/>
      <w:color w:val="365F91" w:themeColor="accent1" w:themeShade="bf"/>
      <w:sz w:val="28"/>
      <w:szCs w:val="28"/>
    </w:rPr>
  </w:style>
  <w:style w:type="character" w:styleId="InternetLink">
    <w:name w:val="Internet Link"/>
    <w:basedOn w:val="DefaultParagraphFont"/>
    <w:uiPriority w:val="99"/>
    <w:unhideWhenUsed/>
    <w:rsid w:val="0024773e"/>
    <w:rPr>
      <w:color w:val="0000FF" w:themeColor="hyperlink"/>
      <w:u w:val="single"/>
    </w:rPr>
  </w:style>
  <w:style w:type="character" w:styleId="HeaderChar" w:customStyle="1">
    <w:name w:val="Header Char"/>
    <w:basedOn w:val="DefaultParagraphFont"/>
    <w:link w:val="Header"/>
    <w:uiPriority w:val="99"/>
    <w:semiHidden/>
    <w:qFormat/>
    <w:rsid w:val="0022766a"/>
    <w:rPr/>
  </w:style>
  <w:style w:type="character" w:styleId="FooterChar" w:customStyle="1">
    <w:name w:val="Footer Char"/>
    <w:basedOn w:val="DefaultParagraphFont"/>
    <w:link w:val="Footer"/>
    <w:uiPriority w:val="99"/>
    <w:qFormat/>
    <w:rsid w:val="0022766a"/>
    <w:rPr/>
  </w:style>
  <w:style w:type="character" w:styleId="IndexLink">
    <w:name w:val="Index Link"/>
    <w:qFormat/>
    <w:rPr/>
  </w:style>
  <w:style w:type="character" w:styleId="ListLabel1">
    <w:name w:val="ListLabel 1"/>
    <w:qFormat/>
    <w:rPr>
      <w:rFonts w:ascii="Times New Roman" w:hAnsi="Times New Roman" w:cs="Times New Roman"/>
    </w:rPr>
  </w:style>
  <w:style w:type="character" w:styleId="ListLabel2">
    <w:name w:val="ListLabel 2"/>
    <w:qFormat/>
    <w:rPr>
      <w:rFonts w:ascii="Times New Roman" w:hAnsi="Times New Roman" w:cs="Times New Roman"/>
      <w:color w:val="auto"/>
      <w:sz w:val="24"/>
      <w:szCs w:val="24"/>
    </w:rPr>
  </w:style>
  <w:style w:type="character" w:styleId="ListLabel3">
    <w:name w:val="ListLabel 3"/>
    <w:qFormat/>
    <w:rPr>
      <w:rFonts w:ascii="Times New Roman" w:hAnsi="Times New Roman" w:cs="Times New Roman"/>
    </w:rPr>
  </w:style>
  <w:style w:type="character" w:styleId="ListLabel4">
    <w:name w:val="ListLabel 4"/>
    <w:qFormat/>
    <w:rPr>
      <w:rFonts w:ascii="Times New Roman" w:hAnsi="Times New Roman" w:cs="Times New Roman"/>
      <w:color w:val="auto"/>
      <w:sz w:val="24"/>
      <w:szCs w:val="24"/>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alloonText">
    <w:name w:val="Balloon Text"/>
    <w:basedOn w:val="Normal"/>
    <w:link w:val="BalloonTextChar"/>
    <w:uiPriority w:val="99"/>
    <w:semiHidden/>
    <w:unhideWhenUsed/>
    <w:qFormat/>
    <w:rsid w:val="008c0939"/>
    <w:pPr>
      <w:spacing w:lineRule="auto" w:line="240" w:before="0" w:after="0"/>
    </w:pPr>
    <w:rPr>
      <w:rFonts w:ascii="Tahoma" w:hAnsi="Tahoma" w:cs="Tahoma"/>
      <w:sz w:val="16"/>
      <w:szCs w:val="16"/>
    </w:rPr>
  </w:style>
  <w:style w:type="paragraph" w:styleId="TOCHeading">
    <w:name w:val="TOC Heading"/>
    <w:basedOn w:val="Heading1"/>
    <w:next w:val="Normal"/>
    <w:uiPriority w:val="39"/>
    <w:semiHidden/>
    <w:unhideWhenUsed/>
    <w:qFormat/>
    <w:rsid w:val="0024773e"/>
    <w:pPr/>
    <w:rPr/>
  </w:style>
  <w:style w:type="paragraph" w:styleId="Contents2">
    <w:name w:val="TOC 2"/>
    <w:basedOn w:val="Normal"/>
    <w:next w:val="Normal"/>
    <w:autoRedefine/>
    <w:uiPriority w:val="39"/>
    <w:unhideWhenUsed/>
    <w:rsid w:val="0024773e"/>
    <w:pPr>
      <w:spacing w:before="0" w:after="100"/>
      <w:ind w:left="220" w:hanging="0"/>
    </w:pPr>
    <w:rPr/>
  </w:style>
  <w:style w:type="paragraph" w:styleId="Header">
    <w:name w:val="Header"/>
    <w:basedOn w:val="Normal"/>
    <w:link w:val="HeaderChar"/>
    <w:uiPriority w:val="99"/>
    <w:semiHidden/>
    <w:unhideWhenUsed/>
    <w:rsid w:val="0022766a"/>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22766a"/>
    <w:pPr>
      <w:tabs>
        <w:tab w:val="clear" w:pos="720"/>
        <w:tab w:val="center" w:pos="4680" w:leader="none"/>
        <w:tab w:val="right" w:pos="9360" w:leader="none"/>
      </w:tabs>
      <w:spacing w:lineRule="auto" w:line="240" w:before="0" w:after="0"/>
    </w:pPr>
    <w:rPr/>
  </w:style>
  <w:style w:type="paragraph" w:styleId="Normal1">
    <w:name w:val="Normal1"/>
    <w:qFormat/>
    <w:pPr>
      <w:widowControl/>
      <w:bidi w:val="0"/>
      <w:spacing w:lineRule="auto" w:line="276"/>
      <w:jc w:val="left"/>
    </w:pPr>
    <w:rPr>
      <w:rFonts w:ascii="Calibri" w:hAnsi="Calibri" w:eastAsia="Calibri" w:cs="Arial" w:asciiTheme="minorHAnsi" w:cstheme="minorBidi" w:eastAsiaTheme="minorHAnsi" w:hAnsiTheme="minorHAnsi"/>
      <w:color w:val="auto"/>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E95C45F-6C9C-4333-BCE9-1DDAFAF89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Application>Trio_Office/6.2.8.2$Windows_x86 LibreOffice_project/</Application>
  <Pages>12</Pages>
  <Words>2534</Words>
  <Characters>15719</Characters>
  <CharactersWithSpaces>18214</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2020-11-27T08:04:00Z</dcterms:created>
  <dc:creator>HP</dc:creator>
  <dc:description/>
  <dc:language>en-GB</dc:language>
  <cp:lastModifiedBy/>
  <dcterms:modified xsi:type="dcterms:W3CDTF">2020-12-09T14:33:14Z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