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70A388" w14:textId="00AF9AA4" w:rsidR="000C1E45" w:rsidRDefault="009D5419">
      <w:r>
        <w:t>DRAFT SUBMISSION</w:t>
      </w:r>
    </w:p>
    <w:p w14:paraId="1245DBD3"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Critical incidents (CI) are effectively defined as “</w:t>
      </w:r>
      <w:r w:rsidRPr="004C09E1">
        <w:rPr>
          <w:rFonts w:ascii="Arial" w:hAnsi="Arial" w:cs="Arial"/>
          <w:i/>
          <w:sz w:val="22"/>
          <w:szCs w:val="22"/>
        </w:rPr>
        <w:t>an interpretation of the significance of an event</w:t>
      </w:r>
      <w:r w:rsidRPr="004C09E1">
        <w:rPr>
          <w:rFonts w:ascii="Arial" w:hAnsi="Arial" w:cs="Arial"/>
          <w:sz w:val="22"/>
          <w:szCs w:val="22"/>
        </w:rPr>
        <w:t>” (Tripp, 1993, p.8). Shapira-Lishchinsky (2010) later explained that CI are classified by the meaning and significance attributed by the teacher. Joshi (2018) recently supported this when stated that CI are often personal to individuals due to their interpretation of an event and added that it is often an unanticipated event that can provide insights into various aspects of teaching and learning (Richard and Farrell, 2010, cited in Joshi, 2018, p.83). Reflective practice itself does not ensure change therefore using a CI framework requires critical analysis in order to improve teaching practice which has recently been shown in a small case study conducted by Yu (2018) to be an effective tool for professional development (Joshi, 2018; Scartezini and Monereo, 2018). Therefore, this essay will critically evaluate a CI by effectively reflecting on a case study based on an observation in order to identify steps that can be taken to improve future practice. Analysing CI provides a reflective inquiry that facilitates professional development in numerous ways for example professional awareness (Joshi, 2018; Yu, 2018), teachers posing critical questions about teaching (Scartezini and Monereo, 2018; Chien, 2018), opportunity for action research (Joshi, 2018) and arguably the most significant reason is to identify effective practice and areas that could be improved (Chien, 2018; Joshi, 2018; Yu, 2018; Scartezini and Monereo, 2018; Sevilla and Gamboa, 2019). The CI that will be explored throughout this essay is outlined in the appendices (</w:t>
      </w:r>
      <w:r w:rsidRPr="004C09E1">
        <w:rPr>
          <w:rFonts w:ascii="Arial" w:hAnsi="Arial" w:cs="Arial"/>
          <w:sz w:val="22"/>
          <w:szCs w:val="22"/>
          <w:highlight w:val="yellow"/>
        </w:rPr>
        <w:t>?</w:t>
      </w:r>
      <w:r w:rsidRPr="004C09E1">
        <w:rPr>
          <w:rFonts w:ascii="Arial" w:hAnsi="Arial" w:cs="Arial"/>
          <w:sz w:val="22"/>
          <w:szCs w:val="22"/>
        </w:rPr>
        <w:t xml:space="preserve">). </w:t>
      </w:r>
    </w:p>
    <w:p w14:paraId="1D0EF835" w14:textId="77777777" w:rsidR="009D5419" w:rsidRPr="004C09E1" w:rsidRDefault="009D5419" w:rsidP="009D5419">
      <w:pPr>
        <w:spacing w:line="360" w:lineRule="auto"/>
        <w:rPr>
          <w:rFonts w:ascii="Arial" w:hAnsi="Arial" w:cs="Arial"/>
          <w:sz w:val="22"/>
          <w:szCs w:val="22"/>
        </w:rPr>
      </w:pPr>
    </w:p>
    <w:p w14:paraId="6254D8D3" w14:textId="77777777" w:rsidR="009D5419" w:rsidRDefault="009D5419" w:rsidP="009D5419">
      <w:pPr>
        <w:spacing w:line="360" w:lineRule="auto"/>
        <w:rPr>
          <w:rFonts w:ascii="Arial" w:hAnsi="Arial" w:cs="Arial"/>
          <w:sz w:val="22"/>
          <w:szCs w:val="22"/>
        </w:rPr>
      </w:pPr>
      <w:r w:rsidRPr="004C09E1">
        <w:rPr>
          <w:rFonts w:ascii="Arial" w:hAnsi="Arial" w:cs="Arial"/>
          <w:sz w:val="22"/>
          <w:szCs w:val="22"/>
        </w:rPr>
        <w:t xml:space="preserve">This section will outline the school and class context, however, due to BERA’s ethical guidelines (2018), throughout this essay I am going to refer to the school as school A in order to ensure anonymity. The school has 545 pupils on roll between ages three and eleven (Welsh Government, 2019b), and facilities for 120 three and four-year-olds (Estyn, 2013). Estyn (2013) states that the school is situated in a Communities First area and a report in 2018 stated that school A has 8.7% of children receiving free school meals (FSM) , compared to the average of 13.7% in primary schools across wales (Department of Education, 2018; Welsh Government, 2019b). In Wales the percentage of children receiving FSM is decreasing which is a pattern in school A since their figure has decreased from 11% in 2013 therefore indicating less benefit claimants since FSM are determined by the receipt of income-related benefits (Department of Education, 2018; Welsh Government, 2019c; Estyn, 2013). Around 9% of pupils have additional learning needs (ALN), lower than the national average although a significant proportion of pupils (31%) speak English as an Additional language (Estyn, 2013). However, this report is from 2013 and it is important to note these statistics could have changed. It is considered a Good school according to current performance and the school’s prospects for improvement (Estyn, 2013; Welsh </w:t>
      </w:r>
      <w:r w:rsidRPr="004C09E1">
        <w:rPr>
          <w:rFonts w:ascii="Arial" w:hAnsi="Arial" w:cs="Arial"/>
          <w:sz w:val="22"/>
          <w:szCs w:val="22"/>
        </w:rPr>
        <w:lastRenderedPageBreak/>
        <w:t xml:space="preserve">government, 2018b). Therefore, the challenge adviser categorised them as needing the least support, up to 4 days of support, in order to improve their school outcomes (Welsh Government, 2019c). The school also has a very good attendance record of 95.7% (Welsh Government, 2018b) and it is a pioneer school for the new curriculum in Wales (School A primary school, 2019). </w:t>
      </w:r>
    </w:p>
    <w:p w14:paraId="6C0F131B" w14:textId="77777777" w:rsidR="009D5419" w:rsidRDefault="009D5419" w:rsidP="009D5419">
      <w:pPr>
        <w:spacing w:line="360" w:lineRule="auto"/>
        <w:rPr>
          <w:rFonts w:ascii="Arial" w:hAnsi="Arial" w:cs="Arial"/>
          <w:sz w:val="22"/>
          <w:szCs w:val="22"/>
        </w:rPr>
      </w:pPr>
    </w:p>
    <w:p w14:paraId="195CE7B3" w14:textId="77777777" w:rsidR="009D5419" w:rsidRPr="004C09E1" w:rsidRDefault="009D5419" w:rsidP="009D5419">
      <w:pPr>
        <w:spacing w:line="360" w:lineRule="auto"/>
        <w:rPr>
          <w:rFonts w:ascii="Arial" w:hAnsi="Arial" w:cs="Arial"/>
          <w:sz w:val="22"/>
          <w:szCs w:val="22"/>
        </w:rPr>
      </w:pPr>
      <w:r w:rsidRPr="004B07AE">
        <w:rPr>
          <w:rFonts w:ascii="Arial" w:hAnsi="Arial" w:cs="Arial"/>
          <w:sz w:val="22"/>
          <w:szCs w:val="22"/>
          <w:highlight w:val="yellow"/>
        </w:rPr>
        <w:t>-50 words.</w:t>
      </w:r>
      <w:r>
        <w:rPr>
          <w:rFonts w:ascii="Arial" w:hAnsi="Arial" w:cs="Arial"/>
          <w:sz w:val="22"/>
          <w:szCs w:val="22"/>
        </w:rPr>
        <w:t xml:space="preserve"> </w:t>
      </w:r>
    </w:p>
    <w:p w14:paraId="1C317F4B" w14:textId="77777777" w:rsidR="009D5419" w:rsidRPr="004C09E1" w:rsidRDefault="009D5419" w:rsidP="009D5419">
      <w:pPr>
        <w:spacing w:line="360" w:lineRule="auto"/>
        <w:rPr>
          <w:rFonts w:ascii="Arial" w:hAnsi="Arial" w:cs="Arial"/>
          <w:sz w:val="22"/>
          <w:szCs w:val="22"/>
        </w:rPr>
      </w:pPr>
    </w:p>
    <w:p w14:paraId="31ED1BBE"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I observed a year 3 class were they children were aged between seven and eight years old and in year 3 (</w:t>
      </w:r>
      <w:r>
        <w:rPr>
          <w:rFonts w:ascii="Arial" w:hAnsi="Arial" w:cs="Arial"/>
          <w:sz w:val="22"/>
          <w:szCs w:val="22"/>
        </w:rPr>
        <w:t>a</w:t>
      </w:r>
      <w:r w:rsidRPr="004C09E1">
        <w:rPr>
          <w:rFonts w:ascii="Arial" w:hAnsi="Arial" w:cs="Arial"/>
          <w:sz w:val="22"/>
          <w:szCs w:val="22"/>
        </w:rPr>
        <w:t>ppendices</w:t>
      </w:r>
      <w:r w:rsidRPr="004C09E1">
        <w:rPr>
          <w:rFonts w:ascii="Arial" w:hAnsi="Arial" w:cs="Arial"/>
          <w:sz w:val="22"/>
          <w:szCs w:val="22"/>
          <w:highlight w:val="yellow"/>
        </w:rPr>
        <w:t>?</w:t>
      </w:r>
      <w:r w:rsidRPr="004C09E1">
        <w:rPr>
          <w:rFonts w:ascii="Arial" w:hAnsi="Arial" w:cs="Arial"/>
          <w:sz w:val="22"/>
          <w:szCs w:val="22"/>
        </w:rPr>
        <w:t xml:space="preserve">). During the introduction of the class there were three year 3 classes in one, therefore around 75 children. The majority of children were on the carpet and the other children remained in their chairs. After the introduction, two classes left, leaving around 28 children in the classroom, siting at their desks. </w:t>
      </w:r>
    </w:p>
    <w:p w14:paraId="704E040A" w14:textId="77777777" w:rsidR="009D5419" w:rsidRPr="004C09E1" w:rsidRDefault="009D5419" w:rsidP="009D5419">
      <w:pPr>
        <w:spacing w:line="360" w:lineRule="auto"/>
        <w:rPr>
          <w:rFonts w:ascii="Arial" w:hAnsi="Arial" w:cs="Arial"/>
          <w:sz w:val="22"/>
          <w:szCs w:val="22"/>
        </w:rPr>
      </w:pPr>
    </w:p>
    <w:p w14:paraId="7BFDE06D"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In this section the methodology will be discussed. The methodology used is a </w:t>
      </w:r>
    </w:p>
    <w:p w14:paraId="5597ABE9"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case study which is one of the most frequently used in qualitative educational research due to its idio-graphic characteristic (Yazan, 2015; Iglesias-Rodriguez, Garcia-Riaza and Sanchez-Gomez, 2017). This method provides the flexibility to focus on a situation or specific individual, it aims to provide an intensive description that holistically analyses the case which may lead to new meanings or ratification of what is known (Iglesias-Rodriguez, Garcia-Riaza and Sanchez-Gomez, 2017; Lucas, Fleming and Bhosale, 2018). However, case studies findings are not generalisable and can be difficult to define (Bassey, 1999; Hetherington, 2013; Lucas, Fleming, Bhosale, 2018). However, Winterbottom and Winterbottom (2017) importantly note that the relatability of a case study is more valuable than its generalisability due to the unique contexts (Iglesias-Rodriguez, Garcia-Riaza and Sanchez-Gomez, 2017). This makes it difficult to produce a well-defined and structured protocol which could be one of the reasons Yazan (2015) suggests case study methodologies do not hold legitimate status as a social science research strategy which is supported by Lucas, Fleming and Bhosale (2018) who suggest a significant issue is understanding the case study definition as a method or a methodology which is an issue commonly highlighted focusing on the fact that “</w:t>
      </w:r>
      <w:r w:rsidRPr="004C09E1">
        <w:rPr>
          <w:rFonts w:ascii="Arial" w:hAnsi="Arial" w:cs="Arial"/>
          <w:i/>
          <w:sz w:val="22"/>
          <w:szCs w:val="22"/>
        </w:rPr>
        <w:t>case study emphasises study in depth</w:t>
      </w:r>
      <w:r w:rsidRPr="004C09E1">
        <w:rPr>
          <w:rFonts w:ascii="Arial" w:hAnsi="Arial" w:cs="Arial"/>
          <w:sz w:val="22"/>
          <w:szCs w:val="22"/>
        </w:rPr>
        <w:t xml:space="preserve">” (Hetherington, 2013, p.75). Overall case study as a methodology provides flexible, in-depth and multi-perspective research of real-life situations that can show abstract ideas in principle, therefore a useful approach to analyse the CI (Lucas, Fleming and Bhosale, 2018; Hetherington, 2013). </w:t>
      </w:r>
    </w:p>
    <w:p w14:paraId="36AADC4B" w14:textId="77777777" w:rsidR="009D5419" w:rsidRPr="004C09E1" w:rsidRDefault="009D5419" w:rsidP="009D5419">
      <w:pPr>
        <w:spacing w:line="360" w:lineRule="auto"/>
        <w:rPr>
          <w:rFonts w:ascii="Arial" w:hAnsi="Arial" w:cs="Arial"/>
          <w:sz w:val="22"/>
          <w:szCs w:val="22"/>
        </w:rPr>
      </w:pPr>
    </w:p>
    <w:p w14:paraId="53D1EA22"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lastRenderedPageBreak/>
        <w:t xml:space="preserve">This case study will be carried out by an observation. There are many observation types which include; structured, unstructured, naturalistic, participant, non-participant and direct (Cohen, 2000; Cohen, Manion and Morriston, 2011; Marietto, 2018). The method adopted was non-participant observations where the researcher did not get involved in the activities and remained a passive observer (Cohen, 2000; Scott and Marshall, 2009; Lopes, 2013). This is a more effective method compared to a participant observation because it enabled objectivity and neutrality to be maintained providing an unbiased view which was strengthened due to not previously being in that classroom and not getting involved in the activities, which could lead to influencing their behaviour (Lopes, 2013; Nozuko and Satyo, 2017). However, humans are naturally aware of the world around them, consequently aware of me observing which makes it important to take the Hawthorne effect into consideration since this may have impacted their behaviour (Cohen, 2000; Merrett, 2006). Although McCambridge, Witton and Elbourne (2013) examined literature of school children and found no evidence of the Hawthorne effect which could be due to the change in meaning of time and use of this term across disciplines. The CI technique will be used to collect non-participant observations of human behaviour that can be used to justify the rationale for interventions and decisions made which can develop future pedagogical practice (Flanagan, 1954; Eliahoo, 2016). This links to Gagne’s observational model since it is used as a theoretical framework to identify critical events which focuses on the internal learning process (Edgar, Oras and Pikksaar, 2010; Llie, 2014). This enabled me to gain insight into various aspects of pedagogy, behaviour and classroom environment through an unbiased lens (Llie, 2014; Gregory et al. 2015). The validity was increased due to being in a new classroom, each observation, and observing each class using the same observational methods (Downer et al. 2010). Observation, in education, is often considered to be the ‘gold standard’ assessment, despite a significant limitation of observations being that it provides a small snapshot of a complex situation and does not consider other variables that could have on impact behaviour (Gregory et al. 2015). Although, research suggests having a discrete focus to analyse can be helpful to explore other variables and enhance professional learning (Welsh Assembly Government, 2008; Gregory et al. 2015; Eliahoo, 2016). </w:t>
      </w:r>
    </w:p>
    <w:p w14:paraId="370FFFBB" w14:textId="77777777" w:rsidR="009D5419" w:rsidRPr="004C09E1" w:rsidRDefault="009D5419" w:rsidP="009D5419">
      <w:pPr>
        <w:spacing w:line="360" w:lineRule="auto"/>
        <w:rPr>
          <w:rFonts w:ascii="Arial" w:hAnsi="Arial" w:cs="Arial"/>
          <w:sz w:val="22"/>
          <w:szCs w:val="22"/>
        </w:rPr>
      </w:pPr>
    </w:p>
    <w:p w14:paraId="7BD2798E" w14:textId="77777777" w:rsidR="009D5419" w:rsidRDefault="009D5419" w:rsidP="009D5419">
      <w:pPr>
        <w:spacing w:line="360" w:lineRule="auto"/>
        <w:rPr>
          <w:rFonts w:ascii="Arial" w:hAnsi="Arial" w:cs="Arial"/>
          <w:sz w:val="22"/>
          <w:szCs w:val="22"/>
        </w:rPr>
      </w:pPr>
      <w:r w:rsidRPr="004C09E1">
        <w:rPr>
          <w:rFonts w:ascii="Arial" w:hAnsi="Arial" w:cs="Arial"/>
          <w:sz w:val="22"/>
          <w:szCs w:val="22"/>
        </w:rPr>
        <w:t xml:space="preserve">Brookfield (1995) proposed the four lenses model to become a critically reflective teacher, this provides an effective focus for observation since it promotes a multi-perspective approach (Eslinger, 2011; Cherie, 2018; Lucas, Fleming and Bhosale, 2018; Nyamupangedengu and Manikonza, 2018). This model requires a range of observational strategies within the four lenses; self-lens, peer lens, student lens and literature lens (Cherie, 2018; Nyamupangedengu and Manikonza, 2018). Therefore, in future practice the teacher would observe the CI but then also gain understanding through literature, peers and </w:t>
      </w:r>
      <w:r w:rsidRPr="004C09E1">
        <w:rPr>
          <w:rFonts w:ascii="Arial" w:hAnsi="Arial" w:cs="Arial"/>
          <w:sz w:val="22"/>
          <w:szCs w:val="22"/>
        </w:rPr>
        <w:lastRenderedPageBreak/>
        <w:t xml:space="preserve">students which corresponds with Gosling’s evaluation and developmental observation models carried out by peers to enhance pedagogic understanding and professional development (O’Leary, 2012; Nyamupangedengu and Manikonza, 2018). </w:t>
      </w:r>
    </w:p>
    <w:p w14:paraId="548E2782" w14:textId="77777777" w:rsidR="009D5419" w:rsidRPr="004C09E1" w:rsidRDefault="009D5419" w:rsidP="009D5419">
      <w:pPr>
        <w:spacing w:line="360" w:lineRule="auto"/>
        <w:rPr>
          <w:rFonts w:ascii="Arial" w:hAnsi="Arial" w:cs="Arial"/>
          <w:sz w:val="22"/>
          <w:szCs w:val="22"/>
        </w:rPr>
      </w:pPr>
      <w:r w:rsidRPr="004B07AE">
        <w:rPr>
          <w:rFonts w:ascii="Arial" w:hAnsi="Arial" w:cs="Arial"/>
          <w:sz w:val="22"/>
          <w:szCs w:val="22"/>
          <w:highlight w:val="yellow"/>
        </w:rPr>
        <w:t>-</w:t>
      </w:r>
      <w:r>
        <w:rPr>
          <w:rFonts w:ascii="Arial" w:hAnsi="Arial" w:cs="Arial"/>
          <w:sz w:val="22"/>
          <w:szCs w:val="22"/>
          <w:highlight w:val="yellow"/>
        </w:rPr>
        <w:t>60</w:t>
      </w:r>
      <w:r w:rsidRPr="004B07AE">
        <w:rPr>
          <w:rFonts w:ascii="Arial" w:hAnsi="Arial" w:cs="Arial"/>
          <w:sz w:val="22"/>
          <w:szCs w:val="22"/>
          <w:highlight w:val="yellow"/>
        </w:rPr>
        <w:t xml:space="preserve"> words</w:t>
      </w:r>
    </w:p>
    <w:p w14:paraId="6C8E87DB" w14:textId="77777777" w:rsidR="009D5419" w:rsidRPr="004C09E1" w:rsidRDefault="009D5419" w:rsidP="009D5419">
      <w:pPr>
        <w:spacing w:line="360" w:lineRule="auto"/>
        <w:rPr>
          <w:rFonts w:ascii="Arial" w:hAnsi="Arial" w:cs="Arial"/>
          <w:sz w:val="22"/>
          <w:szCs w:val="22"/>
        </w:rPr>
      </w:pPr>
    </w:p>
    <w:p w14:paraId="32FED066"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The CI will now be discussed in relation to the four purposes of education, outlined by Donaldson (2015) in the successful futures review. The four purposes are outlined in appendix (9). The CI that will be further explored, happened during an expressive arts lessons where the children were creating a welsh poster (see appendix </w:t>
      </w:r>
      <w:r w:rsidRPr="004C09E1">
        <w:rPr>
          <w:rFonts w:ascii="Arial" w:hAnsi="Arial" w:cs="Arial"/>
          <w:sz w:val="22"/>
          <w:szCs w:val="22"/>
          <w:highlight w:val="yellow"/>
        </w:rPr>
        <w:t>?</w:t>
      </w:r>
      <w:r w:rsidRPr="004C09E1">
        <w:rPr>
          <w:rFonts w:ascii="Arial" w:hAnsi="Arial" w:cs="Arial"/>
          <w:sz w:val="22"/>
          <w:szCs w:val="22"/>
        </w:rPr>
        <w:t>). The teacher used an Assessment for Learning (AfL) strategy, what a bad one looks like (WABOLL), to activate prior knowledge (APK) and collaboratively created a success-criteria for their welsh themed posters. Arguably, the CI could link to all four purposes however, it significantly linked to the purpose “</w:t>
      </w:r>
      <w:r w:rsidRPr="004C09E1">
        <w:rPr>
          <w:rFonts w:ascii="Arial" w:hAnsi="Arial" w:cs="Arial"/>
          <w:i/>
          <w:sz w:val="22"/>
          <w:szCs w:val="22"/>
        </w:rPr>
        <w:t>Ambitious, capable learners ready to learn throughout their lives</w:t>
      </w:r>
      <w:r w:rsidRPr="004C09E1">
        <w:rPr>
          <w:rFonts w:ascii="Arial" w:hAnsi="Arial" w:cs="Arial"/>
          <w:sz w:val="22"/>
          <w:szCs w:val="22"/>
        </w:rPr>
        <w:t xml:space="preserve">” in various ways (Donaldson, 2015, p.29). For example, the children are capable of identifying what is wrong with the initial poster and able to come up with solutions to improve the poster and translated those ideas to collectively create an effective success-criteria. This could also develop their critiquing skills which can be transferable to other contexts therefore, providing them with the ability to be autonomous learners throughout their lives (Jones, 2012; Mardell, Rivard and Krechevsky, 2012). However, there were too many children in the classroom at one time and only a small number of children were actively contributing to the discussion, therefore suggesting some children were not fully engaged and therefore only developing these skills for a limited number of children, which a medium-scale study conducted by Almulla (2015) found that teachers prefer teaching in classroom sizes of 15-20 pupils in order to use a diverse range of pedagogic methods. </w:t>
      </w:r>
    </w:p>
    <w:p w14:paraId="748DABFF" w14:textId="77777777" w:rsidR="009D5419" w:rsidRPr="004C09E1" w:rsidRDefault="009D5419" w:rsidP="009D5419">
      <w:pPr>
        <w:spacing w:line="360" w:lineRule="auto"/>
        <w:rPr>
          <w:rFonts w:ascii="Arial" w:hAnsi="Arial" w:cs="Arial"/>
          <w:sz w:val="22"/>
          <w:szCs w:val="22"/>
        </w:rPr>
      </w:pPr>
    </w:p>
    <w:p w14:paraId="7A0C58C2"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The success criteria structure created a significant discussion point since it included three sub-headings; you must, you should and you could. This enables pupil participation but more importantly, for them to feel valued since the teacher could ensure each answer would be included within the success criteria (Garcia-Perez and Montero, 2014). This could then increase children’s motivation and therefore links to the ambitious aspect of this purpose of the curriculum since students’ ambition is increased when they know how to complete the task successfully (Donaldson, 2015; Ghilay and Ghilay, 2015). However only to a limited extent due to not having time to provide all pupils the opportunity to share their ideas, therefore this is likely to motivate the pupils who were fully engaged during this aspect of the lesson. </w:t>
      </w:r>
    </w:p>
    <w:p w14:paraId="46B605E2" w14:textId="77777777" w:rsidR="009D5419" w:rsidRPr="004C09E1" w:rsidRDefault="009D5419" w:rsidP="009D5419">
      <w:pPr>
        <w:spacing w:line="360" w:lineRule="auto"/>
        <w:rPr>
          <w:rFonts w:ascii="Arial" w:hAnsi="Arial" w:cs="Arial"/>
          <w:sz w:val="22"/>
          <w:szCs w:val="22"/>
        </w:rPr>
      </w:pPr>
    </w:p>
    <w:p w14:paraId="500C8F3C"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lastRenderedPageBreak/>
        <w:t>Another purpose the CI links to is “</w:t>
      </w:r>
      <w:r w:rsidRPr="004C09E1">
        <w:rPr>
          <w:rFonts w:ascii="Arial" w:hAnsi="Arial" w:cs="Arial"/>
          <w:i/>
          <w:sz w:val="22"/>
          <w:szCs w:val="22"/>
        </w:rPr>
        <w:t>ethical, informed citizens ready to be citizens of Wales and the world</w:t>
      </w:r>
      <w:r w:rsidRPr="004C09E1">
        <w:rPr>
          <w:rFonts w:ascii="Arial" w:hAnsi="Arial" w:cs="Arial"/>
          <w:sz w:val="22"/>
          <w:szCs w:val="22"/>
        </w:rPr>
        <w:t xml:space="preserve">” (Donaldson, 2015, p.29). It particularly links to the ‘ready to be citizens of Wales’ due to the children looking to make posters with a welsh theme (Donaldson, 2015). They discussed as a class welsh language and culture therefore learning what aspects contribute to making them a welsh citizen which informed them of welsh culture (Welsh Government, 2017). During this CI the children also constructively critiqued the WABOLL in an ethical way and concentrated on how to improve the poster rather than focusing on the negative aspects. Therefore, it is likely the children considered the impacts of their actions and language used when discussing the poster (Donaldson, 2015). </w:t>
      </w:r>
    </w:p>
    <w:p w14:paraId="0CDFCC5D" w14:textId="77777777" w:rsidR="009D5419" w:rsidRPr="004C09E1" w:rsidRDefault="009D5419" w:rsidP="009D5419">
      <w:pPr>
        <w:spacing w:line="360" w:lineRule="auto"/>
        <w:rPr>
          <w:rFonts w:ascii="Arial" w:hAnsi="Arial" w:cs="Arial"/>
          <w:sz w:val="22"/>
          <w:szCs w:val="22"/>
        </w:rPr>
      </w:pPr>
    </w:p>
    <w:p w14:paraId="00AFBDEB"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This section will review the literature associated with the CI. There are many aspects of the incident in the context of learning (</w:t>
      </w:r>
      <w:r>
        <w:rPr>
          <w:rFonts w:ascii="Arial" w:hAnsi="Arial" w:cs="Arial"/>
          <w:sz w:val="22"/>
          <w:szCs w:val="22"/>
        </w:rPr>
        <w:t>a</w:t>
      </w:r>
      <w:r w:rsidRPr="004C09E1">
        <w:rPr>
          <w:rFonts w:ascii="Arial" w:hAnsi="Arial" w:cs="Arial"/>
          <w:sz w:val="22"/>
          <w:szCs w:val="22"/>
        </w:rPr>
        <w:t xml:space="preserve">ppendix </w:t>
      </w:r>
      <w:r w:rsidRPr="004C09E1">
        <w:rPr>
          <w:rFonts w:ascii="Arial" w:hAnsi="Arial" w:cs="Arial"/>
          <w:sz w:val="22"/>
          <w:szCs w:val="22"/>
          <w:highlight w:val="yellow"/>
        </w:rPr>
        <w:t>?</w:t>
      </w:r>
      <w:r w:rsidRPr="004C09E1">
        <w:rPr>
          <w:rFonts w:ascii="Arial" w:hAnsi="Arial" w:cs="Arial"/>
          <w:sz w:val="22"/>
          <w:szCs w:val="22"/>
        </w:rPr>
        <w:t xml:space="preserve">). However, AfL and Social Constructivism Theory (SCT) significantly link to the CI that is being critically analysed and therefore will be further discussed within this section. </w:t>
      </w:r>
    </w:p>
    <w:p w14:paraId="71158156" w14:textId="77777777" w:rsidR="009D5419" w:rsidRPr="004C09E1" w:rsidRDefault="009D5419" w:rsidP="009D5419">
      <w:pPr>
        <w:spacing w:line="360" w:lineRule="auto"/>
        <w:rPr>
          <w:rFonts w:ascii="Arial" w:hAnsi="Arial" w:cs="Arial"/>
          <w:sz w:val="22"/>
          <w:szCs w:val="22"/>
        </w:rPr>
      </w:pPr>
    </w:p>
    <w:p w14:paraId="610FBD72"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AfL is frequently referred to as a fundamental part of teaching which is the process of collecting information about student learning from various assessment methods and using the data to modify teaching and learning in order to meet the pupils needs (</w:t>
      </w:r>
      <w:r w:rsidRPr="004C09E1">
        <w:rPr>
          <w:rFonts w:ascii="Arial" w:hAnsi="Arial" w:cs="Arial"/>
          <w:color w:val="000000" w:themeColor="text1"/>
          <w:sz w:val="22"/>
          <w:szCs w:val="22"/>
        </w:rPr>
        <w:t xml:space="preserve">Black and Wiliam, 2009; </w:t>
      </w:r>
      <w:r w:rsidRPr="004C09E1">
        <w:rPr>
          <w:rFonts w:ascii="Arial" w:hAnsi="Arial" w:cs="Arial"/>
          <w:sz w:val="22"/>
          <w:szCs w:val="22"/>
        </w:rPr>
        <w:t xml:space="preserve">Wiliam, 2011; Baas et al. 2015; Leenknecht and Prins, 2018; Heritage, 2018). The purpose of AfL is to close the gap between where the learner currently is and their desired outcome by monitoring their progress through assessment to ensure instructional activities result in the intended outcome (Clark, 2012; Wiliam, 2013; Teachings in Education, 2016). AfL is derived from Bloom’s individualisation of learning experiments that reviewed the impact of feedback on learning in classrooms (Wiliam, 2011). Bloom believed that every student required one to one feedback in order to improve further learning, since this would enable students to apply their new knowledge to new situations (Wiliam, 2011; Ramirez, 2017). However, this was not realistic in mainstream education due to financial and time constraints therefore the search for effective methods of group instruction and assessment were critical (Wiliam, 2011; Laryea, 2013; Gibbs and Taylor, 2018). Although, the development of Hunter’s Mastery teaching approach promoted the frequent checks for understanding (Hunter, 1982, cited in Wiliam, 2017a, p.400) which incorporates a significant element of AfL to regularly assess pupils learning (Brown, 2019). However, Wiliam (2017a) highlighted an important issue that some assessment methods create choral responses where students respond at the same time which can make it difficult for the teacher to effectively make future pedagogical decisions and extract quality evidence of learning (Brown, 2019). This is supported by a small-scale study conducted with nine primary school teachers, who found it challenging to use the results from AfL methods to make informed </w:t>
      </w:r>
      <w:r w:rsidRPr="004C09E1">
        <w:rPr>
          <w:rFonts w:ascii="Arial" w:hAnsi="Arial" w:cs="Arial"/>
          <w:sz w:val="22"/>
          <w:szCs w:val="22"/>
        </w:rPr>
        <w:lastRenderedPageBreak/>
        <w:t>adequate decisions (Zhao, Van-Den-Heuvel-Panhuizen and Velduis, 2016). However, due to the scale of this study, these findings are less generalisable, although other studies have emphasised the need for better quality evidence to improve teacher’s instructional decision making to meet the needs of all learners, rather than the most vocal ones (Jones, 2005; Wiliam, 2017a; Brown, 2019).</w:t>
      </w:r>
    </w:p>
    <w:p w14:paraId="33E3B7E0" w14:textId="77777777" w:rsidR="009D5419" w:rsidRPr="004C09E1" w:rsidRDefault="009D5419" w:rsidP="009D5419">
      <w:pPr>
        <w:spacing w:line="360" w:lineRule="auto"/>
        <w:rPr>
          <w:rFonts w:ascii="Arial" w:hAnsi="Arial" w:cs="Arial"/>
          <w:sz w:val="22"/>
          <w:szCs w:val="22"/>
        </w:rPr>
      </w:pPr>
    </w:p>
    <w:p w14:paraId="4211D0B6"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Incorporating Dylan Wiliam’s 5 Key Strategies within practice can promote effective use of AfL (William, 2012). These strategies significantly link to the CI since an AfL strategy was used to activate prior knowledge and use that to critically evaluate the WABOLL poster in order make suggestions on how to improve it. These suggestions were then used to create a success criterion for making their own posters which contributes to clarifying, understanding and sharing learning intentions strategy (See appendix </w:t>
      </w:r>
      <w:r w:rsidRPr="004C09E1">
        <w:rPr>
          <w:rFonts w:ascii="Arial" w:hAnsi="Arial" w:cs="Arial"/>
          <w:sz w:val="22"/>
          <w:szCs w:val="22"/>
          <w:highlight w:val="yellow"/>
        </w:rPr>
        <w:t>?</w:t>
      </w:r>
      <w:r w:rsidRPr="004C09E1">
        <w:rPr>
          <w:rFonts w:ascii="Arial" w:hAnsi="Arial" w:cs="Arial"/>
          <w:sz w:val="22"/>
          <w:szCs w:val="22"/>
        </w:rPr>
        <w:t xml:space="preserve">) (William, 2012; Heritage, 2018; Impact Wales, 2019). A high quantity of recent research provides evidence that agrees and suggests sharing criteria and creating shared learning intentions is effective in providing learners with confidence to carry out the task and become assessment capable learners (Wiliam, 2017a; Nancy, Fisher and Hattie, 2018; Heritage, 2018). </w:t>
      </w:r>
    </w:p>
    <w:p w14:paraId="4080A2C5" w14:textId="77777777" w:rsidR="009D5419" w:rsidRPr="004C09E1" w:rsidRDefault="009D5419" w:rsidP="009D5419">
      <w:pPr>
        <w:spacing w:line="360" w:lineRule="auto"/>
        <w:rPr>
          <w:rFonts w:ascii="Arial" w:hAnsi="Arial" w:cs="Arial"/>
          <w:sz w:val="22"/>
          <w:szCs w:val="22"/>
        </w:rPr>
      </w:pPr>
    </w:p>
    <w:p w14:paraId="21F13270"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Other strategies that linked are engineering effective classroom discussions and activating pupils as owners of their own learning (Impact Wales, 2019). This linked to the CI since the teacher had sections within the success criteria (see appendix </w:t>
      </w:r>
      <w:r w:rsidRPr="004C09E1">
        <w:rPr>
          <w:rFonts w:ascii="Arial" w:hAnsi="Arial" w:cs="Arial"/>
          <w:sz w:val="22"/>
          <w:szCs w:val="22"/>
          <w:highlight w:val="yellow"/>
        </w:rPr>
        <w:t>?)</w:t>
      </w:r>
      <w:r w:rsidRPr="004C09E1">
        <w:rPr>
          <w:rFonts w:ascii="Arial" w:hAnsi="Arial" w:cs="Arial"/>
          <w:sz w:val="22"/>
          <w:szCs w:val="22"/>
        </w:rPr>
        <w:t xml:space="preserve"> which provoked questions that enhanced deeper cognition and reflection within a rich learning environment (Baas et al. 2015; Hooker, 2017). Therefore, the use of an AfL strategy within the CI was very effective shown in the widespread use of this approach which the Welsh Government have been behind since 2008 when launched the £150 million AfL scheme (William, 2012; Heritage, 2018). It is still considered a vital aspect of education since it is listed as a pedagogical principle within the new curriculum reform recommended by Donaldson (2015) and influential theorist within the AfL field in currently promotes it (Wiliam, 2018). However, Dylan Wiliam along with Paul Black influenced the widespread use of AfL in 1998 with a world-renowned review, this could contribute to future bias since he is likely to promote the benefits over the limitations (Hopfenbeck, 2018). Although, Dylan Wiliams does in fact acknowledge himself and Blacks’ mistake in calling it ‘assessment’ for learning, which has also been highlighted by </w:t>
      </w:r>
      <w:r w:rsidRPr="004C09E1">
        <w:rPr>
          <w:rFonts w:ascii="Arial" w:hAnsi="Arial" w:cs="Arial"/>
          <w:color w:val="000000" w:themeColor="text1"/>
          <w:sz w:val="22"/>
          <w:szCs w:val="22"/>
          <w:shd w:val="clear" w:color="auto" w:fill="FFFFFF"/>
        </w:rPr>
        <w:t>Ninomiya (2016)</w:t>
      </w:r>
      <w:r w:rsidRPr="004C09E1">
        <w:rPr>
          <w:rFonts w:ascii="Arial" w:hAnsi="Arial" w:cs="Arial"/>
          <w:sz w:val="22"/>
          <w:szCs w:val="22"/>
        </w:rPr>
        <w:t xml:space="preserve">. </w:t>
      </w:r>
      <w:r w:rsidRPr="004C09E1">
        <w:rPr>
          <w:rFonts w:ascii="Arial" w:hAnsi="Arial" w:cs="Arial"/>
          <w:color w:val="555555"/>
          <w:sz w:val="22"/>
          <w:szCs w:val="22"/>
          <w:shd w:val="clear" w:color="auto" w:fill="FFFFFF"/>
        </w:rPr>
        <w:t>"</w:t>
      </w:r>
      <w:r w:rsidRPr="004C09E1">
        <w:rPr>
          <w:rFonts w:ascii="Arial" w:hAnsi="Arial" w:cs="Arial"/>
          <w:i/>
          <w:iCs/>
          <w:color w:val="000000" w:themeColor="text1"/>
          <w:sz w:val="22"/>
          <w:szCs w:val="22"/>
          <w:shd w:val="clear" w:color="auto" w:fill="FFFFFF"/>
        </w:rPr>
        <w:t>The big mistake that Paul Black and I made was calling this stuff 'assessment'," he said. “Because when you use the word assessment, people think about tests and exams</w:t>
      </w:r>
      <w:r w:rsidRPr="004C09E1">
        <w:rPr>
          <w:rFonts w:ascii="Arial" w:hAnsi="Arial" w:cs="Arial"/>
          <w:color w:val="000000" w:themeColor="text1"/>
          <w:sz w:val="22"/>
          <w:szCs w:val="22"/>
          <w:shd w:val="clear" w:color="auto" w:fill="FFFFFF"/>
        </w:rPr>
        <w:t xml:space="preserve">” (Wiliam, 2012, p.9). Therefore, this could have contributed to the disparities in understanding the theory (Bennett, 2011; Wiliam, 2017b) and why research suggests there are few schools that implement AfL effectively (William, 2012). However, this research is from 2012 and since then there has been more awareness and </w:t>
      </w:r>
      <w:r w:rsidRPr="004C09E1">
        <w:rPr>
          <w:rFonts w:ascii="Arial" w:hAnsi="Arial" w:cs="Arial"/>
          <w:color w:val="000000" w:themeColor="text1"/>
          <w:sz w:val="22"/>
          <w:szCs w:val="22"/>
          <w:shd w:val="clear" w:color="auto" w:fill="FFFFFF"/>
        </w:rPr>
        <w:lastRenderedPageBreak/>
        <w:t xml:space="preserve">government backing around training teachers to implement this strategy effectively and ensure the importance that different teachers adopt different methods of AfL to meet the needs of their learners and personal pedagogical styles (Wiliam, 2013; Donaldson, 2015). </w:t>
      </w:r>
    </w:p>
    <w:p w14:paraId="3D28C87B" w14:textId="77777777" w:rsidR="009D5419" w:rsidRPr="004C09E1" w:rsidRDefault="009D5419" w:rsidP="009D5419">
      <w:pPr>
        <w:spacing w:line="360" w:lineRule="auto"/>
        <w:rPr>
          <w:rFonts w:ascii="Arial" w:hAnsi="Arial" w:cs="Arial"/>
          <w:sz w:val="22"/>
          <w:szCs w:val="22"/>
        </w:rPr>
      </w:pPr>
    </w:p>
    <w:p w14:paraId="609FEFB2"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The SCT was created by Vygotsky, who was influenced by constructivists such as Piaget, but Vygotsky rejects constructivists view that it is possible to separate learning from its social context (Jacobs, 2001; Cremin and Burnett, 2018). It predominantly focusses on the process that children undertake to construct their own knowledge through social interactions and has been an influential theory in education for decades and still holds significant value today to explore contemporary educational aspects (Deulen, 2013; Halpenny, 2014; Walker and Shore, 2015; Barrouillet, 2015; Alenezi, 2019; Qi, 2019). The CI linked to the social constructivism theory to a high extent because the main principles highlighted with the theory discuss; collaborative learning, scaffolding, authentic tasks and multiple perspectives which were visible aspects of the CI (Jacobs, 2001; Brikan-Baydan and Karadag, 2014; Alenezi, 2019). For example, the WABOLL created an authentic task since it scaffolded the children’s learning through questioning them to recall their past experiences of looking at posters in real life context which enabled them to explore children’s multiple perspectives of how to improve the current poster (Jacobs, 2001; Brikan-Baydan and Karadag, 2014; Alenezi, 2019). They then collaboratively created the success criteria, creating meaning behind the goals. Literature (Brikan-Baydan and Karadag, 2014; Alenezi, 2019) highlights a key aspect of the SCT which considers the translations of social real-life experiences to empower future collaborative learning. This builds on Kiraly’s (2000, cited in Birkan-Baydan and Karadag, 2014, p.985) view that the contribution of other pupils’ perspectives in a social environment encourages debates and therefore develops growth in individuals’ perspectives. This correlates with Piaget’s beliefs that we construct our meanings of the world through explorations of it which brings together ideas from the concrete world to the complex abstract world through interactions (Anning et al. 2009; Halpenny, 2014). However, he believed that this development happened in stages which was highly criticised since it is underestimating children’s abilities and constrained development within certain ages (Halfpenny, 2014; Barrouillet, 2015). Although the adoption of this theory is still shown in the current education system, in relation to year groups and stages of learning, however this is being recognised within the new curriculum and changing the system to progression steps to enhance children’s learning, despite this criticism being known for many years (Donaldson, 2015; Welsh Government, 2019a). This activity did activate the children’s prior knowledge which Ausbel (1968, cited in Wiliam, 2017a, p.400) argues is the most important factor influencing learning. This links with Piaget’s cognitive theory when discussed that the </w:t>
      </w:r>
      <w:r w:rsidRPr="004C09E1">
        <w:rPr>
          <w:rFonts w:ascii="Arial" w:hAnsi="Arial" w:cs="Arial"/>
          <w:sz w:val="22"/>
          <w:szCs w:val="22"/>
        </w:rPr>
        <w:lastRenderedPageBreak/>
        <w:t xml:space="preserve">construction of knowledge is conceived as a set of schemes which provide the basis of understanding of how to respond to situations (Barrouillet, 2015). </w:t>
      </w:r>
    </w:p>
    <w:p w14:paraId="72BB77C5" w14:textId="77777777" w:rsidR="009D5419" w:rsidRPr="004C09E1" w:rsidRDefault="009D5419" w:rsidP="009D5419">
      <w:pPr>
        <w:spacing w:line="360" w:lineRule="auto"/>
        <w:rPr>
          <w:rFonts w:ascii="Arial" w:hAnsi="Arial" w:cs="Arial"/>
          <w:sz w:val="22"/>
          <w:szCs w:val="22"/>
        </w:rPr>
      </w:pPr>
    </w:p>
    <w:p w14:paraId="1CEEC74A"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However, another main aspect of the SCT is scaffolding. You could argue children with more experience of seeing posters in the real world scaffolded other children enabling them to build on their previous understanding and construct new meanings, which Vygotsky (Anning et al. 2009; Alenezi, 2019) suggested social interactions and experiences drive the processes and what they learn. Therefore, highlighting the importance of empowering children to their own learning and actively participate which was a positive aspect of the CI since the teacher used the children’s suggestions to create the success criteria (Katsenou, Flogaitis and Liarakou, 2013). However, a concern for social constructivists is that pupils can bring misconceptions they have made in the concrete world which might be adopted by other learners (Wiliam, 2017a). This limitation to the social constructivist approach was less problematic due to the teacher facilitating the activity as a whole class and therefore could guide their learning and any misconceptions were rectified (Kuusisaari, 2014). This highlights the importance of the ‘zone of proximal development’ theory since teachers are considered a vital tool in helping children acquire conceptual knowledge and facilitate learning (Jacobs, 2001; Walker and Shore, 2015; Kuusisaari, 2014). Overall, AfL and SCT had a significant link with the CI observed which indicated to have a positive impact on most children’s learning.</w:t>
      </w:r>
    </w:p>
    <w:p w14:paraId="0F602C24" w14:textId="77777777" w:rsidR="009D5419" w:rsidRPr="004C09E1" w:rsidRDefault="009D5419" w:rsidP="009D5419">
      <w:pPr>
        <w:spacing w:line="360" w:lineRule="auto"/>
        <w:rPr>
          <w:rFonts w:ascii="Arial" w:hAnsi="Arial" w:cs="Arial"/>
          <w:sz w:val="22"/>
          <w:szCs w:val="22"/>
        </w:rPr>
      </w:pPr>
    </w:p>
    <w:p w14:paraId="778A14C7"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This section will produce a critical reflection on the CI and provide suggestions on next steps that could improve future practice. Critical reflection, according to Dewey (1933, cited in Yang, 2009, p. 11), is “</w:t>
      </w:r>
      <w:r w:rsidRPr="004C09E1">
        <w:rPr>
          <w:rFonts w:ascii="Arial" w:hAnsi="Arial" w:cs="Arial"/>
          <w:i/>
          <w:iCs/>
          <w:sz w:val="22"/>
          <w:szCs w:val="22"/>
        </w:rPr>
        <w:t>the kind of thinking that consists of turning a subject over in the mind and giving it serious and consecutive consideration</w:t>
      </w:r>
      <w:r w:rsidRPr="004C09E1">
        <w:rPr>
          <w:rFonts w:ascii="Arial" w:hAnsi="Arial" w:cs="Arial"/>
          <w:sz w:val="22"/>
          <w:szCs w:val="22"/>
        </w:rPr>
        <w:t xml:space="preserve">”. This is an old but valid quote in current research since literature values the use of critical consideration to analyse an event and adapt pedagogy to improve future practice (Bassot, 2016; Flint, Albers and Mattews, 2018). Bassot (2016) suggests reflecting particularly on a CI encourages deeper criticality for analysis to ensure improved practice and to consider all learners within various domains of pedagogy. This was supported recently by Matemba, Parker and Jolly (2018) who argue that observations without critical reflection produce thin results. This highlights the importance of being a reflective practitioner and critical reflection strategies are being implemented into teacher education to ensure future teachers are mindful and continuously analysing their practice, which is arguably more vital currently with the recent changes in education (Lamb, 2011; Donaldson, 2015; Bassot, 2016; Hamid and Zolfaghari, 2018; Evin and Saracalolgu, 2018). However, this is a time-consuming process expected to be adopted within the busy teaching profession that can create complacent reflective teachers that forget the aim of </w:t>
      </w:r>
      <w:r w:rsidRPr="004C09E1">
        <w:rPr>
          <w:rFonts w:ascii="Arial" w:hAnsi="Arial" w:cs="Arial"/>
          <w:sz w:val="22"/>
          <w:szCs w:val="22"/>
        </w:rPr>
        <w:lastRenderedPageBreak/>
        <w:t xml:space="preserve">reflection (Bassot, 2016). It is also highlighted there are disparities in the term critical reflection which could be why the use of reflection models are preferable to provide structure to the reflective process (Husebo, Apos &amp; Nestel, 2015; Bassot, 2016). </w:t>
      </w:r>
    </w:p>
    <w:p w14:paraId="074BFCE0" w14:textId="77777777" w:rsidR="009D5419" w:rsidRPr="004C09E1" w:rsidRDefault="009D5419" w:rsidP="009D5419">
      <w:pPr>
        <w:spacing w:line="360" w:lineRule="auto"/>
        <w:rPr>
          <w:rFonts w:ascii="Arial" w:hAnsi="Arial" w:cs="Arial"/>
          <w:sz w:val="22"/>
          <w:szCs w:val="22"/>
        </w:rPr>
      </w:pPr>
    </w:p>
    <w:p w14:paraId="0930C41E"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There are copious reflective models however, I am going to use Gibb’s reflective model due to it being a cycle which promotes the continuous aspect of reflection which recent literature (Lubis, 2018) and the Welsh Government (2018a) significantly emphasises that a teachers role is to be a critical lifelong learner to continually develop their practice to meet all learners needs, which is shown in the new professional standards. There are six stages to the model which will structure my reflection of the CI which are; description, feeling, evaluation, analysis, conclusion and action plan (</w:t>
      </w:r>
      <w:r w:rsidRPr="004C09E1">
        <w:rPr>
          <w:rFonts w:ascii="Arial" w:hAnsi="Arial" w:cs="Arial"/>
          <w:color w:val="000000" w:themeColor="text1"/>
          <w:sz w:val="22"/>
          <w:szCs w:val="22"/>
        </w:rPr>
        <w:t xml:space="preserve">Gibbs, 1988; Hayes </w:t>
      </w:r>
      <w:r w:rsidRPr="004C09E1">
        <w:rPr>
          <w:rFonts w:ascii="Arial" w:hAnsi="Arial" w:cs="Arial"/>
          <w:iCs/>
          <w:color w:val="000000" w:themeColor="text1"/>
          <w:sz w:val="22"/>
          <w:szCs w:val="22"/>
        </w:rPr>
        <w:t>et al</w:t>
      </w:r>
      <w:r w:rsidRPr="004C09E1">
        <w:rPr>
          <w:rFonts w:ascii="Arial" w:hAnsi="Arial" w:cs="Arial"/>
          <w:color w:val="000000" w:themeColor="text1"/>
          <w:sz w:val="22"/>
          <w:szCs w:val="22"/>
        </w:rPr>
        <w:t>. 2014). However, it is important to note that using a model can restrict critical thinking due to CI interpretations being unique and do not happen in particular sequences (</w:t>
      </w:r>
      <w:r w:rsidRPr="004C09E1">
        <w:rPr>
          <w:rFonts w:ascii="Arial" w:hAnsi="Arial" w:cs="Arial"/>
          <w:sz w:val="22"/>
          <w:szCs w:val="22"/>
        </w:rPr>
        <w:t xml:space="preserve">Coward, 2011; Bassot, 2016). </w:t>
      </w:r>
    </w:p>
    <w:p w14:paraId="2EE062DB" w14:textId="77777777" w:rsidR="009D5419" w:rsidRPr="004C09E1" w:rsidRDefault="009D5419" w:rsidP="009D5419">
      <w:pPr>
        <w:spacing w:line="360" w:lineRule="auto"/>
        <w:rPr>
          <w:rFonts w:ascii="Arial" w:hAnsi="Arial" w:cs="Arial"/>
          <w:sz w:val="22"/>
          <w:szCs w:val="22"/>
        </w:rPr>
      </w:pPr>
      <w:r w:rsidRPr="004B07AE">
        <w:rPr>
          <w:rFonts w:ascii="Arial" w:hAnsi="Arial" w:cs="Arial"/>
          <w:sz w:val="22"/>
          <w:szCs w:val="22"/>
          <w:highlight w:val="yellow"/>
        </w:rPr>
        <w:t xml:space="preserve">-cut </w:t>
      </w:r>
      <w:r>
        <w:rPr>
          <w:rFonts w:ascii="Arial" w:hAnsi="Arial" w:cs="Arial"/>
          <w:sz w:val="22"/>
          <w:szCs w:val="22"/>
          <w:highlight w:val="yellow"/>
        </w:rPr>
        <w:t>60</w:t>
      </w:r>
      <w:r w:rsidRPr="004B07AE">
        <w:rPr>
          <w:rFonts w:ascii="Arial" w:hAnsi="Arial" w:cs="Arial"/>
          <w:sz w:val="22"/>
          <w:szCs w:val="22"/>
          <w:highlight w:val="yellow"/>
        </w:rPr>
        <w:t xml:space="preserve"> words</w:t>
      </w:r>
    </w:p>
    <w:p w14:paraId="713D289F"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Describe</w:t>
      </w:r>
    </w:p>
    <w:p w14:paraId="524C5D63" w14:textId="77777777" w:rsidR="009D5419" w:rsidRPr="004C09E1" w:rsidRDefault="009D5419" w:rsidP="009D5419">
      <w:pPr>
        <w:spacing w:line="360" w:lineRule="auto"/>
        <w:rPr>
          <w:rFonts w:ascii="Arial" w:hAnsi="Arial" w:cs="Arial"/>
          <w:sz w:val="22"/>
          <w:szCs w:val="22"/>
        </w:rPr>
      </w:pPr>
    </w:p>
    <w:p w14:paraId="56A78218"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The description of the CI can be found in the four purposes section and appendix (</w:t>
      </w:r>
      <w:r w:rsidRPr="004C09E1">
        <w:rPr>
          <w:rFonts w:ascii="Arial" w:hAnsi="Arial" w:cs="Arial"/>
          <w:sz w:val="22"/>
          <w:szCs w:val="22"/>
          <w:highlight w:val="yellow"/>
        </w:rPr>
        <w:t>?</w:t>
      </w:r>
      <w:r w:rsidRPr="004C09E1">
        <w:rPr>
          <w:rFonts w:ascii="Arial" w:hAnsi="Arial" w:cs="Arial"/>
          <w:sz w:val="22"/>
          <w:szCs w:val="22"/>
        </w:rPr>
        <w:t>).</w:t>
      </w:r>
    </w:p>
    <w:p w14:paraId="7336B878" w14:textId="77777777" w:rsidR="009D5419" w:rsidRPr="004C09E1" w:rsidRDefault="009D5419" w:rsidP="009D5419">
      <w:pPr>
        <w:spacing w:line="360" w:lineRule="auto"/>
        <w:rPr>
          <w:rFonts w:ascii="Arial" w:hAnsi="Arial" w:cs="Arial"/>
          <w:sz w:val="22"/>
          <w:szCs w:val="22"/>
        </w:rPr>
      </w:pPr>
    </w:p>
    <w:p w14:paraId="154FC710"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Feeling</w:t>
      </w:r>
    </w:p>
    <w:p w14:paraId="309460D8" w14:textId="77777777" w:rsidR="009D5419" w:rsidRPr="004C09E1" w:rsidRDefault="009D5419" w:rsidP="009D5419">
      <w:pPr>
        <w:spacing w:line="360" w:lineRule="auto"/>
        <w:rPr>
          <w:rFonts w:ascii="Arial" w:hAnsi="Arial" w:cs="Arial"/>
          <w:sz w:val="22"/>
          <w:szCs w:val="22"/>
        </w:rPr>
      </w:pPr>
    </w:p>
    <w:p w14:paraId="47540281"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During the CI I was excited to observe the use of an AfL strategy to create a success-criteria and intrigued to explore the effectiveness of this approach. After the lesson I was inspired to adopt this approach in my own practice. </w:t>
      </w:r>
    </w:p>
    <w:p w14:paraId="7CF0E600" w14:textId="77777777" w:rsidR="009D5419" w:rsidRPr="004C09E1" w:rsidRDefault="009D5419" w:rsidP="009D5419">
      <w:pPr>
        <w:spacing w:line="360" w:lineRule="auto"/>
        <w:rPr>
          <w:rFonts w:ascii="Arial" w:hAnsi="Arial" w:cs="Arial"/>
          <w:sz w:val="22"/>
          <w:szCs w:val="22"/>
        </w:rPr>
      </w:pPr>
    </w:p>
    <w:p w14:paraId="40B497B8"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Evaluation</w:t>
      </w:r>
    </w:p>
    <w:p w14:paraId="6B2D4249" w14:textId="77777777" w:rsidR="009D5419" w:rsidRPr="004C09E1" w:rsidRDefault="009D5419" w:rsidP="009D5419">
      <w:pPr>
        <w:spacing w:line="360" w:lineRule="auto"/>
        <w:rPr>
          <w:rFonts w:ascii="Arial" w:hAnsi="Arial" w:cs="Arial"/>
          <w:sz w:val="22"/>
          <w:szCs w:val="22"/>
        </w:rPr>
      </w:pPr>
    </w:p>
    <w:p w14:paraId="4254DF8F"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The positive aspects of the CI are the use of an AfL strategy WABOLL since this links to one of Donaldson’s (2015) pedagogical principles. I felt that is was an effective method of AfL that I will adopt in my future practice. Another effective aspect was the children themselves collaboratively creating the success-criteria. However, one perceived negative aspect of the lesson was that not all the children were fully engaged and only a small percentage of children had an opportunity to participate. </w:t>
      </w:r>
    </w:p>
    <w:p w14:paraId="4D11404C" w14:textId="77777777" w:rsidR="009D5419" w:rsidRPr="004C09E1" w:rsidRDefault="009D5419" w:rsidP="009D5419">
      <w:pPr>
        <w:spacing w:line="360" w:lineRule="auto"/>
        <w:rPr>
          <w:rFonts w:ascii="Arial" w:hAnsi="Arial" w:cs="Arial"/>
          <w:sz w:val="22"/>
          <w:szCs w:val="22"/>
        </w:rPr>
      </w:pPr>
    </w:p>
    <w:p w14:paraId="29DC8B29"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Analysis</w:t>
      </w:r>
    </w:p>
    <w:p w14:paraId="0CD37EC9" w14:textId="77777777" w:rsidR="009D5419" w:rsidRPr="004C09E1" w:rsidRDefault="009D5419" w:rsidP="009D5419">
      <w:pPr>
        <w:spacing w:line="360" w:lineRule="auto"/>
        <w:rPr>
          <w:rFonts w:ascii="Arial" w:hAnsi="Arial" w:cs="Arial"/>
          <w:sz w:val="22"/>
          <w:szCs w:val="22"/>
        </w:rPr>
      </w:pPr>
    </w:p>
    <w:p w14:paraId="28B3A529"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lastRenderedPageBreak/>
        <w:t xml:space="preserve">I felt that the practitioner used questioning throughout the WABOLL strategy which encouraged children’s participation and collaboration which developed children’s critical cognitive skills effectively (Baas et al. 2015). I also felt that the structure of the success criteria (refer to appendix </w:t>
      </w:r>
      <w:r w:rsidRPr="004C09E1">
        <w:rPr>
          <w:rFonts w:ascii="Arial" w:hAnsi="Arial" w:cs="Arial"/>
          <w:sz w:val="22"/>
          <w:szCs w:val="22"/>
          <w:highlight w:val="yellow"/>
        </w:rPr>
        <w:t>?</w:t>
      </w:r>
      <w:r w:rsidRPr="004C09E1">
        <w:rPr>
          <w:rFonts w:ascii="Arial" w:hAnsi="Arial" w:cs="Arial"/>
          <w:sz w:val="22"/>
          <w:szCs w:val="22"/>
        </w:rPr>
        <w:t xml:space="preserve">) promoted children’s confidence to carry out the task effectively and continue to participate in future classroom discussions (Garcia-Perez and Montero, 2014). However, not all the children were fully engaged which could be because of the number of children in the classroom at the same time. This also resulted in a low percentage of children being able to participate and due to time constraints not being able to hear every child’s opinions. </w:t>
      </w:r>
    </w:p>
    <w:p w14:paraId="0ED3DBF5" w14:textId="77777777" w:rsidR="009D5419" w:rsidRPr="004C09E1" w:rsidRDefault="009D5419" w:rsidP="009D5419">
      <w:pPr>
        <w:spacing w:line="360" w:lineRule="auto"/>
        <w:rPr>
          <w:rFonts w:ascii="Arial" w:hAnsi="Arial" w:cs="Arial"/>
          <w:sz w:val="22"/>
          <w:szCs w:val="22"/>
        </w:rPr>
      </w:pPr>
    </w:p>
    <w:p w14:paraId="70A9F31C"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Conclusion</w:t>
      </w:r>
    </w:p>
    <w:p w14:paraId="42E06059" w14:textId="77777777" w:rsidR="009D5419" w:rsidRPr="004C09E1" w:rsidRDefault="009D5419" w:rsidP="009D5419">
      <w:pPr>
        <w:spacing w:line="360" w:lineRule="auto"/>
        <w:rPr>
          <w:rFonts w:ascii="Arial" w:hAnsi="Arial" w:cs="Arial"/>
          <w:sz w:val="22"/>
          <w:szCs w:val="22"/>
        </w:rPr>
      </w:pPr>
    </w:p>
    <w:p w14:paraId="34DD14D1"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The most significant aspect of the CI that I can take to improve my future practice are the methods used to encourage collaborative participation in my lessons to create a success-criteria that I felt had a major impact on the children’s motivation and confidence to complete this task effectively. This will enable me to improve my pedagogy and therefore my professional standards (Welsh Government, 2018a). I also felt that it improved their cognitive skills to enable them to become lifelong learners and therefore this lesson effectively achieved aspects of the four purposes (Baas et al. 2015; Donaldson, 2015). However, there are aspects of this lesson that can be improved to enhance further learning and limit the effects large class size and time restraints have on learning. </w:t>
      </w:r>
    </w:p>
    <w:p w14:paraId="207471A4" w14:textId="77777777" w:rsidR="009D5419" w:rsidRPr="004C09E1" w:rsidRDefault="009D5419" w:rsidP="009D5419">
      <w:pPr>
        <w:spacing w:line="360" w:lineRule="auto"/>
        <w:rPr>
          <w:rFonts w:ascii="Arial" w:hAnsi="Arial" w:cs="Arial"/>
          <w:sz w:val="22"/>
          <w:szCs w:val="22"/>
        </w:rPr>
      </w:pPr>
    </w:p>
    <w:p w14:paraId="2E3860A5" w14:textId="77777777" w:rsidR="009D5419" w:rsidRPr="004C09E1" w:rsidRDefault="009D5419" w:rsidP="009D5419">
      <w:pPr>
        <w:spacing w:line="360" w:lineRule="auto"/>
        <w:rPr>
          <w:rFonts w:ascii="Arial" w:hAnsi="Arial" w:cs="Arial"/>
          <w:b/>
          <w:bCs/>
          <w:sz w:val="28"/>
          <w:szCs w:val="28"/>
          <w:u w:val="single"/>
        </w:rPr>
      </w:pPr>
      <w:r w:rsidRPr="004C09E1">
        <w:rPr>
          <w:rFonts w:ascii="Arial" w:hAnsi="Arial" w:cs="Arial"/>
          <w:b/>
          <w:bCs/>
          <w:sz w:val="28"/>
          <w:szCs w:val="28"/>
          <w:u w:val="single"/>
        </w:rPr>
        <w:t>Action plan (Next steps)</w:t>
      </w:r>
    </w:p>
    <w:p w14:paraId="43E05908" w14:textId="77777777" w:rsidR="009D5419" w:rsidRPr="004C09E1" w:rsidRDefault="009D5419" w:rsidP="009D5419">
      <w:pPr>
        <w:spacing w:line="360" w:lineRule="auto"/>
        <w:rPr>
          <w:rFonts w:ascii="Arial" w:hAnsi="Arial" w:cs="Arial"/>
          <w:sz w:val="22"/>
          <w:szCs w:val="22"/>
        </w:rPr>
      </w:pPr>
    </w:p>
    <w:p w14:paraId="10C45F80"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t xml:space="preserve">From applying this reflective model, I have recognised the main factor that needs to be addressed is the class size since this had a major impact on engagement due to not every child being able to share their ideas. Therefore, if I was to carry out this lesson, I would implement more interactive AfL techniques to ensure all learners are thinking about strategies to improve the poster (Kathard, Pillay and Pillay, 2015). The methods I feel would make the most significant impact initially are ‘think, pair, share’ and secret squirrell, since it would require full participation from each pupil, but also provide an opportunity for all pupils to display their ideas. This would also ensure I improve the pedagogical principle to develop a blend of approaches, however, these additional methods do take up time and would require additional planning to ensure every child or pair had access to a whiteboard which is not always possible (Donaldson, 2015). </w:t>
      </w:r>
    </w:p>
    <w:p w14:paraId="589071F0" w14:textId="77777777" w:rsidR="009D5419" w:rsidRDefault="009D5419" w:rsidP="009D5419">
      <w:pPr>
        <w:spacing w:line="360" w:lineRule="auto"/>
        <w:rPr>
          <w:rFonts w:ascii="Arial" w:hAnsi="Arial" w:cs="Arial"/>
          <w:sz w:val="22"/>
          <w:szCs w:val="22"/>
        </w:rPr>
      </w:pPr>
    </w:p>
    <w:p w14:paraId="386FE61F" w14:textId="77777777" w:rsidR="009D5419" w:rsidRPr="004C09E1" w:rsidRDefault="009D5419" w:rsidP="009D5419">
      <w:pPr>
        <w:spacing w:line="360" w:lineRule="auto"/>
        <w:rPr>
          <w:rFonts w:ascii="Arial" w:hAnsi="Arial" w:cs="Arial"/>
          <w:sz w:val="22"/>
          <w:szCs w:val="22"/>
        </w:rPr>
      </w:pPr>
      <w:r w:rsidRPr="004C09E1">
        <w:rPr>
          <w:rFonts w:ascii="Arial" w:hAnsi="Arial" w:cs="Arial"/>
          <w:sz w:val="22"/>
          <w:szCs w:val="22"/>
        </w:rPr>
        <w:lastRenderedPageBreak/>
        <w:t>To conclude, critical reflection is a vital role that a teacher should adopt effectively in order to improve pedagogy and contribute to the enhancement of educational standards in Wales (Welsh Government, 2018a). It is effective to critically analyse CI</w:t>
      </w:r>
      <w:r>
        <w:rPr>
          <w:rFonts w:ascii="Arial" w:hAnsi="Arial" w:cs="Arial"/>
          <w:sz w:val="22"/>
          <w:szCs w:val="22"/>
        </w:rPr>
        <w:t xml:space="preserve">, however important to note that the methodology used in this case study might not be appropriate when I am a full time teacher due to multiple CI occurring every lesson which requires critical reflection on whole lessons to effectively identify a particular incident that would benefit being further analysed </w:t>
      </w:r>
      <w:r w:rsidRPr="00126AFD">
        <w:rPr>
          <w:rFonts w:ascii="Arial" w:hAnsi="Arial" w:cs="Arial"/>
          <w:sz w:val="22"/>
          <w:szCs w:val="22"/>
        </w:rPr>
        <w:t>(Farrell, 2008).</w:t>
      </w:r>
      <w:r>
        <w:rPr>
          <w:rFonts w:ascii="Arial" w:hAnsi="Arial" w:cs="Arial"/>
          <w:sz w:val="22"/>
          <w:szCs w:val="22"/>
        </w:rPr>
        <w:t xml:space="preserve"> It is then my role to research literature to justify and develop further understanding around the CI and implement effective pedagogic methods, which this skill has become a major aspect of teacher education to ensure future teachers are equipped with these skills </w:t>
      </w:r>
      <w:r w:rsidRPr="00126AFD">
        <w:rPr>
          <w:rFonts w:ascii="Arial" w:hAnsi="Arial" w:cs="Arial"/>
          <w:sz w:val="22"/>
          <w:szCs w:val="22"/>
        </w:rPr>
        <w:t>(Furlong, 2015).</w:t>
      </w:r>
      <w:r w:rsidRPr="004C09E1">
        <w:rPr>
          <w:rFonts w:ascii="Arial" w:hAnsi="Arial" w:cs="Arial"/>
          <w:sz w:val="22"/>
          <w:szCs w:val="22"/>
        </w:rPr>
        <w:t xml:space="preserve"> This is particularly important within current education since the new professional standards for teaching outline ‘professional learning’ as a significant aspect since through reflection teachers can gain a deeper pedagogic understanding (Welsh Government, 2018a). Overall, reflecting on practice is a vital aspect of a teachers’ role and the method used in this case study ensured the link of theory to practice which is shown to deeper pedagogic knowledge and therefore enhance practice. I will continue to use a continuous reflective model in future practice because it ensures I think about various aspects of reflection since above research shows it can have a major impact on my professional development. </w:t>
      </w:r>
    </w:p>
    <w:p w14:paraId="37DBF640" w14:textId="77777777" w:rsidR="009D5419" w:rsidRDefault="009D5419" w:rsidP="009D5419">
      <w:pPr>
        <w:rPr>
          <w:rFonts w:ascii="Arial" w:hAnsi="Arial" w:cs="Arial"/>
        </w:rPr>
      </w:pPr>
    </w:p>
    <w:p w14:paraId="6BCC28CB" w14:textId="77777777" w:rsidR="009D5419" w:rsidRDefault="009D5419">
      <w:bookmarkStart w:id="0" w:name="_GoBack"/>
      <w:bookmarkEnd w:id="0"/>
    </w:p>
    <w:sectPr w:rsidR="009D5419" w:rsidSect="00B7345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19"/>
    <w:rsid w:val="005161A6"/>
    <w:rsid w:val="00690B2E"/>
    <w:rsid w:val="009D5419"/>
    <w:rsid w:val="00A5741F"/>
    <w:rsid w:val="00A64270"/>
    <w:rsid w:val="00B30129"/>
    <w:rsid w:val="00B7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5048E"/>
  <w14:defaultImageDpi w14:val="32767"/>
  <w15:chartTrackingRefBased/>
  <w15:docId w15:val="{E40297DB-B684-E344-9E38-511E4E6BC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4477</Words>
  <Characters>25521</Characters>
  <Application>Microsoft Office Word</Application>
  <DocSecurity>0</DocSecurity>
  <Lines>212</Lines>
  <Paragraphs>59</Paragraphs>
  <ScaleCrop>false</ScaleCrop>
  <Company/>
  <LinksUpToDate>false</LinksUpToDate>
  <CharactersWithSpaces>29939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Olivia</dc:creator>
  <cp:keywords/>
  <dc:description/>
  <cp:lastModifiedBy>Leonard, Olivia</cp:lastModifiedBy>
  <cp:revision>1</cp:revision>
  <dcterms:created xsi:type="dcterms:W3CDTF">2019-10-27T12:03:00Z</dcterms:created>
  <dcterms:modified xsi:type="dcterms:W3CDTF">2019-10-27T12:03:00Z</dcterms:modified>
</cp:coreProperties>
</file>