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CCC66" w14:textId="77777777" w:rsidR="00AD2ADD" w:rsidRDefault="00AD2ADD" w:rsidP="00AD2ADD">
      <w:pPr>
        <w:jc w:val="center"/>
        <w:rPr>
          <w:rFonts w:ascii="Bookman Old Style" w:hAnsi="Bookman Old Style"/>
          <w:sz w:val="36"/>
          <w:szCs w:val="36"/>
        </w:rPr>
      </w:pPr>
      <w:r w:rsidRPr="00265252">
        <w:rPr>
          <w:rFonts w:ascii="Bookman Old Style" w:hAnsi="Bookman Old Style"/>
          <w:sz w:val="36"/>
          <w:szCs w:val="36"/>
        </w:rPr>
        <w:t>How did life change for British slaves in the Caribbean once the Abolition of Slavery Act came into force on 1 August 1834?</w:t>
      </w:r>
    </w:p>
    <w:p w14:paraId="2253917D" w14:textId="70A407FD" w:rsidR="00533F6A" w:rsidRPr="00533F6A" w:rsidRDefault="00533F6A" w:rsidP="00AD2ADD">
      <w:pPr>
        <w:jc w:val="center"/>
        <w:rPr>
          <w:rFonts w:ascii="Bookman Old Style" w:hAnsi="Bookman Old Style"/>
        </w:rPr>
      </w:pPr>
      <w:r>
        <w:rPr>
          <w:rFonts w:ascii="Bookman Old Style" w:hAnsi="Bookman Old Style"/>
        </w:rPr>
        <w:t>Ania d’Abdank Kunicki</w:t>
      </w:r>
    </w:p>
    <w:p w14:paraId="10E4B00D" w14:textId="77777777" w:rsidR="00AD2ADD" w:rsidRPr="00265252" w:rsidRDefault="00AD2ADD" w:rsidP="00AD2ADD">
      <w:pPr>
        <w:rPr>
          <w:rFonts w:ascii="Bookman Old Style" w:hAnsi="Bookman Old Style"/>
          <w:sz w:val="24"/>
          <w:szCs w:val="24"/>
        </w:rPr>
      </w:pPr>
    </w:p>
    <w:p w14:paraId="390382BB" w14:textId="58C6AF6C" w:rsidR="00127EBE" w:rsidRDefault="00AD2ADD" w:rsidP="00AD2ADD">
      <w:pPr>
        <w:rPr>
          <w:rFonts w:ascii="Bookman Old Style" w:hAnsi="Bookman Old Style"/>
          <w:sz w:val="24"/>
          <w:szCs w:val="24"/>
        </w:rPr>
      </w:pPr>
      <w:r w:rsidRPr="00265252">
        <w:rPr>
          <w:rFonts w:ascii="Bookman Old Style" w:hAnsi="Bookman Old Style"/>
          <w:sz w:val="24"/>
          <w:szCs w:val="24"/>
        </w:rPr>
        <w:tab/>
        <w:t xml:space="preserve">In </w:t>
      </w:r>
      <w:r w:rsidR="00892967">
        <w:rPr>
          <w:rFonts w:ascii="Bookman Old Style" w:hAnsi="Bookman Old Style"/>
          <w:sz w:val="24"/>
          <w:szCs w:val="24"/>
        </w:rPr>
        <w:t>1833 a bill for the abolition of slavery was written and introduced</w:t>
      </w:r>
      <w:r w:rsidRPr="00265252">
        <w:rPr>
          <w:rFonts w:ascii="Bookman Old Style" w:hAnsi="Bookman Old Style"/>
          <w:sz w:val="24"/>
          <w:szCs w:val="24"/>
        </w:rPr>
        <w:t xml:space="preserve">, this </w:t>
      </w:r>
      <w:r w:rsidR="00892967">
        <w:rPr>
          <w:rFonts w:ascii="Bookman Old Style" w:hAnsi="Bookman Old Style"/>
          <w:sz w:val="24"/>
          <w:szCs w:val="24"/>
        </w:rPr>
        <w:t>would say that all former and present slaves would legally be considered free</w:t>
      </w:r>
      <w:r w:rsidRPr="00265252">
        <w:rPr>
          <w:rFonts w:ascii="Bookman Old Style" w:hAnsi="Bookman Old Style"/>
          <w:sz w:val="24"/>
          <w:szCs w:val="24"/>
        </w:rPr>
        <w:t xml:space="preserve">. However, </w:t>
      </w:r>
      <w:r w:rsidR="00892967">
        <w:rPr>
          <w:rFonts w:ascii="Bookman Old Style" w:hAnsi="Bookman Old Style"/>
          <w:sz w:val="24"/>
          <w:szCs w:val="24"/>
        </w:rPr>
        <w:t>change was not immediate, and it could be argued that their situations changed for the worst</w:t>
      </w:r>
      <w:r w:rsidR="0045107E">
        <w:rPr>
          <w:rFonts w:ascii="Bookman Old Style" w:hAnsi="Bookman Old Style"/>
          <w:sz w:val="24"/>
          <w:szCs w:val="24"/>
        </w:rPr>
        <w:t xml:space="preserve"> before changing for the better</w:t>
      </w:r>
      <w:r w:rsidR="00892967">
        <w:rPr>
          <w:rFonts w:ascii="Bookman Old Style" w:hAnsi="Bookman Old Style"/>
          <w:sz w:val="24"/>
          <w:szCs w:val="24"/>
        </w:rPr>
        <w:t>. This essay shall look into how life changed</w:t>
      </w:r>
      <w:r w:rsidR="00ED1A53">
        <w:rPr>
          <w:rFonts w:ascii="Bookman Old Style" w:hAnsi="Bookman Old Style"/>
          <w:sz w:val="24"/>
          <w:szCs w:val="24"/>
        </w:rPr>
        <w:t xml:space="preserve"> for slaves</w:t>
      </w:r>
      <w:r w:rsidR="00892967">
        <w:rPr>
          <w:rFonts w:ascii="Bookman Old Style" w:hAnsi="Bookman Old Style"/>
          <w:sz w:val="24"/>
          <w:szCs w:val="24"/>
        </w:rPr>
        <w:t xml:space="preserve"> in the immediate aftermath of the Abolition of Slavery in the Caribbean. </w:t>
      </w:r>
    </w:p>
    <w:p w14:paraId="79D4C9C5" w14:textId="7928FC11" w:rsidR="00892967" w:rsidRDefault="00892967" w:rsidP="00AD2ADD">
      <w:pPr>
        <w:rPr>
          <w:rFonts w:ascii="Bookman Old Style" w:hAnsi="Bookman Old Style"/>
          <w:sz w:val="24"/>
          <w:szCs w:val="24"/>
        </w:rPr>
      </w:pPr>
      <w:r>
        <w:rPr>
          <w:rFonts w:ascii="Bookman Old Style" w:hAnsi="Bookman Old Style"/>
          <w:sz w:val="24"/>
          <w:szCs w:val="24"/>
        </w:rPr>
        <w:tab/>
        <w:t>The bill itself for the abolition for slavery was introduced in 1833</w:t>
      </w:r>
      <w:r w:rsidR="00457881">
        <w:rPr>
          <w:rFonts w:ascii="Bookman Old Style" w:hAnsi="Bookman Old Style"/>
          <w:sz w:val="24"/>
          <w:szCs w:val="24"/>
        </w:rPr>
        <w:t xml:space="preserve"> but was not officially enacted until August 1, 1834. </w:t>
      </w:r>
      <w:r w:rsidR="000B47B7">
        <w:rPr>
          <w:rFonts w:ascii="Bookman Old Style" w:hAnsi="Bookman Old Style"/>
          <w:sz w:val="24"/>
          <w:szCs w:val="24"/>
        </w:rPr>
        <w:t xml:space="preserve">The bill was brought about after </w:t>
      </w:r>
      <w:r w:rsidR="00031751">
        <w:rPr>
          <w:rFonts w:ascii="Bookman Old Style" w:hAnsi="Bookman Old Style"/>
          <w:sz w:val="24"/>
          <w:szCs w:val="24"/>
        </w:rPr>
        <w:t>the Slave Trade Act of 1807 wh</w:t>
      </w:r>
      <w:r w:rsidR="009406B9">
        <w:rPr>
          <w:rFonts w:ascii="Bookman Old Style" w:hAnsi="Bookman Old Style"/>
          <w:sz w:val="24"/>
          <w:szCs w:val="24"/>
        </w:rPr>
        <w:t>i</w:t>
      </w:r>
      <w:r w:rsidR="00031751">
        <w:rPr>
          <w:rFonts w:ascii="Bookman Old Style" w:hAnsi="Bookman Old Style"/>
          <w:sz w:val="24"/>
          <w:szCs w:val="24"/>
        </w:rPr>
        <w:t xml:space="preserve">ch banned the international slave trade </w:t>
      </w:r>
      <w:r w:rsidR="009406B9">
        <w:rPr>
          <w:rFonts w:ascii="Bookman Old Style" w:hAnsi="Bookman Old Style"/>
          <w:sz w:val="24"/>
          <w:szCs w:val="24"/>
        </w:rPr>
        <w:t>while not outlawing slavery as a whole.</w:t>
      </w:r>
      <w:r w:rsidR="00BB4013">
        <w:rPr>
          <w:rFonts w:ascii="Bookman Old Style" w:hAnsi="Bookman Old Style"/>
          <w:sz w:val="24"/>
          <w:szCs w:val="24"/>
        </w:rPr>
        <w:t xml:space="preserve"> The act also provided compensation of those who owned the now freed slaves </w:t>
      </w:r>
      <w:r w:rsidR="008A7CD9">
        <w:rPr>
          <w:rFonts w:ascii="Bookman Old Style" w:hAnsi="Bookman Old Style"/>
          <w:sz w:val="24"/>
          <w:szCs w:val="24"/>
        </w:rPr>
        <w:t>and the debt from the compensation wasn’t</w:t>
      </w:r>
      <w:r w:rsidR="00BB4013">
        <w:rPr>
          <w:rFonts w:ascii="Bookman Old Style" w:hAnsi="Bookman Old Style"/>
          <w:sz w:val="24"/>
          <w:szCs w:val="24"/>
        </w:rPr>
        <w:t xml:space="preserve"> </w:t>
      </w:r>
      <w:r w:rsidR="006C3113">
        <w:rPr>
          <w:rFonts w:ascii="Bookman Old Style" w:hAnsi="Bookman Old Style"/>
          <w:sz w:val="24"/>
          <w:szCs w:val="24"/>
        </w:rPr>
        <w:t>completely</w:t>
      </w:r>
      <w:r w:rsidR="00BB4013">
        <w:rPr>
          <w:rFonts w:ascii="Bookman Old Style" w:hAnsi="Bookman Old Style"/>
          <w:sz w:val="24"/>
          <w:szCs w:val="24"/>
        </w:rPr>
        <w:t xml:space="preserve"> paid off until 2015.</w:t>
      </w:r>
      <w:r w:rsidR="004401F2">
        <w:rPr>
          <w:rFonts w:ascii="Bookman Old Style" w:hAnsi="Bookman Old Style"/>
          <w:sz w:val="24"/>
          <w:szCs w:val="24"/>
        </w:rPr>
        <w:t xml:space="preserve"> The way plantation owners would claim this compensation is by completing a form where they would claim how many slaves they had and what work they did, the amount they received in compensation would depend on how many praedial and non-praedial slaves they had.</w:t>
      </w:r>
      <w:r w:rsidR="004401F2">
        <w:rPr>
          <w:rStyle w:val="FootnoteReference"/>
          <w:rFonts w:ascii="Bookman Old Style" w:hAnsi="Bookman Old Style"/>
          <w:sz w:val="24"/>
          <w:szCs w:val="24"/>
        </w:rPr>
        <w:footnoteReference w:id="1"/>
      </w:r>
      <w:r w:rsidR="008737C7">
        <w:rPr>
          <w:rFonts w:ascii="Bookman Old Style" w:hAnsi="Bookman Old Style"/>
          <w:sz w:val="24"/>
          <w:szCs w:val="24"/>
        </w:rPr>
        <w:t xml:space="preserve"> The act made any slaves who were over the age of six apprenticed labourers, children under the age of six were automatically considered free but could remain with their families. The act also made it that families could not be separated, former slaves could not be removed from a colony and that employers had to provide food, medical supplies, and housing.</w:t>
      </w:r>
      <w:r w:rsidR="00B848CB">
        <w:rPr>
          <w:rFonts w:ascii="Bookman Old Style" w:hAnsi="Bookman Old Style"/>
          <w:sz w:val="24"/>
          <w:szCs w:val="24"/>
        </w:rPr>
        <w:t xml:space="preserve"> </w:t>
      </w:r>
      <w:r w:rsidR="00533F6A">
        <w:rPr>
          <w:rFonts w:ascii="Bookman Old Style" w:hAnsi="Bookman Old Style"/>
          <w:sz w:val="24"/>
          <w:szCs w:val="24"/>
        </w:rPr>
        <w:t xml:space="preserve">Before the act came into place there were missionaries who were trying to get the British government to abolish slavery and also there had even been a slave rebellion. It wasn’t just slaves who wanted the abolishment of slavery there were white people as well. The main issue was most of the plantation owners lived in Britain and therefor were unaware of the conditions for the slaves of their plantations, unlike in the United States where typically the owners lived on their plantations and saw exactly how their slaves were being treated. </w:t>
      </w:r>
    </w:p>
    <w:p w14:paraId="71265903" w14:textId="34358108" w:rsidR="009406B9" w:rsidRDefault="00C92747" w:rsidP="00AD2ADD">
      <w:pPr>
        <w:rPr>
          <w:rFonts w:ascii="Bookman Old Style" w:hAnsi="Bookman Old Style"/>
          <w:sz w:val="24"/>
          <w:szCs w:val="24"/>
        </w:rPr>
      </w:pPr>
      <w:r>
        <w:rPr>
          <w:rFonts w:ascii="Bookman Old Style" w:hAnsi="Bookman Old Style"/>
          <w:sz w:val="24"/>
          <w:szCs w:val="24"/>
        </w:rPr>
        <w:tab/>
        <w:t>The apprenticeship system was what former slaves were forced into after gaining their freedom. When slavery was abolished former slaves would be given the title of apprentice. The apprenticeship would last 4 years for non-</w:t>
      </w:r>
      <w:r>
        <w:rPr>
          <w:rFonts w:ascii="Bookman Old Style" w:hAnsi="Bookman Old Style"/>
          <w:sz w:val="24"/>
          <w:szCs w:val="24"/>
        </w:rPr>
        <w:lastRenderedPageBreak/>
        <w:t xml:space="preserve">praedial slaves and 6 years for praedial slaves. For their apprenticeship they would be made to work 45 hours a week for their former masters with no wages. </w:t>
      </w:r>
      <w:r w:rsidR="000B47B7">
        <w:rPr>
          <w:rFonts w:ascii="Bookman Old Style" w:hAnsi="Bookman Old Style"/>
          <w:sz w:val="24"/>
          <w:szCs w:val="24"/>
        </w:rPr>
        <w:t>It was made by the British government to “bridge the gap between slavery and freedom</w:t>
      </w:r>
      <w:r w:rsidR="000F3B32">
        <w:rPr>
          <w:rFonts w:ascii="Bookman Old Style" w:hAnsi="Bookman Old Style"/>
          <w:sz w:val="24"/>
          <w:szCs w:val="24"/>
        </w:rPr>
        <w:t>.”</w:t>
      </w:r>
      <w:r w:rsidR="000B47B7">
        <w:rPr>
          <w:rStyle w:val="FootnoteReference"/>
          <w:rFonts w:ascii="Bookman Old Style" w:hAnsi="Bookman Old Style"/>
          <w:sz w:val="24"/>
          <w:szCs w:val="24"/>
        </w:rPr>
        <w:footnoteReference w:id="2"/>
      </w:r>
      <w:r>
        <w:rPr>
          <w:rFonts w:ascii="Bookman Old Style" w:hAnsi="Bookman Old Style"/>
          <w:sz w:val="24"/>
          <w:szCs w:val="24"/>
        </w:rPr>
        <w:t xml:space="preserve"> </w:t>
      </w:r>
      <w:r w:rsidR="000B47B7">
        <w:rPr>
          <w:rFonts w:ascii="Bookman Old Style" w:hAnsi="Bookman Old Style"/>
          <w:sz w:val="24"/>
          <w:szCs w:val="24"/>
        </w:rPr>
        <w:t>According to the Anti-Slavery Reporter it was believed that apprenticeship was meant to last 12 years before the official bill was passed.</w:t>
      </w:r>
      <w:r w:rsidR="000B47B7">
        <w:rPr>
          <w:rStyle w:val="FootnoteReference"/>
          <w:rFonts w:ascii="Bookman Old Style" w:hAnsi="Bookman Old Style"/>
          <w:sz w:val="24"/>
          <w:szCs w:val="24"/>
        </w:rPr>
        <w:footnoteReference w:id="3"/>
      </w:r>
      <w:r w:rsidR="00B64D07">
        <w:rPr>
          <w:rFonts w:ascii="Bookman Old Style" w:hAnsi="Bookman Old Style"/>
          <w:sz w:val="24"/>
          <w:szCs w:val="24"/>
        </w:rPr>
        <w:t xml:space="preserve"> Whether that was true or not, they did reduce it to only up to 6 years.</w:t>
      </w:r>
      <w:r w:rsidR="000B47B7">
        <w:rPr>
          <w:rFonts w:ascii="Bookman Old Style" w:hAnsi="Bookman Old Style"/>
          <w:sz w:val="24"/>
          <w:szCs w:val="24"/>
        </w:rPr>
        <w:t xml:space="preserve"> </w:t>
      </w:r>
      <w:r w:rsidR="009406B9">
        <w:rPr>
          <w:rFonts w:ascii="Bookman Old Style" w:hAnsi="Bookman Old Style"/>
          <w:sz w:val="24"/>
          <w:szCs w:val="24"/>
        </w:rPr>
        <w:t xml:space="preserve">During the time where former slaves were in their apprenticeships their masters couldn’t be the ones to punish them like before and it was therefor </w:t>
      </w:r>
      <w:r w:rsidR="000F3B32">
        <w:rPr>
          <w:rFonts w:ascii="Bookman Old Style" w:hAnsi="Bookman Old Style"/>
          <w:sz w:val="24"/>
          <w:szCs w:val="24"/>
        </w:rPr>
        <w:t>managed</w:t>
      </w:r>
      <w:r w:rsidR="009406B9">
        <w:rPr>
          <w:rFonts w:ascii="Bookman Old Style" w:hAnsi="Bookman Old Style"/>
          <w:sz w:val="24"/>
          <w:szCs w:val="24"/>
        </w:rPr>
        <w:t xml:space="preserve"> by the local magistrate. </w:t>
      </w:r>
      <w:r w:rsidR="00AE42A6">
        <w:rPr>
          <w:rFonts w:ascii="Bookman Old Style" w:hAnsi="Bookman Old Style"/>
          <w:sz w:val="24"/>
          <w:szCs w:val="24"/>
        </w:rPr>
        <w:t xml:space="preserve">Punishments for offences by apprentices were severe, they could be forced to 15 hours of hard labour in addition the </w:t>
      </w:r>
      <w:r w:rsidR="00F557DE">
        <w:rPr>
          <w:rFonts w:ascii="Bookman Old Style" w:hAnsi="Bookman Old Style"/>
          <w:sz w:val="24"/>
          <w:szCs w:val="24"/>
        </w:rPr>
        <w:t>forty-five</w:t>
      </w:r>
      <w:r w:rsidR="00AE42A6">
        <w:rPr>
          <w:rFonts w:ascii="Bookman Old Style" w:hAnsi="Bookman Old Style"/>
          <w:sz w:val="24"/>
          <w:szCs w:val="24"/>
        </w:rPr>
        <w:t xml:space="preserve"> they were already forced into, they could be flogged, and also placed </w:t>
      </w:r>
      <w:r w:rsidR="00F557DE">
        <w:rPr>
          <w:rFonts w:ascii="Bookman Old Style" w:hAnsi="Bookman Old Style"/>
          <w:sz w:val="24"/>
          <w:szCs w:val="24"/>
        </w:rPr>
        <w:t>on</w:t>
      </w:r>
      <w:r w:rsidR="00AE42A6">
        <w:rPr>
          <w:rFonts w:ascii="Bookman Old Style" w:hAnsi="Bookman Old Style"/>
          <w:sz w:val="24"/>
          <w:szCs w:val="24"/>
        </w:rPr>
        <w:t xml:space="preserve"> the treadmill. The treadmill was a device used in British prisons and had been brought down to their colonies in the Caribbean, these treadmills were typically second-hand from Britain and </w:t>
      </w:r>
      <w:r w:rsidR="00F557DE">
        <w:rPr>
          <w:rFonts w:ascii="Bookman Old Style" w:hAnsi="Bookman Old Style"/>
          <w:sz w:val="24"/>
          <w:szCs w:val="24"/>
        </w:rPr>
        <w:t>would break or stall easily. Slaves working on these treadmills would have their wrists strapped onto a bar above them as they stepped on the treadmill to make it go round. Sometimes they weren’t strapped in and could fall easily onto the hard floor beneath them, those who were strapped on would have to hang if they fell and wait until they stopped and got them down which could potentially be hours depending on who was in charge</w:t>
      </w:r>
      <w:r w:rsidR="00B848CB">
        <w:rPr>
          <w:rFonts w:ascii="Bookman Old Style" w:hAnsi="Bookman Old Style"/>
          <w:sz w:val="24"/>
          <w:szCs w:val="24"/>
        </w:rPr>
        <w:t>, while they were left hanging the steps of the treadmill would revolve banging against their legs and knees</w:t>
      </w:r>
      <w:r w:rsidR="00F557DE">
        <w:rPr>
          <w:rFonts w:ascii="Bookman Old Style" w:hAnsi="Bookman Old Style"/>
          <w:sz w:val="24"/>
          <w:szCs w:val="24"/>
        </w:rPr>
        <w:t>.</w:t>
      </w:r>
      <w:r w:rsidR="00B848CB">
        <w:rPr>
          <w:rFonts w:ascii="Bookman Old Style" w:hAnsi="Bookman Old Style"/>
          <w:sz w:val="24"/>
          <w:szCs w:val="24"/>
        </w:rPr>
        <w:t xml:space="preserve"> They would be left with chronic pains in their wrists and knees.</w:t>
      </w:r>
      <w:r w:rsidR="00F557DE">
        <w:rPr>
          <w:rFonts w:ascii="Bookman Old Style" w:hAnsi="Bookman Old Style"/>
          <w:sz w:val="24"/>
          <w:szCs w:val="24"/>
        </w:rPr>
        <w:t xml:space="preserve"> Any time spent in these workhouses would not be counted as part of their apprenticeship and they would be made to make up the hours that they had missed on their own on top of the 45 hours a week. </w:t>
      </w:r>
      <w:r w:rsidR="008737C7">
        <w:rPr>
          <w:rFonts w:ascii="Bookman Old Style" w:hAnsi="Bookman Old Style"/>
          <w:sz w:val="24"/>
          <w:szCs w:val="24"/>
        </w:rPr>
        <w:t>According to James Williams, an apprentice, apprentices were punished more than when they were slaves and that their masters were spiteful. The masters were resentful of the new law put in place by the British government and would take it out on the apprentices, flogging them for any thing they could think of.</w:t>
      </w:r>
      <w:r w:rsidR="00244BCB">
        <w:rPr>
          <w:rStyle w:val="FootnoteReference"/>
          <w:rFonts w:ascii="Bookman Old Style" w:hAnsi="Bookman Old Style"/>
          <w:sz w:val="24"/>
          <w:szCs w:val="24"/>
        </w:rPr>
        <w:footnoteReference w:id="4"/>
      </w:r>
      <w:r w:rsidR="00244BCB">
        <w:rPr>
          <w:rFonts w:ascii="Bookman Old Style" w:hAnsi="Bookman Old Style"/>
          <w:sz w:val="24"/>
          <w:szCs w:val="24"/>
        </w:rPr>
        <w:t xml:space="preserve"> When in the workhouses, the committees justified flogging even though it violated the Abolition Act by saying that those in the workhouses weren’t considered under the Abolition Act. </w:t>
      </w:r>
      <w:r w:rsidR="00B64D07">
        <w:rPr>
          <w:rFonts w:ascii="Bookman Old Style" w:hAnsi="Bookman Old Style"/>
          <w:sz w:val="24"/>
          <w:szCs w:val="24"/>
        </w:rPr>
        <w:t xml:space="preserve">The apprenticeship system didn’t last and was eventually also abolished on 1 August, 1838 only 4 years after the original abolishment of slavery. It could be argued that this was when slavery was truly abolished as the apprenticeship system is sometimes referred to as just another word for slavery. </w:t>
      </w:r>
    </w:p>
    <w:p w14:paraId="3A6F4943" w14:textId="1BF1BA15" w:rsidR="00BB4013" w:rsidRDefault="00BB4013" w:rsidP="00AD2ADD">
      <w:pPr>
        <w:rPr>
          <w:rFonts w:ascii="Bookman Old Style" w:hAnsi="Bookman Old Style"/>
          <w:sz w:val="24"/>
          <w:szCs w:val="24"/>
        </w:rPr>
      </w:pPr>
      <w:r>
        <w:rPr>
          <w:rFonts w:ascii="Bookman Old Style" w:hAnsi="Bookman Old Style"/>
          <w:sz w:val="24"/>
          <w:szCs w:val="24"/>
        </w:rPr>
        <w:lastRenderedPageBreak/>
        <w:tab/>
        <w:t xml:space="preserve">Families </w:t>
      </w:r>
      <w:r w:rsidR="006C3113">
        <w:rPr>
          <w:rFonts w:ascii="Bookman Old Style" w:hAnsi="Bookman Old Style"/>
          <w:sz w:val="24"/>
          <w:szCs w:val="24"/>
        </w:rPr>
        <w:t>were</w:t>
      </w:r>
      <w:r>
        <w:rPr>
          <w:rFonts w:ascii="Bookman Old Style" w:hAnsi="Bookman Old Style"/>
          <w:sz w:val="24"/>
          <w:szCs w:val="24"/>
        </w:rPr>
        <w:t xml:space="preserve"> another concern after emancipation.</w:t>
      </w:r>
      <w:r w:rsidR="00FB63B8">
        <w:rPr>
          <w:rFonts w:ascii="Bookman Old Style" w:hAnsi="Bookman Old Style"/>
          <w:sz w:val="24"/>
          <w:szCs w:val="24"/>
        </w:rPr>
        <w:t xml:space="preserve"> The Abolition Act did ensure that families could not be separated.</w:t>
      </w:r>
      <w:r>
        <w:rPr>
          <w:rFonts w:ascii="Bookman Old Style" w:hAnsi="Bookman Old Style"/>
          <w:sz w:val="24"/>
          <w:szCs w:val="24"/>
        </w:rPr>
        <w:t xml:space="preserve"> </w:t>
      </w:r>
      <w:r w:rsidR="0029391D">
        <w:rPr>
          <w:rFonts w:ascii="Bookman Old Style" w:hAnsi="Bookman Old Style"/>
          <w:sz w:val="24"/>
          <w:szCs w:val="24"/>
        </w:rPr>
        <w:t>Before slavery was abolished the decisions regarding the children of slaves, whether they were free or not, was left to the parents. After 1838, it was viewed differently. Black parents were now seen as incapable of rearing children and people believed that they were morally reprehensible and would not raised civilized children. The state and church wanted to enact social control over the children of slaves to “forestall the anticipated danger of black retrogression and barbarism.”</w:t>
      </w:r>
      <w:r w:rsidR="0029391D">
        <w:rPr>
          <w:rStyle w:val="FootnoteReference"/>
          <w:rFonts w:ascii="Bookman Old Style" w:hAnsi="Bookman Old Style"/>
          <w:sz w:val="24"/>
          <w:szCs w:val="24"/>
        </w:rPr>
        <w:footnoteReference w:id="5"/>
      </w:r>
      <w:r w:rsidR="0029391D">
        <w:rPr>
          <w:rFonts w:ascii="Bookman Old Style" w:hAnsi="Bookman Old Style"/>
          <w:sz w:val="24"/>
          <w:szCs w:val="24"/>
        </w:rPr>
        <w:t xml:space="preserve"> </w:t>
      </w:r>
      <w:r w:rsidR="008737C7">
        <w:rPr>
          <w:rFonts w:ascii="Bookman Old Style" w:hAnsi="Bookman Old Style"/>
          <w:sz w:val="24"/>
          <w:szCs w:val="24"/>
        </w:rPr>
        <w:t>Schooling for these children was meant to instill good Christian “civilized habits,” they wanted these children to be “intelligent class of agricultural workers and to not pull them away from the land.”</w:t>
      </w:r>
      <w:r w:rsidR="008737C7">
        <w:rPr>
          <w:rStyle w:val="FootnoteReference"/>
          <w:rFonts w:ascii="Bookman Old Style" w:hAnsi="Bookman Old Style"/>
          <w:sz w:val="24"/>
          <w:szCs w:val="24"/>
        </w:rPr>
        <w:footnoteReference w:id="6"/>
      </w:r>
      <w:r w:rsidR="00676622">
        <w:rPr>
          <w:rFonts w:ascii="Bookman Old Style" w:hAnsi="Bookman Old Style"/>
          <w:sz w:val="24"/>
          <w:szCs w:val="24"/>
        </w:rPr>
        <w:t xml:space="preserve"> Children under six were considered free children, however the magistrates often tried to exert control over them and their education but they were met with resistance by the parents of these children. If they had been </w:t>
      </w:r>
      <w:r w:rsidR="00B848CB">
        <w:rPr>
          <w:rFonts w:ascii="Bookman Old Style" w:hAnsi="Bookman Old Style"/>
          <w:sz w:val="24"/>
          <w:szCs w:val="24"/>
        </w:rPr>
        <w:t>successful in</w:t>
      </w:r>
      <w:r w:rsidR="00676622">
        <w:rPr>
          <w:rFonts w:ascii="Bookman Old Style" w:hAnsi="Bookman Old Style"/>
          <w:sz w:val="24"/>
          <w:szCs w:val="24"/>
        </w:rPr>
        <w:t xml:space="preserve"> gaining a level of control over these children it would further push the narrative that their parents were</w:t>
      </w:r>
      <w:r w:rsidR="00B848CB">
        <w:rPr>
          <w:rFonts w:ascii="Bookman Old Style" w:hAnsi="Bookman Old Style"/>
          <w:sz w:val="24"/>
          <w:szCs w:val="24"/>
        </w:rPr>
        <w:t xml:space="preserve"> corrupt and</w:t>
      </w:r>
      <w:r w:rsidR="00676622">
        <w:rPr>
          <w:rFonts w:ascii="Bookman Old Style" w:hAnsi="Bookman Old Style"/>
          <w:sz w:val="24"/>
          <w:szCs w:val="24"/>
        </w:rPr>
        <w:t xml:space="preserve"> incapable of raising children with morals that were up to their standards</w:t>
      </w:r>
      <w:r w:rsidR="00B848CB">
        <w:rPr>
          <w:rFonts w:ascii="Bookman Old Style" w:hAnsi="Bookman Old Style"/>
          <w:sz w:val="24"/>
          <w:szCs w:val="24"/>
        </w:rPr>
        <w:t>.</w:t>
      </w:r>
      <w:r w:rsidR="00B848CB">
        <w:rPr>
          <w:rStyle w:val="FootnoteReference"/>
          <w:rFonts w:ascii="Bookman Old Style" w:hAnsi="Bookman Old Style"/>
          <w:sz w:val="24"/>
          <w:szCs w:val="24"/>
        </w:rPr>
        <w:footnoteReference w:id="7"/>
      </w:r>
      <w:r w:rsidR="00B848CB">
        <w:rPr>
          <w:rFonts w:ascii="Bookman Old Style" w:hAnsi="Bookman Old Style"/>
          <w:sz w:val="24"/>
          <w:szCs w:val="24"/>
        </w:rPr>
        <w:t xml:space="preserve"> </w:t>
      </w:r>
      <w:r w:rsidR="003768FF">
        <w:rPr>
          <w:rFonts w:ascii="Bookman Old Style" w:hAnsi="Bookman Old Style"/>
          <w:sz w:val="24"/>
          <w:szCs w:val="24"/>
        </w:rPr>
        <w:t>The Industrial Schools Act of 1857 gave black parents even less of a say over their children. It made it so that any children found to be in destitute situations would be sent to a certified industrial school by the authorities whether their parents were alive or dead. There was a number of reports of children in destitute situations who came from black families. Sending children to these industrial and reformatory schools who had never committed a crime solely because of their financial situation was direct interference on the rights of black children and their families. Parents could possibly have their children taken out of these schools if they could afford to pay for a bond, but if most of them were already in a dire financial situation they often couldn’t afford to have their children removed.</w:t>
      </w:r>
      <w:r w:rsidR="008B14AC">
        <w:rPr>
          <w:rStyle w:val="FootnoteReference"/>
          <w:rFonts w:ascii="Bookman Old Style" w:hAnsi="Bookman Old Style"/>
          <w:sz w:val="24"/>
          <w:szCs w:val="24"/>
        </w:rPr>
        <w:footnoteReference w:id="8"/>
      </w:r>
      <w:r w:rsidR="002E0C79">
        <w:rPr>
          <w:rFonts w:ascii="Bookman Old Style" w:hAnsi="Bookman Old Style"/>
          <w:sz w:val="24"/>
          <w:szCs w:val="24"/>
        </w:rPr>
        <w:t xml:space="preserve"> The schools also enforced the idea that black parents were some sort of criminals and would produce societal failures. The state also took steps to decrease the possibility of parental influence </w:t>
      </w:r>
      <w:r w:rsidR="00FB63B8">
        <w:rPr>
          <w:rFonts w:ascii="Bookman Old Style" w:hAnsi="Bookman Old Style"/>
          <w:sz w:val="24"/>
          <w:szCs w:val="24"/>
        </w:rPr>
        <w:t xml:space="preserve">upon the release of these children and they were made to take part in a new apprenticeship system with a minimum of three years and a maximum of five years and were apprenticed to householders children. It did end up failing quite soon after as it was believed they were trying to bring back a new form of slavery and that the children ended up being mistreated by the householders they were apprenticed to. </w:t>
      </w:r>
    </w:p>
    <w:p w14:paraId="45B07A96" w14:textId="4DA9A7EA" w:rsidR="003344C3" w:rsidRDefault="008A43DD" w:rsidP="00AD2ADD">
      <w:pPr>
        <w:rPr>
          <w:rFonts w:ascii="Bookman Old Style" w:hAnsi="Bookman Old Style"/>
          <w:sz w:val="24"/>
          <w:szCs w:val="24"/>
        </w:rPr>
      </w:pPr>
      <w:r>
        <w:rPr>
          <w:rFonts w:ascii="Bookman Old Style" w:hAnsi="Bookman Old Style"/>
          <w:sz w:val="24"/>
          <w:szCs w:val="24"/>
        </w:rPr>
        <w:tab/>
        <w:t>Indenture was something that came about after the abolishment of slavery and the apprenticeship system.</w:t>
      </w:r>
      <w:r w:rsidR="00C75583" w:rsidRPr="00C75583">
        <w:rPr>
          <w:rFonts w:ascii="Bookman Old Style" w:hAnsi="Bookman Old Style"/>
          <w:sz w:val="24"/>
          <w:szCs w:val="24"/>
        </w:rPr>
        <w:t xml:space="preserve"> </w:t>
      </w:r>
      <w:r w:rsidR="00C75583">
        <w:rPr>
          <w:rFonts w:ascii="Bookman Old Style" w:hAnsi="Bookman Old Style"/>
          <w:sz w:val="24"/>
          <w:szCs w:val="24"/>
        </w:rPr>
        <w:t xml:space="preserve">The indenture system lasted longer </w:t>
      </w:r>
      <w:r w:rsidR="00C75583">
        <w:rPr>
          <w:rFonts w:ascii="Bookman Old Style" w:hAnsi="Bookman Old Style"/>
          <w:sz w:val="24"/>
          <w:szCs w:val="24"/>
        </w:rPr>
        <w:lastRenderedPageBreak/>
        <w:t>than the apprenticeship system, going from 1838-1917.</w:t>
      </w:r>
      <w:r>
        <w:rPr>
          <w:rFonts w:ascii="Bookman Old Style" w:hAnsi="Bookman Old Style"/>
          <w:sz w:val="24"/>
          <w:szCs w:val="24"/>
        </w:rPr>
        <w:t xml:space="preserve"> The British government brought many Indian immigrants to the Caribbean under indenture to make up for the now freed slaves. They were promised more </w:t>
      </w:r>
      <w:r w:rsidR="006C3113">
        <w:rPr>
          <w:rFonts w:ascii="Bookman Old Style" w:hAnsi="Bookman Old Style"/>
          <w:sz w:val="24"/>
          <w:szCs w:val="24"/>
        </w:rPr>
        <w:t>opportunities</w:t>
      </w:r>
      <w:r>
        <w:rPr>
          <w:rFonts w:ascii="Bookman Old Style" w:hAnsi="Bookman Old Style"/>
          <w:sz w:val="24"/>
          <w:szCs w:val="24"/>
        </w:rPr>
        <w:t xml:space="preserve"> and a better life in the. They were contracted to work for a period of five years for a plantation and in return would receive </w:t>
      </w:r>
      <w:r w:rsidR="006C3113">
        <w:rPr>
          <w:rFonts w:ascii="Bookman Old Style" w:hAnsi="Bookman Old Style"/>
          <w:sz w:val="24"/>
          <w:szCs w:val="24"/>
        </w:rPr>
        <w:t>accommodation</w:t>
      </w:r>
      <w:r>
        <w:rPr>
          <w:rFonts w:ascii="Bookman Old Style" w:hAnsi="Bookman Old Style"/>
          <w:sz w:val="24"/>
          <w:szCs w:val="24"/>
        </w:rPr>
        <w:t>, food, and healthcare</w:t>
      </w:r>
      <w:r w:rsidR="006C3113">
        <w:rPr>
          <w:rFonts w:ascii="Bookman Old Style" w:hAnsi="Bookman Old Style"/>
          <w:sz w:val="24"/>
          <w:szCs w:val="24"/>
        </w:rPr>
        <w:t>. This ended up not being the case and when an investigation was done they found that they were being treated horribly and had even made attempts to escape from certain plantations.</w:t>
      </w:r>
      <w:r w:rsidR="006C3113">
        <w:rPr>
          <w:rStyle w:val="FootnoteReference"/>
          <w:rFonts w:ascii="Bookman Old Style" w:hAnsi="Bookman Old Style"/>
          <w:sz w:val="24"/>
          <w:szCs w:val="24"/>
        </w:rPr>
        <w:footnoteReference w:id="9"/>
      </w:r>
      <w:r w:rsidR="006C3113">
        <w:rPr>
          <w:rFonts w:ascii="Bookman Old Style" w:hAnsi="Bookman Old Style"/>
          <w:sz w:val="24"/>
          <w:szCs w:val="24"/>
        </w:rPr>
        <w:t xml:space="preserve"> It can be argued that this was just another form of slavery with the owners of these plantations just wanting their free labour that they lost when their former slaves were freed. </w:t>
      </w:r>
      <w:r w:rsidR="00C75583">
        <w:rPr>
          <w:rFonts w:ascii="Bookman Old Style" w:hAnsi="Bookman Old Style"/>
          <w:sz w:val="24"/>
          <w:szCs w:val="24"/>
        </w:rPr>
        <w:t>Many women signed up for this venture, unaware of what exactly it entailed. Recruiters were told to ensure that at least a third of those who signed up were women but when finding it difficult to recruit them, they would lie about the terms and benefits of the contracts. Another factor was the famine and increasing poverty in India, which was a motivation for those wishing to seek a better life and they were told they wouldn’t have to worry about those sorts of things.</w:t>
      </w:r>
      <w:r w:rsidR="00C75583">
        <w:rPr>
          <w:rStyle w:val="FootnoteReference"/>
          <w:rFonts w:ascii="Bookman Old Style" w:hAnsi="Bookman Old Style"/>
          <w:sz w:val="24"/>
          <w:szCs w:val="24"/>
        </w:rPr>
        <w:footnoteReference w:id="10"/>
      </w:r>
      <w:r w:rsidR="00C75583">
        <w:rPr>
          <w:rFonts w:ascii="Bookman Old Style" w:hAnsi="Bookman Old Style"/>
          <w:sz w:val="24"/>
          <w:szCs w:val="24"/>
        </w:rPr>
        <w:t xml:space="preserve"> There were some that saw it as an escape from the traditional patriarchal society of India and saw an opportunity to build their own lives, many were single or widowed.</w:t>
      </w:r>
      <w:r w:rsidR="00676622">
        <w:rPr>
          <w:rFonts w:ascii="Bookman Old Style" w:hAnsi="Bookman Old Style"/>
          <w:sz w:val="24"/>
          <w:szCs w:val="24"/>
        </w:rPr>
        <w:t xml:space="preserve"> They viewed it as something where their lives wouldn’t be as controlled anymore.</w:t>
      </w:r>
      <w:r w:rsidR="0045107E">
        <w:rPr>
          <w:rFonts w:ascii="Bookman Old Style" w:hAnsi="Bookman Old Style"/>
          <w:sz w:val="24"/>
          <w:szCs w:val="24"/>
        </w:rPr>
        <w:t xml:space="preserve"> They didn’t know they were entering into just another male-dominated society where they had very little say over their lives and the laws surrounding them.</w:t>
      </w:r>
      <w:r w:rsidR="00676622">
        <w:rPr>
          <w:rFonts w:ascii="Bookman Old Style" w:hAnsi="Bookman Old Style"/>
          <w:sz w:val="24"/>
          <w:szCs w:val="24"/>
        </w:rPr>
        <w:t xml:space="preserve"> As has been shown throughout history however, they were still subjected to sexual violence and harassment and risked being attacked when rejecting potential male partners. </w:t>
      </w:r>
    </w:p>
    <w:p w14:paraId="5F3034C3" w14:textId="3BE4EAA2" w:rsidR="00533F6A" w:rsidRDefault="003344C3" w:rsidP="00AD2ADD">
      <w:pPr>
        <w:rPr>
          <w:rFonts w:ascii="Bookman Old Style" w:hAnsi="Bookman Old Style"/>
          <w:sz w:val="24"/>
          <w:szCs w:val="24"/>
        </w:rPr>
      </w:pPr>
      <w:r>
        <w:rPr>
          <w:rFonts w:ascii="Bookman Old Style" w:hAnsi="Bookman Old Style"/>
          <w:sz w:val="24"/>
          <w:szCs w:val="24"/>
        </w:rPr>
        <w:tab/>
        <w:t xml:space="preserve">The question was how did life change for British slaves after August 1, 1834. The answer differs over time, with the apprenticeship system it </w:t>
      </w:r>
      <w:r w:rsidR="00676622">
        <w:rPr>
          <w:rFonts w:ascii="Bookman Old Style" w:hAnsi="Bookman Old Style"/>
          <w:sz w:val="24"/>
          <w:szCs w:val="24"/>
        </w:rPr>
        <w:t>shows</w:t>
      </w:r>
      <w:r>
        <w:rPr>
          <w:rFonts w:ascii="Bookman Old Style" w:hAnsi="Bookman Old Style"/>
          <w:sz w:val="24"/>
          <w:szCs w:val="24"/>
        </w:rPr>
        <w:t xml:space="preserve"> that </w:t>
      </w:r>
      <w:r w:rsidR="00676622">
        <w:rPr>
          <w:rFonts w:ascii="Bookman Old Style" w:hAnsi="Bookman Old Style"/>
          <w:sz w:val="24"/>
          <w:szCs w:val="24"/>
        </w:rPr>
        <w:t>not</w:t>
      </w:r>
      <w:r>
        <w:rPr>
          <w:rFonts w:ascii="Bookman Old Style" w:hAnsi="Bookman Old Style"/>
          <w:sz w:val="24"/>
          <w:szCs w:val="24"/>
        </w:rPr>
        <w:t xml:space="preserve"> much changed in terms of how they were treated and the </w:t>
      </w:r>
      <w:r w:rsidR="00676622">
        <w:rPr>
          <w:rFonts w:ascii="Bookman Old Style" w:hAnsi="Bookman Old Style"/>
          <w:sz w:val="24"/>
          <w:szCs w:val="24"/>
        </w:rPr>
        <w:t>work they</w:t>
      </w:r>
      <w:r>
        <w:rPr>
          <w:rFonts w:ascii="Bookman Old Style" w:hAnsi="Bookman Old Style"/>
          <w:sz w:val="24"/>
          <w:szCs w:val="24"/>
        </w:rPr>
        <w:t xml:space="preserve"> were forced to do. After the apprenticeship system was also abolished </w:t>
      </w:r>
      <w:r w:rsidR="00676622">
        <w:rPr>
          <w:rFonts w:ascii="Bookman Old Style" w:hAnsi="Bookman Old Style"/>
          <w:sz w:val="24"/>
          <w:szCs w:val="24"/>
        </w:rPr>
        <w:t xml:space="preserve">things started to look up with the indentured servants from India being brought to the Caribbean, even if their conditions were not much better. It took quite a while before former slaves saw true change from the control that had been exerted over them, the end of slavery did not mean the end of control over black people. </w:t>
      </w:r>
      <w:r w:rsidR="00ED1A53">
        <w:rPr>
          <w:rFonts w:ascii="Bookman Old Style" w:hAnsi="Bookman Old Style"/>
          <w:sz w:val="24"/>
          <w:szCs w:val="24"/>
        </w:rPr>
        <w:t>Form the apprenticeship system, to having their children forced into reformatory schools</w:t>
      </w:r>
      <w:r w:rsidR="002148F8">
        <w:rPr>
          <w:rFonts w:ascii="Bookman Old Style" w:hAnsi="Bookman Old Style"/>
          <w:sz w:val="24"/>
          <w:szCs w:val="24"/>
        </w:rPr>
        <w:t xml:space="preserve"> and even all the way to segregation in the 20</w:t>
      </w:r>
      <w:r w:rsidR="002148F8" w:rsidRPr="002148F8">
        <w:rPr>
          <w:rFonts w:ascii="Bookman Old Style" w:hAnsi="Bookman Old Style"/>
          <w:sz w:val="24"/>
          <w:szCs w:val="24"/>
          <w:vertAlign w:val="superscript"/>
        </w:rPr>
        <w:t>th</w:t>
      </w:r>
      <w:r w:rsidR="002148F8">
        <w:rPr>
          <w:rFonts w:ascii="Bookman Old Style" w:hAnsi="Bookman Old Style"/>
          <w:sz w:val="24"/>
          <w:szCs w:val="24"/>
        </w:rPr>
        <w:t xml:space="preserve"> century. </w:t>
      </w:r>
      <w:r w:rsidR="0045107E">
        <w:rPr>
          <w:rFonts w:ascii="Bookman Old Style" w:hAnsi="Bookman Old Style"/>
          <w:sz w:val="24"/>
          <w:szCs w:val="24"/>
        </w:rPr>
        <w:t xml:space="preserve">Even when free they were still subjected to the control of the government and the elite white society that presided over them. </w:t>
      </w:r>
      <w:r w:rsidR="00A63D6D">
        <w:rPr>
          <w:rFonts w:ascii="Bookman Old Style" w:hAnsi="Bookman Old Style"/>
          <w:sz w:val="24"/>
          <w:szCs w:val="24"/>
        </w:rPr>
        <w:t xml:space="preserve">It took a very long time to see </w:t>
      </w:r>
      <w:r w:rsidR="00A63D6D">
        <w:rPr>
          <w:rFonts w:ascii="Bookman Old Style" w:hAnsi="Bookman Old Style"/>
          <w:sz w:val="24"/>
          <w:szCs w:val="24"/>
        </w:rPr>
        <w:lastRenderedPageBreak/>
        <w:t xml:space="preserve">any progress towards true equality and still problems such as racism persist due to slavery and the treatment of black people throughout history. </w:t>
      </w:r>
      <w:r w:rsidR="000746FA">
        <w:rPr>
          <w:rFonts w:ascii="Bookman Old Style" w:hAnsi="Bookman Old Style"/>
          <w:sz w:val="24"/>
          <w:szCs w:val="24"/>
        </w:rPr>
        <w:t>So,</w:t>
      </w:r>
      <w:r w:rsidR="00FF38E8">
        <w:rPr>
          <w:rFonts w:ascii="Bookman Old Style" w:hAnsi="Bookman Old Style"/>
          <w:sz w:val="24"/>
          <w:szCs w:val="24"/>
        </w:rPr>
        <w:t xml:space="preserve"> life did change but it first changed for the worst and then steadily conditions improved.</w:t>
      </w:r>
    </w:p>
    <w:p w14:paraId="4CDEE481" w14:textId="77777777" w:rsidR="00533F6A" w:rsidRDefault="00533F6A">
      <w:pPr>
        <w:rPr>
          <w:rFonts w:ascii="Bookman Old Style" w:hAnsi="Bookman Old Style"/>
          <w:sz w:val="24"/>
          <w:szCs w:val="24"/>
        </w:rPr>
      </w:pPr>
      <w:r>
        <w:rPr>
          <w:rFonts w:ascii="Bookman Old Style" w:hAnsi="Bookman Old Style"/>
          <w:sz w:val="24"/>
          <w:szCs w:val="24"/>
        </w:rPr>
        <w:br w:type="page"/>
      </w:r>
    </w:p>
    <w:p w14:paraId="4A04FC1D" w14:textId="7E9CE990" w:rsidR="008A43DD" w:rsidRDefault="00533F6A" w:rsidP="00533F6A">
      <w:pPr>
        <w:jc w:val="center"/>
        <w:rPr>
          <w:rFonts w:ascii="Bookman Old Style" w:hAnsi="Bookman Old Style"/>
          <w:sz w:val="36"/>
          <w:szCs w:val="36"/>
          <w:u w:val="single"/>
        </w:rPr>
      </w:pPr>
      <w:r>
        <w:rPr>
          <w:rFonts w:ascii="Bookman Old Style" w:hAnsi="Bookman Old Style"/>
          <w:sz w:val="36"/>
          <w:szCs w:val="36"/>
          <w:u w:val="single"/>
        </w:rPr>
        <w:lastRenderedPageBreak/>
        <w:t>Bibliography</w:t>
      </w:r>
    </w:p>
    <w:p w14:paraId="0D1C28CB" w14:textId="77777777" w:rsidR="00533F6A" w:rsidRDefault="00533F6A" w:rsidP="00533F6A">
      <w:pPr>
        <w:pStyle w:val="NormalWeb"/>
        <w:spacing w:before="0" w:beforeAutospacing="0" w:after="240" w:afterAutospacing="0" w:line="360" w:lineRule="auto"/>
        <w:ind w:left="720" w:hanging="720"/>
      </w:pPr>
      <w:r>
        <w:t xml:space="preserve">Archives, The National. 2020. ‘The National Archives - a “New System of Slavery”? The British West Indies and the Origins of Indian Indenture’, </w:t>
      </w:r>
      <w:r>
        <w:rPr>
          <w:i/>
          <w:iCs/>
        </w:rPr>
        <w:t>The National Archives Blog</w:t>
      </w:r>
      <w:r>
        <w:t xml:space="preserve"> &lt;https://blog.nationalarchives.gov.uk/a-new-system-of-slavery-the-british-west-indies-and-the-origins-of-indian-indenture/&gt; [accessed 14 January 2024]</w:t>
      </w:r>
    </w:p>
    <w:p w14:paraId="0C55AC05" w14:textId="77777777" w:rsidR="00533F6A" w:rsidRDefault="00533F6A" w:rsidP="00533F6A">
      <w:pPr>
        <w:pStyle w:val="NormalWeb"/>
        <w:spacing w:before="0" w:beforeAutospacing="0" w:after="240" w:afterAutospacing="0" w:line="360" w:lineRule="auto"/>
        <w:ind w:left="720" w:hanging="720"/>
      </w:pPr>
      <w:r>
        <w:t xml:space="preserve">Davis-Bramble, Makiya. 2023. ‘What of the Indian Women in Indentured Labour?’, </w:t>
      </w:r>
      <w:r>
        <w:rPr>
          <w:i/>
          <w:iCs/>
        </w:rPr>
        <w:t>Museum of London</w:t>
      </w:r>
      <w:r>
        <w:t xml:space="preserve"> &lt;https://www.museumoflondon.org.uk/discover/indian-women-indentured-labour-caribbean-history-docklands#:~:text=The%20indenture%20system%20operated%20from&gt; [accessed 14 January 2024]</w:t>
      </w:r>
    </w:p>
    <w:p w14:paraId="4DB4FF1A" w14:textId="77777777" w:rsidR="00533F6A" w:rsidRDefault="00533F6A" w:rsidP="00533F6A">
      <w:pPr>
        <w:pStyle w:val="NormalWeb"/>
        <w:spacing w:before="0" w:beforeAutospacing="0" w:after="240" w:afterAutospacing="0" w:line="360" w:lineRule="auto"/>
        <w:ind w:left="720" w:hanging="720"/>
      </w:pPr>
      <w:r>
        <w:t xml:space="preserve">Heuman, Gad. 2023. ‘The Apprenticeship System in the Caribbean: The World of the Apprentices’, </w:t>
      </w:r>
      <w:r>
        <w:rPr>
          <w:i/>
          <w:iCs/>
        </w:rPr>
        <w:t>New West Indian Guide / Nieuwe West-Indische Gids</w:t>
      </w:r>
      <w:r>
        <w:t>, 97.3-4: 229–54 &lt;https://doi.org/10.1163/22134360-bja10026&gt;</w:t>
      </w:r>
    </w:p>
    <w:p w14:paraId="33AB66A2" w14:textId="77777777" w:rsidR="00533F6A" w:rsidRDefault="00533F6A" w:rsidP="00533F6A">
      <w:pPr>
        <w:pStyle w:val="NormalWeb"/>
        <w:spacing w:before="0" w:beforeAutospacing="0" w:after="240" w:afterAutospacing="0" w:line="360" w:lineRule="auto"/>
        <w:ind w:left="720" w:hanging="720"/>
      </w:pPr>
      <w:r>
        <w:t xml:space="preserve">Jemmott, Jenny M. 2015. </w:t>
      </w:r>
      <w:r>
        <w:rPr>
          <w:i/>
          <w:iCs/>
        </w:rPr>
        <w:t>Ties That Bind</w:t>
      </w:r>
      <w:r>
        <w:t xml:space="preserve"> &lt;https://www.everand.com/read/676979451/Ties-that-Bind-The-Black-Family-in-Post-Slavery-Jamaica-1834-1882#&gt; [accessed 14 January 2024]</w:t>
      </w:r>
    </w:p>
    <w:p w14:paraId="518D14B1" w14:textId="77777777" w:rsidR="00533F6A" w:rsidRDefault="00533F6A" w:rsidP="00533F6A">
      <w:pPr>
        <w:pStyle w:val="NormalWeb"/>
        <w:spacing w:before="0" w:beforeAutospacing="0" w:after="240" w:afterAutospacing="0" w:line="360" w:lineRule="auto"/>
        <w:ind w:left="720" w:hanging="720"/>
      </w:pPr>
      <w:r>
        <w:t xml:space="preserve">‘The 1833 Abolition of Slavery Act and Compensation Claims: Collection Highlights’. [n.d.]. </w:t>
      </w:r>
      <w:r>
        <w:rPr>
          <w:i/>
          <w:iCs/>
        </w:rPr>
        <w:t>The National Archives</w:t>
      </w:r>
      <w:r>
        <w:t xml:space="preserve"> &lt;https://beta.nationalarchives.gov.uk/explore-the-collection/explore-by-time-period/georgians/1833-abolition-of-slavery-act-and-compensation-claims/&gt; [accessed 14 January 2024]</w:t>
      </w:r>
    </w:p>
    <w:p w14:paraId="2C5F9ADA" w14:textId="77777777" w:rsidR="00533F6A" w:rsidRDefault="00533F6A" w:rsidP="00533F6A">
      <w:pPr>
        <w:pStyle w:val="NormalWeb"/>
        <w:spacing w:before="0" w:beforeAutospacing="0" w:after="240" w:afterAutospacing="0" w:line="360" w:lineRule="auto"/>
        <w:ind w:left="720" w:hanging="720"/>
      </w:pPr>
      <w:r>
        <w:t xml:space="preserve">Williams, James. 2001. </w:t>
      </w:r>
      <w:r>
        <w:rPr>
          <w:i/>
          <w:iCs/>
        </w:rPr>
        <w:t>Narrative of Events, since the First of August, 1834, by James Williams, an Apprenticed Labourer in Jamaica</w:t>
      </w:r>
      <w:r>
        <w:t xml:space="preserve"> (Duke University Press)</w:t>
      </w:r>
    </w:p>
    <w:p w14:paraId="4D6E0D09" w14:textId="77777777" w:rsidR="00DB12CF" w:rsidRDefault="00DB12CF" w:rsidP="00DB12CF">
      <w:pPr>
        <w:pStyle w:val="NormalWeb"/>
        <w:spacing w:before="0" w:beforeAutospacing="0" w:after="240" w:afterAutospacing="0" w:line="360" w:lineRule="auto"/>
        <w:ind w:left="720" w:hanging="720"/>
      </w:pPr>
      <w:r>
        <w:t xml:space="preserve">del Pilar Kaladeen, Maria, and David Dabydeen. 2021. </w:t>
      </w:r>
      <w:r>
        <w:rPr>
          <w:i/>
          <w:iCs/>
        </w:rPr>
        <w:t>OTHER WINDRUSH : Legacies of Indenture in Britain’s Caribbean.</w:t>
      </w:r>
      <w:r>
        <w:t xml:space="preserve"> (S.L.: Pluto Press)</w:t>
      </w:r>
    </w:p>
    <w:p w14:paraId="326E1A74" w14:textId="77777777" w:rsidR="00DB12CF" w:rsidRDefault="00DB12CF" w:rsidP="00DB12CF">
      <w:pPr>
        <w:spacing w:after="0" w:line="240" w:lineRule="auto"/>
        <w:rPr>
          <w:rFonts w:ascii="Times New Roman" w:eastAsia="Times New Roman" w:hAnsi="Times New Roman" w:cs="Times New Roman"/>
          <w:kern w:val="0"/>
          <w:sz w:val="24"/>
          <w:szCs w:val="24"/>
          <w:lang w:eastAsia="en-CA"/>
          <w14:ligatures w14:val="none"/>
        </w:rPr>
      </w:pPr>
      <w:r w:rsidRPr="00DB12CF">
        <w:rPr>
          <w:rFonts w:ascii="Times New Roman" w:eastAsia="Times New Roman" w:hAnsi="Times New Roman" w:cs="Times New Roman"/>
          <w:kern w:val="0"/>
          <w:sz w:val="24"/>
          <w:szCs w:val="24"/>
          <w:lang w:eastAsia="en-CA"/>
          <w14:ligatures w14:val="none"/>
        </w:rPr>
        <w:t xml:space="preserve">Altink, Henrice. “Slavery by Another Name: Apprenticed Women in Jamaican Workhouses in </w:t>
      </w:r>
    </w:p>
    <w:p w14:paraId="44778B63" w14:textId="04C85D00" w:rsidR="00DB12CF" w:rsidRPr="00DB12CF" w:rsidRDefault="00DB12CF" w:rsidP="00DB12CF">
      <w:pPr>
        <w:spacing w:after="0" w:line="240" w:lineRule="auto"/>
        <w:ind w:left="720"/>
        <w:rPr>
          <w:rFonts w:ascii="Times New Roman" w:eastAsia="Times New Roman" w:hAnsi="Times New Roman" w:cs="Times New Roman"/>
          <w:kern w:val="0"/>
          <w:sz w:val="24"/>
          <w:szCs w:val="24"/>
          <w:lang w:eastAsia="en-CA"/>
          <w14:ligatures w14:val="none"/>
        </w:rPr>
      </w:pPr>
      <w:r w:rsidRPr="00DB12CF">
        <w:rPr>
          <w:rFonts w:ascii="Times New Roman" w:eastAsia="Times New Roman" w:hAnsi="Times New Roman" w:cs="Times New Roman"/>
          <w:kern w:val="0"/>
          <w:sz w:val="24"/>
          <w:szCs w:val="24"/>
          <w:lang w:eastAsia="en-CA"/>
          <w14:ligatures w14:val="none"/>
        </w:rPr>
        <w:t xml:space="preserve">the Period 1834-8.” </w:t>
      </w:r>
      <w:r w:rsidRPr="00DB12CF">
        <w:rPr>
          <w:rFonts w:ascii="Times New Roman" w:eastAsia="Times New Roman" w:hAnsi="Times New Roman" w:cs="Times New Roman"/>
          <w:i/>
          <w:iCs/>
          <w:kern w:val="0"/>
          <w:sz w:val="24"/>
          <w:szCs w:val="24"/>
          <w:lang w:eastAsia="en-CA"/>
          <w14:ligatures w14:val="none"/>
        </w:rPr>
        <w:t>Social History</w:t>
      </w:r>
      <w:r w:rsidRPr="00DB12CF">
        <w:rPr>
          <w:rFonts w:ascii="Times New Roman" w:eastAsia="Times New Roman" w:hAnsi="Times New Roman" w:cs="Times New Roman"/>
          <w:kern w:val="0"/>
          <w:sz w:val="24"/>
          <w:szCs w:val="24"/>
          <w:lang w:eastAsia="en-CA"/>
          <w14:ligatures w14:val="none"/>
        </w:rPr>
        <w:t xml:space="preserve"> 26, no. 1 (2001): 40–59. </w:t>
      </w:r>
      <w:hyperlink r:id="rId7" w:history="1">
        <w:r w:rsidRPr="00DB12CF">
          <w:rPr>
            <w:rStyle w:val="Hyperlink"/>
            <w:rFonts w:ascii="Times New Roman" w:eastAsia="Times New Roman" w:hAnsi="Times New Roman" w:cs="Times New Roman"/>
            <w:kern w:val="0"/>
            <w:sz w:val="24"/>
            <w:szCs w:val="24"/>
            <w:lang w:eastAsia="en-CA"/>
            <w14:ligatures w14:val="none"/>
          </w:rPr>
          <w:t>http://www.jstor.org/stable/4286722</w:t>
        </w:r>
      </w:hyperlink>
      <w:r w:rsidRPr="00DB12CF">
        <w:rPr>
          <w:rFonts w:ascii="Times New Roman" w:eastAsia="Times New Roman" w:hAnsi="Times New Roman" w:cs="Times New Roman"/>
          <w:kern w:val="0"/>
          <w:sz w:val="24"/>
          <w:szCs w:val="24"/>
          <w:lang w:eastAsia="en-CA"/>
          <w14:ligatures w14:val="none"/>
        </w:rPr>
        <w:t>.</w:t>
      </w:r>
      <w:r>
        <w:rPr>
          <w:rFonts w:ascii="Times New Roman" w:eastAsia="Times New Roman" w:hAnsi="Times New Roman" w:cs="Times New Roman"/>
          <w:kern w:val="0"/>
          <w:sz w:val="24"/>
          <w:szCs w:val="24"/>
          <w:lang w:eastAsia="en-CA"/>
          <w14:ligatures w14:val="none"/>
        </w:rPr>
        <w:t xml:space="preserve"> </w:t>
      </w:r>
    </w:p>
    <w:p w14:paraId="303F55F2" w14:textId="44F9AB6F" w:rsidR="00533F6A" w:rsidRPr="00533F6A" w:rsidRDefault="00DB12CF" w:rsidP="00533F6A">
      <w:pPr>
        <w:rPr>
          <w:rFonts w:ascii="Bookman Old Style" w:hAnsi="Bookman Old Style"/>
          <w:sz w:val="24"/>
          <w:szCs w:val="24"/>
        </w:rPr>
      </w:pPr>
      <w:r>
        <w:rPr>
          <w:rFonts w:ascii="Bookman Old Style" w:hAnsi="Bookman Old Style"/>
          <w:sz w:val="24"/>
          <w:szCs w:val="24"/>
        </w:rPr>
        <w:tab/>
      </w:r>
    </w:p>
    <w:sectPr w:rsidR="00533F6A" w:rsidRPr="00533F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7AF5B" w14:textId="77777777" w:rsidR="006D4170" w:rsidRDefault="006D4170" w:rsidP="007A31D8">
      <w:pPr>
        <w:spacing w:after="0" w:line="240" w:lineRule="auto"/>
      </w:pPr>
      <w:r>
        <w:separator/>
      </w:r>
    </w:p>
  </w:endnote>
  <w:endnote w:type="continuationSeparator" w:id="0">
    <w:p w14:paraId="1C435CE0" w14:textId="77777777" w:rsidR="006D4170" w:rsidRDefault="006D4170" w:rsidP="007A3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DD2B3" w14:textId="77777777" w:rsidR="006D4170" w:rsidRDefault="006D4170" w:rsidP="007A31D8">
      <w:pPr>
        <w:spacing w:after="0" w:line="240" w:lineRule="auto"/>
      </w:pPr>
      <w:r>
        <w:separator/>
      </w:r>
    </w:p>
  </w:footnote>
  <w:footnote w:type="continuationSeparator" w:id="0">
    <w:p w14:paraId="1EA7936B" w14:textId="77777777" w:rsidR="006D4170" w:rsidRDefault="006D4170" w:rsidP="007A31D8">
      <w:pPr>
        <w:spacing w:after="0" w:line="240" w:lineRule="auto"/>
      </w:pPr>
      <w:r>
        <w:continuationSeparator/>
      </w:r>
    </w:p>
  </w:footnote>
  <w:footnote w:id="1">
    <w:p w14:paraId="596CA275" w14:textId="757A796B" w:rsidR="004401F2" w:rsidRPr="004401F2" w:rsidRDefault="004401F2">
      <w:pPr>
        <w:pStyle w:val="FootnoteText"/>
        <w:rPr>
          <w:lang w:val="en-US"/>
        </w:rPr>
      </w:pPr>
      <w:r>
        <w:rPr>
          <w:rStyle w:val="FootnoteReference"/>
        </w:rPr>
        <w:footnoteRef/>
      </w:r>
      <w:r>
        <w:t xml:space="preserve"> </w:t>
      </w:r>
      <w:r w:rsidR="003344C3" w:rsidRPr="003344C3">
        <w:t>‘The 1833 Abolition of Slavery Act and Compensation Claims: Collection Highlights’. [n.d.]. The National Archives &lt;https://beta.nationalarchives.gov.uk/explore-the-collection/explore-by-time-period/georgians/1833-abolition-of-slavery-act-and-compensation-claims/&gt; [accessed 14 January 2024]</w:t>
      </w:r>
    </w:p>
  </w:footnote>
  <w:footnote w:id="2">
    <w:p w14:paraId="7A96BA44" w14:textId="75275BF2" w:rsidR="000B47B7" w:rsidRPr="000B47B7" w:rsidRDefault="000B47B7">
      <w:pPr>
        <w:pStyle w:val="FootnoteText"/>
        <w:rPr>
          <w:lang w:val="en-US"/>
        </w:rPr>
      </w:pPr>
      <w:r>
        <w:rPr>
          <w:rStyle w:val="FootnoteReference"/>
        </w:rPr>
        <w:footnoteRef/>
      </w:r>
      <w:r>
        <w:t xml:space="preserve"> </w:t>
      </w:r>
      <w:r w:rsidR="006C4261">
        <w:t>Gad Heuman</w:t>
      </w:r>
      <w:r w:rsidR="006C4261" w:rsidRPr="006C4261">
        <w:t>. 2023. ‘The Apprenticeship System in the Caribbean: The World of the Apprentices’, New West Indian Guide / Nieuwe West-Indische Gids, 97.3-4: 229–54 &lt;https://doi.org/10.1163/22134360-bja10026&gt;</w:t>
      </w:r>
    </w:p>
  </w:footnote>
  <w:footnote w:id="3">
    <w:p w14:paraId="45331AA0" w14:textId="3A173F2F" w:rsidR="000B47B7" w:rsidRPr="006C4261" w:rsidRDefault="000B47B7" w:rsidP="006C4261">
      <w:pPr>
        <w:pStyle w:val="FootnoteText"/>
      </w:pPr>
      <w:r>
        <w:rPr>
          <w:rStyle w:val="FootnoteReference"/>
        </w:rPr>
        <w:footnoteRef/>
      </w:r>
      <w:r>
        <w:t xml:space="preserve"> </w:t>
      </w:r>
      <w:r w:rsidR="006C4261">
        <w:t xml:space="preserve">"I.-INTELLIGENCE FROM JAMAICA:-1. the Happiness of Slaves and British Peasants Contrasted." The Anti-Slavery Reporter 6, no. 110 (07, 1833): 179. </w:t>
      </w:r>
      <w:hyperlink r:id="rId1" w:history="1">
        <w:r w:rsidR="006C4261" w:rsidRPr="00F71146">
          <w:rPr>
            <w:rStyle w:val="Hyperlink"/>
          </w:rPr>
          <w:t>https://www.proquest.com/historical-periodicals/i-intelligence-jamaica-1-happiness-slaves-british/docview/2917631/se-2</w:t>
        </w:r>
      </w:hyperlink>
      <w:r w:rsidR="006C4261">
        <w:t>.</w:t>
      </w:r>
      <w:r w:rsidR="006C4261">
        <w:t xml:space="preserve"> </w:t>
      </w:r>
      <w:r>
        <w:rPr>
          <w:lang w:val="en-US"/>
        </w:rPr>
        <w:t>p.177</w:t>
      </w:r>
    </w:p>
  </w:footnote>
  <w:footnote w:id="4">
    <w:p w14:paraId="2973AF7C" w14:textId="05417684" w:rsidR="00244BCB" w:rsidRPr="00244BCB" w:rsidRDefault="00244BCB" w:rsidP="003344C3">
      <w:pPr>
        <w:pStyle w:val="FootnoteText"/>
        <w:jc w:val="both"/>
        <w:rPr>
          <w:lang w:val="en-US"/>
        </w:rPr>
      </w:pPr>
      <w:r>
        <w:rPr>
          <w:rStyle w:val="FootnoteReference"/>
        </w:rPr>
        <w:footnoteRef/>
      </w:r>
      <w:r>
        <w:t xml:space="preserve"> </w:t>
      </w:r>
      <w:r w:rsidR="003344C3">
        <w:t>James Williams</w:t>
      </w:r>
      <w:r w:rsidR="003344C3" w:rsidRPr="003344C3">
        <w:t>. 2001. Narrative of Events, since the First of August, 1834, by James Williams, an Apprenticed Labourer in Jamaica (Duke University Press)</w:t>
      </w:r>
    </w:p>
  </w:footnote>
  <w:footnote w:id="5">
    <w:p w14:paraId="4DAB9E36" w14:textId="34C42505" w:rsidR="0029391D" w:rsidRPr="0029391D" w:rsidRDefault="0029391D">
      <w:pPr>
        <w:pStyle w:val="FootnoteText"/>
        <w:rPr>
          <w:lang w:val="en-US"/>
        </w:rPr>
      </w:pPr>
      <w:r>
        <w:rPr>
          <w:rStyle w:val="FootnoteReference"/>
        </w:rPr>
        <w:footnoteRef/>
      </w:r>
      <w:r>
        <w:t xml:space="preserve"> </w:t>
      </w:r>
      <w:r w:rsidR="006C4261" w:rsidRPr="006C4261">
        <w:t>Jenny M.</w:t>
      </w:r>
      <w:r w:rsidR="006C4261">
        <w:t xml:space="preserve"> Jemmot</w:t>
      </w:r>
      <w:r w:rsidR="006C4261" w:rsidRPr="006C4261">
        <w:t xml:space="preserve"> 2015. Ties That Bind &lt;https://www.everand.com/read/676979451/Ties-that-Bind-The-Black-Family-in-Post-Slavery-Jamaica-1834-1882#&gt; [accessed 14 January 2024]</w:t>
      </w:r>
      <w:r w:rsidR="006C4261">
        <w:t xml:space="preserve"> </w:t>
      </w:r>
      <w:r>
        <w:rPr>
          <w:lang w:val="en-US"/>
        </w:rPr>
        <w:t>p.183</w:t>
      </w:r>
    </w:p>
  </w:footnote>
  <w:footnote w:id="6">
    <w:p w14:paraId="00D3D9F4" w14:textId="09A4888B" w:rsidR="008737C7" w:rsidRPr="008737C7" w:rsidRDefault="008737C7">
      <w:pPr>
        <w:pStyle w:val="FootnoteText"/>
      </w:pPr>
      <w:r>
        <w:rPr>
          <w:rStyle w:val="FootnoteReference"/>
        </w:rPr>
        <w:footnoteRef/>
      </w:r>
      <w:r>
        <w:t xml:space="preserve"> </w:t>
      </w:r>
      <w:r w:rsidR="006C4261">
        <w:t>JM Jemmot, Ties That Bind p.183</w:t>
      </w:r>
      <w:r>
        <w:t xml:space="preserve"> </w:t>
      </w:r>
    </w:p>
  </w:footnote>
  <w:footnote w:id="7">
    <w:p w14:paraId="1E2EEDAD" w14:textId="49A231A3" w:rsidR="00B848CB" w:rsidRPr="00B848CB" w:rsidRDefault="00B848CB">
      <w:pPr>
        <w:pStyle w:val="FootnoteText"/>
        <w:rPr>
          <w:lang w:val="en-US"/>
        </w:rPr>
      </w:pPr>
      <w:r>
        <w:rPr>
          <w:rStyle w:val="FootnoteReference"/>
        </w:rPr>
        <w:footnoteRef/>
      </w:r>
      <w:r>
        <w:t xml:space="preserve"> </w:t>
      </w:r>
      <w:r>
        <w:rPr>
          <w:lang w:val="en-US"/>
        </w:rPr>
        <w:t>JM Jemmot, Ties That Bind p.193</w:t>
      </w:r>
    </w:p>
  </w:footnote>
  <w:footnote w:id="8">
    <w:p w14:paraId="174FA67D" w14:textId="0348F87F" w:rsidR="008B14AC" w:rsidRPr="008B14AC" w:rsidRDefault="008B14AC">
      <w:pPr>
        <w:pStyle w:val="FootnoteText"/>
        <w:rPr>
          <w:lang w:val="en-US"/>
        </w:rPr>
      </w:pPr>
      <w:r>
        <w:rPr>
          <w:rStyle w:val="FootnoteReference"/>
        </w:rPr>
        <w:footnoteRef/>
      </w:r>
      <w:r>
        <w:t xml:space="preserve"> </w:t>
      </w:r>
      <w:r>
        <w:rPr>
          <w:lang w:val="en-US"/>
        </w:rPr>
        <w:t xml:space="preserve">JM </w:t>
      </w:r>
      <w:r w:rsidR="002148F8">
        <w:rPr>
          <w:lang w:val="en-US"/>
        </w:rPr>
        <w:t>Jemmot</w:t>
      </w:r>
      <w:r>
        <w:rPr>
          <w:lang w:val="en-US"/>
        </w:rPr>
        <w:t>, Ties That Bind p. 200</w:t>
      </w:r>
    </w:p>
  </w:footnote>
  <w:footnote w:id="9">
    <w:p w14:paraId="0E4F0E75" w14:textId="60395842" w:rsidR="006C3113" w:rsidRPr="006C3113" w:rsidRDefault="006C3113">
      <w:pPr>
        <w:pStyle w:val="FootnoteText"/>
        <w:rPr>
          <w:lang w:val="en-US"/>
        </w:rPr>
      </w:pPr>
      <w:r>
        <w:rPr>
          <w:rStyle w:val="FootnoteReference"/>
        </w:rPr>
        <w:footnoteRef/>
      </w:r>
      <w:r>
        <w:t xml:space="preserve"> </w:t>
      </w:r>
      <w:r w:rsidR="003344C3" w:rsidRPr="003344C3">
        <w:t>Archives, The National. 2020. ‘The National Archives - a “New System of Slavery”? The British West Indies and the Origins of Indian Indenture’, The National Archives Blog &lt;https://blog.nationalarchives.gov.uk/a-new-system-of-slavery-the-british-west-indies-and-the-origins-of-indian-indenture/&gt; [accessed 14 January 2024]</w:t>
      </w:r>
    </w:p>
  </w:footnote>
  <w:footnote w:id="10">
    <w:p w14:paraId="10EC2D52" w14:textId="66CC3128" w:rsidR="00C75583" w:rsidRPr="00C75583" w:rsidRDefault="00C75583">
      <w:pPr>
        <w:pStyle w:val="FootnoteText"/>
        <w:rPr>
          <w:lang w:val="en-US"/>
        </w:rPr>
      </w:pPr>
      <w:r>
        <w:rPr>
          <w:rStyle w:val="FootnoteReference"/>
        </w:rPr>
        <w:footnoteRef/>
      </w:r>
      <w:r>
        <w:t xml:space="preserve"> </w:t>
      </w:r>
      <w:r w:rsidR="003344C3" w:rsidRPr="003344C3">
        <w:t>Davis-Bramble, Makiya. 2023. ‘What of the Indian Women in Indentured Labour?’, Museum of London &lt;https://www.museumoflondon.org.uk/discover/indian-women-indentured-labour-caribbean-history-docklands#:~:text=The%20indenture%20system%20operated%20from&gt; [accessed 14 January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ADD"/>
    <w:rsid w:val="00031751"/>
    <w:rsid w:val="00041734"/>
    <w:rsid w:val="000746FA"/>
    <w:rsid w:val="000B47B7"/>
    <w:rsid w:val="000C2B1C"/>
    <w:rsid w:val="000F3B32"/>
    <w:rsid w:val="00127EBE"/>
    <w:rsid w:val="002148F8"/>
    <w:rsid w:val="00244BCB"/>
    <w:rsid w:val="00265252"/>
    <w:rsid w:val="0029391D"/>
    <w:rsid w:val="002E0C79"/>
    <w:rsid w:val="003344C3"/>
    <w:rsid w:val="003768FF"/>
    <w:rsid w:val="004401F2"/>
    <w:rsid w:val="0045107E"/>
    <w:rsid w:val="00457881"/>
    <w:rsid w:val="00533F6A"/>
    <w:rsid w:val="00676622"/>
    <w:rsid w:val="006C3113"/>
    <w:rsid w:val="006C4261"/>
    <w:rsid w:val="006D4170"/>
    <w:rsid w:val="007235A6"/>
    <w:rsid w:val="007A31D8"/>
    <w:rsid w:val="008737C7"/>
    <w:rsid w:val="00892967"/>
    <w:rsid w:val="008A43DD"/>
    <w:rsid w:val="008A7CD9"/>
    <w:rsid w:val="008B14AC"/>
    <w:rsid w:val="009128AF"/>
    <w:rsid w:val="009406B9"/>
    <w:rsid w:val="00A63D6D"/>
    <w:rsid w:val="00A725E5"/>
    <w:rsid w:val="00AD2ADD"/>
    <w:rsid w:val="00AE42A6"/>
    <w:rsid w:val="00B64D07"/>
    <w:rsid w:val="00B848CB"/>
    <w:rsid w:val="00BB4013"/>
    <w:rsid w:val="00C75583"/>
    <w:rsid w:val="00C92747"/>
    <w:rsid w:val="00DB12CF"/>
    <w:rsid w:val="00ED1A53"/>
    <w:rsid w:val="00F557DE"/>
    <w:rsid w:val="00F92065"/>
    <w:rsid w:val="00FB63B8"/>
    <w:rsid w:val="00FF38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9AFD31"/>
  <w15:chartTrackingRefBased/>
  <w15:docId w15:val="{4BD30080-871F-46A2-8D09-A894D377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A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2A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2A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2A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2A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2A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A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A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A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A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2A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2A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2A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2A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2A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A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A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ADD"/>
    <w:rPr>
      <w:rFonts w:eastAsiaTheme="majorEastAsia" w:cstheme="majorBidi"/>
      <w:color w:val="272727" w:themeColor="text1" w:themeTint="D8"/>
    </w:rPr>
  </w:style>
  <w:style w:type="paragraph" w:styleId="Title">
    <w:name w:val="Title"/>
    <w:basedOn w:val="Normal"/>
    <w:next w:val="Normal"/>
    <w:link w:val="TitleChar"/>
    <w:uiPriority w:val="10"/>
    <w:qFormat/>
    <w:rsid w:val="00AD2A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A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A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A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ADD"/>
    <w:pPr>
      <w:spacing w:before="160"/>
      <w:jc w:val="center"/>
    </w:pPr>
    <w:rPr>
      <w:i/>
      <w:iCs/>
      <w:color w:val="404040" w:themeColor="text1" w:themeTint="BF"/>
    </w:rPr>
  </w:style>
  <w:style w:type="character" w:customStyle="1" w:styleId="QuoteChar">
    <w:name w:val="Quote Char"/>
    <w:basedOn w:val="DefaultParagraphFont"/>
    <w:link w:val="Quote"/>
    <w:uiPriority w:val="29"/>
    <w:rsid w:val="00AD2ADD"/>
    <w:rPr>
      <w:i/>
      <w:iCs/>
      <w:color w:val="404040" w:themeColor="text1" w:themeTint="BF"/>
    </w:rPr>
  </w:style>
  <w:style w:type="paragraph" w:styleId="ListParagraph">
    <w:name w:val="List Paragraph"/>
    <w:basedOn w:val="Normal"/>
    <w:uiPriority w:val="34"/>
    <w:qFormat/>
    <w:rsid w:val="00AD2ADD"/>
    <w:pPr>
      <w:ind w:left="720"/>
      <w:contextualSpacing/>
    </w:pPr>
  </w:style>
  <w:style w:type="character" w:styleId="IntenseEmphasis">
    <w:name w:val="Intense Emphasis"/>
    <w:basedOn w:val="DefaultParagraphFont"/>
    <w:uiPriority w:val="21"/>
    <w:qFormat/>
    <w:rsid w:val="00AD2ADD"/>
    <w:rPr>
      <w:i/>
      <w:iCs/>
      <w:color w:val="2F5496" w:themeColor="accent1" w:themeShade="BF"/>
    </w:rPr>
  </w:style>
  <w:style w:type="paragraph" w:styleId="IntenseQuote">
    <w:name w:val="Intense Quote"/>
    <w:basedOn w:val="Normal"/>
    <w:next w:val="Normal"/>
    <w:link w:val="IntenseQuoteChar"/>
    <w:uiPriority w:val="30"/>
    <w:qFormat/>
    <w:rsid w:val="00AD2A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2ADD"/>
    <w:rPr>
      <w:i/>
      <w:iCs/>
      <w:color w:val="2F5496" w:themeColor="accent1" w:themeShade="BF"/>
    </w:rPr>
  </w:style>
  <w:style w:type="character" w:styleId="IntenseReference">
    <w:name w:val="Intense Reference"/>
    <w:basedOn w:val="DefaultParagraphFont"/>
    <w:uiPriority w:val="32"/>
    <w:qFormat/>
    <w:rsid w:val="00AD2ADD"/>
    <w:rPr>
      <w:b/>
      <w:bCs/>
      <w:smallCaps/>
      <w:color w:val="2F5496" w:themeColor="accent1" w:themeShade="BF"/>
      <w:spacing w:val="5"/>
    </w:rPr>
  </w:style>
  <w:style w:type="paragraph" w:styleId="FootnoteText">
    <w:name w:val="footnote text"/>
    <w:basedOn w:val="Normal"/>
    <w:link w:val="FootnoteTextChar"/>
    <w:uiPriority w:val="99"/>
    <w:semiHidden/>
    <w:unhideWhenUsed/>
    <w:rsid w:val="007A31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31D8"/>
    <w:rPr>
      <w:sz w:val="20"/>
      <w:szCs w:val="20"/>
    </w:rPr>
  </w:style>
  <w:style w:type="character" w:styleId="FootnoteReference">
    <w:name w:val="footnote reference"/>
    <w:basedOn w:val="DefaultParagraphFont"/>
    <w:uiPriority w:val="99"/>
    <w:semiHidden/>
    <w:unhideWhenUsed/>
    <w:rsid w:val="007A31D8"/>
    <w:rPr>
      <w:vertAlign w:val="superscript"/>
    </w:rPr>
  </w:style>
  <w:style w:type="character" w:styleId="Hyperlink">
    <w:name w:val="Hyperlink"/>
    <w:basedOn w:val="DefaultParagraphFont"/>
    <w:uiPriority w:val="99"/>
    <w:unhideWhenUsed/>
    <w:rsid w:val="006C4261"/>
    <w:rPr>
      <w:color w:val="0563C1" w:themeColor="hyperlink"/>
      <w:u w:val="single"/>
    </w:rPr>
  </w:style>
  <w:style w:type="character" w:styleId="UnresolvedMention">
    <w:name w:val="Unresolved Mention"/>
    <w:basedOn w:val="DefaultParagraphFont"/>
    <w:uiPriority w:val="99"/>
    <w:semiHidden/>
    <w:unhideWhenUsed/>
    <w:rsid w:val="006C4261"/>
    <w:rPr>
      <w:color w:val="605E5C"/>
      <w:shd w:val="clear" w:color="auto" w:fill="E1DFDD"/>
    </w:rPr>
  </w:style>
  <w:style w:type="paragraph" w:styleId="NormalWeb">
    <w:name w:val="Normal (Web)"/>
    <w:basedOn w:val="Normal"/>
    <w:uiPriority w:val="99"/>
    <w:semiHidden/>
    <w:unhideWhenUsed/>
    <w:rsid w:val="00533F6A"/>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28272">
      <w:bodyDiv w:val="1"/>
      <w:marLeft w:val="0"/>
      <w:marRight w:val="0"/>
      <w:marTop w:val="0"/>
      <w:marBottom w:val="0"/>
      <w:divBdr>
        <w:top w:val="none" w:sz="0" w:space="0" w:color="auto"/>
        <w:left w:val="none" w:sz="0" w:space="0" w:color="auto"/>
        <w:bottom w:val="none" w:sz="0" w:space="0" w:color="auto"/>
        <w:right w:val="none" w:sz="0" w:space="0" w:color="auto"/>
      </w:divBdr>
      <w:divsChild>
        <w:div w:id="670449208">
          <w:marLeft w:val="-720"/>
          <w:marRight w:val="0"/>
          <w:marTop w:val="0"/>
          <w:marBottom w:val="0"/>
          <w:divBdr>
            <w:top w:val="none" w:sz="0" w:space="0" w:color="auto"/>
            <w:left w:val="none" w:sz="0" w:space="0" w:color="auto"/>
            <w:bottom w:val="none" w:sz="0" w:space="0" w:color="auto"/>
            <w:right w:val="none" w:sz="0" w:space="0" w:color="auto"/>
          </w:divBdr>
        </w:div>
      </w:divsChild>
    </w:div>
    <w:div w:id="400760778">
      <w:bodyDiv w:val="1"/>
      <w:marLeft w:val="0"/>
      <w:marRight w:val="0"/>
      <w:marTop w:val="0"/>
      <w:marBottom w:val="0"/>
      <w:divBdr>
        <w:top w:val="none" w:sz="0" w:space="0" w:color="auto"/>
        <w:left w:val="none" w:sz="0" w:space="0" w:color="auto"/>
        <w:bottom w:val="none" w:sz="0" w:space="0" w:color="auto"/>
        <w:right w:val="none" w:sz="0" w:space="0" w:color="auto"/>
      </w:divBdr>
      <w:divsChild>
        <w:div w:id="367609948">
          <w:marLeft w:val="-720"/>
          <w:marRight w:val="0"/>
          <w:marTop w:val="0"/>
          <w:marBottom w:val="0"/>
          <w:divBdr>
            <w:top w:val="none" w:sz="0" w:space="0" w:color="auto"/>
            <w:left w:val="none" w:sz="0" w:space="0" w:color="auto"/>
            <w:bottom w:val="none" w:sz="0" w:space="0" w:color="auto"/>
            <w:right w:val="none" w:sz="0" w:space="0" w:color="auto"/>
          </w:divBdr>
        </w:div>
      </w:divsChild>
    </w:div>
    <w:div w:id="985167044">
      <w:bodyDiv w:val="1"/>
      <w:marLeft w:val="0"/>
      <w:marRight w:val="0"/>
      <w:marTop w:val="0"/>
      <w:marBottom w:val="0"/>
      <w:divBdr>
        <w:top w:val="none" w:sz="0" w:space="0" w:color="auto"/>
        <w:left w:val="none" w:sz="0" w:space="0" w:color="auto"/>
        <w:bottom w:val="none" w:sz="0" w:space="0" w:color="auto"/>
        <w:right w:val="none" w:sz="0" w:space="0" w:color="auto"/>
      </w:divBdr>
    </w:div>
    <w:div w:id="1086995492">
      <w:bodyDiv w:val="1"/>
      <w:marLeft w:val="0"/>
      <w:marRight w:val="0"/>
      <w:marTop w:val="0"/>
      <w:marBottom w:val="0"/>
      <w:divBdr>
        <w:top w:val="none" w:sz="0" w:space="0" w:color="auto"/>
        <w:left w:val="none" w:sz="0" w:space="0" w:color="auto"/>
        <w:bottom w:val="none" w:sz="0" w:space="0" w:color="auto"/>
        <w:right w:val="none" w:sz="0" w:space="0" w:color="auto"/>
      </w:divBdr>
      <w:divsChild>
        <w:div w:id="869728541">
          <w:marLeft w:val="0"/>
          <w:marRight w:val="0"/>
          <w:marTop w:val="0"/>
          <w:marBottom w:val="0"/>
          <w:divBdr>
            <w:top w:val="none" w:sz="0" w:space="0" w:color="auto"/>
            <w:left w:val="none" w:sz="0" w:space="0" w:color="auto"/>
            <w:bottom w:val="none" w:sz="0" w:space="0" w:color="auto"/>
            <w:right w:val="none" w:sz="0" w:space="0" w:color="auto"/>
          </w:divBdr>
          <w:divsChild>
            <w:div w:id="173442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stor.org/stable/428672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roquest.com/historical-periodicals/i-intelligence-jamaica-1-happiness-slaves-british/docview/2917631/s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33B8898-456D-4508-A0D6-BCAD12AD3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6</Pages>
  <Words>2118</Words>
  <Characters>10445</Characters>
  <Application>Microsoft Office Word</Application>
  <DocSecurity>0</DocSecurity>
  <Lines>174</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17</cp:revision>
  <dcterms:created xsi:type="dcterms:W3CDTF">2024-01-09T14:33:00Z</dcterms:created>
  <dcterms:modified xsi:type="dcterms:W3CDTF">2024-01-14T22:59:00Z</dcterms:modified>
</cp:coreProperties>
</file>