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Default"/>
        <w:bidi w:val="0"/>
        <w:spacing w:before="0" w:line="240" w:lineRule="auto"/>
        <w:ind w:left="0" w:right="0" w:firstLine="0"/>
        <w:jc w:val="center"/>
        <w:rPr>
          <w:rFonts w:ascii="Times New Roman" w:cs="Times New Roman" w:hAnsi="Times New Roman" w:eastAsia="Times New Roman"/>
          <w:b w:val="1"/>
          <w:bCs w:val="1"/>
          <w:sz w:val="96"/>
          <w:szCs w:val="96"/>
          <w:u w:val="single" w:color="000000"/>
          <w:shd w:val="clear" w:color="auto" w:fill="fefffe"/>
          <w:rtl w:val="0"/>
        </w:rPr>
      </w:pPr>
      <w:r>
        <w:rPr>
          <w:rFonts w:ascii="Times New Roman" w:hAnsi="Times New Roman"/>
          <w:b w:val="1"/>
          <w:bCs w:val="1"/>
          <w:sz w:val="96"/>
          <w:szCs w:val="96"/>
          <w:u w:val="single" w:color="000000"/>
          <w:shd w:val="clear" w:color="auto" w:fill="fefffe"/>
          <w:rtl w:val="0"/>
          <w:lang w:val="fr-FR"/>
        </w:rPr>
        <w:t xml:space="preserve">Community Engagement </w:t>
      </w:r>
    </w:p>
    <w:p>
      <w:pPr>
        <w:pStyle w:val="Default"/>
        <w:bidi w:val="0"/>
        <w:spacing w:before="0" w:line="240" w:lineRule="auto"/>
        <w:ind w:left="0" w:right="0" w:firstLine="0"/>
        <w:jc w:val="center"/>
        <w:rPr>
          <w:rFonts w:ascii="Times New Roman" w:cs="Times New Roman" w:hAnsi="Times New Roman" w:eastAsia="Times New Roman"/>
          <w:b w:val="1"/>
          <w:bCs w:val="1"/>
          <w:sz w:val="96"/>
          <w:szCs w:val="96"/>
          <w:u w:val="single" w:color="000000"/>
          <w:shd w:val="clear" w:color="auto" w:fill="fefffe"/>
          <w:rtl w:val="0"/>
        </w:rPr>
      </w:pPr>
    </w:p>
    <w:p>
      <w:pPr>
        <w:pStyle w:val="Default"/>
        <w:bidi w:val="0"/>
        <w:spacing w:before="0" w:line="240" w:lineRule="auto"/>
        <w:ind w:left="0" w:right="0" w:firstLine="0"/>
        <w:jc w:val="center"/>
        <w:rPr>
          <w:rFonts w:ascii="Times New Roman" w:cs="Times New Roman" w:hAnsi="Times New Roman" w:eastAsia="Times New Roman"/>
          <w:b w:val="0"/>
          <w:bCs w:val="0"/>
          <w:sz w:val="36"/>
          <w:szCs w:val="36"/>
          <w:u w:val="none" w:color="000000"/>
          <w:shd w:val="clear" w:color="auto" w:fill="fefffe"/>
          <w:rtl w:val="0"/>
        </w:rPr>
      </w:pPr>
    </w:p>
    <w:p>
      <w:pPr>
        <w:pStyle w:val="Default"/>
        <w:bidi w:val="0"/>
        <w:spacing w:before="0" w:line="240" w:lineRule="auto"/>
        <w:ind w:left="0" w:right="0" w:firstLine="0"/>
        <w:jc w:val="left"/>
        <w:rPr>
          <w:rFonts w:ascii="Times New Roman" w:cs="Times New Roman" w:hAnsi="Times New Roman" w:eastAsia="Times New Roman"/>
          <w:b w:val="0"/>
          <w:bCs w:val="0"/>
          <w:sz w:val="36"/>
          <w:szCs w:val="36"/>
          <w:u w:color="000000"/>
          <w:shd w:val="clear" w:color="auto" w:fill="fefffe"/>
          <w:rtl w:val="0"/>
        </w:rPr>
      </w:pPr>
      <w:r>
        <w:rPr>
          <w:rFonts w:ascii="Times New Roman" w:hAnsi="Times New Roman"/>
          <w:b w:val="1"/>
          <w:bCs w:val="1"/>
          <w:sz w:val="42"/>
          <w:szCs w:val="42"/>
          <w:u w:color="000000"/>
          <w:shd w:val="clear" w:color="auto" w:fill="fefffe"/>
          <w:rtl w:val="0"/>
          <w:lang w:val="en-US"/>
        </w:rPr>
        <w:t>Table of Contents</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efffe"/>
          <w:rtl w:val="0"/>
        </w:rPr>
      </w:pPr>
      <w:r>
        <w:rPr>
          <w:rFonts w:ascii="Times New Roman" w:hAnsi="Times New Roman"/>
          <w:sz w:val="36"/>
          <w:szCs w:val="36"/>
          <w:u w:color="000000"/>
          <w:shd w:val="clear" w:color="auto" w:fill="fefffe"/>
          <w:rtl w:val="0"/>
          <w:lang w:val="de-DE"/>
        </w:rPr>
        <w:t>INTRDOUCTION 1</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efffe"/>
          <w:rtl w:val="0"/>
        </w:rPr>
      </w:pPr>
      <w:r>
        <w:rPr>
          <w:rFonts w:ascii="Times New Roman" w:hAnsi="Times New Roman"/>
          <w:sz w:val="36"/>
          <w:szCs w:val="36"/>
          <w:u w:color="000000"/>
          <w:shd w:val="clear" w:color="auto" w:fill="fefffe"/>
          <w:rtl w:val="0"/>
          <w:lang w:val="de-DE"/>
        </w:rPr>
        <w:t>MAIN BODY 1</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efffe"/>
          <w:rtl w:val="0"/>
        </w:rPr>
      </w:pPr>
      <w:r>
        <w:rPr>
          <w:rFonts w:ascii="Times New Roman" w:hAnsi="Times New Roman"/>
          <w:sz w:val="36"/>
          <w:szCs w:val="36"/>
          <w:u w:color="000000"/>
          <w:shd w:val="clear" w:color="auto" w:fill="fefffe"/>
          <w:rtl w:val="0"/>
        </w:rPr>
        <w:t>CONCLUSION 1</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efffe"/>
          <w:rtl w:val="0"/>
        </w:rPr>
      </w:pPr>
      <w:r>
        <w:rPr>
          <w:rFonts w:ascii="Times New Roman" w:hAnsi="Times New Roman"/>
          <w:sz w:val="36"/>
          <w:szCs w:val="36"/>
          <w:u w:color="000000"/>
          <w:shd w:val="clear" w:color="auto" w:fill="fefffe"/>
          <w:rtl w:val="0"/>
          <w:lang w:val="de-DE"/>
        </w:rPr>
        <w:t>REFERENCES 2</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efffe"/>
          <w:rtl w:val="0"/>
        </w:rPr>
      </w:pPr>
    </w:p>
    <w:p>
      <w:pPr>
        <w:pStyle w:val="Default"/>
        <w:bidi w:val="0"/>
        <w:spacing w:before="0" w:line="240" w:lineRule="auto"/>
        <w:ind w:left="0" w:right="0" w:firstLine="0"/>
        <w:jc w:val="left"/>
        <w:rPr>
          <w:rFonts w:ascii="Times New Roman" w:cs="Times New Roman" w:hAnsi="Times New Roman" w:eastAsia="Times New Roman"/>
          <w:b w:val="0"/>
          <w:bCs w:val="0"/>
          <w:sz w:val="36"/>
          <w:szCs w:val="36"/>
          <w:u w:color="000000"/>
          <w:shd w:val="clear" w:color="auto" w:fill="fefffe"/>
          <w:rtl w:val="0"/>
        </w:rPr>
      </w:pPr>
      <w:r>
        <w:rPr>
          <w:rFonts w:ascii="Times New Roman" w:hAnsi="Times New Roman"/>
          <w:b w:val="1"/>
          <w:bCs w:val="1"/>
          <w:sz w:val="42"/>
          <w:szCs w:val="42"/>
          <w:u w:color="000000"/>
          <w:shd w:val="clear" w:color="auto" w:fill="fefffe"/>
          <w:rtl w:val="0"/>
          <w:lang w:val="de-DE"/>
        </w:rPr>
        <w:t>INTRODUCTION</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efffe"/>
          <w:rtl w:val="0"/>
        </w:rPr>
      </w:pPr>
      <w:r>
        <w:rPr>
          <w:rFonts w:ascii="Times New Roman" w:hAnsi="Times New Roman"/>
          <w:sz w:val="36"/>
          <w:szCs w:val="36"/>
          <w:u w:color="000000"/>
          <w:shd w:val="clear" w:color="auto" w:fill="fefffe"/>
          <w:rtl w:val="0"/>
          <w:lang w:val="en-US"/>
        </w:rPr>
        <w:t>Community engagement can be explained as the activity of uniting the diversified beliefs, values, cultures, traditions, etc. of an individual, group or society. It mainly includes the participation of people from various geographic divisions, interest, behaviours, mind set etc. so they can help the people who are suffering from problems or issues with their community well-being. It can be elaborated as a process of bringing unity in diversity for improving the living conditions within a society or community. In terms of an organisation, community engagement can be explained as the participation or involvement of people with diverse backgrounds, values etc. come together for enhancing the welfare of communities to achieve organisational goals effectively and efficiently. Community engagement mainly aims at bringing the democratic ideas of people for improving their conditions to coexist at a place (Biddison ande et. al., 2018). The following report will reflect on the approaches that can be helpful in enhancing the community engagement activity. Moreover, it will reflect on improving the communication and coordination of the people by eliminating their differences for improving the community engagement. In the end, it will demonstrate various efforts that are helpful for conducting the research and engineering the activities through social media platforms for enhancing the best practices for community engagement.</w:t>
      </w:r>
    </w:p>
    <w:p>
      <w:pPr>
        <w:pStyle w:val="Default"/>
        <w:bidi w:val="0"/>
        <w:spacing w:before="0" w:line="240" w:lineRule="auto"/>
        <w:ind w:left="0" w:right="0" w:firstLine="0"/>
        <w:jc w:val="both"/>
        <w:rPr>
          <w:rFonts w:ascii="Times New Roman" w:cs="Times New Roman" w:hAnsi="Times New Roman" w:eastAsia="Times New Roman"/>
          <w:sz w:val="36"/>
          <w:szCs w:val="36"/>
          <w:u w:color="000000"/>
          <w:shd w:val="clear" w:color="auto" w:fill="fefffe"/>
          <w:rtl w:val="0"/>
        </w:rPr>
      </w:pPr>
      <w:r>
        <w:rPr>
          <w:rFonts w:ascii="Times New Roman" w:hAnsi="Times New Roman" w:hint="default"/>
          <w:sz w:val="36"/>
          <w:szCs w:val="36"/>
          <w:u w:color="000000"/>
          <w:shd w:val="clear" w:color="auto" w:fill="fefffe"/>
          <w:rtl w:val="0"/>
        </w:rPr>
        <w:t> </w:t>
      </w:r>
    </w:p>
    <w:p>
      <w:pPr>
        <w:pStyle w:val="Default"/>
        <w:bidi w:val="0"/>
        <w:spacing w:before="0" w:line="240" w:lineRule="auto"/>
        <w:ind w:left="0" w:right="0" w:firstLine="0"/>
        <w:jc w:val="left"/>
        <w:rPr>
          <w:rFonts w:ascii="Times New Roman" w:cs="Times New Roman" w:hAnsi="Times New Roman" w:eastAsia="Times New Roman"/>
          <w:b w:val="0"/>
          <w:bCs w:val="0"/>
          <w:sz w:val="36"/>
          <w:szCs w:val="36"/>
          <w:u w:color="000000"/>
          <w:shd w:val="clear" w:color="auto" w:fill="fefffe"/>
          <w:rtl w:val="0"/>
        </w:rPr>
      </w:pPr>
      <w:r>
        <w:rPr>
          <w:rFonts w:ascii="Times New Roman" w:hAnsi="Times New Roman"/>
          <w:b w:val="1"/>
          <w:bCs w:val="1"/>
          <w:sz w:val="42"/>
          <w:szCs w:val="42"/>
          <w:u w:color="000000"/>
          <w:shd w:val="clear" w:color="auto" w:fill="fefffe"/>
          <w:rtl w:val="0"/>
          <w:lang w:val="de-DE"/>
        </w:rPr>
        <w:t>MAIN BODY</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efffe"/>
          <w:rtl w:val="0"/>
        </w:rPr>
      </w:pPr>
      <w:r>
        <w:rPr>
          <w:rFonts w:ascii="Times New Roman" w:hAnsi="Times New Roman"/>
          <w:sz w:val="36"/>
          <w:szCs w:val="36"/>
          <w:u w:color="000000"/>
          <w:shd w:val="clear" w:color="auto" w:fill="fefffe"/>
          <w:rtl w:val="0"/>
          <w:lang w:val="en-US"/>
        </w:rPr>
        <w:t>Gwen Walford House mainly focuses on spreading positivity and good health for the elder people within the society by improving their life and maintaining good quality of health. The organisation provides support, advice and companionship to the elderly people for helping them through their daily activities and resolving their problems (Cherrington and et. al., 2019). The community leadership and community services are very important for enhancing the community engagement activities. The community engagement activities are very important for the people to have positive psychological health, societal support and quality lifestyle. It has to channelize the growth of people as well as the whole community by creating and developing the behaviours, values and attitude that support community engagement. I understood that community engagement helps people and society around, to tackle difficult situations in much easier ways by working in teams and working in collaboration for finding solutions easily. Without involvement and participation in the growth and development of the community the community engagement activities cannot be succeeded. For bringing changes among the people throughout the world it is very necessary that people should develop community interactions, community coordination and community engagement for being competitive towards the world. Being culturally competent and highly exclusive within a community such as Gwen Walford House provides understanding and acceptance of people from various backgrounds, age groups, cultures etc. to exist together for supportive growth.</w:t>
      </w:r>
    </w:p>
    <w:p>
      <w:pPr>
        <w:pStyle w:val="Default"/>
        <w:bidi w:val="0"/>
        <w:spacing w:before="0" w:line="240" w:lineRule="auto"/>
        <w:ind w:left="0" w:right="0" w:firstLine="420"/>
        <w:jc w:val="both"/>
        <w:rPr>
          <w:rFonts w:ascii="Times New Roman" w:cs="Times New Roman" w:hAnsi="Times New Roman" w:eastAsia="Times New Roman"/>
          <w:sz w:val="36"/>
          <w:szCs w:val="36"/>
          <w:u w:color="000000"/>
          <w:shd w:val="clear" w:color="auto" w:fill="fefffe"/>
          <w:rtl w:val="0"/>
        </w:rPr>
      </w:pPr>
      <w:r>
        <w:rPr>
          <w:rFonts w:ascii="Times New Roman" w:hAnsi="Times New Roman" w:hint="default"/>
          <w:sz w:val="36"/>
          <w:szCs w:val="36"/>
          <w:u w:color="000000"/>
          <w:shd w:val="clear" w:color="auto" w:fill="fefffe"/>
          <w:rtl w:val="0"/>
        </w:rPr>
        <w:t> </w:t>
      </w:r>
    </w:p>
    <w:p>
      <w:pPr>
        <w:pStyle w:val="Default"/>
        <w:bidi w:val="0"/>
        <w:spacing w:before="0" w:line="240" w:lineRule="auto"/>
        <w:ind w:left="0" w:right="0" w:firstLine="420"/>
        <w:jc w:val="both"/>
        <w:rPr>
          <w:rFonts w:ascii="Times New Roman" w:cs="Times New Roman" w:hAnsi="Times New Roman" w:eastAsia="Times New Roman"/>
          <w:sz w:val="36"/>
          <w:szCs w:val="36"/>
          <w:u w:color="000000"/>
          <w:shd w:val="clear" w:color="auto" w:fill="fefffe"/>
          <w:rtl w:val="0"/>
        </w:rPr>
      </w:pPr>
      <w:r>
        <w:rPr>
          <w:rFonts w:ascii="Times New Roman" w:hAnsi="Times New Roman"/>
          <w:sz w:val="36"/>
          <w:szCs w:val="36"/>
          <w:u w:color="000000"/>
          <w:shd w:val="clear" w:color="auto" w:fill="fefffe"/>
          <w:rtl w:val="0"/>
          <w:lang w:val="en-US"/>
        </w:rPr>
        <w:t>I learnt that with the help of social media, people can share their views, ideas, traditions and culture with each other and understand the behaviour and attitude of each other. This has enhanced the community interaction by spreading awareness among the people (Di Napoli and et. al., 2019). With the help of social media, awareness among the citizens for enhancing the welfare activities within the society and developing community interaction for improving the positive relationships among people. Social media is also helpful in improving the engagement of stakeholders, people and groups by spreading awareness, knowledge and understanding of the elder age group.</w:t>
      </w:r>
    </w:p>
    <w:p>
      <w:pPr>
        <w:pStyle w:val="Default"/>
        <w:bidi w:val="0"/>
        <w:spacing w:before="0" w:line="240" w:lineRule="auto"/>
        <w:ind w:left="0" w:right="0" w:firstLine="420"/>
        <w:jc w:val="both"/>
        <w:rPr>
          <w:rFonts w:ascii="Times New Roman" w:cs="Times New Roman" w:hAnsi="Times New Roman" w:eastAsia="Times New Roman"/>
          <w:sz w:val="36"/>
          <w:szCs w:val="36"/>
          <w:u w:color="000000"/>
          <w:shd w:val="clear" w:color="auto" w:fill="fefffe"/>
          <w:rtl w:val="0"/>
        </w:rPr>
      </w:pPr>
      <w:r>
        <w:rPr>
          <w:rFonts w:ascii="Times New Roman" w:hAnsi="Times New Roman"/>
          <w:sz w:val="36"/>
          <w:szCs w:val="36"/>
          <w:u w:color="000000"/>
          <w:shd w:val="clear" w:color="auto" w:fill="fefffe"/>
          <w:rtl w:val="0"/>
          <w:lang w:val="en-US"/>
        </w:rPr>
        <w:t>The use of social media has mainly leveraged the community engagement activities in positive manners for improving the lifestyle of people. It was helpful to use social media for initiating regular campaigns and empowerments through social media activities.</w:t>
      </w:r>
      <w:r>
        <w:rPr>
          <w:rFonts w:ascii="Times New Roman" w:hAnsi="Times New Roman" w:hint="default"/>
          <w:sz w:val="36"/>
          <w:szCs w:val="36"/>
          <w:u w:color="000000"/>
          <w:shd w:val="clear" w:color="auto" w:fill="fefffe"/>
          <w:rtl w:val="0"/>
        </w:rPr>
        <w:t> </w:t>
      </w:r>
      <w:r>
        <w:rPr>
          <w:rFonts w:ascii="Times New Roman" w:hAnsi="Times New Roman"/>
          <w:sz w:val="36"/>
          <w:szCs w:val="36"/>
          <w:u w:color="000000"/>
          <w:shd w:val="clear" w:color="auto" w:fill="fefffe"/>
          <w:rtl w:val="0"/>
          <w:lang w:val="en-US"/>
        </w:rPr>
        <w:t>I realised that this will be helpful to attract maximum people towards them and also combine other non-government organisations or similar programs to collaborate for improving community engagement.</w:t>
      </w:r>
      <w:r>
        <w:rPr>
          <w:rFonts w:ascii="Times New Roman" w:hAnsi="Times New Roman" w:hint="default"/>
          <w:sz w:val="36"/>
          <w:szCs w:val="36"/>
          <w:u w:color="000000"/>
          <w:shd w:val="clear" w:color="auto" w:fill="fefffe"/>
          <w:rtl w:val="0"/>
        </w:rPr>
        <w:t> </w:t>
      </w:r>
      <w:r>
        <w:rPr>
          <w:rFonts w:ascii="Times New Roman" w:hAnsi="Times New Roman"/>
          <w:sz w:val="36"/>
          <w:szCs w:val="36"/>
          <w:u w:color="000000"/>
          <w:shd w:val="clear" w:color="auto" w:fill="fefffe"/>
          <w:rtl w:val="0"/>
          <w:lang w:val="en-US"/>
        </w:rPr>
        <w:t>The use of social media is a very effective way to enhance the social cultural integration by conveying the ideas, values, norms, traditions and beloved of one culture/society with others for improving community engagement.</w:t>
      </w:r>
      <w:r>
        <w:rPr>
          <w:rFonts w:ascii="Times New Roman" w:hAnsi="Times New Roman" w:hint="default"/>
          <w:sz w:val="36"/>
          <w:szCs w:val="36"/>
          <w:u w:color="000000"/>
          <w:shd w:val="clear" w:color="auto" w:fill="fefffe"/>
          <w:rtl w:val="0"/>
        </w:rPr>
        <w:t> </w:t>
      </w:r>
      <w:r>
        <w:rPr>
          <w:rFonts w:ascii="Times New Roman" w:hAnsi="Times New Roman"/>
          <w:sz w:val="36"/>
          <w:szCs w:val="36"/>
          <w:u w:color="000000"/>
          <w:shd w:val="clear" w:color="auto" w:fill="fefffe"/>
          <w:rtl w:val="0"/>
          <w:lang w:val="en-US"/>
        </w:rPr>
        <w:t>With the help of social media tools and techniques these values can be generated more effectively and efficiently among the people and increase their services effectively and efficiently (Mayger and Provinzano, 2021). I would considered these factors for improving the community interaction and resolving the community issues by providing better care and assistance to the people.</w:t>
      </w:r>
    </w:p>
    <w:p>
      <w:pPr>
        <w:pStyle w:val="Default"/>
        <w:bidi w:val="0"/>
        <w:spacing w:before="0" w:line="240" w:lineRule="auto"/>
        <w:ind w:left="0" w:right="0" w:firstLine="420"/>
        <w:jc w:val="both"/>
        <w:rPr>
          <w:rFonts w:ascii="Times New Roman" w:cs="Times New Roman" w:hAnsi="Times New Roman" w:eastAsia="Times New Roman"/>
          <w:sz w:val="36"/>
          <w:szCs w:val="36"/>
          <w:u w:color="000000"/>
          <w:shd w:val="clear" w:color="auto" w:fill="fefffe"/>
          <w:rtl w:val="0"/>
        </w:rPr>
      </w:pPr>
      <w:r>
        <w:rPr>
          <w:rFonts w:ascii="Times New Roman" w:hAnsi="Times New Roman" w:hint="default"/>
          <w:sz w:val="36"/>
          <w:szCs w:val="36"/>
          <w:u w:color="000000"/>
          <w:shd w:val="clear" w:color="auto" w:fill="fefffe"/>
          <w:rtl w:val="0"/>
        </w:rPr>
        <w:t> </w:t>
      </w:r>
    </w:p>
    <w:p>
      <w:pPr>
        <w:pStyle w:val="Default"/>
        <w:bidi w:val="0"/>
        <w:spacing w:before="0" w:line="240" w:lineRule="auto"/>
        <w:ind w:left="0" w:right="0" w:firstLine="420"/>
        <w:jc w:val="both"/>
        <w:rPr>
          <w:rFonts w:ascii="Times New Roman" w:cs="Times New Roman" w:hAnsi="Times New Roman" w:eastAsia="Times New Roman"/>
          <w:sz w:val="36"/>
          <w:szCs w:val="36"/>
          <w:u w:color="000000"/>
          <w:shd w:val="clear" w:color="auto" w:fill="fefffe"/>
          <w:rtl w:val="0"/>
        </w:rPr>
      </w:pPr>
      <w:r>
        <w:rPr>
          <w:rFonts w:ascii="Times New Roman" w:hAnsi="Times New Roman"/>
          <w:sz w:val="36"/>
          <w:szCs w:val="36"/>
          <w:u w:color="000000"/>
          <w:shd w:val="clear" w:color="auto" w:fill="fefffe"/>
          <w:rtl w:val="0"/>
          <w:lang w:val="en-US"/>
        </w:rPr>
        <w:t>I became aware that certain skills such as effective leadership and good listening abilities can be helpful at all the aspects of life and it can support the oral growth and development of the community. There are many attributes, qualities and skills later vital for constantly engaging the people and bringing cultural competencies for the oral welfare of society and people around us. I experienced that having knowledge and learning is very essential for improving the oral community engagement activities such as the use of digital technology and various technology aspects for bringing people together. It has made me realise that there are various skills, capabilities and knowledge that are required for bringing a true sense of community engagement within the people (Mbah, 2019). It can only happen by gaining knowledge and understanding of the other diversified cultures, traditions, norms and people for improving the coordination and cooperation among each other. I understood that knowledge can be helpful in enhancing the community engagement activity among the people by creating awareness and helping them to adjust with others.</w:t>
      </w:r>
    </w:p>
    <w:p>
      <w:pPr>
        <w:pStyle w:val="Default"/>
        <w:bidi w:val="0"/>
        <w:spacing w:before="0" w:line="240" w:lineRule="auto"/>
        <w:ind w:left="0" w:right="0" w:firstLine="420"/>
        <w:jc w:val="both"/>
        <w:rPr>
          <w:rFonts w:ascii="Times New Roman" w:cs="Times New Roman" w:hAnsi="Times New Roman" w:eastAsia="Times New Roman"/>
          <w:sz w:val="36"/>
          <w:szCs w:val="36"/>
          <w:u w:color="000000"/>
          <w:shd w:val="clear" w:color="auto" w:fill="fefffe"/>
          <w:rtl w:val="0"/>
        </w:rPr>
      </w:pPr>
      <w:r>
        <w:rPr>
          <w:rFonts w:ascii="Times New Roman" w:hAnsi="Times New Roman" w:hint="default"/>
          <w:sz w:val="36"/>
          <w:szCs w:val="36"/>
          <w:u w:color="000000"/>
          <w:shd w:val="clear" w:color="auto" w:fill="fefffe"/>
          <w:rtl w:val="0"/>
        </w:rPr>
        <w:t> </w:t>
      </w:r>
    </w:p>
    <w:p>
      <w:pPr>
        <w:pStyle w:val="Default"/>
        <w:bidi w:val="0"/>
        <w:spacing w:before="0" w:line="240" w:lineRule="auto"/>
        <w:ind w:left="0" w:right="0" w:firstLine="420"/>
        <w:jc w:val="both"/>
        <w:rPr>
          <w:rFonts w:ascii="Times New Roman" w:cs="Times New Roman" w:hAnsi="Times New Roman" w:eastAsia="Times New Roman"/>
          <w:sz w:val="36"/>
          <w:szCs w:val="36"/>
          <w:u w:color="000000"/>
          <w:shd w:val="clear" w:color="auto" w:fill="fefffe"/>
          <w:rtl w:val="0"/>
        </w:rPr>
      </w:pPr>
      <w:r>
        <w:rPr>
          <w:rFonts w:ascii="Times New Roman" w:hAnsi="Times New Roman"/>
          <w:sz w:val="36"/>
          <w:szCs w:val="36"/>
          <w:u w:color="000000"/>
          <w:shd w:val="clear" w:color="auto" w:fill="fefffe"/>
          <w:rtl w:val="0"/>
          <w:lang w:val="en-US"/>
        </w:rPr>
        <w:t>As per my views, comment engagement activity is very important within a society because it unifies the people and their efforts for achieving the optimum growth opportunities. With the help of the experience and knowledge acquired from the Gwen Walford House it can be said that community participation is highly important for developing community engagement because without the people of community or society it is impossible to develop integration among them. It is highly important for improving the overall social life of the people by taking part in activities such as providing healthcare, better psychological support, knowledge and experience sharing, helping elderly people, participating in health drives etc. For developing a continuous and effective change it is necessary that there is consistency in understanding and awareness about the issues that affect community engagement internally as well as externally.</w:t>
      </w:r>
      <w:r>
        <w:rPr>
          <w:rFonts w:ascii="Times New Roman" w:hAnsi="Times New Roman" w:hint="default"/>
          <w:sz w:val="36"/>
          <w:szCs w:val="36"/>
          <w:u w:color="000000"/>
          <w:shd w:val="clear" w:color="auto" w:fill="fefffe"/>
          <w:rtl w:val="0"/>
        </w:rPr>
        <w:t> </w:t>
      </w:r>
    </w:p>
    <w:p>
      <w:pPr>
        <w:pStyle w:val="Default"/>
        <w:bidi w:val="0"/>
        <w:spacing w:before="0" w:line="240" w:lineRule="auto"/>
        <w:ind w:left="0" w:right="0" w:firstLine="420"/>
        <w:jc w:val="both"/>
        <w:rPr>
          <w:rFonts w:ascii="Times New Roman" w:cs="Times New Roman" w:hAnsi="Times New Roman" w:eastAsia="Times New Roman"/>
          <w:sz w:val="36"/>
          <w:szCs w:val="36"/>
          <w:u w:color="000000"/>
          <w:shd w:val="clear" w:color="auto" w:fill="fefffe"/>
          <w:rtl w:val="0"/>
        </w:rPr>
      </w:pPr>
      <w:r>
        <w:rPr>
          <w:rFonts w:ascii="Times New Roman" w:hAnsi="Times New Roman" w:hint="default"/>
          <w:sz w:val="36"/>
          <w:szCs w:val="36"/>
          <w:u w:color="000000"/>
          <w:shd w:val="clear" w:color="auto" w:fill="fefffe"/>
          <w:rtl w:val="0"/>
        </w:rPr>
        <w:t> </w:t>
      </w:r>
    </w:p>
    <w:p>
      <w:pPr>
        <w:pStyle w:val="Default"/>
        <w:bidi w:val="0"/>
        <w:spacing w:before="0" w:line="240" w:lineRule="auto"/>
        <w:ind w:left="0" w:right="0" w:firstLine="420"/>
        <w:jc w:val="both"/>
        <w:rPr>
          <w:rFonts w:ascii="Times New Roman" w:cs="Times New Roman" w:hAnsi="Times New Roman" w:eastAsia="Times New Roman"/>
          <w:sz w:val="36"/>
          <w:szCs w:val="36"/>
          <w:u w:color="000000"/>
          <w:shd w:val="clear" w:color="auto" w:fill="fefffe"/>
          <w:rtl w:val="0"/>
        </w:rPr>
      </w:pPr>
      <w:r>
        <w:rPr>
          <w:rFonts w:ascii="Times New Roman" w:hAnsi="Times New Roman"/>
          <w:sz w:val="36"/>
          <w:szCs w:val="36"/>
          <w:u w:color="000000"/>
          <w:shd w:val="clear" w:color="auto" w:fill="fefffe"/>
          <w:rtl w:val="0"/>
          <w:lang w:val="en-US"/>
        </w:rPr>
        <w:t>It is expected that people will contribute their knowledge and experience for bringing better changes in the community and create positive changes in the society (Mehta and et. al., 2020). Everyone should bring positive changes by obtaining collaborative cooperation among people and it requires a lot of growth activities that must be positive and it encourages the participation of people. The best practices of community engagement are also helpful because it represents the population, including proper planning and evaluation of the activities for continuing engagement. Every person from different places who has lived different lives and has different experiences is brought together. The planning of community engagement can be made effective and better results can be obtained. It is important that building a project or community engagement plan must address the opportunities to create better support for vulnerable people in the community.</w:t>
      </w:r>
    </w:p>
    <w:p>
      <w:pPr>
        <w:pStyle w:val="Default"/>
        <w:bidi w:val="0"/>
        <w:spacing w:before="0" w:line="240" w:lineRule="auto"/>
        <w:ind w:left="0" w:right="0" w:firstLine="0"/>
        <w:jc w:val="both"/>
        <w:rPr>
          <w:rFonts w:ascii="Times New Roman" w:cs="Times New Roman" w:hAnsi="Times New Roman" w:eastAsia="Times New Roman"/>
          <w:sz w:val="36"/>
          <w:szCs w:val="36"/>
          <w:u w:color="000000"/>
          <w:shd w:val="clear" w:color="auto" w:fill="fefffe"/>
          <w:rtl w:val="0"/>
        </w:rPr>
      </w:pPr>
      <w:r>
        <w:rPr>
          <w:rFonts w:ascii="Times New Roman" w:hAnsi="Times New Roman" w:hint="default"/>
          <w:sz w:val="36"/>
          <w:szCs w:val="36"/>
          <w:u w:color="000000"/>
          <w:shd w:val="clear" w:color="auto" w:fill="fefffe"/>
          <w:rtl w:val="0"/>
        </w:rPr>
        <w:t> </w:t>
      </w:r>
    </w:p>
    <w:p>
      <w:pPr>
        <w:pStyle w:val="Default"/>
        <w:bidi w:val="0"/>
        <w:spacing w:before="0" w:line="240" w:lineRule="auto"/>
        <w:ind w:left="0" w:right="0" w:firstLine="0"/>
        <w:jc w:val="both"/>
        <w:rPr>
          <w:rFonts w:ascii="Times New Roman" w:cs="Times New Roman" w:hAnsi="Times New Roman" w:eastAsia="Times New Roman"/>
          <w:sz w:val="36"/>
          <w:szCs w:val="36"/>
          <w:u w:color="000000"/>
          <w:shd w:val="clear" w:color="auto" w:fill="fefffe"/>
          <w:rtl w:val="0"/>
        </w:rPr>
      </w:pPr>
      <w:r>
        <w:rPr>
          <w:rFonts w:ascii="Times New Roman" w:hAnsi="Times New Roman"/>
          <w:sz w:val="36"/>
          <w:szCs w:val="36"/>
          <w:u w:color="000000"/>
          <w:shd w:val="clear" w:color="auto" w:fill="fefffe"/>
          <w:rtl w:val="0"/>
          <w:lang w:val="en-US"/>
        </w:rPr>
        <w:t>With the support of people it is possible to achieve community engagement effectively and efficiently that will require the different active consultation, effective communication and stakeholder participation for building healthy relationships. The active communication, stakeholder participation and inclusion can help to improve the overall community engagement activities (Mtawa and Wangenge-Ouma, 2022). It requires consistency of efforts to create strong and interconnected community engagement that provides new learning and knowledge. Gwen Walford House has focused on the learning of elder people so they can understand the conditions and situations prevailing in the society for improving their communities. It has been understood that participation in managing the risks for removing thoughts and behaviour of elderly people can be done by community engagement activities. The discovery of underrepresented people can be helpful for enhancing community engagement activities. It has been understood that by imagining the overall problems within the society by being at the place can be helpful to enhance interactions among the people. I understood that listening can be helpful to understand the perceptions of people and experts could be helpful to develop better interaction processes in the community. I learn that with the help of active consultation, the information gathering can become easier and help in community engagement activities. The information and knowledge that are gained by cooperating with other people can be helpful in building better community relationships with the leaders for resolving their problems. With the help of active consultation the connection within the community and thoughtfulness can be learned about the various cultural backgrounds and enhance the communication engagement activities with the help of local meetings and community activities. I understood that stakeholders are the major contributors for enhancing the community engagement activities because they help to develop the participation of more and more people within a community. For improving the stakeholder participation in community engagement activities providing good care activities and reasonable behaviours is required. This is helpful in maximizing the number of people in the community engagement and motivating others to take part towards community development.</w:t>
      </w:r>
    </w:p>
    <w:p>
      <w:pPr>
        <w:pStyle w:val="Default"/>
        <w:bidi w:val="0"/>
        <w:spacing w:before="0" w:line="240" w:lineRule="auto"/>
        <w:ind w:left="0" w:right="0" w:firstLine="0"/>
        <w:jc w:val="both"/>
        <w:rPr>
          <w:rFonts w:ascii="Times New Roman" w:cs="Times New Roman" w:hAnsi="Times New Roman" w:eastAsia="Times New Roman"/>
          <w:sz w:val="36"/>
          <w:szCs w:val="36"/>
          <w:u w:color="000000"/>
          <w:shd w:val="clear" w:color="auto" w:fill="fefffe"/>
          <w:rtl w:val="0"/>
        </w:rPr>
      </w:pPr>
      <w:r>
        <w:rPr>
          <w:rFonts w:ascii="Times New Roman" w:hAnsi="Times New Roman" w:hint="default"/>
          <w:sz w:val="36"/>
          <w:szCs w:val="36"/>
          <w:u w:color="000000"/>
          <w:shd w:val="clear" w:color="auto" w:fill="fefffe"/>
          <w:rtl w:val="0"/>
        </w:rPr>
        <w:t> </w:t>
      </w:r>
    </w:p>
    <w:p>
      <w:pPr>
        <w:pStyle w:val="Default"/>
        <w:bidi w:val="0"/>
        <w:spacing w:before="0" w:line="240" w:lineRule="auto"/>
        <w:ind w:left="0" w:right="0" w:firstLine="0"/>
        <w:jc w:val="both"/>
        <w:rPr>
          <w:rFonts w:ascii="Times New Roman" w:cs="Times New Roman" w:hAnsi="Times New Roman" w:eastAsia="Times New Roman"/>
          <w:sz w:val="36"/>
          <w:szCs w:val="36"/>
          <w:u w:color="000000"/>
          <w:shd w:val="clear" w:color="auto" w:fill="fefffe"/>
          <w:rtl w:val="0"/>
        </w:rPr>
      </w:pPr>
      <w:r>
        <w:rPr>
          <w:rFonts w:ascii="Times New Roman" w:hAnsi="Times New Roman" w:hint="default"/>
          <w:sz w:val="36"/>
          <w:szCs w:val="36"/>
          <w:u w:color="000000"/>
          <w:shd w:val="clear" w:color="auto" w:fill="fefffe"/>
          <w:rtl w:val="0"/>
        </w:rPr>
        <w:t> </w:t>
      </w:r>
    </w:p>
    <w:p>
      <w:pPr>
        <w:pStyle w:val="Default"/>
        <w:bidi w:val="0"/>
        <w:spacing w:before="0" w:line="240" w:lineRule="auto"/>
        <w:ind w:left="0" w:right="0" w:firstLine="0"/>
        <w:jc w:val="both"/>
        <w:rPr>
          <w:rFonts w:ascii="Times New Roman" w:cs="Times New Roman" w:hAnsi="Times New Roman" w:eastAsia="Times New Roman"/>
          <w:sz w:val="36"/>
          <w:szCs w:val="36"/>
          <w:u w:color="000000"/>
          <w:shd w:val="clear" w:color="auto" w:fill="fefffe"/>
          <w:rtl w:val="0"/>
        </w:rPr>
      </w:pPr>
      <w:r>
        <w:rPr>
          <w:rFonts w:ascii="Times New Roman" w:hAnsi="Times New Roman" w:hint="default"/>
          <w:sz w:val="36"/>
          <w:szCs w:val="36"/>
          <w:u w:color="000000"/>
          <w:shd w:val="clear" w:color="auto" w:fill="fefffe"/>
          <w:rtl w:val="0"/>
        </w:rPr>
        <w:t> </w:t>
      </w:r>
    </w:p>
    <w:p>
      <w:pPr>
        <w:pStyle w:val="Default"/>
        <w:bidi w:val="0"/>
        <w:spacing w:before="0" w:line="240" w:lineRule="auto"/>
        <w:ind w:left="0" w:right="0" w:firstLine="0"/>
        <w:jc w:val="both"/>
        <w:rPr>
          <w:rFonts w:ascii="Times New Roman" w:cs="Times New Roman" w:hAnsi="Times New Roman" w:eastAsia="Times New Roman"/>
          <w:sz w:val="36"/>
          <w:szCs w:val="36"/>
          <w:u w:color="000000"/>
          <w:shd w:val="clear" w:color="auto" w:fill="fefffe"/>
          <w:rtl w:val="0"/>
        </w:rPr>
      </w:pPr>
      <w:r>
        <w:rPr>
          <w:rFonts w:ascii="Times New Roman" w:hAnsi="Times New Roman" w:hint="default"/>
          <w:sz w:val="36"/>
          <w:szCs w:val="36"/>
          <w:u w:color="000000"/>
          <w:shd w:val="clear" w:color="auto" w:fill="fefffe"/>
          <w:rtl w:val="0"/>
        </w:rPr>
        <w:t> </w:t>
      </w:r>
    </w:p>
    <w:p>
      <w:pPr>
        <w:pStyle w:val="Default"/>
        <w:bidi w:val="0"/>
        <w:spacing w:before="0" w:line="240" w:lineRule="auto"/>
        <w:ind w:left="0" w:right="0" w:firstLine="0"/>
        <w:jc w:val="both"/>
        <w:rPr>
          <w:rFonts w:ascii="Times New Roman" w:cs="Times New Roman" w:hAnsi="Times New Roman" w:eastAsia="Times New Roman"/>
          <w:sz w:val="36"/>
          <w:szCs w:val="36"/>
          <w:u w:color="000000"/>
          <w:shd w:val="clear" w:color="auto" w:fill="fefffe"/>
          <w:rtl w:val="0"/>
        </w:rPr>
      </w:pPr>
      <w:r>
        <w:rPr>
          <w:rFonts w:ascii="Times New Roman" w:hAnsi="Times New Roman"/>
          <w:sz w:val="36"/>
          <w:szCs w:val="36"/>
          <w:u w:color="000000"/>
          <w:shd w:val="clear" w:color="auto" w:fill="fefffe"/>
          <w:rtl w:val="0"/>
          <w:lang w:val="en-US"/>
        </w:rPr>
        <w:t>Intentional and precise languages can be very useful for interacting with the people within the community and enhancing the community engagement by reducing the disparity among them. There are many ways for enhancing the community engagement activities through improving the overall perceptions towards community development (Mtawa, 2019). Gwen Walford House has utilised various community engagement methods for increasing the community engagement activity. It mainly has developed best practices of community engagement that helps in improving the interactions of people to walk together.</w:t>
      </w:r>
    </w:p>
    <w:p>
      <w:pPr>
        <w:pStyle w:val="Default"/>
        <w:bidi w:val="0"/>
        <w:spacing w:before="0" w:line="240" w:lineRule="auto"/>
        <w:ind w:left="0" w:right="0" w:firstLine="420"/>
        <w:jc w:val="both"/>
        <w:rPr>
          <w:rFonts w:ascii="Times New Roman" w:cs="Times New Roman" w:hAnsi="Times New Roman" w:eastAsia="Times New Roman"/>
          <w:sz w:val="36"/>
          <w:szCs w:val="36"/>
          <w:u w:color="000000"/>
          <w:shd w:val="clear" w:color="auto" w:fill="fefffe"/>
          <w:rtl w:val="0"/>
        </w:rPr>
      </w:pPr>
      <w:r>
        <w:rPr>
          <w:rFonts w:ascii="Times New Roman" w:hAnsi="Times New Roman" w:hint="default"/>
          <w:sz w:val="36"/>
          <w:szCs w:val="36"/>
          <w:u w:color="000000"/>
          <w:shd w:val="clear" w:color="auto" w:fill="fefffe"/>
          <w:rtl w:val="0"/>
        </w:rPr>
        <w:t> </w:t>
      </w:r>
    </w:p>
    <w:p>
      <w:pPr>
        <w:pStyle w:val="Default"/>
        <w:bidi w:val="0"/>
        <w:spacing w:before="0" w:line="240" w:lineRule="auto"/>
        <w:ind w:left="0" w:right="0" w:firstLine="420"/>
        <w:jc w:val="both"/>
        <w:rPr>
          <w:rFonts w:ascii="Times New Roman" w:cs="Times New Roman" w:hAnsi="Times New Roman" w:eastAsia="Times New Roman"/>
          <w:sz w:val="36"/>
          <w:szCs w:val="36"/>
          <w:u w:color="000000"/>
          <w:shd w:val="clear" w:color="auto" w:fill="fefffe"/>
          <w:rtl w:val="0"/>
        </w:rPr>
      </w:pPr>
      <w:r>
        <w:rPr>
          <w:rFonts w:ascii="Times New Roman" w:hAnsi="Times New Roman"/>
          <w:sz w:val="36"/>
          <w:szCs w:val="36"/>
          <w:u w:color="000000"/>
          <w:shd w:val="clear" w:color="auto" w:fill="fefffe"/>
          <w:rtl w:val="0"/>
          <w:lang w:val="en-US"/>
        </w:rPr>
        <w:t>Enhancing community participation is very helpful to understand various requirements and lacking in the community that could enhance the community engagement practices. Community mapping is helpful to understand various requirements of the community and provide better opportunities for engagement. By addressing the language barriers the technical issues during the community engagement program that is interference due to the language can be avoided and more useful information can be created. Along with this defining the terminology can help in community development and overall budget are funds for the project in interpreting and transitioning effective community engagement activities. With the help of impact analysis the community engagement activities can be well understood and reach and understanding abilities of impact of community engagement activities can be enhanced. With the help of multiculturalism the engagement activities can create, demonstrate and define a positive inter cultural mix where everyone respects each other. The meetings are another way for providing useful community engagement practices and increasing the effectiveness and efficiency of people.</w:t>
      </w:r>
      <w:r>
        <w:rPr>
          <w:rFonts w:ascii="Times New Roman" w:hAnsi="Times New Roman" w:hint="default"/>
          <w:sz w:val="36"/>
          <w:szCs w:val="36"/>
          <w:u w:color="000000"/>
          <w:shd w:val="clear" w:color="auto" w:fill="fefffe"/>
          <w:rtl w:val="0"/>
        </w:rPr>
        <w:t> </w:t>
      </w:r>
    </w:p>
    <w:p>
      <w:pPr>
        <w:pStyle w:val="Default"/>
        <w:bidi w:val="0"/>
        <w:spacing w:before="0" w:line="240" w:lineRule="auto"/>
        <w:ind w:left="0" w:right="0" w:firstLine="0"/>
        <w:jc w:val="both"/>
        <w:rPr>
          <w:rFonts w:ascii="Times New Roman" w:cs="Times New Roman" w:hAnsi="Times New Roman" w:eastAsia="Times New Roman"/>
          <w:sz w:val="36"/>
          <w:szCs w:val="36"/>
          <w:u w:color="000000"/>
          <w:shd w:val="clear" w:color="auto" w:fill="fefffe"/>
          <w:rtl w:val="0"/>
        </w:rPr>
      </w:pPr>
      <w:r>
        <w:rPr>
          <w:rFonts w:ascii="Times New Roman" w:hAnsi="Times New Roman" w:hint="default"/>
          <w:sz w:val="36"/>
          <w:szCs w:val="36"/>
          <w:u w:color="000000"/>
          <w:shd w:val="clear" w:color="auto" w:fill="fefffe"/>
          <w:rtl w:val="0"/>
        </w:rPr>
        <w:t> </w:t>
      </w:r>
    </w:p>
    <w:p>
      <w:pPr>
        <w:pStyle w:val="Default"/>
        <w:bidi w:val="0"/>
        <w:spacing w:before="0" w:line="240" w:lineRule="auto"/>
        <w:ind w:left="0" w:right="0" w:firstLine="0"/>
        <w:jc w:val="both"/>
        <w:rPr>
          <w:rFonts w:ascii="Times New Roman" w:cs="Times New Roman" w:hAnsi="Times New Roman" w:eastAsia="Times New Roman"/>
          <w:sz w:val="36"/>
          <w:szCs w:val="36"/>
          <w:u w:color="000000"/>
          <w:shd w:val="clear" w:color="auto" w:fill="fefffe"/>
          <w:rtl w:val="0"/>
        </w:rPr>
      </w:pPr>
      <w:r>
        <w:rPr>
          <w:rFonts w:ascii="Times New Roman" w:hAnsi="Times New Roman"/>
          <w:sz w:val="36"/>
          <w:szCs w:val="36"/>
          <w:u w:color="000000"/>
          <w:shd w:val="clear" w:color="auto" w:fill="fefffe"/>
          <w:rtl w:val="0"/>
          <w:lang w:val="en-US"/>
        </w:rPr>
        <w:t>Community participation can also enhance the social engagement with the help of social media platforms that is a key to increase and enhance the community engagement activities (Neuhaus, 2018). The social engagement through various technologies like social media and digital platforms the community engagement through sharing of data and knowledge becomes easier. On the way collaboration activities are also helpful to demonstrate the usefulness of community engagement for spreading the message to reach the maximum number of people. Certain activities like cultural events and programs are a better way to encourage community engagement activities for everyone. Moreover, showing trust and historical patterns of decision making among the community members can also help to reflect on the public inputs and enhance the community engagement activities. Transparency in the capabilities, roles, responsibilities, time, finance etc. is helpful to provide greater inclusiveness in the community engagement activities. The better rules for engagement can help to improve the corrections and expectations of people towards the community engagement activities.</w:t>
      </w:r>
    </w:p>
    <w:p>
      <w:pPr>
        <w:pStyle w:val="Default"/>
        <w:bidi w:val="0"/>
        <w:spacing w:before="0" w:line="240" w:lineRule="auto"/>
        <w:ind w:left="0" w:right="0" w:firstLine="0"/>
        <w:jc w:val="both"/>
        <w:rPr>
          <w:rFonts w:ascii="Times New Roman" w:cs="Times New Roman" w:hAnsi="Times New Roman" w:eastAsia="Times New Roman"/>
          <w:sz w:val="36"/>
          <w:szCs w:val="36"/>
          <w:u w:color="000000"/>
          <w:shd w:val="clear" w:color="auto" w:fill="fefffe"/>
          <w:rtl w:val="0"/>
        </w:rPr>
      </w:pPr>
      <w:r>
        <w:rPr>
          <w:rFonts w:ascii="Times New Roman" w:hAnsi="Times New Roman" w:hint="default"/>
          <w:sz w:val="36"/>
          <w:szCs w:val="36"/>
          <w:u w:color="000000"/>
          <w:shd w:val="clear" w:color="auto" w:fill="fefffe"/>
          <w:rtl w:val="0"/>
        </w:rPr>
        <w:t> </w:t>
      </w:r>
    </w:p>
    <w:p>
      <w:pPr>
        <w:pStyle w:val="Default"/>
        <w:bidi w:val="0"/>
        <w:spacing w:before="0" w:line="240" w:lineRule="auto"/>
        <w:ind w:left="0" w:right="0" w:firstLine="0"/>
        <w:jc w:val="left"/>
        <w:rPr>
          <w:rFonts w:ascii="Times New Roman" w:cs="Times New Roman" w:hAnsi="Times New Roman" w:eastAsia="Times New Roman"/>
          <w:b w:val="0"/>
          <w:bCs w:val="0"/>
          <w:sz w:val="36"/>
          <w:szCs w:val="36"/>
          <w:u w:color="000000"/>
          <w:shd w:val="clear" w:color="auto" w:fill="fefffe"/>
          <w:rtl w:val="0"/>
        </w:rPr>
      </w:pPr>
      <w:r>
        <w:rPr>
          <w:rFonts w:ascii="Times New Roman" w:hAnsi="Times New Roman"/>
          <w:b w:val="1"/>
          <w:bCs w:val="1"/>
          <w:sz w:val="42"/>
          <w:szCs w:val="42"/>
          <w:u w:color="000000"/>
          <w:shd w:val="clear" w:color="auto" w:fill="fefffe"/>
          <w:rtl w:val="0"/>
        </w:rPr>
        <w:t>CONCLUSION</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efffe"/>
          <w:rtl w:val="0"/>
        </w:rPr>
      </w:pPr>
      <w:r>
        <w:rPr>
          <w:rFonts w:ascii="Times New Roman" w:hAnsi="Times New Roman"/>
          <w:sz w:val="36"/>
          <w:szCs w:val="36"/>
          <w:u w:color="000000"/>
          <w:shd w:val="clear" w:color="auto" w:fill="fefffe"/>
          <w:rtl w:val="0"/>
          <w:lang w:val="en-US"/>
        </w:rPr>
        <w:t>It has been concluded from the world report that community engagement activities have to bring collaboration and encourage unity in diversity among the people. It provides chances to the people to exist with each other from different societies, cultures, practices, norms values, behaviours etc. for resolving the conflicts, problems and issues for creating well-being for each other. It has been obtained from the above report that community engagement helps to enhance the overall community welfare and social growth of the people. Moreover, it has been identified that it is important for the people to fully fill their community responsibility and improve their quality and practices of community engagement. Furthermore, it has been describing various activities for improving community engagement such as identifying under-presented people, gathering inputs, putting you in other people's shoes, consultancy, etc. Regarding this, many descriptions about stakeholder participation, effective communication etc. have been identified for improving the community engagement and inclusion in community engagement activities. Finally, it has been analysing research and community mapping, social engagement through social media platforms, evaluation and justification of best practices along with the impact analysis for this purpose.</w:t>
      </w:r>
    </w:p>
    <w:p>
      <w:pPr>
        <w:pStyle w:val="Default"/>
        <w:bidi w:val="0"/>
        <w:spacing w:before="0" w:line="240" w:lineRule="auto"/>
        <w:ind w:left="0" w:right="0" w:firstLine="0"/>
        <w:jc w:val="left"/>
        <w:rPr>
          <w:rFonts w:ascii="Times New Roman" w:cs="Times New Roman" w:hAnsi="Times New Roman" w:eastAsia="Times New Roman"/>
          <w:b w:val="0"/>
          <w:bCs w:val="0"/>
          <w:sz w:val="36"/>
          <w:szCs w:val="36"/>
          <w:u w:color="000000"/>
          <w:shd w:val="clear" w:color="auto" w:fill="fefffe"/>
          <w:rtl w:val="0"/>
        </w:rPr>
      </w:pPr>
      <w:r>
        <w:rPr>
          <w:rFonts w:ascii="Times New Roman" w:hAnsi="Times New Roman"/>
          <w:b w:val="1"/>
          <w:bCs w:val="1"/>
          <w:sz w:val="42"/>
          <w:szCs w:val="42"/>
          <w:u w:color="000000"/>
          <w:shd w:val="clear" w:color="auto" w:fill="fefffe"/>
          <w:rtl w:val="0"/>
          <w:lang w:val="de-DE"/>
        </w:rPr>
        <w:t>REFERENCES</w:t>
      </w:r>
    </w:p>
    <w:p>
      <w:pPr>
        <w:pStyle w:val="Default"/>
        <w:bidi w:val="0"/>
        <w:spacing w:before="0" w:line="240" w:lineRule="auto"/>
        <w:ind w:left="0" w:right="0" w:firstLine="0"/>
        <w:jc w:val="left"/>
        <w:rPr>
          <w:rFonts w:ascii="Times New Roman" w:cs="Times New Roman" w:hAnsi="Times New Roman" w:eastAsia="Times New Roman"/>
          <w:sz w:val="36"/>
          <w:szCs w:val="36"/>
          <w:u w:val="none" w:color="000000"/>
          <w:shd w:val="clear" w:color="auto" w:fill="fefffe"/>
          <w:rtl w:val="0"/>
        </w:rPr>
      </w:pPr>
      <w:r>
        <w:rPr>
          <w:rFonts w:ascii="Times New Roman" w:hAnsi="Times New Roman"/>
          <w:sz w:val="36"/>
          <w:szCs w:val="36"/>
          <w:u w:val="single" w:color="000000"/>
          <w:shd w:val="clear" w:color="auto" w:fill="fefffe"/>
          <w:rtl w:val="0"/>
          <w:lang w:val="en-US"/>
        </w:rPr>
        <w:t>Books and Journals</w:t>
      </w:r>
    </w:p>
    <w:p>
      <w:pPr>
        <w:pStyle w:val="Default"/>
        <w:bidi w:val="0"/>
        <w:spacing w:before="0" w:line="240" w:lineRule="auto"/>
        <w:ind w:left="0" w:right="0" w:firstLine="0"/>
        <w:jc w:val="both"/>
        <w:rPr>
          <w:rFonts w:ascii="Times New Roman" w:cs="Times New Roman" w:hAnsi="Times New Roman" w:eastAsia="Times New Roman"/>
          <w:sz w:val="36"/>
          <w:szCs w:val="36"/>
          <w:u w:color="000000"/>
          <w:shd w:val="clear" w:color="auto" w:fill="fefffe"/>
          <w:rtl w:val="0"/>
        </w:rPr>
      </w:pPr>
      <w:r>
        <w:rPr>
          <w:rFonts w:ascii="Times New Roman" w:hAnsi="Times New Roman" w:hint="default"/>
          <w:sz w:val="36"/>
          <w:szCs w:val="36"/>
          <w:u w:color="000000"/>
          <w:shd w:val="clear" w:color="auto" w:fill="fefffe"/>
          <w:rtl w:val="0"/>
        </w:rPr>
        <w:t> </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efffe"/>
          <w:rtl w:val="0"/>
        </w:rPr>
      </w:pPr>
      <w:r>
        <w:rPr>
          <w:rFonts w:ascii="Times New Roman" w:hAnsi="Times New Roman"/>
          <w:sz w:val="36"/>
          <w:szCs w:val="36"/>
          <w:u w:color="000000"/>
          <w:shd w:val="clear" w:color="auto" w:fill="fefffe"/>
          <w:rtl w:val="0"/>
          <w:lang w:val="en-US"/>
        </w:rPr>
        <w:t>Biddison, E. L. D., ande et. al., 2018. Scarce resource allocation during disasters: a mixed-method community engagement study.</w:t>
      </w:r>
      <w:r>
        <w:rPr>
          <w:rFonts w:ascii="Times New Roman" w:hAnsi="Times New Roman" w:hint="default"/>
          <w:sz w:val="36"/>
          <w:szCs w:val="36"/>
          <w:u w:color="000000"/>
          <w:shd w:val="clear" w:color="auto" w:fill="fefffe"/>
          <w:rtl w:val="0"/>
        </w:rPr>
        <w:t> </w:t>
      </w:r>
      <w:r>
        <w:rPr>
          <w:rFonts w:ascii="Times New Roman" w:hAnsi="Times New Roman"/>
          <w:sz w:val="36"/>
          <w:szCs w:val="36"/>
          <w:u w:color="000000"/>
          <w:shd w:val="clear" w:color="auto" w:fill="fefffe"/>
          <w:rtl w:val="0"/>
        </w:rPr>
        <w:t>Chest,</w:t>
      </w:r>
      <w:r>
        <w:rPr>
          <w:rFonts w:ascii="Times New Roman" w:hAnsi="Times New Roman" w:hint="default"/>
          <w:sz w:val="36"/>
          <w:szCs w:val="36"/>
          <w:u w:color="000000"/>
          <w:shd w:val="clear" w:color="auto" w:fill="fefffe"/>
          <w:rtl w:val="0"/>
        </w:rPr>
        <w:t> </w:t>
      </w:r>
      <w:r>
        <w:rPr>
          <w:rFonts w:ascii="Times New Roman" w:hAnsi="Times New Roman"/>
          <w:sz w:val="36"/>
          <w:szCs w:val="36"/>
          <w:u w:color="000000"/>
          <w:shd w:val="clear" w:color="auto" w:fill="fefffe"/>
          <w:rtl w:val="0"/>
        </w:rPr>
        <w:t>153(1). pp.187-195.</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efffe"/>
          <w:rtl w:val="0"/>
        </w:rPr>
      </w:pPr>
      <w:r>
        <w:rPr>
          <w:rFonts w:ascii="Times New Roman" w:hAnsi="Times New Roman"/>
          <w:sz w:val="36"/>
          <w:szCs w:val="36"/>
          <w:u w:color="000000"/>
          <w:shd w:val="clear" w:color="auto" w:fill="fefffe"/>
          <w:rtl w:val="0"/>
          <w:lang w:val="en-US"/>
        </w:rPr>
        <w:t xml:space="preserve">Cherrington, A. M., and et. al., 2019. What does it mean to be an </w:t>
      </w:r>
      <w:r>
        <w:rPr>
          <w:rFonts w:ascii="Times New Roman" w:hAnsi="Times New Roman" w:hint="default"/>
          <w:sz w:val="36"/>
          <w:szCs w:val="36"/>
          <w:u w:color="000000"/>
          <w:shd w:val="clear" w:color="auto" w:fill="fefffe"/>
          <w:rtl w:val="1"/>
        </w:rPr>
        <w:t>‘</w:t>
      </w:r>
      <w:r>
        <w:rPr>
          <w:rFonts w:ascii="Times New Roman" w:hAnsi="Times New Roman"/>
          <w:sz w:val="36"/>
          <w:szCs w:val="36"/>
          <w:u w:color="000000"/>
          <w:shd w:val="clear" w:color="auto" w:fill="fefffe"/>
          <w:rtl w:val="0"/>
          <w:lang w:val="en-US"/>
        </w:rPr>
        <w:t>engaged university</w:t>
      </w:r>
      <w:r>
        <w:rPr>
          <w:rFonts w:ascii="Times New Roman" w:hAnsi="Times New Roman" w:hint="default"/>
          <w:sz w:val="36"/>
          <w:szCs w:val="36"/>
          <w:u w:color="000000"/>
          <w:shd w:val="clear" w:color="auto" w:fill="fefffe"/>
          <w:rtl w:val="1"/>
        </w:rPr>
        <w:t>’</w:t>
      </w:r>
      <w:r>
        <w:rPr>
          <w:rFonts w:ascii="Times New Roman" w:hAnsi="Times New Roman"/>
          <w:sz w:val="36"/>
          <w:szCs w:val="36"/>
          <w:u w:color="000000"/>
          <w:shd w:val="clear" w:color="auto" w:fill="fefffe"/>
          <w:rtl w:val="0"/>
          <w:lang w:val="en-US"/>
        </w:rPr>
        <w:t>? Reflections from a university and school-community engagement project.</w:t>
      </w:r>
      <w:r>
        <w:rPr>
          <w:rFonts w:ascii="Times New Roman" w:hAnsi="Times New Roman" w:hint="default"/>
          <w:sz w:val="36"/>
          <w:szCs w:val="36"/>
          <w:u w:color="000000"/>
          <w:shd w:val="clear" w:color="auto" w:fill="fefffe"/>
          <w:rtl w:val="0"/>
        </w:rPr>
        <w:t> </w:t>
      </w:r>
      <w:r>
        <w:rPr>
          <w:rFonts w:ascii="Times New Roman" w:hAnsi="Times New Roman"/>
          <w:sz w:val="36"/>
          <w:szCs w:val="36"/>
          <w:u w:color="000000"/>
          <w:shd w:val="clear" w:color="auto" w:fill="fefffe"/>
          <w:rtl w:val="0"/>
          <w:lang w:val="en-US"/>
        </w:rPr>
        <w:t>Education, Citizenship and Social Justice,</w:t>
      </w:r>
      <w:r>
        <w:rPr>
          <w:rFonts w:ascii="Times New Roman" w:hAnsi="Times New Roman" w:hint="default"/>
          <w:sz w:val="36"/>
          <w:szCs w:val="36"/>
          <w:u w:color="000000"/>
          <w:shd w:val="clear" w:color="auto" w:fill="fefffe"/>
          <w:rtl w:val="0"/>
        </w:rPr>
        <w:t> </w:t>
      </w:r>
      <w:r>
        <w:rPr>
          <w:rFonts w:ascii="Times New Roman" w:hAnsi="Times New Roman"/>
          <w:sz w:val="36"/>
          <w:szCs w:val="36"/>
          <w:u w:color="000000"/>
          <w:shd w:val="clear" w:color="auto" w:fill="fefffe"/>
          <w:rtl w:val="0"/>
        </w:rPr>
        <w:t>14(2). pp.165-178.</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efffe"/>
          <w:rtl w:val="0"/>
        </w:rPr>
      </w:pPr>
      <w:r>
        <w:rPr>
          <w:rFonts w:ascii="Times New Roman" w:hAnsi="Times New Roman"/>
          <w:sz w:val="36"/>
          <w:szCs w:val="36"/>
          <w:u w:color="000000"/>
          <w:shd w:val="clear" w:color="auto" w:fill="fefffe"/>
          <w:rtl w:val="0"/>
          <w:lang w:val="en-US"/>
        </w:rPr>
        <w:t>Di Napoli, I., and et. al., 2019. Community trust: A social indicator related to community engagement.</w:t>
      </w:r>
      <w:r>
        <w:rPr>
          <w:rFonts w:ascii="Times New Roman" w:hAnsi="Times New Roman" w:hint="default"/>
          <w:sz w:val="36"/>
          <w:szCs w:val="36"/>
          <w:u w:color="000000"/>
          <w:shd w:val="clear" w:color="auto" w:fill="fefffe"/>
          <w:rtl w:val="0"/>
        </w:rPr>
        <w:t> </w:t>
      </w:r>
      <w:r>
        <w:rPr>
          <w:rFonts w:ascii="Times New Roman" w:hAnsi="Times New Roman"/>
          <w:sz w:val="36"/>
          <w:szCs w:val="36"/>
          <w:u w:color="000000"/>
          <w:shd w:val="clear" w:color="auto" w:fill="fefffe"/>
          <w:rtl w:val="0"/>
          <w:lang w:val="en-US"/>
        </w:rPr>
        <w:t>Social Indicators Research,</w:t>
      </w:r>
      <w:r>
        <w:rPr>
          <w:rFonts w:ascii="Times New Roman" w:hAnsi="Times New Roman" w:hint="default"/>
          <w:sz w:val="36"/>
          <w:szCs w:val="36"/>
          <w:u w:color="000000"/>
          <w:shd w:val="clear" w:color="auto" w:fill="fefffe"/>
          <w:rtl w:val="0"/>
        </w:rPr>
        <w:t> </w:t>
      </w:r>
      <w:r>
        <w:rPr>
          <w:rFonts w:ascii="Times New Roman" w:hAnsi="Times New Roman"/>
          <w:sz w:val="36"/>
          <w:szCs w:val="36"/>
          <w:u w:color="000000"/>
          <w:shd w:val="clear" w:color="auto" w:fill="fefffe"/>
          <w:rtl w:val="0"/>
        </w:rPr>
        <w:t>145(2). pp.551-579.</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efffe"/>
          <w:rtl w:val="0"/>
        </w:rPr>
      </w:pPr>
      <w:r>
        <w:rPr>
          <w:rFonts w:ascii="Times New Roman" w:hAnsi="Times New Roman"/>
          <w:sz w:val="36"/>
          <w:szCs w:val="36"/>
          <w:u w:color="000000"/>
          <w:shd w:val="clear" w:color="auto" w:fill="fefffe"/>
          <w:rtl w:val="0"/>
          <w:lang w:val="en-US"/>
        </w:rPr>
        <w:t>Mayger, L. and Provinzano, K., 2021. Leadership for family and community engagement: A qualitative policy analysis of state principal evaluation processes.</w:t>
      </w:r>
      <w:r>
        <w:rPr>
          <w:rFonts w:ascii="Times New Roman" w:hAnsi="Times New Roman" w:hint="default"/>
          <w:sz w:val="36"/>
          <w:szCs w:val="36"/>
          <w:u w:color="000000"/>
          <w:shd w:val="clear" w:color="auto" w:fill="fefffe"/>
          <w:rtl w:val="0"/>
        </w:rPr>
        <w:t> </w:t>
      </w:r>
      <w:r>
        <w:rPr>
          <w:rFonts w:ascii="Times New Roman" w:hAnsi="Times New Roman"/>
          <w:sz w:val="36"/>
          <w:szCs w:val="36"/>
          <w:u w:color="000000"/>
          <w:shd w:val="clear" w:color="auto" w:fill="fefffe"/>
          <w:rtl w:val="0"/>
          <w:lang w:val="en-US"/>
        </w:rPr>
        <w:t>Educational Administration Quarterly. p.0013161X211052501.</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efffe"/>
          <w:rtl w:val="0"/>
        </w:rPr>
      </w:pPr>
      <w:r>
        <w:rPr>
          <w:rFonts w:ascii="Times New Roman" w:hAnsi="Times New Roman"/>
          <w:sz w:val="36"/>
          <w:szCs w:val="36"/>
          <w:u w:color="000000"/>
          <w:shd w:val="clear" w:color="auto" w:fill="fefffe"/>
          <w:rtl w:val="0"/>
          <w:lang w:val="en-US"/>
        </w:rPr>
        <w:t>Mbah, M., 2019. Can local knowledge make the difference? Rethinking universities' community engagement and prospect for sustainable community development.</w:t>
      </w:r>
      <w:r>
        <w:rPr>
          <w:rFonts w:ascii="Times New Roman" w:hAnsi="Times New Roman" w:hint="default"/>
          <w:sz w:val="36"/>
          <w:szCs w:val="36"/>
          <w:u w:color="000000"/>
          <w:shd w:val="clear" w:color="auto" w:fill="fefffe"/>
          <w:rtl w:val="0"/>
        </w:rPr>
        <w:t> </w:t>
      </w:r>
      <w:r>
        <w:rPr>
          <w:rFonts w:ascii="Times New Roman" w:hAnsi="Times New Roman"/>
          <w:sz w:val="36"/>
          <w:szCs w:val="36"/>
          <w:u w:color="000000"/>
          <w:shd w:val="clear" w:color="auto" w:fill="fefffe"/>
          <w:rtl w:val="0"/>
          <w:lang w:val="en-US"/>
        </w:rPr>
        <w:t>The Journal of Environmental Education,</w:t>
      </w:r>
      <w:r>
        <w:rPr>
          <w:rFonts w:ascii="Times New Roman" w:hAnsi="Times New Roman" w:hint="default"/>
          <w:sz w:val="36"/>
          <w:szCs w:val="36"/>
          <w:u w:color="000000"/>
          <w:shd w:val="clear" w:color="auto" w:fill="fefffe"/>
          <w:rtl w:val="0"/>
        </w:rPr>
        <w:t> </w:t>
      </w:r>
      <w:r>
        <w:rPr>
          <w:rFonts w:ascii="Times New Roman" w:hAnsi="Times New Roman"/>
          <w:sz w:val="36"/>
          <w:szCs w:val="36"/>
          <w:u w:color="000000"/>
          <w:shd w:val="clear" w:color="auto" w:fill="fefffe"/>
          <w:rtl w:val="0"/>
        </w:rPr>
        <w:t>50(1). pp.11-22.</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efffe"/>
          <w:rtl w:val="0"/>
        </w:rPr>
      </w:pPr>
      <w:r>
        <w:rPr>
          <w:rFonts w:ascii="Times New Roman" w:hAnsi="Times New Roman"/>
          <w:sz w:val="36"/>
          <w:szCs w:val="36"/>
          <w:u w:color="000000"/>
          <w:shd w:val="clear" w:color="auto" w:fill="fefffe"/>
          <w:rtl w:val="0"/>
          <w:lang w:val="en-US"/>
        </w:rPr>
        <w:t>Mehta, M., and et. al., 2020. Community engagement through responsible leadership in managing pandemic: insight from India using netnography.</w:t>
      </w:r>
      <w:r>
        <w:rPr>
          <w:rFonts w:ascii="Times New Roman" w:hAnsi="Times New Roman" w:hint="default"/>
          <w:sz w:val="36"/>
          <w:szCs w:val="36"/>
          <w:u w:color="000000"/>
          <w:shd w:val="clear" w:color="auto" w:fill="fefffe"/>
          <w:rtl w:val="0"/>
        </w:rPr>
        <w:t> </w:t>
      </w:r>
      <w:r>
        <w:rPr>
          <w:rFonts w:ascii="Times New Roman" w:hAnsi="Times New Roman"/>
          <w:sz w:val="36"/>
          <w:szCs w:val="36"/>
          <w:u w:color="000000"/>
          <w:shd w:val="clear" w:color="auto" w:fill="fefffe"/>
          <w:rtl w:val="0"/>
          <w:lang w:val="en-US"/>
        </w:rPr>
        <w:t>International Journal of Sociology and Social Policy.</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efffe"/>
          <w:rtl w:val="0"/>
        </w:rPr>
      </w:pPr>
      <w:r>
        <w:rPr>
          <w:rFonts w:ascii="Times New Roman" w:hAnsi="Times New Roman"/>
          <w:sz w:val="36"/>
          <w:szCs w:val="36"/>
          <w:u w:color="000000"/>
          <w:shd w:val="clear" w:color="auto" w:fill="fefffe"/>
          <w:rtl w:val="0"/>
          <w:lang w:val="en-US"/>
        </w:rPr>
        <w:t>Mtawa, N. N. and Wangenge-Ouma, G., 2022. Questioning private good driven university-community engagement: A Tanzanian case study.</w:t>
      </w:r>
      <w:r>
        <w:rPr>
          <w:rFonts w:ascii="Times New Roman" w:hAnsi="Times New Roman" w:hint="default"/>
          <w:sz w:val="36"/>
          <w:szCs w:val="36"/>
          <w:u w:color="000000"/>
          <w:shd w:val="clear" w:color="auto" w:fill="fefffe"/>
          <w:rtl w:val="0"/>
        </w:rPr>
        <w:t> </w:t>
      </w:r>
      <w:r>
        <w:rPr>
          <w:rFonts w:ascii="Times New Roman" w:hAnsi="Times New Roman"/>
          <w:sz w:val="36"/>
          <w:szCs w:val="36"/>
          <w:u w:color="000000"/>
          <w:shd w:val="clear" w:color="auto" w:fill="fefffe"/>
          <w:rtl w:val="0"/>
          <w:lang w:val="en-US"/>
        </w:rPr>
        <w:t>Higher Education,</w:t>
      </w:r>
      <w:r>
        <w:rPr>
          <w:rFonts w:ascii="Times New Roman" w:hAnsi="Times New Roman" w:hint="default"/>
          <w:sz w:val="36"/>
          <w:szCs w:val="36"/>
          <w:u w:color="000000"/>
          <w:shd w:val="clear" w:color="auto" w:fill="fefffe"/>
          <w:rtl w:val="0"/>
        </w:rPr>
        <w:t> </w:t>
      </w:r>
      <w:r>
        <w:rPr>
          <w:rFonts w:ascii="Times New Roman" w:hAnsi="Times New Roman"/>
          <w:sz w:val="36"/>
          <w:szCs w:val="36"/>
          <w:u w:color="000000"/>
          <w:shd w:val="clear" w:color="auto" w:fill="fefffe"/>
          <w:rtl w:val="0"/>
        </w:rPr>
        <w:t>83(3). pp.597-611.</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efffe"/>
          <w:rtl w:val="0"/>
        </w:rPr>
      </w:pPr>
      <w:r>
        <w:rPr>
          <w:rFonts w:ascii="Times New Roman" w:hAnsi="Times New Roman"/>
          <w:sz w:val="36"/>
          <w:szCs w:val="36"/>
          <w:u w:color="000000"/>
          <w:shd w:val="clear" w:color="auto" w:fill="fefffe"/>
          <w:rtl w:val="0"/>
        </w:rPr>
        <w:t>Mtawa, N. N., 2019.</w:t>
      </w:r>
      <w:r>
        <w:rPr>
          <w:rFonts w:ascii="Times New Roman" w:hAnsi="Times New Roman" w:hint="default"/>
          <w:sz w:val="36"/>
          <w:szCs w:val="36"/>
          <w:u w:color="000000"/>
          <w:shd w:val="clear" w:color="auto" w:fill="fefffe"/>
          <w:rtl w:val="0"/>
        </w:rPr>
        <w:t> </w:t>
      </w:r>
      <w:r>
        <w:rPr>
          <w:rFonts w:ascii="Times New Roman" w:hAnsi="Times New Roman"/>
          <w:sz w:val="36"/>
          <w:szCs w:val="36"/>
          <w:u w:color="000000"/>
          <w:shd w:val="clear" w:color="auto" w:fill="fefffe"/>
          <w:rtl w:val="0"/>
          <w:lang w:val="en-US"/>
        </w:rPr>
        <w:t>Human Development and Community Engagement through Service-Learning. Cham, Switzerland Palgrave Macmillan.</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efffe"/>
          <w:rtl w:val="0"/>
        </w:rPr>
      </w:pPr>
      <w:r>
        <w:rPr>
          <w:rFonts w:ascii="Times New Roman" w:hAnsi="Times New Roman"/>
          <w:sz w:val="36"/>
          <w:szCs w:val="36"/>
          <w:u w:color="000000"/>
          <w:shd w:val="clear" w:color="auto" w:fill="fefffe"/>
          <w:rtl w:val="0"/>
          <w:lang w:val="en-US"/>
        </w:rPr>
        <w:t>Neuhaus, C. P., 2018. Community engagement and field trials of genetically modified insects and animals.</w:t>
      </w:r>
      <w:r>
        <w:rPr>
          <w:rFonts w:ascii="Times New Roman" w:hAnsi="Times New Roman" w:hint="default"/>
          <w:sz w:val="36"/>
          <w:szCs w:val="36"/>
          <w:u w:color="000000"/>
          <w:shd w:val="clear" w:color="auto" w:fill="fefffe"/>
          <w:rtl w:val="0"/>
        </w:rPr>
        <w:t> </w:t>
      </w:r>
      <w:r>
        <w:rPr>
          <w:rFonts w:ascii="Times New Roman" w:hAnsi="Times New Roman"/>
          <w:sz w:val="36"/>
          <w:szCs w:val="36"/>
          <w:u w:color="000000"/>
          <w:shd w:val="clear" w:color="auto" w:fill="fefffe"/>
          <w:rtl w:val="0"/>
          <w:lang w:val="en-US"/>
        </w:rPr>
        <w:t>Hastings Center Report,</w:t>
      </w:r>
      <w:r>
        <w:rPr>
          <w:rFonts w:ascii="Times New Roman" w:hAnsi="Times New Roman" w:hint="default"/>
          <w:sz w:val="36"/>
          <w:szCs w:val="36"/>
          <w:u w:color="000000"/>
          <w:shd w:val="clear" w:color="auto" w:fill="fefffe"/>
          <w:rtl w:val="0"/>
        </w:rPr>
        <w:t> </w:t>
      </w:r>
      <w:r>
        <w:rPr>
          <w:rFonts w:ascii="Times New Roman" w:hAnsi="Times New Roman"/>
          <w:sz w:val="36"/>
          <w:szCs w:val="36"/>
          <w:u w:color="000000"/>
          <w:shd w:val="clear" w:color="auto" w:fill="fefffe"/>
          <w:rtl w:val="0"/>
        </w:rPr>
        <w:t>48(1). pp.25-36.</w:t>
      </w:r>
    </w:p>
    <w:p>
      <w:pPr>
        <w:pStyle w:val="Default"/>
        <w:bidi w:val="0"/>
        <w:spacing w:before="0" w:line="240" w:lineRule="auto"/>
        <w:ind w:left="0" w:right="0" w:firstLine="0"/>
        <w:jc w:val="both"/>
        <w:rPr>
          <w:rFonts w:ascii="Times New Roman" w:cs="Times New Roman" w:hAnsi="Times New Roman" w:eastAsia="Times New Roman"/>
          <w:sz w:val="36"/>
          <w:szCs w:val="36"/>
          <w:u w:color="000000"/>
          <w:shd w:val="clear" w:color="auto" w:fill="fefffe"/>
          <w:rtl w:val="0"/>
        </w:rPr>
      </w:pPr>
      <w:r>
        <w:rPr>
          <w:rFonts w:ascii="Times New Roman" w:hAnsi="Times New Roman" w:hint="default"/>
          <w:sz w:val="36"/>
          <w:szCs w:val="36"/>
          <w:u w:color="000000"/>
          <w:shd w:val="clear" w:color="auto" w:fill="fefffe"/>
          <w:rtl w:val="0"/>
        </w:rPr>
        <w:t> </w:t>
      </w:r>
    </w:p>
    <w:p>
      <w:pPr>
        <w:pStyle w:val="Default"/>
        <w:bidi w:val="0"/>
        <w:spacing w:before="0" w:line="240" w:lineRule="auto"/>
        <w:ind w:left="720" w:right="0" w:hanging="720"/>
        <w:jc w:val="both"/>
        <w:rPr>
          <w:rFonts w:ascii="Times New Roman" w:cs="Times New Roman" w:hAnsi="Times New Roman" w:eastAsia="Times New Roman"/>
          <w:sz w:val="36"/>
          <w:szCs w:val="36"/>
          <w:u w:color="000000"/>
          <w:shd w:val="clear" w:color="auto" w:fill="fefffe"/>
          <w:rtl w:val="0"/>
        </w:rPr>
      </w:pPr>
      <w:r>
        <w:rPr>
          <w:rFonts w:ascii="Times New Roman" w:hAnsi="Times New Roman" w:hint="default"/>
          <w:sz w:val="36"/>
          <w:szCs w:val="36"/>
          <w:u w:color="000000"/>
          <w:shd w:val="clear" w:color="auto" w:fill="fefffe"/>
          <w:rtl w:val="0"/>
        </w:rPr>
        <w:t> </w:t>
      </w:r>
    </w:p>
    <w:p>
      <w:pPr>
        <w:pStyle w:val="Default"/>
        <w:bidi w:val="0"/>
        <w:spacing w:before="0" w:line="240" w:lineRule="auto"/>
        <w:ind w:left="720" w:right="0" w:hanging="720"/>
        <w:jc w:val="both"/>
        <w:rPr>
          <w:rtl w:val="0"/>
        </w:rPr>
      </w:pPr>
      <w:r>
        <w:rPr>
          <w:rFonts w:ascii="Times New Roman" w:cs="Times New Roman" w:hAnsi="Times New Roman" w:eastAsia="Times New Roman"/>
          <w:sz w:val="36"/>
          <w:szCs w:val="36"/>
          <w:u w:color="000000"/>
          <w:shd w:val="clear" w:color="auto" w:fill="fefffe"/>
          <w:rtl w:val="0"/>
        </w:rPr>
      </w:r>
    </w:p>
    <w:sectPr>
      <w:headerReference w:type="default" r:id="rId4"/>
      <w:footerReference w:type="default" r:id="rId5"/>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Default">
    <w:name w:val="Default"/>
    <w:next w:val="Default"/>
    <w:pPr>
      <w:keepNext w:val="0"/>
      <w:keepLines w:val="0"/>
      <w:pageBreakBefore w:val="0"/>
      <w:widowControl w:val="1"/>
      <w:shd w:val="clear" w:color="auto" w:fill="auto"/>
      <w:suppressAutoHyphens w:val="0"/>
      <w:bidi w:val="0"/>
      <w:spacing w:before="160" w:after="0" w:line="288"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lang w:val="fr-FR"/>
      <w14:textOutline>
        <w14:noFill/>
      </w14:textOutline>
      <w14:textFill>
        <w14:solidFill>
          <w14:srgbClr w14:val="000000"/>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5D5D5"/>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000000"/>
        </a:solidFill>
        <a:ln w="12700" cap="flat">
          <a:noFill/>
          <a:miter lim="400000"/>
        </a:ln>
        <a:effectLst/>
        <a:sp3d/>
      </a:spPr>
      <a:bodyPr rot="0" spcFirstLastPara="1" vertOverflow="overflow" horzOverflow="overflow" vert="horz" wrap="square" lIns="50800" tIns="50800" rIns="50800" bIns="50800" numCol="1" spcCol="38100" rtlCol="0" anchor="ctr" upright="0">
        <a:spAutoFit/>
      </a:bodyPr>
      <a:lstStyle>
        <a:defPPr marL="0" marR="0" indent="0" algn="ctr" defTabSz="584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Helvetica Neue Medium"/>
            <a:ea typeface="Helvetica Neue Medium"/>
            <a:cs typeface="Helvetica Neue Medium"/>
            <a:sym typeface="Helvetica Neue Medium"/>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