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446E3" w14:textId="43AC0733" w:rsidR="0B3603E4" w:rsidRDefault="0B3603E4" w:rsidP="73F31BAE">
      <w:pPr>
        <w:spacing w:after="200" w:line="360" w:lineRule="auto"/>
        <w:ind w:left="-20" w:right="-20"/>
        <w:jc w:val="both"/>
        <w:rPr>
          <w:rFonts w:ascii="Arial" w:eastAsia="Arial" w:hAnsi="Arial" w:cs="Arial"/>
        </w:rPr>
      </w:pPr>
    </w:p>
    <w:p w14:paraId="5E6B49F9" w14:textId="03955942" w:rsidR="0B3603E4" w:rsidRDefault="36A5386F" w:rsidP="73F31BAE">
      <w:pPr>
        <w:pStyle w:val="Title"/>
        <w:shd w:val="clear" w:color="auto" w:fill="FFFFFF" w:themeFill="background1"/>
        <w:jc w:val="center"/>
        <w:rPr>
          <w:rFonts w:ascii="Arial" w:eastAsia="Arial" w:hAnsi="Arial" w:cs="Arial"/>
          <w:b/>
          <w:bCs/>
          <w:color w:val="44546A" w:themeColor="text2"/>
          <w:sz w:val="40"/>
          <w:szCs w:val="40"/>
          <w:u w:val="single"/>
        </w:rPr>
      </w:pPr>
      <w:r w:rsidRPr="73F31BAE">
        <w:rPr>
          <w:b/>
          <w:bCs/>
          <w:color w:val="44546A" w:themeColor="text2"/>
          <w:u w:val="single"/>
        </w:rPr>
        <w:t>The Impact of Interest rates on the stock market in the United Kingdom</w:t>
      </w:r>
      <w:r w:rsidR="6E692AAC" w:rsidRPr="73F31BAE">
        <w:rPr>
          <w:b/>
          <w:bCs/>
          <w:color w:val="44546A" w:themeColor="text2"/>
          <w:u w:val="single"/>
        </w:rPr>
        <w:t xml:space="preserve"> </w:t>
      </w:r>
    </w:p>
    <w:p w14:paraId="0743F2DA" w14:textId="30AA33F4" w:rsidR="0B3603E4" w:rsidRDefault="0B3603E4" w:rsidP="73F31BAE">
      <w:pPr>
        <w:pStyle w:val="Title"/>
        <w:jc w:val="center"/>
        <w:rPr>
          <w:color w:val="4472C4" w:themeColor="accent1"/>
          <w:u w:val="single"/>
        </w:rPr>
      </w:pPr>
    </w:p>
    <w:p w14:paraId="130D0699" w14:textId="3D34FB70" w:rsidR="0B3603E4" w:rsidRDefault="3007444A" w:rsidP="73F31BAE">
      <w:pPr>
        <w:pStyle w:val="IntenseQuote"/>
        <w:rPr>
          <w:rFonts w:ascii="Arial" w:eastAsia="Arial" w:hAnsi="Arial" w:cs="Arial"/>
          <w:b/>
          <w:bCs/>
          <w:i w:val="0"/>
          <w:iCs w:val="0"/>
        </w:rPr>
      </w:pPr>
      <w:r w:rsidRPr="73F31BAE">
        <w:rPr>
          <w:rFonts w:ascii="Arial" w:eastAsia="Arial" w:hAnsi="Arial" w:cs="Arial"/>
          <w:b/>
          <w:bCs/>
          <w:i w:val="0"/>
          <w:iCs w:val="0"/>
        </w:rPr>
        <w:t>The Institution: University of Wales Trinity Saint David (Birmingham Campus)</w:t>
      </w:r>
    </w:p>
    <w:p w14:paraId="1AB75EED" w14:textId="61B07F18" w:rsidR="0B3603E4" w:rsidRDefault="3007444A" w:rsidP="73F31BAE">
      <w:pPr>
        <w:pStyle w:val="IntenseQuote"/>
        <w:rPr>
          <w:rFonts w:ascii="Arial" w:eastAsia="Arial" w:hAnsi="Arial" w:cs="Arial"/>
          <w:b/>
          <w:bCs/>
          <w:i w:val="0"/>
          <w:iCs w:val="0"/>
        </w:rPr>
      </w:pPr>
      <w:r w:rsidRPr="73F31BAE">
        <w:rPr>
          <w:rFonts w:ascii="Arial" w:eastAsia="Arial" w:hAnsi="Arial" w:cs="Arial"/>
          <w:b/>
          <w:bCs/>
          <w:i w:val="0"/>
          <w:iCs w:val="0"/>
        </w:rPr>
        <w:t xml:space="preserve">Module: MBA in </w:t>
      </w:r>
      <w:r w:rsidR="455C5CE6" w:rsidRPr="73F31BAE">
        <w:rPr>
          <w:rFonts w:ascii="Arial" w:eastAsia="Arial" w:hAnsi="Arial" w:cs="Arial"/>
          <w:b/>
          <w:bCs/>
          <w:i w:val="0"/>
          <w:iCs w:val="0"/>
        </w:rPr>
        <w:t>General Management</w:t>
      </w:r>
      <w:r w:rsidRPr="73F31BAE">
        <w:rPr>
          <w:rFonts w:ascii="Arial" w:eastAsia="Arial" w:hAnsi="Arial" w:cs="Arial"/>
          <w:b/>
          <w:bCs/>
          <w:i w:val="0"/>
          <w:iCs w:val="0"/>
        </w:rPr>
        <w:t xml:space="preserve"> - LCMB 7020</w:t>
      </w:r>
    </w:p>
    <w:p w14:paraId="001E771D" w14:textId="6F33AF13" w:rsidR="0B3603E4" w:rsidRDefault="3007444A" w:rsidP="73F31BAE">
      <w:pPr>
        <w:pStyle w:val="IntenseQuote"/>
        <w:rPr>
          <w:rFonts w:ascii="Arial" w:eastAsia="Arial" w:hAnsi="Arial" w:cs="Arial"/>
          <w:b/>
          <w:bCs/>
          <w:i w:val="0"/>
          <w:iCs w:val="0"/>
        </w:rPr>
      </w:pPr>
      <w:r w:rsidRPr="73F31BAE">
        <w:rPr>
          <w:rFonts w:ascii="Arial" w:eastAsia="Arial" w:hAnsi="Arial" w:cs="Arial"/>
          <w:b/>
          <w:bCs/>
          <w:i w:val="0"/>
          <w:iCs w:val="0"/>
        </w:rPr>
        <w:t>Title: Dissertation</w:t>
      </w:r>
    </w:p>
    <w:p w14:paraId="39DB941C" w14:textId="0FED6742" w:rsidR="0B3603E4" w:rsidRDefault="3007444A" w:rsidP="73F31BAE">
      <w:pPr>
        <w:pStyle w:val="IntenseQuote"/>
        <w:rPr>
          <w:rFonts w:ascii="Arial" w:eastAsia="Arial" w:hAnsi="Arial" w:cs="Arial"/>
          <w:b/>
          <w:bCs/>
          <w:i w:val="0"/>
          <w:iCs w:val="0"/>
        </w:rPr>
      </w:pPr>
      <w:r w:rsidRPr="73F31BAE">
        <w:rPr>
          <w:rFonts w:ascii="Arial" w:eastAsia="Arial" w:hAnsi="Arial" w:cs="Arial"/>
          <w:b/>
          <w:bCs/>
          <w:i w:val="0"/>
          <w:iCs w:val="0"/>
        </w:rPr>
        <w:t>Date: 1</w:t>
      </w:r>
      <w:r w:rsidR="76383BDA" w:rsidRPr="73F31BAE">
        <w:rPr>
          <w:rFonts w:ascii="Arial" w:eastAsia="Arial" w:hAnsi="Arial" w:cs="Arial"/>
          <w:b/>
          <w:bCs/>
          <w:i w:val="0"/>
          <w:iCs w:val="0"/>
        </w:rPr>
        <w:t>1</w:t>
      </w:r>
      <w:r w:rsidRPr="73F31BAE">
        <w:rPr>
          <w:rFonts w:ascii="Arial" w:eastAsia="Arial" w:hAnsi="Arial" w:cs="Arial"/>
          <w:b/>
          <w:bCs/>
          <w:i w:val="0"/>
          <w:iCs w:val="0"/>
        </w:rPr>
        <w:t>/0</w:t>
      </w:r>
      <w:r w:rsidR="07D4E247" w:rsidRPr="73F31BAE">
        <w:rPr>
          <w:rFonts w:ascii="Arial" w:eastAsia="Arial" w:hAnsi="Arial" w:cs="Arial"/>
          <w:b/>
          <w:bCs/>
          <w:i w:val="0"/>
          <w:iCs w:val="0"/>
        </w:rPr>
        <w:t>1</w:t>
      </w:r>
      <w:r w:rsidRPr="73F31BAE">
        <w:rPr>
          <w:rFonts w:ascii="Arial" w:eastAsia="Arial" w:hAnsi="Arial" w:cs="Arial"/>
          <w:b/>
          <w:bCs/>
          <w:i w:val="0"/>
          <w:iCs w:val="0"/>
        </w:rPr>
        <w:t>/202</w:t>
      </w:r>
      <w:r w:rsidR="4CAF4E21" w:rsidRPr="73F31BAE">
        <w:rPr>
          <w:rFonts w:ascii="Arial" w:eastAsia="Arial" w:hAnsi="Arial" w:cs="Arial"/>
          <w:b/>
          <w:bCs/>
          <w:i w:val="0"/>
          <w:iCs w:val="0"/>
        </w:rPr>
        <w:t>4</w:t>
      </w:r>
    </w:p>
    <w:p w14:paraId="336BA9D1" w14:textId="60CD3F78" w:rsidR="0B3603E4" w:rsidRDefault="3007444A" w:rsidP="73F31BAE">
      <w:pPr>
        <w:pStyle w:val="IntenseQuote"/>
        <w:rPr>
          <w:rFonts w:ascii="Arial" w:eastAsia="Arial" w:hAnsi="Arial" w:cs="Arial"/>
          <w:b/>
          <w:bCs/>
          <w:i w:val="0"/>
          <w:iCs w:val="0"/>
        </w:rPr>
      </w:pPr>
      <w:r w:rsidRPr="73F31BAE">
        <w:rPr>
          <w:rFonts w:ascii="Arial" w:eastAsia="Arial" w:hAnsi="Arial" w:cs="Arial"/>
          <w:b/>
          <w:bCs/>
          <w:i w:val="0"/>
          <w:iCs w:val="0"/>
        </w:rPr>
        <w:t xml:space="preserve">Author: </w:t>
      </w:r>
      <w:r w:rsidR="63EC07DA" w:rsidRPr="73F31BAE">
        <w:rPr>
          <w:rFonts w:ascii="Arial" w:eastAsia="Arial" w:hAnsi="Arial" w:cs="Arial"/>
          <w:b/>
          <w:bCs/>
          <w:i w:val="0"/>
          <w:iCs w:val="0"/>
        </w:rPr>
        <w:t xml:space="preserve">Anjali </w:t>
      </w:r>
      <w:proofErr w:type="spellStart"/>
      <w:r w:rsidR="63EC07DA" w:rsidRPr="73F31BAE">
        <w:rPr>
          <w:rFonts w:ascii="Arial" w:eastAsia="Arial" w:hAnsi="Arial" w:cs="Arial"/>
          <w:b/>
          <w:bCs/>
          <w:i w:val="0"/>
          <w:iCs w:val="0"/>
        </w:rPr>
        <w:t>Kalyansinh</w:t>
      </w:r>
      <w:proofErr w:type="spellEnd"/>
      <w:r w:rsidR="63EC07DA" w:rsidRPr="73F31BAE">
        <w:rPr>
          <w:rFonts w:ascii="Arial" w:eastAsia="Arial" w:hAnsi="Arial" w:cs="Arial"/>
          <w:b/>
          <w:bCs/>
          <w:i w:val="0"/>
          <w:iCs w:val="0"/>
        </w:rPr>
        <w:t xml:space="preserve"> Thakur</w:t>
      </w:r>
    </w:p>
    <w:p w14:paraId="10940009" w14:textId="0BFFB0EF" w:rsidR="0B3603E4" w:rsidRDefault="3007444A" w:rsidP="73F31BAE">
      <w:pPr>
        <w:pStyle w:val="IntenseQuote"/>
        <w:rPr>
          <w:rFonts w:ascii="Arial" w:eastAsia="Arial" w:hAnsi="Arial" w:cs="Arial"/>
          <w:b/>
          <w:bCs/>
          <w:i w:val="0"/>
          <w:iCs w:val="0"/>
        </w:rPr>
      </w:pPr>
      <w:r w:rsidRPr="73F31BAE">
        <w:rPr>
          <w:rFonts w:ascii="Arial" w:eastAsia="Arial" w:hAnsi="Arial" w:cs="Arial"/>
          <w:b/>
          <w:bCs/>
          <w:i w:val="0"/>
          <w:iCs w:val="0"/>
        </w:rPr>
        <w:t xml:space="preserve">Student ID: </w:t>
      </w:r>
      <w:r w:rsidR="24AECF7F" w:rsidRPr="73F31BAE">
        <w:rPr>
          <w:rFonts w:ascii="Arial" w:eastAsia="Arial" w:hAnsi="Arial" w:cs="Arial"/>
          <w:b/>
          <w:bCs/>
          <w:i w:val="0"/>
          <w:iCs w:val="0"/>
        </w:rPr>
        <w:t>2226888</w:t>
      </w:r>
    </w:p>
    <w:p w14:paraId="3BE2A2B7" w14:textId="17AC8C7B" w:rsidR="0B3603E4" w:rsidRDefault="3007444A" w:rsidP="73F31BAE">
      <w:pPr>
        <w:pStyle w:val="IntenseQuote"/>
        <w:rPr>
          <w:rFonts w:ascii="Arial" w:eastAsia="Arial" w:hAnsi="Arial" w:cs="Arial"/>
          <w:b/>
          <w:bCs/>
          <w:i w:val="0"/>
          <w:iCs w:val="0"/>
        </w:rPr>
      </w:pPr>
      <w:r w:rsidRPr="73F31BAE">
        <w:rPr>
          <w:rFonts w:ascii="Arial" w:eastAsia="Arial" w:hAnsi="Arial" w:cs="Arial"/>
          <w:b/>
          <w:bCs/>
          <w:i w:val="0"/>
          <w:iCs w:val="0"/>
        </w:rPr>
        <w:t>Supervisor: Khaza Ahmed</w:t>
      </w:r>
    </w:p>
    <w:p w14:paraId="0805F8C6" w14:textId="33A3B6CB" w:rsidR="0B3603E4" w:rsidRDefault="0B3603E4" w:rsidP="73F31BAE">
      <w:pPr>
        <w:rPr>
          <w:rFonts w:ascii="Arial" w:eastAsia="Arial" w:hAnsi="Arial" w:cs="Arial"/>
        </w:rPr>
      </w:pPr>
    </w:p>
    <w:p w14:paraId="1E7ED472" w14:textId="32E35823" w:rsidR="0B3603E4" w:rsidRDefault="12C3C779" w:rsidP="73F31BAE">
      <w:pPr>
        <w:spacing w:after="0" w:line="360" w:lineRule="auto"/>
        <w:ind w:left="-20" w:right="-20"/>
        <w:jc w:val="center"/>
      </w:pPr>
      <w:r>
        <w:rPr>
          <w:noProof/>
        </w:rPr>
        <w:drawing>
          <wp:inline distT="0" distB="0" distL="0" distR="0" wp14:anchorId="128EE4A1" wp14:editId="6A5EAC2A">
            <wp:extent cx="4836584" cy="1511432"/>
            <wp:effectExtent l="0" t="0" r="0" b="0"/>
            <wp:docPr id="307501978" name="Picture 30750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836584" cy="1511432"/>
                    </a:xfrm>
                    <a:prstGeom prst="rect">
                      <a:avLst/>
                    </a:prstGeom>
                  </pic:spPr>
                </pic:pic>
              </a:graphicData>
            </a:graphic>
          </wp:inline>
        </w:drawing>
      </w:r>
    </w:p>
    <w:p w14:paraId="5793254F" w14:textId="0A1EEE47" w:rsidR="0B3603E4" w:rsidRDefault="0B3603E4" w:rsidP="73F31BAE">
      <w:pPr>
        <w:spacing w:after="0" w:line="360" w:lineRule="auto"/>
        <w:ind w:left="-20" w:right="-20"/>
        <w:jc w:val="center"/>
        <w:rPr>
          <w:b/>
          <w:bCs/>
        </w:rPr>
      </w:pPr>
    </w:p>
    <w:p w14:paraId="50EEE095" w14:textId="77777777" w:rsidR="00D62726" w:rsidRDefault="00D62726" w:rsidP="73F31BAE">
      <w:pPr>
        <w:spacing w:after="0" w:line="360" w:lineRule="auto"/>
        <w:ind w:left="-20" w:right="-20"/>
        <w:jc w:val="center"/>
        <w:rPr>
          <w:b/>
          <w:bCs/>
        </w:rPr>
      </w:pPr>
    </w:p>
    <w:p w14:paraId="3519C5D6" w14:textId="77777777" w:rsidR="00D62726" w:rsidRDefault="00D62726" w:rsidP="73F31BAE">
      <w:pPr>
        <w:spacing w:after="0" w:line="360" w:lineRule="auto"/>
        <w:ind w:left="-20" w:right="-20"/>
        <w:jc w:val="center"/>
        <w:rPr>
          <w:b/>
          <w:bCs/>
        </w:rPr>
      </w:pPr>
    </w:p>
    <w:p w14:paraId="5900266B" w14:textId="77777777" w:rsidR="00D62726" w:rsidRDefault="00D62726" w:rsidP="73F31BAE">
      <w:pPr>
        <w:spacing w:after="0" w:line="360" w:lineRule="auto"/>
        <w:ind w:left="-20" w:right="-20"/>
        <w:jc w:val="center"/>
        <w:rPr>
          <w:b/>
          <w:bCs/>
        </w:rPr>
      </w:pPr>
    </w:p>
    <w:p w14:paraId="1871A45B" w14:textId="77777777" w:rsidR="00D62726" w:rsidRDefault="00D62726" w:rsidP="73F31BAE">
      <w:pPr>
        <w:spacing w:after="0" w:line="360" w:lineRule="auto"/>
        <w:ind w:left="-20" w:right="-20"/>
        <w:jc w:val="center"/>
        <w:rPr>
          <w:b/>
          <w:bCs/>
        </w:rPr>
      </w:pPr>
    </w:p>
    <w:p w14:paraId="077A9B20" w14:textId="5E5A7BC0" w:rsidR="0B3603E4" w:rsidRDefault="674B0430" w:rsidP="73F31BAE">
      <w:pPr>
        <w:spacing w:after="0" w:line="360" w:lineRule="auto"/>
        <w:ind w:left="-20" w:right="-20"/>
        <w:jc w:val="center"/>
        <w:rPr>
          <w:rFonts w:ascii="Arial" w:eastAsia="Arial" w:hAnsi="Arial" w:cs="Arial"/>
          <w:b/>
          <w:bCs/>
        </w:rPr>
      </w:pPr>
      <w:r w:rsidRPr="73F31BAE">
        <w:rPr>
          <w:rFonts w:ascii="Arial" w:eastAsia="Arial" w:hAnsi="Arial" w:cs="Arial"/>
          <w:b/>
          <w:bCs/>
        </w:rPr>
        <w:lastRenderedPageBreak/>
        <w:t>Abstract</w:t>
      </w:r>
    </w:p>
    <w:p w14:paraId="5CD0991F" w14:textId="502DC0E7" w:rsidR="0B3603E4" w:rsidRDefault="674B0430" w:rsidP="73F31BAE">
      <w:pPr>
        <w:spacing w:line="360" w:lineRule="auto"/>
        <w:ind w:left="-20" w:right="-20"/>
        <w:jc w:val="both"/>
        <w:rPr>
          <w:rFonts w:ascii="Arial" w:eastAsia="Arial" w:hAnsi="Arial" w:cs="Arial"/>
        </w:rPr>
      </w:pPr>
      <w:bookmarkStart w:id="0" w:name="_Int_Jk94mPoa"/>
      <w:r w:rsidRPr="73F31BAE">
        <w:rPr>
          <w:rFonts w:ascii="Arial" w:eastAsia="Arial" w:hAnsi="Arial" w:cs="Arial"/>
        </w:rPr>
        <w:t>The research delves into the impact of interest rates on the stock market in the United Kingdom, recognizing the significance of the UK's stock market in the nation's economic landscape. It aims to contribute to the existing literature, provide insights for policymakers, and offer valuable knowledge on the dynamics of financial markets and investor behavior.</w:t>
      </w:r>
      <w:bookmarkEnd w:id="0"/>
    </w:p>
    <w:p w14:paraId="56B96747" w14:textId="5E888E15" w:rsidR="0B3603E4" w:rsidRDefault="674B0430" w:rsidP="73F31BAE">
      <w:pPr>
        <w:spacing w:line="360" w:lineRule="auto"/>
        <w:ind w:left="-20" w:right="-20"/>
        <w:jc w:val="both"/>
        <w:rPr>
          <w:rFonts w:ascii="Arial" w:eastAsia="Arial" w:hAnsi="Arial" w:cs="Arial"/>
        </w:rPr>
      </w:pPr>
      <w:r w:rsidRPr="73F31BAE">
        <w:rPr>
          <w:rFonts w:ascii="Arial" w:eastAsia="Arial" w:hAnsi="Arial" w:cs="Arial"/>
          <w:b/>
          <w:bCs/>
        </w:rPr>
        <w:t>Purpose:</w:t>
      </w:r>
      <w:r w:rsidRPr="73F31BAE">
        <w:rPr>
          <w:rFonts w:ascii="Arial" w:eastAsia="Arial" w:hAnsi="Arial" w:cs="Arial"/>
        </w:rPr>
        <w:t xml:space="preserve"> The overall purpose of the research is to comprehensively investigate the relationship between interest rates and stock prices in the </w:t>
      </w:r>
      <w:r w:rsidR="44344ED8" w:rsidRPr="73F31BAE">
        <w:rPr>
          <w:rFonts w:ascii="Arial" w:eastAsia="Arial" w:hAnsi="Arial" w:cs="Arial"/>
        </w:rPr>
        <w:t>UK (United Kingdom)</w:t>
      </w:r>
      <w:r w:rsidRPr="73F31BAE">
        <w:rPr>
          <w:rFonts w:ascii="Arial" w:eastAsia="Arial" w:hAnsi="Arial" w:cs="Arial"/>
        </w:rPr>
        <w:t>. This involves analyzing historical data to identify the impact of interest rates on stock market performance and to contribute to the development of theoretical frameworks and empirical models in the fields of finance, economics, and monetary policy.</w:t>
      </w:r>
    </w:p>
    <w:p w14:paraId="57BDBFE7" w14:textId="598EFF7A" w:rsidR="0B3603E4" w:rsidRDefault="674B0430" w:rsidP="73F31BAE">
      <w:pPr>
        <w:spacing w:line="360" w:lineRule="auto"/>
        <w:ind w:left="-20" w:right="-20"/>
        <w:jc w:val="both"/>
        <w:rPr>
          <w:rFonts w:ascii="Arial" w:eastAsia="Arial" w:hAnsi="Arial" w:cs="Arial"/>
        </w:rPr>
      </w:pPr>
      <w:bookmarkStart w:id="1" w:name="_Int_cqSheLAO"/>
      <w:r w:rsidRPr="73F31BAE">
        <w:rPr>
          <w:rFonts w:ascii="Arial" w:eastAsia="Arial" w:hAnsi="Arial" w:cs="Arial"/>
          <w:b/>
          <w:bCs/>
        </w:rPr>
        <w:t>Methodology:</w:t>
      </w:r>
      <w:r w:rsidRPr="73F31BAE">
        <w:rPr>
          <w:rFonts w:ascii="Arial" w:eastAsia="Arial" w:hAnsi="Arial" w:cs="Arial"/>
        </w:rPr>
        <w:t xml:space="preserve"> The research methodology employs a quantitative approach, utilizing linear regression analysis to understand the impact of interest rates on the stock market in the United Kingdom. The study focuses on data from the last 10 years, aligning with the significance of time series data in analyzing stock market dynamics.</w:t>
      </w:r>
      <w:bookmarkEnd w:id="1"/>
    </w:p>
    <w:p w14:paraId="4E674EC2" w14:textId="2AF694BB" w:rsidR="0B3603E4" w:rsidRDefault="674B0430" w:rsidP="73F31BAE">
      <w:pPr>
        <w:spacing w:line="360" w:lineRule="auto"/>
        <w:ind w:left="-20" w:right="-20"/>
        <w:jc w:val="both"/>
        <w:rPr>
          <w:rFonts w:ascii="Arial" w:eastAsia="Arial" w:hAnsi="Arial" w:cs="Arial"/>
        </w:rPr>
      </w:pPr>
      <w:bookmarkStart w:id="2" w:name="_Int_2xBwj0N4"/>
      <w:r w:rsidRPr="73F31BAE">
        <w:rPr>
          <w:rFonts w:ascii="Arial" w:eastAsia="Arial" w:hAnsi="Arial" w:cs="Arial"/>
          <w:b/>
          <w:bCs/>
        </w:rPr>
        <w:t>Research Limitation:</w:t>
      </w:r>
      <w:r w:rsidRPr="73F31BAE">
        <w:rPr>
          <w:rFonts w:ascii="Arial" w:eastAsia="Arial" w:hAnsi="Arial" w:cs="Arial"/>
        </w:rPr>
        <w:t xml:space="preserve"> The study's focus on quantitative research methods and linear regression analysis may limit the exploration of qualitative aspects and non-linear relationships within the stock market.</w:t>
      </w:r>
      <w:bookmarkEnd w:id="2"/>
    </w:p>
    <w:p w14:paraId="3DD58E5F" w14:textId="39A36574" w:rsidR="0B3603E4" w:rsidRDefault="674B0430" w:rsidP="73F31BAE">
      <w:pPr>
        <w:spacing w:line="360" w:lineRule="auto"/>
        <w:ind w:left="-20" w:right="-20"/>
        <w:jc w:val="both"/>
        <w:rPr>
          <w:rFonts w:ascii="Arial" w:eastAsia="Arial" w:hAnsi="Arial" w:cs="Arial"/>
        </w:rPr>
      </w:pPr>
      <w:r w:rsidRPr="73F31BAE">
        <w:rPr>
          <w:rFonts w:ascii="Arial" w:eastAsia="Arial" w:hAnsi="Arial" w:cs="Arial"/>
          <w:b/>
          <w:bCs/>
        </w:rPr>
        <w:t>New Insights:</w:t>
      </w:r>
      <w:r w:rsidRPr="73F31BAE">
        <w:rPr>
          <w:rFonts w:ascii="Arial" w:eastAsia="Arial" w:hAnsi="Arial" w:cs="Arial"/>
        </w:rPr>
        <w:t xml:space="preserve"> The research Intends to provide valuable insights into the dynamics of the UK stock market and aid investors, policymakers, and researchers in making informed decisions.</w:t>
      </w:r>
    </w:p>
    <w:p w14:paraId="255FDDFF" w14:textId="11629409" w:rsidR="0B3603E4" w:rsidRDefault="674B0430" w:rsidP="73F31BAE">
      <w:pPr>
        <w:spacing w:after="0" w:line="360" w:lineRule="auto"/>
        <w:jc w:val="both"/>
        <w:rPr>
          <w:rFonts w:ascii="Arial" w:eastAsia="Arial" w:hAnsi="Arial" w:cs="Arial"/>
        </w:rPr>
      </w:pPr>
      <w:r w:rsidRPr="73F31BAE">
        <w:rPr>
          <w:rFonts w:ascii="Arial" w:eastAsia="Arial" w:hAnsi="Arial" w:cs="Arial"/>
          <w:b/>
          <w:bCs/>
        </w:rPr>
        <w:t>Conclusion:</w:t>
      </w:r>
      <w:r w:rsidRPr="73F31BAE">
        <w:rPr>
          <w:rFonts w:ascii="Arial" w:eastAsia="Arial" w:hAnsi="Arial" w:cs="Arial"/>
        </w:rPr>
        <w:t xml:space="preserve"> The research has highlighted the major influence of interest rates, particularly the Bank of England base rate, on stock prices, emphasizing the need for monitoring the relationship between interest rates and stock prices and understanding the implications of interest rate volatility. Additionally, the study has underscored the role of key economic indicators such as inflation rate, unemployment rate, and </w:t>
      </w:r>
      <w:r w:rsidR="519BB307" w:rsidRPr="73F31BAE">
        <w:rPr>
          <w:rFonts w:ascii="Arial" w:eastAsia="Arial" w:hAnsi="Arial" w:cs="Arial"/>
        </w:rPr>
        <w:t>GDP (Gross Domestic Product)</w:t>
      </w:r>
      <w:r w:rsidRPr="73F31BAE">
        <w:rPr>
          <w:rFonts w:ascii="Arial" w:eastAsia="Arial" w:hAnsi="Arial" w:cs="Arial"/>
        </w:rPr>
        <w:t xml:space="preserve"> growth in influencing the dynamics of the stock market, providing practical and theoretical implications for further exploration and application in finance, economics, and monetary policy.</w:t>
      </w:r>
    </w:p>
    <w:p w14:paraId="3C76537A" w14:textId="6FC82E4E"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15435893" w14:textId="2938A2FB"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1A441C53" w14:textId="25547759"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5BF46FAB" w14:textId="31A7EF9C"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559076EE" w14:textId="70FBB3EE"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192676C3" w14:textId="3911BC2E"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57AF7C84" w14:textId="06B9AA79" w:rsidR="0B3603E4" w:rsidRDefault="7CF1495B" w:rsidP="73F31BAE">
      <w:pPr>
        <w:spacing w:after="0" w:line="360" w:lineRule="auto"/>
        <w:ind w:left="-20" w:right="-20"/>
        <w:jc w:val="both"/>
      </w:pPr>
      <w:r w:rsidRPr="73F31BAE">
        <w:rPr>
          <w:rFonts w:ascii="Arial" w:eastAsia="Arial" w:hAnsi="Arial" w:cs="Arial"/>
          <w:b/>
          <w:bCs/>
          <w:color w:val="000000" w:themeColor="text1"/>
        </w:rPr>
        <w:lastRenderedPageBreak/>
        <w:t>Acknowledgement</w:t>
      </w:r>
    </w:p>
    <w:p w14:paraId="56EA3EEC" w14:textId="0F1C2829" w:rsidR="0B3603E4" w:rsidRDefault="7CF1495B" w:rsidP="73F31BAE">
      <w:pPr>
        <w:spacing w:after="0" w:line="360" w:lineRule="auto"/>
        <w:ind w:left="-20" w:right="-20"/>
        <w:jc w:val="both"/>
        <w:rPr>
          <w:rFonts w:ascii="Arial" w:eastAsia="Arial" w:hAnsi="Arial" w:cs="Arial"/>
        </w:rPr>
      </w:pPr>
      <w:r w:rsidRPr="73F31BAE">
        <w:rPr>
          <w:rFonts w:ascii="Arial" w:eastAsia="Arial" w:hAnsi="Arial" w:cs="Arial"/>
        </w:rPr>
        <w:t xml:space="preserve">I would like to express my deepest gratitude to my dissertation supervisor, Khaza Ahmed, for </w:t>
      </w:r>
      <w:r w:rsidR="5C43BBF4" w:rsidRPr="73F31BAE">
        <w:rPr>
          <w:rFonts w:ascii="Arial" w:eastAsia="Arial" w:hAnsi="Arial" w:cs="Arial"/>
        </w:rPr>
        <w:t>his</w:t>
      </w:r>
      <w:r w:rsidRPr="73F31BAE">
        <w:rPr>
          <w:rFonts w:ascii="Arial" w:eastAsia="Arial" w:hAnsi="Arial" w:cs="Arial"/>
        </w:rPr>
        <w:t xml:space="preserve"> invaluable guidance, support, and expertise throughout the research process. </w:t>
      </w:r>
      <w:r w:rsidR="14820AC2" w:rsidRPr="73F31BAE">
        <w:rPr>
          <w:rFonts w:ascii="Arial" w:eastAsia="Arial" w:hAnsi="Arial" w:cs="Arial"/>
        </w:rPr>
        <w:t>His</w:t>
      </w:r>
      <w:r w:rsidRPr="73F31BAE">
        <w:rPr>
          <w:rFonts w:ascii="Arial" w:eastAsia="Arial" w:hAnsi="Arial" w:cs="Arial"/>
        </w:rPr>
        <w:t xml:space="preserve"> insightful feedback and encouragement have been instrumental in shaping this dissertation. I am also thankful to the faculty members of the Uni</w:t>
      </w:r>
      <w:r w:rsidR="33B63A48" w:rsidRPr="73F31BAE">
        <w:rPr>
          <w:rFonts w:ascii="Arial" w:eastAsia="Arial" w:hAnsi="Arial" w:cs="Arial"/>
        </w:rPr>
        <w:t>versity of the Wales Trinity Saint David</w:t>
      </w:r>
      <w:r w:rsidRPr="73F31BAE">
        <w:rPr>
          <w:rFonts w:ascii="Arial" w:eastAsia="Arial" w:hAnsi="Arial" w:cs="Arial"/>
        </w:rPr>
        <w:t xml:space="preserve"> for their constructive </w:t>
      </w:r>
      <w:r w:rsidR="41FCC4F1" w:rsidRPr="73F31BAE">
        <w:rPr>
          <w:rFonts w:ascii="Arial" w:eastAsia="Arial" w:hAnsi="Arial" w:cs="Arial"/>
        </w:rPr>
        <w:t xml:space="preserve">criticism and </w:t>
      </w:r>
      <w:r w:rsidRPr="73F31BAE">
        <w:rPr>
          <w:rFonts w:ascii="Arial" w:eastAsia="Arial" w:hAnsi="Arial" w:cs="Arial"/>
        </w:rPr>
        <w:t>suggestions, which have significantly contributed to the improvement of this dissertation.</w:t>
      </w:r>
    </w:p>
    <w:p w14:paraId="2EEFFC30" w14:textId="53F585A3" w:rsidR="0B3603E4" w:rsidRDefault="0B3603E4" w:rsidP="73F31BAE">
      <w:pPr>
        <w:spacing w:after="0" w:line="360" w:lineRule="auto"/>
        <w:ind w:left="-20" w:right="-20"/>
        <w:jc w:val="both"/>
        <w:rPr>
          <w:rFonts w:ascii="Arial" w:eastAsia="Arial" w:hAnsi="Arial" w:cs="Arial"/>
          <w:b/>
          <w:bCs/>
        </w:rPr>
      </w:pPr>
    </w:p>
    <w:p w14:paraId="7CC7DF65" w14:textId="73B8261A" w:rsidR="0B3603E4" w:rsidRDefault="214F378A" w:rsidP="73F31BAE">
      <w:pPr>
        <w:spacing w:after="0" w:line="360" w:lineRule="auto"/>
        <w:ind w:left="-20" w:right="-20"/>
        <w:jc w:val="both"/>
        <w:rPr>
          <w:rFonts w:ascii="Arial" w:eastAsia="Arial" w:hAnsi="Arial" w:cs="Arial"/>
          <w:b/>
          <w:bCs/>
        </w:rPr>
      </w:pPr>
      <w:r w:rsidRPr="73F31BAE">
        <w:rPr>
          <w:rFonts w:ascii="Arial" w:eastAsia="Arial" w:hAnsi="Arial" w:cs="Arial"/>
          <w:b/>
          <w:bCs/>
        </w:rPr>
        <w:t>Dedication</w:t>
      </w:r>
    </w:p>
    <w:p w14:paraId="2E9A2614" w14:textId="1CEB2C07" w:rsidR="0B3603E4" w:rsidRDefault="63F765AC" w:rsidP="73F31BAE">
      <w:pPr>
        <w:spacing w:after="0" w:line="360" w:lineRule="auto"/>
        <w:ind w:left="-20" w:right="-20"/>
        <w:jc w:val="both"/>
        <w:rPr>
          <w:rFonts w:ascii="Arial" w:eastAsia="Arial" w:hAnsi="Arial" w:cs="Arial"/>
        </w:rPr>
      </w:pPr>
      <w:r w:rsidRPr="73F31BAE">
        <w:rPr>
          <w:rFonts w:ascii="Arial" w:eastAsia="Arial" w:hAnsi="Arial" w:cs="Arial"/>
        </w:rPr>
        <w:t>I dedicate this dissertation to my loving family, whose unwavering support and encouragement have been instrumental in my academic journey. I am deeply grateful for their sacrifices, understanding, and belief in my abilities. This work is a testament to their love and guidance, and I am forever indebted to them for their endless patience and encouragement.</w:t>
      </w:r>
    </w:p>
    <w:p w14:paraId="77226F34" w14:textId="3DA130ED" w:rsidR="0B3603E4" w:rsidRDefault="0B3603E4" w:rsidP="73F31BAE">
      <w:pPr>
        <w:spacing w:after="0" w:line="360" w:lineRule="auto"/>
        <w:ind w:left="-20" w:right="-20"/>
        <w:jc w:val="both"/>
        <w:rPr>
          <w:rFonts w:ascii="Arial" w:eastAsia="Arial" w:hAnsi="Arial" w:cs="Arial"/>
        </w:rPr>
      </w:pPr>
    </w:p>
    <w:p w14:paraId="744F69D0" w14:textId="039D3388" w:rsidR="0B3603E4" w:rsidRDefault="1CEF88C2" w:rsidP="73F31BAE">
      <w:pPr>
        <w:spacing w:after="0" w:line="360" w:lineRule="auto"/>
        <w:ind w:left="-20" w:right="-20"/>
        <w:jc w:val="both"/>
        <w:rPr>
          <w:rFonts w:ascii="Arial" w:eastAsia="Arial" w:hAnsi="Arial" w:cs="Arial"/>
        </w:rPr>
      </w:pPr>
      <w:r w:rsidRPr="73F31BAE">
        <w:rPr>
          <w:rFonts w:ascii="Arial" w:eastAsia="Arial" w:hAnsi="Arial" w:cs="Arial"/>
          <w:b/>
          <w:bCs/>
        </w:rPr>
        <w:t>Declaration</w:t>
      </w:r>
    </w:p>
    <w:p w14:paraId="2CC298ED" w14:textId="4F376040" w:rsidR="0B3603E4" w:rsidRDefault="1CEF88C2" w:rsidP="73F31BAE">
      <w:pPr>
        <w:spacing w:after="0" w:line="360" w:lineRule="auto"/>
        <w:ind w:left="-20" w:right="-20"/>
        <w:jc w:val="both"/>
        <w:rPr>
          <w:rFonts w:ascii="Arial" w:eastAsia="Arial" w:hAnsi="Arial" w:cs="Arial"/>
        </w:rPr>
      </w:pPr>
      <w:r w:rsidRPr="73F31BAE">
        <w:rPr>
          <w:rFonts w:ascii="Arial" w:eastAsia="Arial" w:hAnsi="Arial" w:cs="Arial"/>
          <w:color w:val="242424"/>
        </w:rPr>
        <w:t>I declare that this dissertation has been written solely by myself and that it has not been submitted, in whole or in part, in any previous application for a degree in this university or any other institution. In addition, I have acknowledged all main source/s-author/s appropriately in parts of this dissertation where I have quoted work from others.</w:t>
      </w:r>
    </w:p>
    <w:p w14:paraId="17A58CFA" w14:textId="1D231224"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2D1D3347" w14:textId="70A76B88" w:rsidR="0B3603E4" w:rsidRDefault="5B946DF3" w:rsidP="73F31BAE">
      <w:pPr>
        <w:spacing w:after="0" w:line="360" w:lineRule="auto"/>
        <w:ind w:left="-20" w:right="-20"/>
        <w:jc w:val="both"/>
        <w:rPr>
          <w:rFonts w:ascii="Arial" w:eastAsia="Arial" w:hAnsi="Arial" w:cs="Arial"/>
          <w:b/>
          <w:bCs/>
          <w:color w:val="000000" w:themeColor="text1"/>
        </w:rPr>
      </w:pPr>
      <w:r w:rsidRPr="73F31BAE">
        <w:rPr>
          <w:rFonts w:ascii="Arial" w:eastAsia="Arial" w:hAnsi="Arial" w:cs="Arial"/>
          <w:color w:val="000000" w:themeColor="text1"/>
        </w:rPr>
        <w:t xml:space="preserve">Anjali </w:t>
      </w:r>
      <w:proofErr w:type="spellStart"/>
      <w:r w:rsidRPr="73F31BAE">
        <w:rPr>
          <w:rFonts w:ascii="Arial" w:eastAsia="Arial" w:hAnsi="Arial" w:cs="Arial"/>
          <w:color w:val="000000" w:themeColor="text1"/>
        </w:rPr>
        <w:t>Kalyansinh</w:t>
      </w:r>
      <w:proofErr w:type="spellEnd"/>
      <w:r w:rsidRPr="73F31BAE">
        <w:rPr>
          <w:rFonts w:ascii="Arial" w:eastAsia="Arial" w:hAnsi="Arial" w:cs="Arial"/>
          <w:color w:val="000000" w:themeColor="text1"/>
        </w:rPr>
        <w:t xml:space="preserve"> Thakur</w:t>
      </w:r>
    </w:p>
    <w:p w14:paraId="477598DD" w14:textId="33E6201E" w:rsidR="0B3603E4" w:rsidRDefault="5B946DF3"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Year 2024</w:t>
      </w:r>
    </w:p>
    <w:p w14:paraId="7A4A31E1" w14:textId="15A19C3B"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3FED1FC8" w14:textId="369B66D6"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1B2C3242" w14:textId="391915DB"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7C64BD40" w14:textId="2BEC7C7A"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7C83913E" w14:textId="2A090BA7"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71D3CEB6" w14:textId="598C1A74"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0F8182A1" w14:textId="6CC91534"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7472BA76" w14:textId="2676FC81"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2F157EAF" w14:textId="3F37247F"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33FEEE9D" w14:textId="7D86BC4F" w:rsidR="0B3603E4" w:rsidRDefault="0B3603E4" w:rsidP="73F31BAE">
      <w:pPr>
        <w:spacing w:after="0" w:line="360" w:lineRule="auto"/>
        <w:ind w:left="-20" w:right="-20"/>
        <w:jc w:val="both"/>
        <w:rPr>
          <w:rFonts w:ascii="Arial" w:eastAsia="Arial" w:hAnsi="Arial" w:cs="Arial"/>
          <w:b/>
          <w:bCs/>
          <w:color w:val="000000" w:themeColor="text1"/>
        </w:rPr>
      </w:pPr>
    </w:p>
    <w:p w14:paraId="448CE473" w14:textId="1E55EAFB" w:rsidR="0B3603E4" w:rsidRDefault="0B3603E4" w:rsidP="73F31BAE">
      <w:pPr>
        <w:spacing w:after="0" w:line="360" w:lineRule="auto"/>
        <w:ind w:left="-20" w:right="-20"/>
        <w:jc w:val="both"/>
        <w:rPr>
          <w:rFonts w:ascii="Arial" w:eastAsia="Arial" w:hAnsi="Arial" w:cs="Arial"/>
          <w:b/>
          <w:bCs/>
          <w:color w:val="000000" w:themeColor="text1"/>
        </w:rPr>
      </w:pPr>
    </w:p>
    <w:p w14:paraId="696C6296" w14:textId="3D8E4625" w:rsidR="0B3603E4" w:rsidRDefault="0B3603E4" w:rsidP="73F31BAE">
      <w:pPr>
        <w:spacing w:after="0" w:line="360" w:lineRule="auto"/>
        <w:ind w:left="-20" w:right="-20"/>
        <w:jc w:val="both"/>
        <w:rPr>
          <w:rFonts w:ascii="Arial" w:eastAsia="Arial" w:hAnsi="Arial" w:cs="Arial"/>
          <w:b/>
          <w:bCs/>
          <w:color w:val="000000" w:themeColor="text1"/>
        </w:rPr>
      </w:pPr>
    </w:p>
    <w:p w14:paraId="2759C219" w14:textId="08F61308" w:rsidR="0B3603E4" w:rsidRDefault="0B3603E4" w:rsidP="73F31BAE">
      <w:pPr>
        <w:spacing w:after="0" w:line="360" w:lineRule="auto"/>
        <w:ind w:left="-20" w:right="-20"/>
        <w:jc w:val="both"/>
        <w:rPr>
          <w:rFonts w:ascii="Arial" w:eastAsia="Arial" w:hAnsi="Arial" w:cs="Arial"/>
          <w:b/>
          <w:bCs/>
          <w:color w:val="000000" w:themeColor="text1"/>
        </w:rPr>
      </w:pPr>
    </w:p>
    <w:p w14:paraId="6208AD24" w14:textId="33E2FDAA" w:rsidR="0B3603E4" w:rsidRDefault="0B3603E4" w:rsidP="73F31BAE">
      <w:pPr>
        <w:spacing w:after="0" w:line="360" w:lineRule="auto"/>
        <w:ind w:left="-20" w:right="-20"/>
        <w:jc w:val="both"/>
        <w:rPr>
          <w:rFonts w:ascii="Arial" w:eastAsia="Arial" w:hAnsi="Arial" w:cs="Arial"/>
          <w:b/>
          <w:bCs/>
          <w:color w:val="000000" w:themeColor="text1"/>
        </w:rPr>
      </w:pPr>
    </w:p>
    <w:p w14:paraId="075EB96B" w14:textId="150A1CBD" w:rsidR="0B3603E4" w:rsidRDefault="25F3582A" w:rsidP="73F31BAE">
      <w:pPr>
        <w:spacing w:after="0" w:line="360" w:lineRule="auto"/>
        <w:ind w:left="-20" w:right="-20"/>
        <w:jc w:val="center"/>
        <w:rPr>
          <w:rFonts w:ascii="Arial" w:eastAsia="Arial" w:hAnsi="Arial" w:cs="Arial"/>
          <w:b/>
          <w:bCs/>
          <w:color w:val="000000" w:themeColor="text1"/>
        </w:rPr>
      </w:pPr>
      <w:r w:rsidRPr="73F31BAE">
        <w:rPr>
          <w:rFonts w:ascii="Arial" w:eastAsia="Arial" w:hAnsi="Arial" w:cs="Arial"/>
          <w:b/>
          <w:bCs/>
          <w:color w:val="000000" w:themeColor="text1"/>
        </w:rPr>
        <w:t>Table of Content</w:t>
      </w:r>
      <w:r w:rsidR="62F48756" w:rsidRPr="73F31BAE">
        <w:rPr>
          <w:rFonts w:ascii="Arial" w:eastAsia="Arial" w:hAnsi="Arial" w:cs="Arial"/>
          <w:b/>
          <w:bCs/>
          <w:color w:val="000000" w:themeColor="text1"/>
        </w:rPr>
        <w:t>s</w:t>
      </w:r>
    </w:p>
    <w:tbl>
      <w:tblPr>
        <w:tblStyle w:val="TableGrid"/>
        <w:tblW w:w="0" w:type="auto"/>
        <w:jc w:val="center"/>
        <w:tblLayout w:type="fixed"/>
        <w:tblLook w:val="06A0" w:firstRow="1" w:lastRow="0" w:firstColumn="1" w:lastColumn="0" w:noHBand="1" w:noVBand="1"/>
      </w:tblPr>
      <w:tblGrid>
        <w:gridCol w:w="8685"/>
      </w:tblGrid>
      <w:tr w:rsidR="73F31BAE" w14:paraId="7D8D2129" w14:textId="77777777" w:rsidTr="73F31BAE">
        <w:trPr>
          <w:trHeight w:val="300"/>
          <w:jc w:val="center"/>
        </w:trPr>
        <w:tc>
          <w:tcPr>
            <w:tcW w:w="8685" w:type="dxa"/>
          </w:tcPr>
          <w:p w14:paraId="27A9E24E" w14:textId="584B29ED" w:rsidR="58DD902B" w:rsidRDefault="58DD902B" w:rsidP="73F31BAE">
            <w:pPr>
              <w:spacing w:after="200" w:line="276" w:lineRule="auto"/>
              <w:ind w:right="-20"/>
              <w:rPr>
                <w:rFonts w:ascii="Arial" w:eastAsia="Arial" w:hAnsi="Arial" w:cs="Arial"/>
                <w:color w:val="000000" w:themeColor="text1"/>
              </w:rPr>
            </w:pPr>
            <w:r w:rsidRPr="73F31BAE">
              <w:rPr>
                <w:rFonts w:ascii="Arial" w:eastAsia="Arial" w:hAnsi="Arial" w:cs="Arial"/>
                <w:b/>
                <w:bCs/>
                <w:color w:val="000000" w:themeColor="text1"/>
              </w:rPr>
              <w:t xml:space="preserve">Chapter 1: </w:t>
            </w:r>
            <w:r w:rsidRPr="73F31BAE">
              <w:rPr>
                <w:rFonts w:ascii="Arial" w:eastAsia="Arial" w:hAnsi="Arial" w:cs="Arial"/>
                <w:b/>
                <w:bCs/>
              </w:rPr>
              <w:t>Introduction</w:t>
            </w:r>
          </w:p>
          <w:p w14:paraId="3272D21A" w14:textId="7F6FFB66" w:rsidR="58DD902B" w:rsidRDefault="58DD902B" w:rsidP="73F31BAE">
            <w:pPr>
              <w:spacing w:after="200" w:line="276" w:lineRule="auto"/>
              <w:ind w:left="709" w:right="-20"/>
              <w:rPr>
                <w:rFonts w:ascii="Arial" w:eastAsia="Arial" w:hAnsi="Arial" w:cs="Arial"/>
              </w:rPr>
            </w:pPr>
            <w:r w:rsidRPr="73F31BAE">
              <w:rPr>
                <w:rFonts w:ascii="Arial" w:eastAsia="Arial" w:hAnsi="Arial" w:cs="Arial"/>
              </w:rPr>
              <w:t>1.1 Introduction_________________________________________________</w:t>
            </w:r>
            <w:r w:rsidR="521012C4" w:rsidRPr="73F31BAE">
              <w:rPr>
                <w:rFonts w:ascii="Arial" w:eastAsia="Arial" w:hAnsi="Arial" w:cs="Arial"/>
              </w:rPr>
              <w:t>7</w:t>
            </w:r>
          </w:p>
          <w:p w14:paraId="4D21768D" w14:textId="38952F47" w:rsidR="58DD902B" w:rsidRDefault="58DD902B" w:rsidP="73F31BAE">
            <w:pPr>
              <w:spacing w:after="200" w:line="276" w:lineRule="auto"/>
              <w:ind w:left="709" w:right="-20"/>
              <w:rPr>
                <w:rFonts w:ascii="Arial" w:eastAsia="Arial" w:hAnsi="Arial" w:cs="Arial"/>
              </w:rPr>
            </w:pPr>
            <w:r w:rsidRPr="73F31BAE">
              <w:rPr>
                <w:rFonts w:ascii="Arial" w:eastAsia="Arial" w:hAnsi="Arial" w:cs="Arial"/>
              </w:rPr>
              <w:t>1.2 Background and Problem Statement_____________________________</w:t>
            </w:r>
            <w:r w:rsidR="6A15F447" w:rsidRPr="73F31BAE">
              <w:rPr>
                <w:rFonts w:ascii="Arial" w:eastAsia="Arial" w:hAnsi="Arial" w:cs="Arial"/>
              </w:rPr>
              <w:t>_</w:t>
            </w:r>
            <w:r w:rsidR="2C1CFBB7" w:rsidRPr="73F31BAE">
              <w:rPr>
                <w:rFonts w:ascii="Arial" w:eastAsia="Arial" w:hAnsi="Arial" w:cs="Arial"/>
              </w:rPr>
              <w:t>7</w:t>
            </w:r>
          </w:p>
          <w:p w14:paraId="35333120" w14:textId="1088DE18" w:rsidR="58DD902B" w:rsidRDefault="58DD902B" w:rsidP="73F31BAE">
            <w:pPr>
              <w:spacing w:after="200" w:line="276" w:lineRule="auto"/>
              <w:ind w:left="709" w:right="-20"/>
              <w:rPr>
                <w:rFonts w:ascii="Arial" w:eastAsia="Arial" w:hAnsi="Arial" w:cs="Arial"/>
              </w:rPr>
            </w:pPr>
            <w:r w:rsidRPr="73F31BAE">
              <w:rPr>
                <w:rFonts w:ascii="Arial" w:eastAsia="Arial" w:hAnsi="Arial" w:cs="Arial"/>
              </w:rPr>
              <w:t>1.3 Stock market and its impact on one nation</w:t>
            </w:r>
            <w:r w:rsidR="7FAEFB22" w:rsidRPr="73F31BAE">
              <w:rPr>
                <w:rFonts w:ascii="Arial" w:eastAsia="Arial" w:hAnsi="Arial" w:cs="Arial"/>
              </w:rPr>
              <w:t>_________________________</w:t>
            </w:r>
            <w:r w:rsidR="12496B60" w:rsidRPr="73F31BAE">
              <w:rPr>
                <w:rFonts w:ascii="Arial" w:eastAsia="Arial" w:hAnsi="Arial" w:cs="Arial"/>
              </w:rPr>
              <w:t>9</w:t>
            </w:r>
          </w:p>
          <w:p w14:paraId="66B318A8" w14:textId="12AF24FF" w:rsidR="58DD902B" w:rsidRDefault="58DD902B" w:rsidP="73F31BAE">
            <w:pPr>
              <w:spacing w:after="200" w:line="276" w:lineRule="auto"/>
              <w:ind w:left="709" w:right="-20"/>
              <w:rPr>
                <w:rFonts w:ascii="Arial" w:eastAsia="Arial" w:hAnsi="Arial" w:cs="Arial"/>
              </w:rPr>
            </w:pPr>
            <w:r w:rsidRPr="73F31BAE">
              <w:rPr>
                <w:rFonts w:ascii="Arial" w:eastAsia="Arial" w:hAnsi="Arial" w:cs="Arial"/>
              </w:rPr>
              <w:t>1.4 The Significance of United Kingdom’s Stock Market</w:t>
            </w:r>
            <w:r w:rsidR="60783E0C" w:rsidRPr="73F31BAE">
              <w:rPr>
                <w:rFonts w:ascii="Arial" w:eastAsia="Arial" w:hAnsi="Arial" w:cs="Arial"/>
              </w:rPr>
              <w:t>__________________</w:t>
            </w:r>
            <w:r w:rsidR="22E3F23B" w:rsidRPr="73F31BAE">
              <w:rPr>
                <w:rFonts w:ascii="Arial" w:eastAsia="Arial" w:hAnsi="Arial" w:cs="Arial"/>
              </w:rPr>
              <w:t>9</w:t>
            </w:r>
          </w:p>
          <w:p w14:paraId="693E32AA" w14:textId="2F59D457" w:rsidR="58DD902B" w:rsidRDefault="58DD902B" w:rsidP="73F31BAE">
            <w:pPr>
              <w:spacing w:after="200" w:line="276" w:lineRule="auto"/>
              <w:ind w:left="709" w:right="-20"/>
              <w:rPr>
                <w:rFonts w:ascii="Arial" w:eastAsia="Arial" w:hAnsi="Arial" w:cs="Arial"/>
              </w:rPr>
            </w:pPr>
            <w:r w:rsidRPr="73F31BAE">
              <w:rPr>
                <w:rFonts w:ascii="Arial" w:eastAsia="Arial" w:hAnsi="Arial" w:cs="Arial"/>
              </w:rPr>
              <w:t>1.5 Research Aims and Objectives</w:t>
            </w:r>
            <w:r w:rsidR="539B4D46" w:rsidRPr="73F31BAE">
              <w:rPr>
                <w:rFonts w:ascii="Arial" w:eastAsia="Arial" w:hAnsi="Arial" w:cs="Arial"/>
              </w:rPr>
              <w:t>_________________________________</w:t>
            </w:r>
            <w:r w:rsidR="00D62726">
              <w:rPr>
                <w:rFonts w:ascii="Arial" w:eastAsia="Arial" w:hAnsi="Arial" w:cs="Arial"/>
              </w:rPr>
              <w:t>_10</w:t>
            </w:r>
          </w:p>
          <w:p w14:paraId="05C4B9BF" w14:textId="126B2DFE" w:rsidR="58DD902B" w:rsidRDefault="58DD902B" w:rsidP="73F31BAE">
            <w:pPr>
              <w:spacing w:after="200" w:line="276" w:lineRule="auto"/>
              <w:ind w:left="709" w:right="-20"/>
              <w:rPr>
                <w:rFonts w:ascii="Arial" w:eastAsia="Arial" w:hAnsi="Arial" w:cs="Arial"/>
              </w:rPr>
            </w:pPr>
            <w:r w:rsidRPr="73F31BAE">
              <w:rPr>
                <w:rFonts w:ascii="Arial" w:eastAsia="Arial" w:hAnsi="Arial" w:cs="Arial"/>
              </w:rPr>
              <w:t>1.6 Research Questions</w:t>
            </w:r>
            <w:r w:rsidR="578C9ADD" w:rsidRPr="73F31BAE">
              <w:rPr>
                <w:rFonts w:ascii="Arial" w:eastAsia="Arial" w:hAnsi="Arial" w:cs="Arial"/>
              </w:rPr>
              <w:t>_________________________________________</w:t>
            </w:r>
            <w:r w:rsidR="6E9FDCAE" w:rsidRPr="73F31BAE">
              <w:rPr>
                <w:rFonts w:ascii="Arial" w:eastAsia="Arial" w:hAnsi="Arial" w:cs="Arial"/>
              </w:rPr>
              <w:t>11</w:t>
            </w:r>
          </w:p>
          <w:p w14:paraId="498FCD8E" w14:textId="00174DBB" w:rsidR="58DD902B" w:rsidRDefault="58DD902B" w:rsidP="73F31BAE">
            <w:pPr>
              <w:spacing w:after="200" w:line="276" w:lineRule="auto"/>
              <w:ind w:left="709" w:right="-20"/>
              <w:rPr>
                <w:rFonts w:ascii="Arial" w:eastAsia="Arial" w:hAnsi="Arial" w:cs="Arial"/>
              </w:rPr>
            </w:pPr>
            <w:r w:rsidRPr="73F31BAE">
              <w:rPr>
                <w:rFonts w:ascii="Arial" w:eastAsia="Arial" w:hAnsi="Arial" w:cs="Arial"/>
              </w:rPr>
              <w:t>1.7 Significance of the Study</w:t>
            </w:r>
            <w:r w:rsidR="63E936BE" w:rsidRPr="73F31BAE">
              <w:rPr>
                <w:rFonts w:ascii="Arial" w:eastAsia="Arial" w:hAnsi="Arial" w:cs="Arial"/>
              </w:rPr>
              <w:t>______________________________________</w:t>
            </w:r>
            <w:r w:rsidR="6E176579" w:rsidRPr="73F31BAE">
              <w:rPr>
                <w:rFonts w:ascii="Arial" w:eastAsia="Arial" w:hAnsi="Arial" w:cs="Arial"/>
              </w:rPr>
              <w:t>12</w:t>
            </w:r>
          </w:p>
          <w:p w14:paraId="3A0F547E" w14:textId="74C38AC7" w:rsidR="58DD902B" w:rsidRDefault="58DD902B" w:rsidP="73F31BAE">
            <w:pPr>
              <w:spacing w:after="200" w:line="276" w:lineRule="auto"/>
              <w:ind w:left="709" w:right="-20"/>
              <w:rPr>
                <w:rFonts w:ascii="Arial" w:eastAsia="Arial" w:hAnsi="Arial" w:cs="Arial"/>
              </w:rPr>
            </w:pPr>
            <w:r w:rsidRPr="73F31BAE">
              <w:rPr>
                <w:rFonts w:ascii="Arial" w:eastAsia="Arial" w:hAnsi="Arial" w:cs="Arial"/>
              </w:rPr>
              <w:t>1.8 Conclusion</w:t>
            </w:r>
            <w:r w:rsidR="37BA09BC" w:rsidRPr="73F31BAE">
              <w:rPr>
                <w:rFonts w:ascii="Arial" w:eastAsia="Arial" w:hAnsi="Arial" w:cs="Arial"/>
              </w:rPr>
              <w:t>_________________________________________________</w:t>
            </w:r>
            <w:r w:rsidR="59E0C586" w:rsidRPr="73F31BAE">
              <w:rPr>
                <w:rFonts w:ascii="Arial" w:eastAsia="Arial" w:hAnsi="Arial" w:cs="Arial"/>
              </w:rPr>
              <w:t>13</w:t>
            </w:r>
          </w:p>
        </w:tc>
      </w:tr>
      <w:tr w:rsidR="73F31BAE" w14:paraId="351FBA30" w14:textId="77777777" w:rsidTr="73F31BAE">
        <w:trPr>
          <w:trHeight w:val="4545"/>
          <w:jc w:val="center"/>
        </w:trPr>
        <w:tc>
          <w:tcPr>
            <w:tcW w:w="8685" w:type="dxa"/>
          </w:tcPr>
          <w:p w14:paraId="37C45390" w14:textId="68D531A5" w:rsidR="37BA09BC" w:rsidRDefault="37BA09BC" w:rsidP="73F31BAE">
            <w:pPr>
              <w:rPr>
                <w:rFonts w:ascii="Arial" w:eastAsia="Arial" w:hAnsi="Arial" w:cs="Arial"/>
                <w:color w:val="000000" w:themeColor="text1"/>
              </w:rPr>
            </w:pPr>
            <w:r w:rsidRPr="73F31BAE">
              <w:rPr>
                <w:rFonts w:ascii="Arial" w:eastAsia="Arial" w:hAnsi="Arial" w:cs="Arial"/>
                <w:b/>
                <w:bCs/>
                <w:color w:val="000000" w:themeColor="text1"/>
              </w:rPr>
              <w:t>Chapter 2: Literature Review</w:t>
            </w:r>
          </w:p>
          <w:p w14:paraId="66D2AE59" w14:textId="66B5D7ED" w:rsidR="73F31BAE" w:rsidRDefault="73F31BAE" w:rsidP="73F31BAE">
            <w:pPr>
              <w:rPr>
                <w:rFonts w:ascii="Arial" w:eastAsia="Arial" w:hAnsi="Arial" w:cs="Arial"/>
                <w:b/>
                <w:bCs/>
                <w:color w:val="000000" w:themeColor="text1"/>
              </w:rPr>
            </w:pPr>
          </w:p>
          <w:p w14:paraId="654D15D0" w14:textId="32EDA6B0" w:rsidR="4C1E9C7D" w:rsidRDefault="4C1E9C7D" w:rsidP="73F31BAE">
            <w:pPr>
              <w:spacing w:after="200" w:line="276" w:lineRule="auto"/>
              <w:ind w:left="709" w:right="-20"/>
              <w:rPr>
                <w:rFonts w:ascii="Arial" w:eastAsia="Arial" w:hAnsi="Arial" w:cs="Arial"/>
              </w:rPr>
            </w:pPr>
            <w:r w:rsidRPr="73F31BAE">
              <w:rPr>
                <w:rFonts w:ascii="Arial" w:eastAsia="Arial" w:hAnsi="Arial" w:cs="Arial"/>
              </w:rPr>
              <w:t>2.1 Introduction</w:t>
            </w:r>
            <w:r w:rsidR="341F126D" w:rsidRPr="73F31BAE">
              <w:rPr>
                <w:rFonts w:ascii="Arial" w:eastAsia="Arial" w:hAnsi="Arial" w:cs="Arial"/>
              </w:rPr>
              <w:t>________________________________________________</w:t>
            </w:r>
            <w:r w:rsidR="23026842" w:rsidRPr="73F31BAE">
              <w:rPr>
                <w:rFonts w:ascii="Arial" w:eastAsia="Arial" w:hAnsi="Arial" w:cs="Arial"/>
              </w:rPr>
              <w:t>14</w:t>
            </w:r>
          </w:p>
          <w:p w14:paraId="5C1ECD71" w14:textId="23E81C32" w:rsidR="4C1E9C7D" w:rsidRDefault="4C1E9C7D" w:rsidP="73F31BAE">
            <w:pPr>
              <w:spacing w:after="200" w:line="276" w:lineRule="auto"/>
              <w:ind w:left="709" w:right="-20"/>
              <w:rPr>
                <w:rFonts w:ascii="Arial" w:eastAsia="Arial" w:hAnsi="Arial" w:cs="Arial"/>
              </w:rPr>
            </w:pPr>
            <w:r w:rsidRPr="73F31BAE">
              <w:rPr>
                <w:rFonts w:ascii="Arial" w:eastAsia="Arial" w:hAnsi="Arial" w:cs="Arial"/>
              </w:rPr>
              <w:t>2.2 The Relationship between the interest rates and stock prices</w:t>
            </w:r>
            <w:r w:rsidR="4F0EAADC" w:rsidRPr="73F31BAE">
              <w:rPr>
                <w:rFonts w:ascii="Arial" w:eastAsia="Arial" w:hAnsi="Arial" w:cs="Arial"/>
              </w:rPr>
              <w:t>_________</w:t>
            </w:r>
            <w:r w:rsidR="3C981AD6" w:rsidRPr="73F31BAE">
              <w:rPr>
                <w:rFonts w:ascii="Arial" w:eastAsia="Arial" w:hAnsi="Arial" w:cs="Arial"/>
              </w:rPr>
              <w:t>14</w:t>
            </w:r>
          </w:p>
          <w:p w14:paraId="7BCD0714" w14:textId="641315BD" w:rsidR="4C1E9C7D" w:rsidRDefault="4C1E9C7D" w:rsidP="73F31BAE">
            <w:pPr>
              <w:spacing w:after="200" w:line="276" w:lineRule="auto"/>
              <w:ind w:left="709" w:right="-20"/>
              <w:rPr>
                <w:rFonts w:ascii="Arial" w:eastAsia="Arial" w:hAnsi="Arial" w:cs="Arial"/>
              </w:rPr>
            </w:pPr>
            <w:r w:rsidRPr="73F31BAE">
              <w:rPr>
                <w:rFonts w:ascii="Arial" w:eastAsia="Arial" w:hAnsi="Arial" w:cs="Arial"/>
              </w:rPr>
              <w:t>2.3 The trading volume of the United Kingdom and its change over time</w:t>
            </w:r>
            <w:r w:rsidR="25475CCF" w:rsidRPr="73F31BAE">
              <w:rPr>
                <w:rFonts w:ascii="Arial" w:eastAsia="Arial" w:hAnsi="Arial" w:cs="Arial"/>
              </w:rPr>
              <w:t>____</w:t>
            </w:r>
            <w:r w:rsidR="046BFD50" w:rsidRPr="73F31BAE">
              <w:rPr>
                <w:rFonts w:ascii="Arial" w:eastAsia="Arial" w:hAnsi="Arial" w:cs="Arial"/>
              </w:rPr>
              <w:t>16</w:t>
            </w:r>
          </w:p>
          <w:p w14:paraId="1B4F4882" w14:textId="0197EF1C" w:rsidR="4C1E9C7D" w:rsidRDefault="4C1E9C7D" w:rsidP="73F31BAE">
            <w:pPr>
              <w:spacing w:after="200" w:line="276" w:lineRule="auto"/>
              <w:ind w:left="709" w:right="-20"/>
              <w:rPr>
                <w:rFonts w:ascii="Arial" w:eastAsia="Arial" w:hAnsi="Arial" w:cs="Arial"/>
              </w:rPr>
            </w:pPr>
            <w:r w:rsidRPr="73F31BAE">
              <w:rPr>
                <w:rFonts w:ascii="Arial" w:eastAsia="Arial" w:hAnsi="Arial" w:cs="Arial"/>
              </w:rPr>
              <w:t>2.4 The impact of global economic factors on the UK stock market and interest rates</w:t>
            </w:r>
            <w:r w:rsidR="386CBE0E" w:rsidRPr="73F31BAE">
              <w:rPr>
                <w:rFonts w:ascii="Arial" w:eastAsia="Arial" w:hAnsi="Arial" w:cs="Arial"/>
              </w:rPr>
              <w:t>_________________________________________________________</w:t>
            </w:r>
            <w:r w:rsidR="5B8D25EF" w:rsidRPr="73F31BAE">
              <w:rPr>
                <w:rFonts w:ascii="Arial" w:eastAsia="Arial" w:hAnsi="Arial" w:cs="Arial"/>
              </w:rPr>
              <w:t>17</w:t>
            </w:r>
          </w:p>
          <w:p w14:paraId="4F908300" w14:textId="75E700F6" w:rsidR="4C1E9C7D" w:rsidRDefault="4C1E9C7D" w:rsidP="73F31BAE">
            <w:pPr>
              <w:spacing w:after="200" w:line="276" w:lineRule="auto"/>
              <w:ind w:left="709" w:right="-20"/>
              <w:rPr>
                <w:rFonts w:ascii="Arial" w:eastAsia="Arial" w:hAnsi="Arial" w:cs="Arial"/>
              </w:rPr>
            </w:pPr>
            <w:r w:rsidRPr="73F31BAE">
              <w:rPr>
                <w:rFonts w:ascii="Arial" w:eastAsia="Arial" w:hAnsi="Arial" w:cs="Arial"/>
              </w:rPr>
              <w:t>2.5 United Kingdom’s Economy and its GDP Growth</w:t>
            </w:r>
            <w:r w:rsidR="4052A39B" w:rsidRPr="73F31BAE">
              <w:rPr>
                <w:rFonts w:ascii="Arial" w:eastAsia="Arial" w:hAnsi="Arial" w:cs="Arial"/>
              </w:rPr>
              <w:t>___________________</w:t>
            </w:r>
            <w:r w:rsidR="7AF4563F" w:rsidRPr="73F31BAE">
              <w:rPr>
                <w:rFonts w:ascii="Arial" w:eastAsia="Arial" w:hAnsi="Arial" w:cs="Arial"/>
              </w:rPr>
              <w:t>18</w:t>
            </w:r>
          </w:p>
          <w:p w14:paraId="6F62120C" w14:textId="01C41385" w:rsidR="4C1E9C7D" w:rsidRDefault="4C1E9C7D" w:rsidP="73F31BAE">
            <w:pPr>
              <w:spacing w:after="200" w:line="276" w:lineRule="auto"/>
              <w:ind w:left="709" w:right="-20"/>
              <w:rPr>
                <w:rFonts w:ascii="Arial" w:eastAsia="Arial" w:hAnsi="Arial" w:cs="Arial"/>
              </w:rPr>
            </w:pPr>
            <w:r w:rsidRPr="73F31BAE">
              <w:rPr>
                <w:rFonts w:ascii="Arial" w:eastAsia="Arial" w:hAnsi="Arial" w:cs="Arial"/>
              </w:rPr>
              <w:t>2.6 The United Kingdom’s Financial Market</w:t>
            </w:r>
            <w:r w:rsidR="70CD07C6" w:rsidRPr="73F31BAE">
              <w:rPr>
                <w:rFonts w:ascii="Arial" w:eastAsia="Arial" w:hAnsi="Arial" w:cs="Arial"/>
              </w:rPr>
              <w:t>__________________________</w:t>
            </w:r>
            <w:r w:rsidR="115EC547" w:rsidRPr="73F31BAE">
              <w:rPr>
                <w:rFonts w:ascii="Arial" w:eastAsia="Arial" w:hAnsi="Arial" w:cs="Arial"/>
              </w:rPr>
              <w:t>19</w:t>
            </w:r>
          </w:p>
          <w:p w14:paraId="7AA7E57C" w14:textId="242B47C8" w:rsidR="4C1E9C7D" w:rsidRDefault="4C1E9C7D" w:rsidP="73F31BAE">
            <w:pPr>
              <w:spacing w:after="200" w:line="276" w:lineRule="auto"/>
              <w:ind w:left="709" w:right="-20"/>
              <w:rPr>
                <w:rFonts w:ascii="Arial" w:eastAsia="Arial" w:hAnsi="Arial" w:cs="Arial"/>
              </w:rPr>
            </w:pPr>
            <w:r w:rsidRPr="73F31BAE">
              <w:rPr>
                <w:rFonts w:ascii="Arial" w:eastAsia="Arial" w:hAnsi="Arial" w:cs="Arial"/>
              </w:rPr>
              <w:t>2.7 Table of Literature</w:t>
            </w:r>
            <w:r w:rsidR="30DA0B33" w:rsidRPr="73F31BAE">
              <w:rPr>
                <w:rFonts w:ascii="Arial" w:eastAsia="Arial" w:hAnsi="Arial" w:cs="Arial"/>
              </w:rPr>
              <w:t>___________________________________________</w:t>
            </w:r>
            <w:r w:rsidR="0C2732F4" w:rsidRPr="73F31BAE">
              <w:rPr>
                <w:rFonts w:ascii="Arial" w:eastAsia="Arial" w:hAnsi="Arial" w:cs="Arial"/>
              </w:rPr>
              <w:t>21</w:t>
            </w:r>
          </w:p>
          <w:p w14:paraId="1D566860" w14:textId="2C6F0E6F" w:rsidR="00CD52D8" w:rsidRDefault="4C1E9C7D" w:rsidP="00CD52D8">
            <w:pPr>
              <w:spacing w:after="200" w:line="276" w:lineRule="auto"/>
              <w:ind w:left="709" w:right="-20"/>
              <w:rPr>
                <w:rFonts w:ascii="Arial" w:eastAsia="Arial" w:hAnsi="Arial" w:cs="Arial"/>
              </w:rPr>
            </w:pPr>
            <w:r w:rsidRPr="73F31BAE">
              <w:rPr>
                <w:rFonts w:ascii="Arial" w:eastAsia="Arial" w:hAnsi="Arial" w:cs="Arial"/>
              </w:rPr>
              <w:t>2.8 Identified gaps from the literature</w:t>
            </w:r>
            <w:r w:rsidR="29C308DB" w:rsidRPr="73F31BAE">
              <w:rPr>
                <w:rFonts w:ascii="Arial" w:eastAsia="Arial" w:hAnsi="Arial" w:cs="Arial"/>
              </w:rPr>
              <w:t>_______________________________</w:t>
            </w:r>
            <w:r w:rsidR="00CD52D8">
              <w:rPr>
                <w:rFonts w:ascii="Arial" w:eastAsia="Arial" w:hAnsi="Arial" w:cs="Arial"/>
              </w:rPr>
              <w:t>_</w:t>
            </w:r>
            <w:proofErr w:type="gramStart"/>
            <w:r w:rsidR="00CD52D8">
              <w:rPr>
                <w:rFonts w:ascii="Arial" w:eastAsia="Arial" w:hAnsi="Arial" w:cs="Arial"/>
              </w:rPr>
              <w:t>27</w:t>
            </w:r>
            <w:proofErr w:type="gramEnd"/>
          </w:p>
          <w:p w14:paraId="45603339" w14:textId="570D3DDE" w:rsidR="4C1E9C7D" w:rsidRDefault="4C1E9C7D" w:rsidP="73F31BAE">
            <w:pPr>
              <w:spacing w:after="200" w:line="276" w:lineRule="auto"/>
              <w:ind w:left="709" w:right="-20"/>
              <w:rPr>
                <w:rFonts w:ascii="Arial" w:eastAsia="Arial" w:hAnsi="Arial" w:cs="Arial"/>
              </w:rPr>
            </w:pPr>
            <w:r w:rsidRPr="73F31BAE">
              <w:rPr>
                <w:rFonts w:ascii="Arial" w:eastAsia="Arial" w:hAnsi="Arial" w:cs="Arial"/>
              </w:rPr>
              <w:t>2.9 Conclusion</w:t>
            </w:r>
            <w:r w:rsidR="2F287899" w:rsidRPr="73F31BAE">
              <w:rPr>
                <w:rFonts w:ascii="Arial" w:eastAsia="Arial" w:hAnsi="Arial" w:cs="Arial"/>
              </w:rPr>
              <w:t>_________________________________________________</w:t>
            </w:r>
            <w:r w:rsidR="00CD52D8">
              <w:rPr>
                <w:rFonts w:ascii="Arial" w:eastAsia="Arial" w:hAnsi="Arial" w:cs="Arial"/>
              </w:rPr>
              <w:t>28</w:t>
            </w:r>
          </w:p>
        </w:tc>
      </w:tr>
      <w:tr w:rsidR="73F31BAE" w14:paraId="1E679FAE" w14:textId="77777777" w:rsidTr="73F31BAE">
        <w:trPr>
          <w:trHeight w:val="300"/>
          <w:jc w:val="center"/>
        </w:trPr>
        <w:tc>
          <w:tcPr>
            <w:tcW w:w="8685" w:type="dxa"/>
          </w:tcPr>
          <w:p w14:paraId="37A1A8CC" w14:textId="1F5BD109" w:rsidR="2F287899" w:rsidRDefault="2F287899" w:rsidP="73F31BAE">
            <w:pPr>
              <w:rPr>
                <w:rFonts w:ascii="Arial" w:eastAsia="Arial" w:hAnsi="Arial" w:cs="Arial"/>
                <w:b/>
                <w:bCs/>
                <w:color w:val="000000" w:themeColor="text1"/>
              </w:rPr>
            </w:pPr>
            <w:r w:rsidRPr="73F31BAE">
              <w:rPr>
                <w:rFonts w:ascii="Arial" w:eastAsia="Arial" w:hAnsi="Arial" w:cs="Arial"/>
                <w:b/>
                <w:bCs/>
                <w:color w:val="000000" w:themeColor="text1"/>
              </w:rPr>
              <w:t>Chapter 3: Research Methodology</w:t>
            </w:r>
          </w:p>
          <w:p w14:paraId="27246AAF" w14:textId="35658B73" w:rsidR="73F31BAE" w:rsidRDefault="73F31BAE" w:rsidP="73F31BAE">
            <w:pPr>
              <w:rPr>
                <w:rFonts w:ascii="Arial" w:eastAsia="Arial" w:hAnsi="Arial" w:cs="Arial"/>
                <w:b/>
                <w:bCs/>
                <w:color w:val="000000" w:themeColor="text1"/>
              </w:rPr>
            </w:pPr>
          </w:p>
          <w:p w14:paraId="488FAD76" w14:textId="5B15084E" w:rsidR="2F287899" w:rsidRDefault="2F287899" w:rsidP="73F31BAE">
            <w:pPr>
              <w:spacing w:after="200" w:line="276" w:lineRule="auto"/>
              <w:ind w:left="709" w:right="-20"/>
              <w:rPr>
                <w:rFonts w:ascii="Arial" w:eastAsia="Arial" w:hAnsi="Arial" w:cs="Arial"/>
              </w:rPr>
            </w:pPr>
            <w:r w:rsidRPr="73F31BAE">
              <w:rPr>
                <w:rFonts w:ascii="Arial" w:eastAsia="Arial" w:hAnsi="Arial" w:cs="Arial"/>
              </w:rPr>
              <w:t>3.1 Introduction________________________________________________</w:t>
            </w:r>
            <w:r w:rsidR="00CD52D8">
              <w:rPr>
                <w:rFonts w:ascii="Arial" w:eastAsia="Arial" w:hAnsi="Arial" w:cs="Arial"/>
              </w:rPr>
              <w:t>30</w:t>
            </w:r>
          </w:p>
          <w:p w14:paraId="33CE39F7" w14:textId="33B9493F" w:rsidR="2F287899" w:rsidRDefault="2F287899" w:rsidP="73F31BAE">
            <w:pPr>
              <w:spacing w:after="200" w:line="276" w:lineRule="auto"/>
              <w:ind w:left="709" w:right="-20"/>
              <w:rPr>
                <w:rFonts w:ascii="Arial" w:eastAsia="Arial" w:hAnsi="Arial" w:cs="Arial"/>
              </w:rPr>
            </w:pPr>
            <w:r w:rsidRPr="73F31BAE">
              <w:rPr>
                <w:rFonts w:ascii="Arial" w:eastAsia="Arial" w:hAnsi="Arial" w:cs="Arial"/>
              </w:rPr>
              <w:t>3.2 Comparison between Quantitative and Qualitative research___________</w:t>
            </w:r>
            <w:r w:rsidR="00CD52D8">
              <w:rPr>
                <w:rFonts w:ascii="Arial" w:eastAsia="Arial" w:hAnsi="Arial" w:cs="Arial"/>
              </w:rPr>
              <w:t>31</w:t>
            </w:r>
          </w:p>
          <w:p w14:paraId="20D784EC" w14:textId="1EA5AF5E" w:rsidR="2F287899" w:rsidRDefault="2F287899" w:rsidP="73F31BAE">
            <w:pPr>
              <w:spacing w:after="200" w:line="276" w:lineRule="auto"/>
              <w:ind w:left="709" w:right="-20"/>
              <w:rPr>
                <w:rFonts w:ascii="Arial" w:eastAsia="Arial" w:hAnsi="Arial" w:cs="Arial"/>
              </w:rPr>
            </w:pPr>
            <w:r w:rsidRPr="73F31BAE">
              <w:rPr>
                <w:rFonts w:ascii="Arial" w:eastAsia="Arial" w:hAnsi="Arial" w:cs="Arial"/>
              </w:rPr>
              <w:lastRenderedPageBreak/>
              <w:t>3.3 Regression Analysis_________________________________________</w:t>
            </w:r>
            <w:r w:rsidR="032E3DA2" w:rsidRPr="73F31BAE">
              <w:rPr>
                <w:rFonts w:ascii="Arial" w:eastAsia="Arial" w:hAnsi="Arial" w:cs="Arial"/>
              </w:rPr>
              <w:t>3</w:t>
            </w:r>
            <w:r w:rsidR="00CD52D8">
              <w:rPr>
                <w:rFonts w:ascii="Arial" w:eastAsia="Arial" w:hAnsi="Arial" w:cs="Arial"/>
              </w:rPr>
              <w:t>2</w:t>
            </w:r>
          </w:p>
          <w:p w14:paraId="77AA1619" w14:textId="624CA8CB" w:rsidR="2F287899" w:rsidRDefault="2F287899" w:rsidP="73F31BAE">
            <w:pPr>
              <w:spacing w:after="200" w:line="276" w:lineRule="auto"/>
              <w:ind w:left="709" w:right="-20"/>
              <w:rPr>
                <w:rFonts w:ascii="Arial" w:eastAsia="Arial" w:hAnsi="Arial" w:cs="Arial"/>
              </w:rPr>
            </w:pPr>
            <w:r w:rsidRPr="73F31BAE">
              <w:rPr>
                <w:rFonts w:ascii="Arial" w:eastAsia="Arial" w:hAnsi="Arial" w:cs="Arial"/>
              </w:rPr>
              <w:t>3.4 Data Collection Method_______________________________________</w:t>
            </w:r>
            <w:r w:rsidR="79AB1A74" w:rsidRPr="73F31BAE">
              <w:rPr>
                <w:rFonts w:ascii="Arial" w:eastAsia="Arial" w:hAnsi="Arial" w:cs="Arial"/>
              </w:rPr>
              <w:t>3</w:t>
            </w:r>
            <w:r w:rsidR="00CD52D8">
              <w:rPr>
                <w:rFonts w:ascii="Arial" w:eastAsia="Arial" w:hAnsi="Arial" w:cs="Arial"/>
              </w:rPr>
              <w:t>3</w:t>
            </w:r>
          </w:p>
          <w:p w14:paraId="5A424F72" w14:textId="07596240" w:rsidR="2F287899" w:rsidRDefault="2F287899" w:rsidP="73F31BAE">
            <w:pPr>
              <w:spacing w:after="200" w:line="276" w:lineRule="auto"/>
              <w:ind w:left="709" w:right="-20"/>
              <w:rPr>
                <w:rFonts w:ascii="Arial" w:eastAsia="Arial" w:hAnsi="Arial" w:cs="Arial"/>
              </w:rPr>
            </w:pPr>
            <w:r w:rsidRPr="73F31BAE">
              <w:rPr>
                <w:rFonts w:ascii="Arial" w:eastAsia="Arial" w:hAnsi="Arial" w:cs="Arial"/>
              </w:rPr>
              <w:t>3.5 Ethical Consideration</w:t>
            </w:r>
            <w:r w:rsidR="31DEAE36" w:rsidRPr="73F31BAE">
              <w:rPr>
                <w:rFonts w:ascii="Arial" w:eastAsia="Arial" w:hAnsi="Arial" w:cs="Arial"/>
              </w:rPr>
              <w:t>_________________________________________</w:t>
            </w:r>
            <w:r w:rsidR="6A25064C" w:rsidRPr="73F31BAE">
              <w:rPr>
                <w:rFonts w:ascii="Arial" w:eastAsia="Arial" w:hAnsi="Arial" w:cs="Arial"/>
              </w:rPr>
              <w:t>3</w:t>
            </w:r>
            <w:r w:rsidR="00CD52D8">
              <w:rPr>
                <w:rFonts w:ascii="Arial" w:eastAsia="Arial" w:hAnsi="Arial" w:cs="Arial"/>
              </w:rPr>
              <w:t>4</w:t>
            </w:r>
          </w:p>
          <w:p w14:paraId="18C3A7AD" w14:textId="21AE8647" w:rsidR="2F287899" w:rsidRDefault="2F287899" w:rsidP="73F31BAE">
            <w:pPr>
              <w:spacing w:after="200" w:line="276" w:lineRule="auto"/>
              <w:ind w:left="709" w:right="-20"/>
              <w:rPr>
                <w:rFonts w:ascii="Arial" w:eastAsia="Arial" w:hAnsi="Arial" w:cs="Arial"/>
              </w:rPr>
            </w:pPr>
            <w:r w:rsidRPr="73F31BAE">
              <w:rPr>
                <w:rFonts w:ascii="Arial" w:eastAsia="Arial" w:hAnsi="Arial" w:cs="Arial"/>
              </w:rPr>
              <w:t>3.6 Conclusion</w:t>
            </w:r>
            <w:r w:rsidR="75309AFA" w:rsidRPr="73F31BAE">
              <w:rPr>
                <w:rFonts w:ascii="Arial" w:eastAsia="Arial" w:hAnsi="Arial" w:cs="Arial"/>
              </w:rPr>
              <w:t>_________________________________________________</w:t>
            </w:r>
            <w:r w:rsidR="490BE3E3" w:rsidRPr="73F31BAE">
              <w:rPr>
                <w:rFonts w:ascii="Arial" w:eastAsia="Arial" w:hAnsi="Arial" w:cs="Arial"/>
              </w:rPr>
              <w:t>3</w:t>
            </w:r>
            <w:r w:rsidR="00CD52D8">
              <w:rPr>
                <w:rFonts w:ascii="Arial" w:eastAsia="Arial" w:hAnsi="Arial" w:cs="Arial"/>
              </w:rPr>
              <w:t>5</w:t>
            </w:r>
          </w:p>
        </w:tc>
      </w:tr>
      <w:tr w:rsidR="73F31BAE" w14:paraId="554ECEFC" w14:textId="77777777" w:rsidTr="73F31BAE">
        <w:trPr>
          <w:trHeight w:val="300"/>
          <w:jc w:val="center"/>
        </w:trPr>
        <w:tc>
          <w:tcPr>
            <w:tcW w:w="8685" w:type="dxa"/>
          </w:tcPr>
          <w:p w14:paraId="1D8B5869" w14:textId="36D33BA6" w:rsidR="75309AFA" w:rsidRDefault="75309AFA" w:rsidP="73F31BAE">
            <w:pPr>
              <w:rPr>
                <w:rFonts w:ascii="Arial" w:eastAsia="Arial" w:hAnsi="Arial" w:cs="Arial"/>
                <w:b/>
                <w:bCs/>
                <w:color w:val="000000" w:themeColor="text1"/>
              </w:rPr>
            </w:pPr>
            <w:r w:rsidRPr="73F31BAE">
              <w:rPr>
                <w:rFonts w:ascii="Arial" w:eastAsia="Arial" w:hAnsi="Arial" w:cs="Arial"/>
                <w:b/>
                <w:bCs/>
                <w:color w:val="000000" w:themeColor="text1"/>
              </w:rPr>
              <w:lastRenderedPageBreak/>
              <w:t>Chapter 4: Findings and Results</w:t>
            </w:r>
          </w:p>
          <w:p w14:paraId="4419420E" w14:textId="252D10DD" w:rsidR="73F31BAE" w:rsidRDefault="73F31BAE" w:rsidP="73F31BAE">
            <w:pPr>
              <w:rPr>
                <w:rFonts w:ascii="Arial" w:eastAsia="Arial" w:hAnsi="Arial" w:cs="Arial"/>
                <w:b/>
                <w:bCs/>
                <w:color w:val="000000" w:themeColor="text1"/>
              </w:rPr>
            </w:pPr>
          </w:p>
          <w:p w14:paraId="0C17C255" w14:textId="3350819D" w:rsidR="66F0CE5E" w:rsidRDefault="66F0CE5E" w:rsidP="73F31BAE">
            <w:pPr>
              <w:spacing w:after="200" w:line="276" w:lineRule="auto"/>
              <w:ind w:left="709" w:right="-20"/>
              <w:rPr>
                <w:rFonts w:ascii="Arial" w:eastAsia="Arial" w:hAnsi="Arial" w:cs="Arial"/>
              </w:rPr>
            </w:pPr>
            <w:r w:rsidRPr="73F31BAE">
              <w:rPr>
                <w:rFonts w:ascii="Arial" w:eastAsia="Arial" w:hAnsi="Arial" w:cs="Arial"/>
              </w:rPr>
              <w:t>4.1 Introduction________________________________________________</w:t>
            </w:r>
            <w:r w:rsidR="7D6EB93F" w:rsidRPr="73F31BAE">
              <w:rPr>
                <w:rFonts w:ascii="Arial" w:eastAsia="Arial" w:hAnsi="Arial" w:cs="Arial"/>
              </w:rPr>
              <w:t>3</w:t>
            </w:r>
            <w:r w:rsidR="00CD52D8">
              <w:rPr>
                <w:rFonts w:ascii="Arial" w:eastAsia="Arial" w:hAnsi="Arial" w:cs="Arial"/>
              </w:rPr>
              <w:t>6</w:t>
            </w:r>
          </w:p>
          <w:p w14:paraId="58B8E342" w14:textId="799854C7" w:rsidR="66F0CE5E" w:rsidRDefault="66F0CE5E" w:rsidP="73F31BAE">
            <w:pPr>
              <w:spacing w:after="200" w:line="276" w:lineRule="auto"/>
              <w:ind w:left="709" w:right="-20"/>
            </w:pPr>
            <w:r w:rsidRPr="73F31BAE">
              <w:rPr>
                <w:rFonts w:ascii="Arial" w:eastAsia="Arial" w:hAnsi="Arial" w:cs="Arial"/>
              </w:rPr>
              <w:t>4.2 Findings and Analysis</w:t>
            </w:r>
          </w:p>
          <w:p w14:paraId="4A40A0C6" w14:textId="3CAE0FB2" w:rsidR="66F0CE5E" w:rsidRDefault="66F0CE5E" w:rsidP="73F31BAE">
            <w:pPr>
              <w:spacing w:after="200" w:line="276" w:lineRule="auto"/>
              <w:ind w:left="1080" w:right="-20"/>
              <w:rPr>
                <w:rFonts w:ascii="Arial" w:eastAsia="Arial" w:hAnsi="Arial" w:cs="Arial"/>
              </w:rPr>
            </w:pPr>
            <w:r w:rsidRPr="73F31BAE">
              <w:rPr>
                <w:rFonts w:ascii="Arial" w:eastAsia="Arial" w:hAnsi="Arial" w:cs="Arial"/>
              </w:rPr>
              <w:t>4.2.1 Trends and Patterns emerged from the literature_______________</w:t>
            </w:r>
            <w:proofErr w:type="gramStart"/>
            <w:r w:rsidR="00CD52D8">
              <w:rPr>
                <w:rFonts w:ascii="Arial" w:eastAsia="Arial" w:hAnsi="Arial" w:cs="Arial"/>
              </w:rPr>
              <w:t>36</w:t>
            </w:r>
            <w:proofErr w:type="gramEnd"/>
          </w:p>
          <w:p w14:paraId="5D3F02A2" w14:textId="664FC104" w:rsidR="66F0CE5E" w:rsidRDefault="66F0CE5E" w:rsidP="73F31BAE">
            <w:pPr>
              <w:spacing w:after="200" w:line="276" w:lineRule="auto"/>
              <w:ind w:left="1080" w:right="-20"/>
              <w:rPr>
                <w:rFonts w:ascii="Arial" w:eastAsia="Arial" w:hAnsi="Arial" w:cs="Arial"/>
              </w:rPr>
            </w:pPr>
            <w:r w:rsidRPr="73F31BAE">
              <w:rPr>
                <w:rFonts w:ascii="Arial" w:eastAsia="Arial" w:hAnsi="Arial" w:cs="Arial"/>
              </w:rPr>
              <w:t>4.2.2 Bank of England Base rate influence on the Stock Prices of the Unite</w:t>
            </w:r>
            <w:r w:rsidR="77F36A6D" w:rsidRPr="73F31BAE">
              <w:rPr>
                <w:rFonts w:ascii="Arial" w:eastAsia="Arial" w:hAnsi="Arial" w:cs="Arial"/>
              </w:rPr>
              <w:t>d</w:t>
            </w:r>
            <w:r w:rsidRPr="73F31BAE">
              <w:rPr>
                <w:rFonts w:ascii="Arial" w:eastAsia="Arial" w:hAnsi="Arial" w:cs="Arial"/>
              </w:rPr>
              <w:t xml:space="preserve"> Kingdom__________________________________________________</w:t>
            </w:r>
            <w:r w:rsidR="00CD52D8">
              <w:rPr>
                <w:rFonts w:ascii="Arial" w:eastAsia="Arial" w:hAnsi="Arial" w:cs="Arial"/>
              </w:rPr>
              <w:t>38</w:t>
            </w:r>
          </w:p>
          <w:p w14:paraId="41FDA310" w14:textId="57593F0E" w:rsidR="66F0CE5E" w:rsidRDefault="66F0CE5E" w:rsidP="73F31BAE">
            <w:pPr>
              <w:spacing w:after="200" w:line="276" w:lineRule="auto"/>
              <w:ind w:left="1080" w:right="-20"/>
              <w:rPr>
                <w:rFonts w:ascii="Arial" w:eastAsia="Arial" w:hAnsi="Arial" w:cs="Arial"/>
              </w:rPr>
            </w:pPr>
            <w:r w:rsidRPr="73F31BAE">
              <w:rPr>
                <w:rFonts w:ascii="Arial" w:eastAsia="Arial" w:hAnsi="Arial" w:cs="Arial"/>
              </w:rPr>
              <w:t>4.2.3 The Trading Volume of the London Stock Exchange and the Key Economic Indicators_________________________________________</w:t>
            </w:r>
            <w:r w:rsidR="00CD52D8">
              <w:rPr>
                <w:rFonts w:ascii="Arial" w:eastAsia="Arial" w:hAnsi="Arial" w:cs="Arial"/>
              </w:rPr>
              <w:t>46</w:t>
            </w:r>
          </w:p>
          <w:p w14:paraId="70D949B9" w14:textId="234D5DAF" w:rsidR="66F0CE5E" w:rsidRDefault="66F0CE5E" w:rsidP="73F31BAE">
            <w:pPr>
              <w:spacing w:after="200" w:line="276" w:lineRule="auto"/>
              <w:ind w:left="720" w:right="-20"/>
              <w:rPr>
                <w:rFonts w:ascii="Arial" w:eastAsia="Arial" w:hAnsi="Arial" w:cs="Arial"/>
              </w:rPr>
            </w:pPr>
            <w:r w:rsidRPr="73F31BAE">
              <w:rPr>
                <w:rFonts w:ascii="Arial" w:eastAsia="Arial" w:hAnsi="Arial" w:cs="Arial"/>
              </w:rPr>
              <w:t>4.3 Conclusion_________________________________________________</w:t>
            </w:r>
            <w:r w:rsidR="0E5E448D" w:rsidRPr="73F31BAE">
              <w:rPr>
                <w:rFonts w:ascii="Arial" w:eastAsia="Arial" w:hAnsi="Arial" w:cs="Arial"/>
              </w:rPr>
              <w:t>5</w:t>
            </w:r>
            <w:r w:rsidR="00CD52D8">
              <w:rPr>
                <w:rFonts w:ascii="Arial" w:eastAsia="Arial" w:hAnsi="Arial" w:cs="Arial"/>
              </w:rPr>
              <w:t>5</w:t>
            </w:r>
          </w:p>
        </w:tc>
      </w:tr>
      <w:tr w:rsidR="73F31BAE" w14:paraId="5462873E" w14:textId="77777777" w:rsidTr="73F31BAE">
        <w:trPr>
          <w:trHeight w:val="300"/>
          <w:jc w:val="center"/>
        </w:trPr>
        <w:tc>
          <w:tcPr>
            <w:tcW w:w="8685" w:type="dxa"/>
          </w:tcPr>
          <w:p w14:paraId="32B3BE30" w14:textId="58CF1C44" w:rsidR="03EDFAFF" w:rsidRDefault="03EDFAFF" w:rsidP="73F31BAE">
            <w:pPr>
              <w:rPr>
                <w:rFonts w:ascii="Arial" w:eastAsia="Arial" w:hAnsi="Arial" w:cs="Arial"/>
                <w:b/>
                <w:bCs/>
                <w:color w:val="000000" w:themeColor="text1"/>
              </w:rPr>
            </w:pPr>
            <w:r w:rsidRPr="73F31BAE">
              <w:rPr>
                <w:rFonts w:ascii="Arial" w:eastAsia="Arial" w:hAnsi="Arial" w:cs="Arial"/>
                <w:b/>
                <w:bCs/>
                <w:color w:val="000000" w:themeColor="text1"/>
              </w:rPr>
              <w:t>Chapter 5: Conclusion</w:t>
            </w:r>
          </w:p>
          <w:p w14:paraId="7F392518" w14:textId="19768B92" w:rsidR="73F31BAE" w:rsidRDefault="73F31BAE" w:rsidP="73F31BAE">
            <w:pPr>
              <w:rPr>
                <w:rFonts w:ascii="Arial" w:eastAsia="Arial" w:hAnsi="Arial" w:cs="Arial"/>
                <w:b/>
                <w:bCs/>
                <w:color w:val="000000" w:themeColor="text1"/>
              </w:rPr>
            </w:pPr>
          </w:p>
          <w:p w14:paraId="683B3343" w14:textId="46BFF254" w:rsidR="03EDFAFF" w:rsidRDefault="03EDFAFF" w:rsidP="73F31BAE">
            <w:pPr>
              <w:spacing w:after="200" w:line="276" w:lineRule="auto"/>
              <w:ind w:left="709" w:right="-20"/>
              <w:rPr>
                <w:rFonts w:ascii="Arial" w:eastAsia="Arial" w:hAnsi="Arial" w:cs="Arial"/>
              </w:rPr>
            </w:pPr>
            <w:r w:rsidRPr="73F31BAE">
              <w:rPr>
                <w:rFonts w:ascii="Arial" w:eastAsia="Arial" w:hAnsi="Arial" w:cs="Arial"/>
              </w:rPr>
              <w:t>5.1 Introduction________________________________________________</w:t>
            </w:r>
            <w:r w:rsidR="36553F29" w:rsidRPr="73F31BAE">
              <w:rPr>
                <w:rFonts w:ascii="Arial" w:eastAsia="Arial" w:hAnsi="Arial" w:cs="Arial"/>
              </w:rPr>
              <w:t>5</w:t>
            </w:r>
            <w:r w:rsidR="0011497C">
              <w:rPr>
                <w:rFonts w:ascii="Arial" w:eastAsia="Arial" w:hAnsi="Arial" w:cs="Arial"/>
              </w:rPr>
              <w:t>7</w:t>
            </w:r>
          </w:p>
          <w:p w14:paraId="21F60497" w14:textId="094EB2A2" w:rsidR="03EDFAFF" w:rsidRDefault="03EDFAFF" w:rsidP="73F31BAE">
            <w:pPr>
              <w:spacing w:after="200" w:line="276" w:lineRule="auto"/>
              <w:ind w:left="709" w:right="-20"/>
              <w:rPr>
                <w:rFonts w:ascii="Arial" w:eastAsia="Arial" w:hAnsi="Arial" w:cs="Arial"/>
              </w:rPr>
            </w:pPr>
            <w:r w:rsidRPr="73F31BAE">
              <w:rPr>
                <w:rFonts w:ascii="Arial" w:eastAsia="Arial" w:hAnsi="Arial" w:cs="Arial"/>
              </w:rPr>
              <w:t>5.2 Summary of main findings_____________________________________</w:t>
            </w:r>
            <w:r w:rsidR="6A76B957" w:rsidRPr="73F31BAE">
              <w:rPr>
                <w:rFonts w:ascii="Arial" w:eastAsia="Arial" w:hAnsi="Arial" w:cs="Arial"/>
              </w:rPr>
              <w:t>5</w:t>
            </w:r>
            <w:r w:rsidR="0011497C">
              <w:rPr>
                <w:rFonts w:ascii="Arial" w:eastAsia="Arial" w:hAnsi="Arial" w:cs="Arial"/>
              </w:rPr>
              <w:t>7</w:t>
            </w:r>
          </w:p>
          <w:p w14:paraId="0654DD71" w14:textId="2A1A44BA" w:rsidR="03EDFAFF" w:rsidRDefault="03EDFAFF" w:rsidP="73F31BAE">
            <w:pPr>
              <w:spacing w:after="200" w:line="276" w:lineRule="auto"/>
              <w:ind w:left="709" w:right="-20"/>
              <w:rPr>
                <w:rFonts w:ascii="Arial" w:eastAsia="Arial" w:hAnsi="Arial" w:cs="Arial"/>
              </w:rPr>
            </w:pPr>
            <w:r w:rsidRPr="73F31BAE">
              <w:rPr>
                <w:rFonts w:ascii="Arial" w:eastAsia="Arial" w:hAnsi="Arial" w:cs="Arial"/>
              </w:rPr>
              <w:t>5.3 Conclusion based on research questions_</w:t>
            </w:r>
            <w:r w:rsidR="6BD90776" w:rsidRPr="73F31BAE">
              <w:rPr>
                <w:rFonts w:ascii="Arial" w:eastAsia="Arial" w:hAnsi="Arial" w:cs="Arial"/>
              </w:rPr>
              <w:t>________________________</w:t>
            </w:r>
            <w:proofErr w:type="gramStart"/>
            <w:r w:rsidR="53DF2DF0" w:rsidRPr="73F31BAE">
              <w:rPr>
                <w:rFonts w:ascii="Arial" w:eastAsia="Arial" w:hAnsi="Arial" w:cs="Arial"/>
              </w:rPr>
              <w:t>5</w:t>
            </w:r>
            <w:r w:rsidR="0011497C">
              <w:rPr>
                <w:rFonts w:ascii="Arial" w:eastAsia="Arial" w:hAnsi="Arial" w:cs="Arial"/>
              </w:rPr>
              <w:t>8</w:t>
            </w:r>
            <w:proofErr w:type="gramEnd"/>
          </w:p>
          <w:p w14:paraId="7B2FF420" w14:textId="2DE463DC" w:rsidR="03EDFAFF" w:rsidRDefault="03EDFAFF" w:rsidP="73F31BAE">
            <w:pPr>
              <w:spacing w:after="200" w:line="276" w:lineRule="auto"/>
              <w:ind w:left="709" w:right="-20"/>
              <w:rPr>
                <w:rFonts w:ascii="Arial" w:eastAsia="Arial" w:hAnsi="Arial" w:cs="Arial"/>
              </w:rPr>
            </w:pPr>
            <w:r w:rsidRPr="73F31BAE">
              <w:rPr>
                <w:rFonts w:ascii="Arial" w:eastAsia="Arial" w:hAnsi="Arial" w:cs="Arial"/>
              </w:rPr>
              <w:t>5.4 Practical and theoretical Implications</w:t>
            </w:r>
            <w:r w:rsidR="061C1757" w:rsidRPr="73F31BAE">
              <w:rPr>
                <w:rFonts w:ascii="Arial" w:eastAsia="Arial" w:hAnsi="Arial" w:cs="Arial"/>
              </w:rPr>
              <w:t>____________________________</w:t>
            </w:r>
            <w:r w:rsidR="756CCD0C" w:rsidRPr="73F31BAE">
              <w:rPr>
                <w:rFonts w:ascii="Arial" w:eastAsia="Arial" w:hAnsi="Arial" w:cs="Arial"/>
              </w:rPr>
              <w:t>6</w:t>
            </w:r>
            <w:r w:rsidR="0011497C">
              <w:rPr>
                <w:rFonts w:ascii="Arial" w:eastAsia="Arial" w:hAnsi="Arial" w:cs="Arial"/>
              </w:rPr>
              <w:t>0</w:t>
            </w:r>
          </w:p>
          <w:p w14:paraId="032D030E" w14:textId="2E04612B" w:rsidR="03EDFAFF" w:rsidRDefault="03EDFAFF" w:rsidP="73F31BAE">
            <w:pPr>
              <w:spacing w:after="200" w:line="276" w:lineRule="auto"/>
              <w:ind w:left="709" w:right="-20"/>
              <w:rPr>
                <w:rFonts w:ascii="Arial" w:eastAsia="Arial" w:hAnsi="Arial" w:cs="Arial"/>
              </w:rPr>
            </w:pPr>
            <w:r w:rsidRPr="73F31BAE">
              <w:rPr>
                <w:rFonts w:ascii="Arial" w:eastAsia="Arial" w:hAnsi="Arial" w:cs="Arial"/>
              </w:rPr>
              <w:t>5.5 Limitations of the research</w:t>
            </w:r>
            <w:r w:rsidR="182C6F7E" w:rsidRPr="73F31BAE">
              <w:rPr>
                <w:rFonts w:ascii="Arial" w:eastAsia="Arial" w:hAnsi="Arial" w:cs="Arial"/>
              </w:rPr>
              <w:t>_____________________________________</w:t>
            </w:r>
            <w:r w:rsidR="10031217" w:rsidRPr="73F31BAE">
              <w:rPr>
                <w:rFonts w:ascii="Arial" w:eastAsia="Arial" w:hAnsi="Arial" w:cs="Arial"/>
              </w:rPr>
              <w:t>62</w:t>
            </w:r>
          </w:p>
          <w:p w14:paraId="0A7AF189" w14:textId="487786F2" w:rsidR="03EDFAFF" w:rsidRDefault="03EDFAFF" w:rsidP="73F31BAE">
            <w:pPr>
              <w:spacing w:after="200" w:line="276" w:lineRule="auto"/>
              <w:ind w:left="709" w:right="-20"/>
              <w:rPr>
                <w:rFonts w:ascii="Arial" w:eastAsia="Arial" w:hAnsi="Arial" w:cs="Arial"/>
              </w:rPr>
            </w:pPr>
            <w:r w:rsidRPr="73F31BAE">
              <w:rPr>
                <w:rFonts w:ascii="Arial" w:eastAsia="Arial" w:hAnsi="Arial" w:cs="Arial"/>
              </w:rPr>
              <w:t>5.6 Recommendations for future work</w:t>
            </w:r>
            <w:r w:rsidR="02F900D9" w:rsidRPr="73F31BAE">
              <w:rPr>
                <w:rFonts w:ascii="Arial" w:eastAsia="Arial" w:hAnsi="Arial" w:cs="Arial"/>
              </w:rPr>
              <w:t>_______________________________</w:t>
            </w:r>
            <w:r w:rsidR="1B3B3553" w:rsidRPr="73F31BAE">
              <w:rPr>
                <w:rFonts w:ascii="Arial" w:eastAsia="Arial" w:hAnsi="Arial" w:cs="Arial"/>
              </w:rPr>
              <w:t>6</w:t>
            </w:r>
            <w:r w:rsidR="0011497C">
              <w:rPr>
                <w:rFonts w:ascii="Arial" w:eastAsia="Arial" w:hAnsi="Arial" w:cs="Arial"/>
              </w:rPr>
              <w:t>2</w:t>
            </w:r>
          </w:p>
          <w:p w14:paraId="2208F87F" w14:textId="63DBFF5F" w:rsidR="03EDFAFF" w:rsidRDefault="03EDFAFF" w:rsidP="73F31BAE">
            <w:pPr>
              <w:spacing w:after="200" w:line="276" w:lineRule="auto"/>
              <w:ind w:left="709" w:right="-20"/>
              <w:rPr>
                <w:rFonts w:ascii="Arial" w:eastAsia="Arial" w:hAnsi="Arial" w:cs="Arial"/>
              </w:rPr>
            </w:pPr>
            <w:r w:rsidRPr="73F31BAE">
              <w:rPr>
                <w:rFonts w:ascii="Arial" w:eastAsia="Arial" w:hAnsi="Arial" w:cs="Arial"/>
              </w:rPr>
              <w:t>5.7 Conclusion</w:t>
            </w:r>
            <w:r w:rsidR="5AAEDC74" w:rsidRPr="73F31BAE">
              <w:rPr>
                <w:rFonts w:ascii="Arial" w:eastAsia="Arial" w:hAnsi="Arial" w:cs="Arial"/>
              </w:rPr>
              <w:t>_________________________________________________</w:t>
            </w:r>
            <w:r w:rsidR="6DD33EE9" w:rsidRPr="73F31BAE">
              <w:rPr>
                <w:rFonts w:ascii="Arial" w:eastAsia="Arial" w:hAnsi="Arial" w:cs="Arial"/>
              </w:rPr>
              <w:t>6</w:t>
            </w:r>
            <w:r w:rsidR="0011497C">
              <w:rPr>
                <w:rFonts w:ascii="Arial" w:eastAsia="Arial" w:hAnsi="Arial" w:cs="Arial"/>
              </w:rPr>
              <w:t>3</w:t>
            </w:r>
          </w:p>
        </w:tc>
      </w:tr>
      <w:tr w:rsidR="73F31BAE" w14:paraId="70B5C4E3" w14:textId="77777777" w:rsidTr="73F31BAE">
        <w:trPr>
          <w:trHeight w:val="300"/>
          <w:jc w:val="center"/>
        </w:trPr>
        <w:tc>
          <w:tcPr>
            <w:tcW w:w="8685" w:type="dxa"/>
          </w:tcPr>
          <w:p w14:paraId="31164685" w14:textId="74EB4067" w:rsidR="03EDFAFF" w:rsidRDefault="03EDFAFF" w:rsidP="73F31BAE">
            <w:pPr>
              <w:rPr>
                <w:rFonts w:ascii="Arial" w:eastAsia="Arial" w:hAnsi="Arial" w:cs="Arial"/>
                <w:b/>
                <w:bCs/>
                <w:color w:val="000000" w:themeColor="text1"/>
              </w:rPr>
            </w:pPr>
            <w:r w:rsidRPr="73F31BAE">
              <w:rPr>
                <w:rFonts w:ascii="Arial" w:eastAsia="Arial" w:hAnsi="Arial" w:cs="Arial"/>
                <w:b/>
                <w:bCs/>
                <w:color w:val="000000" w:themeColor="text1"/>
              </w:rPr>
              <w:t>List of References</w:t>
            </w:r>
            <w:r w:rsidR="539B8409" w:rsidRPr="73F31BAE">
              <w:rPr>
                <w:rFonts w:ascii="Arial" w:eastAsia="Arial" w:hAnsi="Arial" w:cs="Arial"/>
                <w:b/>
                <w:bCs/>
                <w:color w:val="000000" w:themeColor="text1"/>
              </w:rPr>
              <w:t>___________________________________________________65</w:t>
            </w:r>
          </w:p>
        </w:tc>
      </w:tr>
      <w:tr w:rsidR="73F31BAE" w14:paraId="5DD99DF2" w14:textId="77777777" w:rsidTr="73F31BAE">
        <w:trPr>
          <w:trHeight w:val="300"/>
          <w:jc w:val="center"/>
        </w:trPr>
        <w:tc>
          <w:tcPr>
            <w:tcW w:w="8685" w:type="dxa"/>
          </w:tcPr>
          <w:p w14:paraId="5A46CEDB" w14:textId="16FEB71D" w:rsidR="03EDFAFF" w:rsidRDefault="03EDFAFF" w:rsidP="73F31BAE">
            <w:pPr>
              <w:rPr>
                <w:rFonts w:ascii="Arial" w:eastAsia="Arial" w:hAnsi="Arial" w:cs="Arial"/>
                <w:b/>
                <w:bCs/>
                <w:color w:val="000000" w:themeColor="text1"/>
              </w:rPr>
            </w:pPr>
            <w:r w:rsidRPr="73F31BAE">
              <w:rPr>
                <w:rFonts w:ascii="Arial" w:eastAsia="Arial" w:hAnsi="Arial" w:cs="Arial"/>
                <w:b/>
                <w:bCs/>
                <w:color w:val="000000" w:themeColor="text1"/>
              </w:rPr>
              <w:t>Appendix</w:t>
            </w:r>
          </w:p>
          <w:p w14:paraId="1F79C808" w14:textId="0DFCBA51" w:rsidR="00BB9C89" w:rsidRDefault="00BB9C89" w:rsidP="73F31BAE">
            <w:pPr>
              <w:spacing w:after="200" w:line="276" w:lineRule="auto"/>
              <w:ind w:left="709" w:right="-20"/>
              <w:rPr>
                <w:rFonts w:ascii="Arial" w:eastAsia="Arial" w:hAnsi="Arial" w:cs="Arial"/>
              </w:rPr>
            </w:pPr>
            <w:r w:rsidRPr="73F31BAE">
              <w:rPr>
                <w:rFonts w:ascii="Arial" w:eastAsia="Arial" w:hAnsi="Arial" w:cs="Arial"/>
              </w:rPr>
              <w:t>Appendix no.1 ________________________________________________</w:t>
            </w:r>
            <w:r w:rsidR="081C5E17" w:rsidRPr="73F31BAE">
              <w:rPr>
                <w:rFonts w:ascii="Arial" w:eastAsia="Arial" w:hAnsi="Arial" w:cs="Arial"/>
              </w:rPr>
              <w:t>7</w:t>
            </w:r>
            <w:r w:rsidR="0011497C">
              <w:rPr>
                <w:rFonts w:ascii="Arial" w:eastAsia="Arial" w:hAnsi="Arial" w:cs="Arial"/>
              </w:rPr>
              <w:t>9</w:t>
            </w:r>
          </w:p>
          <w:p w14:paraId="1FEB5093" w14:textId="7C6B188C" w:rsidR="00BB9C89" w:rsidRDefault="00BB9C89" w:rsidP="73F31BAE">
            <w:pPr>
              <w:spacing w:after="200" w:line="276" w:lineRule="auto"/>
              <w:ind w:left="709" w:right="-20"/>
              <w:rPr>
                <w:rFonts w:ascii="Arial" w:eastAsia="Arial" w:hAnsi="Arial" w:cs="Arial"/>
              </w:rPr>
            </w:pPr>
            <w:r w:rsidRPr="73F31BAE">
              <w:rPr>
                <w:rFonts w:ascii="Arial" w:eastAsia="Arial" w:hAnsi="Arial" w:cs="Arial"/>
              </w:rPr>
              <w:t>Appendix no.2_________________________________________________</w:t>
            </w:r>
            <w:r w:rsidR="109486CA" w:rsidRPr="73F31BAE">
              <w:rPr>
                <w:rFonts w:ascii="Arial" w:eastAsia="Arial" w:hAnsi="Arial" w:cs="Arial"/>
              </w:rPr>
              <w:t>8</w:t>
            </w:r>
            <w:r w:rsidR="0011497C">
              <w:rPr>
                <w:rFonts w:ascii="Arial" w:eastAsia="Arial" w:hAnsi="Arial" w:cs="Arial"/>
              </w:rPr>
              <w:t>4</w:t>
            </w:r>
          </w:p>
          <w:p w14:paraId="033CB0F8" w14:textId="5E1DA41A" w:rsidR="73F31BAE" w:rsidRDefault="73F31BAE" w:rsidP="73F31BAE">
            <w:pPr>
              <w:rPr>
                <w:rFonts w:ascii="Arial" w:eastAsia="Arial" w:hAnsi="Arial" w:cs="Arial"/>
                <w:b/>
                <w:bCs/>
                <w:color w:val="000000" w:themeColor="text1"/>
              </w:rPr>
            </w:pPr>
          </w:p>
        </w:tc>
      </w:tr>
    </w:tbl>
    <w:p w14:paraId="1E659AA9" w14:textId="6369B917" w:rsidR="0B3603E4" w:rsidRDefault="0B3603E4" w:rsidP="73F31BAE">
      <w:pPr>
        <w:spacing w:after="0" w:line="360" w:lineRule="auto"/>
        <w:ind w:left="-20" w:right="-20"/>
        <w:jc w:val="both"/>
        <w:rPr>
          <w:rFonts w:ascii="Arial" w:eastAsia="Arial" w:hAnsi="Arial" w:cs="Arial"/>
          <w:b/>
          <w:bCs/>
          <w:color w:val="000000" w:themeColor="text1"/>
        </w:rPr>
      </w:pPr>
    </w:p>
    <w:p w14:paraId="1164FB9D" w14:textId="2AFEE2EC" w:rsidR="0B3603E4" w:rsidRDefault="0B3603E4" w:rsidP="73F31BAE">
      <w:pPr>
        <w:spacing w:after="0" w:line="360" w:lineRule="auto"/>
        <w:ind w:left="-20" w:right="-20"/>
        <w:jc w:val="both"/>
        <w:rPr>
          <w:rFonts w:ascii="Arial" w:eastAsia="Arial" w:hAnsi="Arial" w:cs="Arial"/>
          <w:b/>
          <w:bCs/>
          <w:color w:val="000000" w:themeColor="text1"/>
        </w:rPr>
      </w:pPr>
    </w:p>
    <w:p w14:paraId="379B7412" w14:textId="0A7C633D" w:rsidR="0B3603E4" w:rsidRDefault="0B3603E4" w:rsidP="73F31BAE">
      <w:pPr>
        <w:spacing w:after="0" w:line="360" w:lineRule="auto"/>
        <w:ind w:left="-20" w:right="-20"/>
        <w:jc w:val="both"/>
        <w:rPr>
          <w:rFonts w:ascii="Arial" w:eastAsia="Arial" w:hAnsi="Arial" w:cs="Arial"/>
          <w:b/>
          <w:bCs/>
          <w:color w:val="000000" w:themeColor="text1"/>
        </w:rPr>
      </w:pPr>
    </w:p>
    <w:p w14:paraId="593DD1B1" w14:textId="78FB135A" w:rsidR="0B3603E4" w:rsidRDefault="0B3603E4" w:rsidP="73F31BAE">
      <w:pPr>
        <w:spacing w:after="0" w:line="360" w:lineRule="auto"/>
        <w:ind w:left="-20" w:right="-20"/>
        <w:jc w:val="both"/>
        <w:rPr>
          <w:rFonts w:ascii="Arial" w:eastAsia="Arial" w:hAnsi="Arial" w:cs="Arial"/>
          <w:b/>
          <w:bCs/>
          <w:color w:val="000000" w:themeColor="text1"/>
        </w:rPr>
      </w:pPr>
    </w:p>
    <w:p w14:paraId="64B7B571" w14:textId="41F0D74F" w:rsidR="0B3603E4" w:rsidRDefault="0B3603E4" w:rsidP="73F31BAE">
      <w:pPr>
        <w:spacing w:after="0" w:line="360" w:lineRule="auto"/>
        <w:ind w:left="-20" w:right="-20"/>
        <w:jc w:val="both"/>
        <w:rPr>
          <w:rFonts w:ascii="Arial" w:eastAsia="Arial" w:hAnsi="Arial" w:cs="Arial"/>
          <w:b/>
          <w:bCs/>
          <w:color w:val="000000" w:themeColor="text1"/>
        </w:rPr>
      </w:pPr>
    </w:p>
    <w:p w14:paraId="64E55271" w14:textId="7B79110B" w:rsidR="0B3603E4" w:rsidRDefault="0B3603E4" w:rsidP="73F31BAE">
      <w:pPr>
        <w:spacing w:after="0" w:line="360" w:lineRule="auto"/>
        <w:ind w:left="-20" w:right="-20"/>
        <w:jc w:val="both"/>
        <w:rPr>
          <w:rFonts w:ascii="Arial" w:eastAsia="Arial" w:hAnsi="Arial" w:cs="Arial"/>
          <w:b/>
          <w:bCs/>
          <w:color w:val="000000" w:themeColor="text1"/>
        </w:rPr>
      </w:pPr>
    </w:p>
    <w:p w14:paraId="5B5DE9B9" w14:textId="45F80E50" w:rsidR="0B3603E4" w:rsidRDefault="26E2CDB7" w:rsidP="73F31BAE">
      <w:pPr>
        <w:spacing w:after="0" w:line="360" w:lineRule="auto"/>
        <w:ind w:left="-20" w:right="-20"/>
        <w:jc w:val="center"/>
        <w:rPr>
          <w:rFonts w:ascii="Arial" w:eastAsia="Arial" w:hAnsi="Arial" w:cs="Arial"/>
          <w:b/>
          <w:bCs/>
          <w:color w:val="000000" w:themeColor="text1"/>
        </w:rPr>
      </w:pPr>
      <w:r w:rsidRPr="73F31BAE">
        <w:rPr>
          <w:rFonts w:ascii="Arial" w:eastAsia="Arial" w:hAnsi="Arial" w:cs="Arial"/>
          <w:b/>
          <w:bCs/>
          <w:color w:val="000000" w:themeColor="text1"/>
        </w:rPr>
        <w:t>List of Tables:</w:t>
      </w:r>
    </w:p>
    <w:p w14:paraId="183C6C0F" w14:textId="2B779DA1" w:rsidR="0B3603E4" w:rsidRDefault="52CA7A78" w:rsidP="73F31BAE">
      <w:pPr>
        <w:pStyle w:val="ListParagraph"/>
        <w:numPr>
          <w:ilvl w:val="0"/>
          <w:numId w:val="2"/>
        </w:numPr>
        <w:spacing w:after="0" w:line="360" w:lineRule="auto"/>
        <w:ind w:right="-20"/>
        <w:jc w:val="both"/>
        <w:rPr>
          <w:rFonts w:ascii="Arial" w:eastAsia="Arial" w:hAnsi="Arial" w:cs="Arial"/>
          <w:color w:val="000000" w:themeColor="text1"/>
        </w:rPr>
      </w:pPr>
      <w:r w:rsidRPr="73F31BAE">
        <w:rPr>
          <w:rFonts w:ascii="Arial" w:eastAsia="Arial" w:hAnsi="Arial" w:cs="Arial"/>
          <w:color w:val="000000" w:themeColor="text1"/>
        </w:rPr>
        <w:t>The Table of Literature Reviews</w:t>
      </w:r>
      <w:r w:rsidR="293FE486" w:rsidRPr="73F31BAE">
        <w:rPr>
          <w:rFonts w:ascii="Arial" w:eastAsia="Arial" w:hAnsi="Arial" w:cs="Arial"/>
          <w:color w:val="000000" w:themeColor="text1"/>
        </w:rPr>
        <w:t xml:space="preserve"> </w:t>
      </w:r>
      <w:r w:rsidR="72B6976F" w:rsidRPr="73F31BAE">
        <w:rPr>
          <w:rFonts w:ascii="Arial" w:eastAsia="Arial" w:hAnsi="Arial" w:cs="Arial"/>
          <w:color w:val="000000" w:themeColor="text1"/>
        </w:rPr>
        <w:t>_________________________________________</w:t>
      </w:r>
      <w:r w:rsidR="0CC26849" w:rsidRPr="73F31BAE">
        <w:rPr>
          <w:rFonts w:ascii="Arial" w:eastAsia="Arial" w:hAnsi="Arial" w:cs="Arial"/>
          <w:color w:val="000000" w:themeColor="text1"/>
        </w:rPr>
        <w:t>_</w:t>
      </w:r>
      <w:r w:rsidR="72B6976F" w:rsidRPr="73F31BAE">
        <w:rPr>
          <w:rFonts w:ascii="Arial" w:eastAsia="Arial" w:hAnsi="Arial" w:cs="Arial"/>
          <w:color w:val="000000" w:themeColor="text1"/>
        </w:rPr>
        <w:t>21</w:t>
      </w:r>
    </w:p>
    <w:p w14:paraId="21B18D6E" w14:textId="2BA7F0DA" w:rsidR="0B3603E4" w:rsidRDefault="52CA7A78" w:rsidP="73F31BAE">
      <w:pPr>
        <w:pStyle w:val="ListParagraph"/>
        <w:numPr>
          <w:ilvl w:val="0"/>
          <w:numId w:val="2"/>
        </w:numPr>
        <w:spacing w:after="0" w:line="360" w:lineRule="auto"/>
        <w:ind w:right="-20"/>
        <w:jc w:val="both"/>
        <w:rPr>
          <w:rFonts w:ascii="Arial" w:eastAsia="Arial" w:hAnsi="Arial" w:cs="Arial"/>
          <w:color w:val="000000" w:themeColor="text1"/>
        </w:rPr>
      </w:pPr>
      <w:r w:rsidRPr="73F31BAE">
        <w:rPr>
          <w:rFonts w:ascii="Arial" w:eastAsia="Arial" w:hAnsi="Arial" w:cs="Arial"/>
          <w:color w:val="000000" w:themeColor="text1"/>
        </w:rPr>
        <w:t>Percentage of Market capitalization/ national product (1980-</w:t>
      </w:r>
      <w:r w:rsidR="1A0E95F5" w:rsidRPr="73F31BAE">
        <w:rPr>
          <w:rFonts w:ascii="Arial" w:eastAsia="Arial" w:hAnsi="Arial" w:cs="Arial"/>
          <w:color w:val="000000" w:themeColor="text1"/>
        </w:rPr>
        <w:t>1999) _______________3</w:t>
      </w:r>
      <w:r w:rsidR="0011497C">
        <w:rPr>
          <w:rFonts w:ascii="Arial" w:eastAsia="Arial" w:hAnsi="Arial" w:cs="Arial"/>
          <w:color w:val="000000" w:themeColor="text1"/>
        </w:rPr>
        <w:t>6</w:t>
      </w:r>
    </w:p>
    <w:p w14:paraId="4C6E68A7" w14:textId="0E21DA4D" w:rsidR="0B3603E4" w:rsidRDefault="7B939FFA" w:rsidP="73F31BAE">
      <w:pPr>
        <w:pStyle w:val="ListParagraph"/>
        <w:numPr>
          <w:ilvl w:val="0"/>
          <w:numId w:val="2"/>
        </w:numPr>
        <w:spacing w:after="0" w:line="360" w:lineRule="auto"/>
        <w:ind w:right="-20"/>
        <w:jc w:val="both"/>
        <w:rPr>
          <w:rFonts w:ascii="Arial" w:eastAsia="Arial" w:hAnsi="Arial" w:cs="Arial"/>
          <w:color w:val="000000" w:themeColor="text1"/>
        </w:rPr>
      </w:pPr>
      <w:r w:rsidRPr="73F31BAE">
        <w:rPr>
          <w:rFonts w:ascii="Arial" w:eastAsia="Arial" w:hAnsi="Arial" w:cs="Arial"/>
          <w:color w:val="000000" w:themeColor="text1"/>
        </w:rPr>
        <w:t>Trading Volumes</w:t>
      </w:r>
      <w:r w:rsidR="3BBF1EAE" w:rsidRPr="73F31BAE">
        <w:rPr>
          <w:rFonts w:ascii="Arial" w:eastAsia="Arial" w:hAnsi="Arial" w:cs="Arial"/>
          <w:color w:val="000000" w:themeColor="text1"/>
        </w:rPr>
        <w:t xml:space="preserve"> </w:t>
      </w:r>
      <w:r w:rsidR="0566287A" w:rsidRPr="73F31BAE">
        <w:rPr>
          <w:rFonts w:ascii="Arial" w:eastAsia="Arial" w:hAnsi="Arial" w:cs="Arial"/>
          <w:color w:val="000000" w:themeColor="text1"/>
        </w:rPr>
        <w:t>_____________________________________________________</w:t>
      </w:r>
      <w:r w:rsidR="6DBAAD0F" w:rsidRPr="73F31BAE">
        <w:rPr>
          <w:rFonts w:ascii="Arial" w:eastAsia="Arial" w:hAnsi="Arial" w:cs="Arial"/>
          <w:color w:val="000000" w:themeColor="text1"/>
        </w:rPr>
        <w:t>_</w:t>
      </w:r>
      <w:r w:rsidR="0566287A" w:rsidRPr="73F31BAE">
        <w:rPr>
          <w:rFonts w:ascii="Arial" w:eastAsia="Arial" w:hAnsi="Arial" w:cs="Arial"/>
          <w:color w:val="000000" w:themeColor="text1"/>
        </w:rPr>
        <w:t>3</w:t>
      </w:r>
      <w:r w:rsidR="0011497C">
        <w:rPr>
          <w:rFonts w:ascii="Arial" w:eastAsia="Arial" w:hAnsi="Arial" w:cs="Arial"/>
          <w:color w:val="000000" w:themeColor="text1"/>
        </w:rPr>
        <w:t>7</w:t>
      </w:r>
    </w:p>
    <w:p w14:paraId="11F81699" w14:textId="2B6027B9" w:rsidR="0B3603E4" w:rsidRDefault="7B939FFA" w:rsidP="73F31BAE">
      <w:pPr>
        <w:pStyle w:val="ListParagraph"/>
        <w:numPr>
          <w:ilvl w:val="0"/>
          <w:numId w:val="2"/>
        </w:numPr>
        <w:spacing w:after="0" w:line="360" w:lineRule="auto"/>
        <w:ind w:right="-20"/>
        <w:jc w:val="both"/>
        <w:rPr>
          <w:rFonts w:ascii="Arial" w:eastAsia="Arial" w:hAnsi="Arial" w:cs="Arial"/>
          <w:color w:val="000000" w:themeColor="text1"/>
        </w:rPr>
      </w:pPr>
      <w:r w:rsidRPr="73F31BAE">
        <w:rPr>
          <w:rFonts w:ascii="Arial" w:eastAsia="Arial" w:hAnsi="Arial" w:cs="Arial"/>
          <w:color w:val="000000" w:themeColor="text1"/>
        </w:rPr>
        <w:t>Official bank rates (2006-2023)</w:t>
      </w:r>
      <w:r w:rsidR="480D9D46" w:rsidRPr="73F31BAE">
        <w:rPr>
          <w:rFonts w:ascii="Arial" w:eastAsia="Arial" w:hAnsi="Arial" w:cs="Arial"/>
          <w:color w:val="000000" w:themeColor="text1"/>
        </w:rPr>
        <w:t xml:space="preserve"> ___________________________________________</w:t>
      </w:r>
      <w:r w:rsidR="0011497C">
        <w:rPr>
          <w:rFonts w:ascii="Arial" w:eastAsia="Arial" w:hAnsi="Arial" w:cs="Arial"/>
          <w:color w:val="000000" w:themeColor="text1"/>
        </w:rPr>
        <w:t>38</w:t>
      </w:r>
    </w:p>
    <w:p w14:paraId="20B13AD2" w14:textId="218BD3AF" w:rsidR="0B3603E4" w:rsidRDefault="7B939FFA" w:rsidP="73F31BAE">
      <w:pPr>
        <w:pStyle w:val="ListParagraph"/>
        <w:numPr>
          <w:ilvl w:val="0"/>
          <w:numId w:val="2"/>
        </w:numPr>
        <w:spacing w:after="0" w:line="360" w:lineRule="auto"/>
        <w:ind w:right="-20"/>
        <w:jc w:val="both"/>
        <w:rPr>
          <w:rFonts w:ascii="Arial" w:eastAsia="Arial" w:hAnsi="Arial" w:cs="Arial"/>
          <w:color w:val="000000" w:themeColor="text1"/>
        </w:rPr>
      </w:pPr>
      <w:r w:rsidRPr="73F31BAE">
        <w:rPr>
          <w:rFonts w:ascii="Arial" w:eastAsia="Arial" w:hAnsi="Arial" w:cs="Arial"/>
          <w:color w:val="000000" w:themeColor="text1"/>
        </w:rPr>
        <w:t>Stock Price Indec Value (2013-2023)</w:t>
      </w:r>
      <w:r w:rsidR="7B3AFF19" w:rsidRPr="73F31BAE">
        <w:rPr>
          <w:rFonts w:ascii="Arial" w:eastAsia="Arial" w:hAnsi="Arial" w:cs="Arial"/>
          <w:color w:val="000000" w:themeColor="text1"/>
        </w:rPr>
        <w:t xml:space="preserve"> ______________________________________4</w:t>
      </w:r>
      <w:r w:rsidR="0011497C">
        <w:rPr>
          <w:rFonts w:ascii="Arial" w:eastAsia="Arial" w:hAnsi="Arial" w:cs="Arial"/>
          <w:color w:val="000000" w:themeColor="text1"/>
        </w:rPr>
        <w:t>2</w:t>
      </w:r>
    </w:p>
    <w:p w14:paraId="6A1E9AEA" w14:textId="3DDC694D" w:rsidR="0B3603E4" w:rsidRDefault="7B939FFA" w:rsidP="73F31BAE">
      <w:pPr>
        <w:pStyle w:val="ListParagraph"/>
        <w:numPr>
          <w:ilvl w:val="0"/>
          <w:numId w:val="2"/>
        </w:numPr>
        <w:spacing w:after="0" w:line="360" w:lineRule="auto"/>
        <w:ind w:right="-20"/>
        <w:jc w:val="both"/>
        <w:rPr>
          <w:rFonts w:ascii="Arial" w:eastAsia="Arial" w:hAnsi="Arial" w:cs="Arial"/>
          <w:color w:val="000000" w:themeColor="text1"/>
        </w:rPr>
      </w:pPr>
      <w:r w:rsidRPr="73F31BAE">
        <w:rPr>
          <w:rFonts w:ascii="Arial" w:eastAsia="Arial" w:hAnsi="Arial" w:cs="Arial"/>
          <w:color w:val="000000" w:themeColor="text1"/>
        </w:rPr>
        <w:t>Yearly order Book Trading (2013-2023)</w:t>
      </w:r>
      <w:r w:rsidR="1C4081D1" w:rsidRPr="73F31BAE">
        <w:rPr>
          <w:rFonts w:ascii="Arial" w:eastAsia="Arial" w:hAnsi="Arial" w:cs="Arial"/>
          <w:color w:val="000000" w:themeColor="text1"/>
        </w:rPr>
        <w:t xml:space="preserve"> ____________________________________4</w:t>
      </w:r>
      <w:r w:rsidR="0011497C">
        <w:rPr>
          <w:rFonts w:ascii="Arial" w:eastAsia="Arial" w:hAnsi="Arial" w:cs="Arial"/>
          <w:color w:val="000000" w:themeColor="text1"/>
        </w:rPr>
        <w:t>7</w:t>
      </w:r>
    </w:p>
    <w:p w14:paraId="07677C23" w14:textId="32CF1670" w:rsidR="0B3603E4" w:rsidRDefault="7B939FFA" w:rsidP="73F31BAE">
      <w:pPr>
        <w:pStyle w:val="ListParagraph"/>
        <w:numPr>
          <w:ilvl w:val="0"/>
          <w:numId w:val="2"/>
        </w:numPr>
        <w:spacing w:after="0" w:line="360" w:lineRule="auto"/>
        <w:ind w:right="-20"/>
        <w:jc w:val="both"/>
        <w:rPr>
          <w:rFonts w:ascii="Arial" w:eastAsia="Arial" w:hAnsi="Arial" w:cs="Arial"/>
          <w:color w:val="000000" w:themeColor="text1"/>
        </w:rPr>
      </w:pPr>
      <w:r w:rsidRPr="73F31BAE">
        <w:rPr>
          <w:rFonts w:ascii="Arial" w:eastAsia="Arial" w:hAnsi="Arial" w:cs="Arial"/>
          <w:color w:val="000000" w:themeColor="text1"/>
        </w:rPr>
        <w:t>Macroeconomic Indicators of the United Kingdom Financial Market</w:t>
      </w:r>
      <w:r w:rsidR="58180FF1" w:rsidRPr="73F31BAE">
        <w:rPr>
          <w:rFonts w:ascii="Arial" w:eastAsia="Arial" w:hAnsi="Arial" w:cs="Arial"/>
          <w:color w:val="000000" w:themeColor="text1"/>
        </w:rPr>
        <w:t xml:space="preserve"> ______________</w:t>
      </w:r>
      <w:r w:rsidR="0AC5E9FC" w:rsidRPr="73F31BAE">
        <w:rPr>
          <w:rFonts w:ascii="Arial" w:eastAsia="Arial" w:hAnsi="Arial" w:cs="Arial"/>
          <w:color w:val="000000" w:themeColor="text1"/>
        </w:rPr>
        <w:t xml:space="preserve"> </w:t>
      </w:r>
      <w:r w:rsidR="58180FF1" w:rsidRPr="73F31BAE">
        <w:rPr>
          <w:rFonts w:ascii="Arial" w:eastAsia="Arial" w:hAnsi="Arial" w:cs="Arial"/>
          <w:color w:val="000000" w:themeColor="text1"/>
        </w:rPr>
        <w:t>5</w:t>
      </w:r>
      <w:r w:rsidR="0011497C">
        <w:rPr>
          <w:rFonts w:ascii="Arial" w:eastAsia="Arial" w:hAnsi="Arial" w:cs="Arial"/>
          <w:color w:val="000000" w:themeColor="text1"/>
        </w:rPr>
        <w:t>1</w:t>
      </w:r>
    </w:p>
    <w:p w14:paraId="69DD138D" w14:textId="22FADA6B" w:rsidR="0B3603E4" w:rsidRDefault="0B3603E4" w:rsidP="73F31BAE">
      <w:pPr>
        <w:spacing w:after="0" w:line="360" w:lineRule="auto"/>
        <w:ind w:right="-20"/>
        <w:jc w:val="both"/>
        <w:rPr>
          <w:rFonts w:ascii="Arial" w:eastAsia="Arial" w:hAnsi="Arial" w:cs="Arial"/>
          <w:b/>
          <w:bCs/>
          <w:color w:val="000000" w:themeColor="text1"/>
        </w:rPr>
      </w:pPr>
    </w:p>
    <w:p w14:paraId="1B3A5C8B" w14:textId="1E0AAD41" w:rsidR="0B3603E4" w:rsidRDefault="0B3603E4" w:rsidP="73F31BAE">
      <w:pPr>
        <w:spacing w:after="0" w:line="360" w:lineRule="auto"/>
        <w:ind w:right="-20"/>
        <w:jc w:val="both"/>
        <w:rPr>
          <w:rFonts w:ascii="Arial" w:eastAsia="Arial" w:hAnsi="Arial" w:cs="Arial"/>
          <w:b/>
          <w:bCs/>
          <w:color w:val="000000" w:themeColor="text1"/>
        </w:rPr>
      </w:pPr>
    </w:p>
    <w:p w14:paraId="195BF63B" w14:textId="788BFE46" w:rsidR="0B3603E4" w:rsidRDefault="0B3603E4" w:rsidP="73F31BAE">
      <w:pPr>
        <w:spacing w:after="0" w:line="360" w:lineRule="auto"/>
        <w:ind w:right="-20"/>
        <w:jc w:val="both"/>
        <w:rPr>
          <w:rFonts w:ascii="Arial" w:eastAsia="Arial" w:hAnsi="Arial" w:cs="Arial"/>
          <w:b/>
          <w:bCs/>
          <w:color w:val="000000" w:themeColor="text1"/>
        </w:rPr>
      </w:pPr>
    </w:p>
    <w:p w14:paraId="590B93D9" w14:textId="5884D603" w:rsidR="0B3603E4" w:rsidRDefault="0B3603E4" w:rsidP="73F31BAE">
      <w:pPr>
        <w:spacing w:after="0" w:line="360" w:lineRule="auto"/>
        <w:ind w:right="-20"/>
        <w:jc w:val="both"/>
        <w:rPr>
          <w:rFonts w:ascii="Arial" w:eastAsia="Arial" w:hAnsi="Arial" w:cs="Arial"/>
          <w:b/>
          <w:bCs/>
          <w:color w:val="000000" w:themeColor="text1"/>
        </w:rPr>
      </w:pPr>
    </w:p>
    <w:p w14:paraId="7C50A37E" w14:textId="27D792CE" w:rsidR="0B3603E4" w:rsidRDefault="7B939FFA" w:rsidP="73F31BAE">
      <w:pPr>
        <w:spacing w:after="0" w:line="360" w:lineRule="auto"/>
        <w:ind w:right="-20"/>
        <w:jc w:val="center"/>
        <w:rPr>
          <w:rFonts w:ascii="Arial" w:eastAsia="Arial" w:hAnsi="Arial" w:cs="Arial"/>
          <w:b/>
          <w:bCs/>
          <w:color w:val="000000" w:themeColor="text1"/>
        </w:rPr>
      </w:pPr>
      <w:r w:rsidRPr="73F31BAE">
        <w:rPr>
          <w:rFonts w:ascii="Arial" w:eastAsia="Arial" w:hAnsi="Arial" w:cs="Arial"/>
          <w:b/>
          <w:bCs/>
          <w:color w:val="000000" w:themeColor="text1"/>
        </w:rPr>
        <w:t>List of Figures:</w:t>
      </w:r>
    </w:p>
    <w:p w14:paraId="2D8E847F" w14:textId="089CBCB3" w:rsidR="0B3603E4" w:rsidRDefault="7B939FFA" w:rsidP="73F31BAE">
      <w:pPr>
        <w:pStyle w:val="ListParagraph"/>
        <w:numPr>
          <w:ilvl w:val="0"/>
          <w:numId w:val="1"/>
        </w:numPr>
        <w:spacing w:after="0" w:line="360" w:lineRule="auto"/>
        <w:ind w:right="-20"/>
        <w:jc w:val="both"/>
        <w:rPr>
          <w:rFonts w:ascii="Arial" w:eastAsia="Arial" w:hAnsi="Arial" w:cs="Arial"/>
          <w:color w:val="000000" w:themeColor="text1"/>
        </w:rPr>
      </w:pPr>
      <w:r w:rsidRPr="73F31BAE">
        <w:rPr>
          <w:rFonts w:ascii="Arial" w:eastAsia="Arial" w:hAnsi="Arial" w:cs="Arial"/>
          <w:color w:val="000000" w:themeColor="text1"/>
        </w:rPr>
        <w:t>Trends showing official bank rates in the United Kingdom (2006-2023)</w:t>
      </w:r>
      <w:r w:rsidR="235D8044" w:rsidRPr="73F31BAE">
        <w:rPr>
          <w:rFonts w:ascii="Arial" w:eastAsia="Arial" w:hAnsi="Arial" w:cs="Arial"/>
          <w:color w:val="000000" w:themeColor="text1"/>
        </w:rPr>
        <w:t xml:space="preserve"> ____________</w:t>
      </w:r>
      <w:proofErr w:type="gramStart"/>
      <w:r w:rsidR="235D8044" w:rsidRPr="73F31BAE">
        <w:rPr>
          <w:rFonts w:ascii="Arial" w:eastAsia="Arial" w:hAnsi="Arial" w:cs="Arial"/>
          <w:color w:val="000000" w:themeColor="text1"/>
        </w:rPr>
        <w:t>4</w:t>
      </w:r>
      <w:r w:rsidR="0011497C">
        <w:rPr>
          <w:rFonts w:ascii="Arial" w:eastAsia="Arial" w:hAnsi="Arial" w:cs="Arial"/>
          <w:color w:val="000000" w:themeColor="text1"/>
        </w:rPr>
        <w:t>1</w:t>
      </w:r>
      <w:proofErr w:type="gramEnd"/>
    </w:p>
    <w:p w14:paraId="31710786" w14:textId="33D19F91" w:rsidR="0B3603E4" w:rsidRDefault="7B939FFA" w:rsidP="73F31BAE">
      <w:pPr>
        <w:pStyle w:val="ListParagraph"/>
        <w:numPr>
          <w:ilvl w:val="0"/>
          <w:numId w:val="1"/>
        </w:numPr>
        <w:spacing w:after="0" w:line="360" w:lineRule="auto"/>
        <w:ind w:right="-20"/>
        <w:jc w:val="both"/>
        <w:rPr>
          <w:rFonts w:ascii="Arial" w:eastAsia="Arial" w:hAnsi="Arial" w:cs="Arial"/>
          <w:color w:val="000000" w:themeColor="text1"/>
        </w:rPr>
      </w:pPr>
      <w:r w:rsidRPr="73F31BAE">
        <w:rPr>
          <w:rFonts w:ascii="Arial" w:eastAsia="Arial" w:hAnsi="Arial" w:cs="Arial"/>
          <w:color w:val="000000" w:themeColor="text1"/>
        </w:rPr>
        <w:t>Trends in Stock Price Index Value in the United Kingdom (2013-2023)</w:t>
      </w:r>
      <w:r w:rsidR="02AFF2DD" w:rsidRPr="73F31BAE">
        <w:rPr>
          <w:rFonts w:ascii="Arial" w:eastAsia="Arial" w:hAnsi="Arial" w:cs="Arial"/>
          <w:color w:val="000000" w:themeColor="text1"/>
        </w:rPr>
        <w:t xml:space="preserve"> ____________4</w:t>
      </w:r>
      <w:r w:rsidR="0011497C">
        <w:rPr>
          <w:rFonts w:ascii="Arial" w:eastAsia="Arial" w:hAnsi="Arial" w:cs="Arial"/>
          <w:color w:val="000000" w:themeColor="text1"/>
        </w:rPr>
        <w:t>3</w:t>
      </w:r>
    </w:p>
    <w:p w14:paraId="084B26DA" w14:textId="3DD2CD20" w:rsidR="0B3603E4" w:rsidRDefault="7B939FFA" w:rsidP="73F31BAE">
      <w:pPr>
        <w:pStyle w:val="ListParagraph"/>
        <w:numPr>
          <w:ilvl w:val="0"/>
          <w:numId w:val="1"/>
        </w:numPr>
        <w:spacing w:after="0" w:line="360" w:lineRule="auto"/>
        <w:ind w:right="-20"/>
        <w:jc w:val="both"/>
        <w:rPr>
          <w:rFonts w:ascii="Arial" w:eastAsia="Arial" w:hAnsi="Arial" w:cs="Arial"/>
          <w:color w:val="000000" w:themeColor="text1"/>
        </w:rPr>
      </w:pPr>
      <w:r w:rsidRPr="73F31BAE">
        <w:rPr>
          <w:rFonts w:ascii="Arial" w:eastAsia="Arial" w:hAnsi="Arial" w:cs="Arial"/>
          <w:color w:val="000000" w:themeColor="text1"/>
        </w:rPr>
        <w:t>Trends showing GDP Growth of the United Kingdom (2013-2022)</w:t>
      </w:r>
      <w:r w:rsidR="24AB8E86" w:rsidRPr="73F31BAE">
        <w:rPr>
          <w:rFonts w:ascii="Arial" w:eastAsia="Arial" w:hAnsi="Arial" w:cs="Arial"/>
          <w:color w:val="000000" w:themeColor="text1"/>
        </w:rPr>
        <w:t xml:space="preserve"> _______________</w:t>
      </w:r>
      <w:proofErr w:type="gramStart"/>
      <w:r w:rsidR="24AB8E86" w:rsidRPr="73F31BAE">
        <w:rPr>
          <w:rFonts w:ascii="Arial" w:eastAsia="Arial" w:hAnsi="Arial" w:cs="Arial"/>
          <w:color w:val="000000" w:themeColor="text1"/>
        </w:rPr>
        <w:t>5</w:t>
      </w:r>
      <w:r w:rsidR="0011497C">
        <w:rPr>
          <w:rFonts w:ascii="Arial" w:eastAsia="Arial" w:hAnsi="Arial" w:cs="Arial"/>
          <w:color w:val="000000" w:themeColor="text1"/>
        </w:rPr>
        <w:t>2</w:t>
      </w:r>
      <w:proofErr w:type="gramEnd"/>
    </w:p>
    <w:p w14:paraId="572549CD" w14:textId="2AD3B015" w:rsidR="0B3603E4" w:rsidRDefault="7B939FFA" w:rsidP="73F31BAE">
      <w:pPr>
        <w:pStyle w:val="ListParagraph"/>
        <w:numPr>
          <w:ilvl w:val="0"/>
          <w:numId w:val="1"/>
        </w:numPr>
        <w:spacing w:after="0" w:line="360" w:lineRule="auto"/>
        <w:ind w:right="-20"/>
        <w:jc w:val="both"/>
        <w:rPr>
          <w:rFonts w:ascii="Arial" w:eastAsia="Arial" w:hAnsi="Arial" w:cs="Arial"/>
          <w:color w:val="000000" w:themeColor="text1"/>
        </w:rPr>
      </w:pPr>
      <w:r w:rsidRPr="73F31BAE">
        <w:rPr>
          <w:rFonts w:ascii="Arial" w:eastAsia="Arial" w:hAnsi="Arial" w:cs="Arial"/>
          <w:color w:val="000000" w:themeColor="text1"/>
        </w:rPr>
        <w:t>Trends showing Inflation rate of the United Kingdom (2013-2022)</w:t>
      </w:r>
      <w:r w:rsidR="6F48785A" w:rsidRPr="73F31BAE">
        <w:rPr>
          <w:rFonts w:ascii="Arial" w:eastAsia="Arial" w:hAnsi="Arial" w:cs="Arial"/>
          <w:color w:val="000000" w:themeColor="text1"/>
        </w:rPr>
        <w:t xml:space="preserve"> ________________</w:t>
      </w:r>
      <w:proofErr w:type="gramStart"/>
      <w:r w:rsidR="6F48785A" w:rsidRPr="73F31BAE">
        <w:rPr>
          <w:rFonts w:ascii="Arial" w:eastAsia="Arial" w:hAnsi="Arial" w:cs="Arial"/>
          <w:color w:val="000000" w:themeColor="text1"/>
        </w:rPr>
        <w:t>5</w:t>
      </w:r>
      <w:r w:rsidR="0011497C">
        <w:rPr>
          <w:rFonts w:ascii="Arial" w:eastAsia="Arial" w:hAnsi="Arial" w:cs="Arial"/>
          <w:color w:val="000000" w:themeColor="text1"/>
        </w:rPr>
        <w:t>2</w:t>
      </w:r>
      <w:proofErr w:type="gramEnd"/>
    </w:p>
    <w:p w14:paraId="0A57C023" w14:textId="045E94C7" w:rsidR="0B3603E4" w:rsidRDefault="7B939FFA" w:rsidP="73F31BAE">
      <w:pPr>
        <w:pStyle w:val="ListParagraph"/>
        <w:numPr>
          <w:ilvl w:val="0"/>
          <w:numId w:val="1"/>
        </w:numPr>
        <w:spacing w:after="0" w:line="360" w:lineRule="auto"/>
        <w:ind w:right="-20"/>
        <w:jc w:val="both"/>
        <w:rPr>
          <w:rFonts w:ascii="Arial" w:eastAsia="Arial" w:hAnsi="Arial" w:cs="Arial"/>
          <w:color w:val="000000" w:themeColor="text1"/>
        </w:rPr>
      </w:pPr>
      <w:r w:rsidRPr="73F31BAE">
        <w:rPr>
          <w:rFonts w:ascii="Arial" w:eastAsia="Arial" w:hAnsi="Arial" w:cs="Arial"/>
          <w:color w:val="000000" w:themeColor="text1"/>
        </w:rPr>
        <w:t>Trends showing Unemployment rate of the United Kingdom (2013-2022)</w:t>
      </w:r>
      <w:r w:rsidR="4BFA4AA7" w:rsidRPr="73F31BAE">
        <w:rPr>
          <w:rFonts w:ascii="Arial" w:eastAsia="Arial" w:hAnsi="Arial" w:cs="Arial"/>
          <w:color w:val="000000" w:themeColor="text1"/>
        </w:rPr>
        <w:t xml:space="preserve"> __________</w:t>
      </w:r>
      <w:proofErr w:type="gramStart"/>
      <w:r w:rsidR="4BFA4AA7" w:rsidRPr="73F31BAE">
        <w:rPr>
          <w:rFonts w:ascii="Arial" w:eastAsia="Arial" w:hAnsi="Arial" w:cs="Arial"/>
          <w:color w:val="000000" w:themeColor="text1"/>
        </w:rPr>
        <w:t>5</w:t>
      </w:r>
      <w:r w:rsidR="0011497C">
        <w:rPr>
          <w:rFonts w:ascii="Arial" w:eastAsia="Arial" w:hAnsi="Arial" w:cs="Arial"/>
          <w:color w:val="000000" w:themeColor="text1"/>
        </w:rPr>
        <w:t>3</w:t>
      </w:r>
      <w:proofErr w:type="gramEnd"/>
    </w:p>
    <w:p w14:paraId="37E23A1F" w14:textId="4358509D" w:rsidR="0B3603E4" w:rsidRDefault="6E692AAC" w:rsidP="73F31BAE">
      <w:pPr>
        <w:spacing w:after="0" w:line="360" w:lineRule="auto"/>
        <w:ind w:left="-20" w:right="-20"/>
        <w:jc w:val="both"/>
        <w:rPr>
          <w:rFonts w:ascii="Arial" w:eastAsia="Arial" w:hAnsi="Arial" w:cs="Arial"/>
        </w:rPr>
      </w:pPr>
      <w:r w:rsidRPr="73F31BAE">
        <w:rPr>
          <w:rFonts w:ascii="Arial" w:eastAsia="Arial" w:hAnsi="Arial" w:cs="Arial"/>
        </w:rPr>
        <w:t xml:space="preserve"> </w:t>
      </w:r>
    </w:p>
    <w:p w14:paraId="15FFB533" w14:textId="1EE9F80E" w:rsidR="0B3603E4" w:rsidRDefault="6E692AAC" w:rsidP="73F31BAE">
      <w:pPr>
        <w:spacing w:after="0" w:line="360" w:lineRule="auto"/>
        <w:ind w:left="-20" w:right="-20"/>
        <w:jc w:val="both"/>
        <w:rPr>
          <w:rFonts w:ascii="Arial" w:eastAsia="Arial" w:hAnsi="Arial" w:cs="Arial"/>
        </w:rPr>
      </w:pPr>
      <w:r w:rsidRPr="73F31BAE">
        <w:rPr>
          <w:rFonts w:ascii="Arial" w:eastAsia="Arial" w:hAnsi="Arial" w:cs="Arial"/>
        </w:rPr>
        <w:t xml:space="preserve"> </w:t>
      </w:r>
    </w:p>
    <w:p w14:paraId="60128539" w14:textId="6E2CCC1E" w:rsidR="0B3603E4" w:rsidRDefault="6E692AAC" w:rsidP="73F31BAE">
      <w:pPr>
        <w:spacing w:after="0" w:line="360" w:lineRule="auto"/>
        <w:ind w:left="-20" w:right="-20"/>
        <w:jc w:val="both"/>
        <w:rPr>
          <w:rFonts w:ascii="Arial" w:eastAsia="Arial" w:hAnsi="Arial" w:cs="Arial"/>
        </w:rPr>
      </w:pPr>
      <w:r w:rsidRPr="73F31BAE">
        <w:rPr>
          <w:rFonts w:ascii="Arial" w:eastAsia="Arial" w:hAnsi="Arial" w:cs="Arial"/>
        </w:rPr>
        <w:t xml:space="preserve"> </w:t>
      </w:r>
    </w:p>
    <w:p w14:paraId="3B0F73A6" w14:textId="3BFDCAC1" w:rsidR="0B3603E4" w:rsidRDefault="6E692AAC" w:rsidP="73F31BAE">
      <w:pPr>
        <w:spacing w:after="0" w:line="360" w:lineRule="auto"/>
        <w:ind w:left="-20" w:right="-20"/>
        <w:jc w:val="both"/>
        <w:rPr>
          <w:rFonts w:ascii="Arial" w:eastAsia="Arial" w:hAnsi="Arial" w:cs="Arial"/>
        </w:rPr>
      </w:pPr>
      <w:r w:rsidRPr="73F31BAE">
        <w:rPr>
          <w:rFonts w:ascii="Arial" w:eastAsia="Arial" w:hAnsi="Arial" w:cs="Arial"/>
        </w:rPr>
        <w:t xml:space="preserve"> </w:t>
      </w:r>
    </w:p>
    <w:p w14:paraId="0271A35A" w14:textId="25B96013" w:rsidR="0B3603E4" w:rsidRDefault="0B3603E4" w:rsidP="73F31BAE">
      <w:r>
        <w:br w:type="page"/>
      </w:r>
    </w:p>
    <w:p w14:paraId="7B779F40" w14:textId="01178BA3" w:rsidR="0B3603E4" w:rsidRDefault="2472249D" w:rsidP="73F31BAE">
      <w:pPr>
        <w:spacing w:after="0" w:line="360" w:lineRule="auto"/>
        <w:ind w:left="-20" w:right="-20"/>
        <w:jc w:val="center"/>
      </w:pPr>
      <w:r w:rsidRPr="73F31BAE">
        <w:rPr>
          <w:rFonts w:ascii="Arial" w:eastAsia="Arial" w:hAnsi="Arial" w:cs="Arial"/>
          <w:b/>
          <w:bCs/>
          <w:color w:val="000000" w:themeColor="text1"/>
          <w:sz w:val="40"/>
          <w:szCs w:val="40"/>
        </w:rPr>
        <w:lastRenderedPageBreak/>
        <w:t>CHAPTER ONE: INTRODUCTION</w:t>
      </w:r>
    </w:p>
    <w:p w14:paraId="36EA9D50" w14:textId="0043EE04" w:rsidR="0B3603E4" w:rsidRDefault="0B3603E4" w:rsidP="73F31BAE">
      <w:pPr>
        <w:spacing w:after="0" w:line="360" w:lineRule="auto"/>
        <w:ind w:left="-20" w:right="-20"/>
        <w:jc w:val="both"/>
        <w:rPr>
          <w:rFonts w:ascii="Arial" w:eastAsia="Arial" w:hAnsi="Arial" w:cs="Arial"/>
        </w:rPr>
      </w:pPr>
    </w:p>
    <w:p w14:paraId="229CB33E" w14:textId="3FF66B0B" w:rsidR="0B3603E4" w:rsidRDefault="6E692AAC" w:rsidP="73F31BAE">
      <w:pPr>
        <w:rPr>
          <w:rFonts w:ascii="Arial" w:eastAsia="Arial" w:hAnsi="Arial" w:cs="Arial"/>
          <w:color w:val="000000" w:themeColor="text1"/>
        </w:rPr>
      </w:pPr>
      <w:r w:rsidRPr="73F31BAE">
        <w:rPr>
          <w:rFonts w:ascii="Arial" w:eastAsia="Arial" w:hAnsi="Arial" w:cs="Arial"/>
          <w:b/>
          <w:bCs/>
          <w:color w:val="000000" w:themeColor="text1"/>
        </w:rPr>
        <w:t>1.1 Introduction</w:t>
      </w:r>
    </w:p>
    <w:p w14:paraId="484AD414" w14:textId="59711B42" w:rsidR="0B3603E4" w:rsidRDefault="6E692AAC" w:rsidP="73F31BAE">
      <w:pPr>
        <w:spacing w:line="360" w:lineRule="auto"/>
        <w:jc w:val="both"/>
        <w:rPr>
          <w:rFonts w:ascii="Arial" w:eastAsia="Arial" w:hAnsi="Arial" w:cs="Arial"/>
          <w:color w:val="000000" w:themeColor="text1"/>
        </w:rPr>
      </w:pPr>
      <w:r w:rsidRPr="73F31BAE">
        <w:rPr>
          <w:rFonts w:ascii="Arial" w:eastAsia="Arial" w:hAnsi="Arial" w:cs="Arial"/>
          <w:color w:val="000000" w:themeColor="text1"/>
        </w:rPr>
        <w:t>Chapter 1 provides a concise overview of the United Kingdom's Financial Market, incorporating a discussion on the identified problem statement. Section 1.2 delves into an examination of the impact of the stock market and its implications on a national level. Section 1.3 underscores the importance of the United Kingdom's stock market. Subsequently, Section 1.4 articulates the research aims and objectives of the comprehensive study. In Section 1.5, the research questions are expounded, followed by an elucidation of the significance of the study and an outline of the subsequent project structure</w:t>
      </w:r>
      <w:r w:rsidR="6D640254" w:rsidRPr="73F31BAE">
        <w:rPr>
          <w:rFonts w:ascii="Arial" w:eastAsia="Arial" w:hAnsi="Arial" w:cs="Arial"/>
          <w:color w:val="000000" w:themeColor="text1"/>
        </w:rPr>
        <w:t>.</w:t>
      </w:r>
    </w:p>
    <w:p w14:paraId="43175DB6" w14:textId="1E60097C" w:rsidR="0B3603E4" w:rsidRDefault="6E692AAC" w:rsidP="73F31BAE">
      <w:pPr>
        <w:spacing w:after="0" w:line="360" w:lineRule="auto"/>
        <w:ind w:left="-20" w:right="-30"/>
        <w:jc w:val="both"/>
        <w:rPr>
          <w:rFonts w:ascii="Arial" w:eastAsia="Arial" w:hAnsi="Arial" w:cs="Arial"/>
          <w:color w:val="000000" w:themeColor="text1"/>
        </w:rPr>
      </w:pPr>
      <w:r w:rsidRPr="73F31BAE">
        <w:rPr>
          <w:rFonts w:ascii="Arial" w:eastAsia="Arial" w:hAnsi="Arial" w:cs="Arial"/>
          <w:color w:val="000000" w:themeColor="text1"/>
        </w:rPr>
        <w:t>The overall purpose of the research is to comprehensively investigate the impact of interest rates on the stock market in the United Kingdom. This involves analyzing historical data to identify patterns and correlations between fluctuations in interest rates and stock price movements, and determining how changes in interest rates affect trading volumes in the UK stock market. Additionally, the research aims to explore how international economic factors, such as global interest rate trends and economic crises, influence the UK stock market and its sensitivity to interest rates</w:t>
      </w:r>
      <w:r w:rsidR="58BDB32D" w:rsidRPr="73F31BAE">
        <w:rPr>
          <w:rFonts w:ascii="Arial" w:eastAsia="Arial" w:hAnsi="Arial" w:cs="Arial"/>
          <w:color w:val="000000" w:themeColor="text1"/>
        </w:rPr>
        <w:t>.</w:t>
      </w:r>
    </w:p>
    <w:p w14:paraId="4A723B1E" w14:textId="5A2AB8A7" w:rsidR="0B3603E4" w:rsidRDefault="6E692AAC" w:rsidP="73F31BAE">
      <w:pPr>
        <w:spacing w:after="0" w:line="360" w:lineRule="auto"/>
        <w:ind w:left="-20" w:right="-20"/>
        <w:jc w:val="both"/>
        <w:rPr>
          <w:rFonts w:ascii="Arial" w:eastAsia="Arial" w:hAnsi="Arial" w:cs="Arial"/>
          <w:b/>
          <w:bCs/>
          <w:color w:val="000000" w:themeColor="text1"/>
        </w:rPr>
      </w:pPr>
      <w:r w:rsidRPr="73F31BAE">
        <w:rPr>
          <w:rFonts w:ascii="Arial" w:eastAsia="Arial" w:hAnsi="Arial" w:cs="Arial"/>
          <w:b/>
          <w:bCs/>
          <w:color w:val="000000" w:themeColor="text1"/>
        </w:rPr>
        <w:t xml:space="preserve"> </w:t>
      </w:r>
    </w:p>
    <w:p w14:paraId="4949AFEE" w14:textId="31BB8E1C" w:rsidR="0B3603E4" w:rsidRDefault="294D5B2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b/>
          <w:bCs/>
          <w:color w:val="000000" w:themeColor="text1"/>
        </w:rPr>
        <w:t xml:space="preserve">1.2 </w:t>
      </w:r>
      <w:r w:rsidR="6E692AAC" w:rsidRPr="73F31BAE">
        <w:rPr>
          <w:rFonts w:ascii="Arial" w:eastAsia="Arial" w:hAnsi="Arial" w:cs="Arial"/>
          <w:b/>
          <w:bCs/>
          <w:color w:val="000000" w:themeColor="text1"/>
        </w:rPr>
        <w:t>Background</w:t>
      </w:r>
      <w:r w:rsidR="031EAB29" w:rsidRPr="73F31BAE">
        <w:rPr>
          <w:rFonts w:ascii="Arial" w:eastAsia="Arial" w:hAnsi="Arial" w:cs="Arial"/>
          <w:b/>
          <w:bCs/>
          <w:color w:val="000000" w:themeColor="text1"/>
        </w:rPr>
        <w:t xml:space="preserve"> and Problem Statement</w:t>
      </w:r>
    </w:p>
    <w:p w14:paraId="591D330C" w14:textId="466A4A8F" w:rsidR="0B3603E4" w:rsidRDefault="0B3603E4" w:rsidP="73F31BAE">
      <w:pPr>
        <w:spacing w:after="0" w:line="360" w:lineRule="auto"/>
        <w:ind w:left="-20" w:right="-20"/>
        <w:jc w:val="both"/>
        <w:rPr>
          <w:rFonts w:ascii="Arial" w:eastAsia="Arial" w:hAnsi="Arial" w:cs="Arial"/>
          <w:b/>
          <w:bCs/>
          <w:color w:val="000000" w:themeColor="text1"/>
        </w:rPr>
      </w:pPr>
    </w:p>
    <w:p w14:paraId="1AB9B336" w14:textId="25AA8534"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The history of the United Kingdom's stock market can be traced back to the late 17th century, with the establishment of the London Stock Exchange (LSE) in 1801. The LSE has evolved into one of the world's leading stock exchanges, providing a platform for companies to raise capital and for investors to trade securities. Over the years, the LSE has witnessed various economic and financial developments, from the industrial revolution to the globalization of financial markets. </w:t>
      </w:r>
    </w:p>
    <w:p w14:paraId="7E244C12" w14:textId="6C5BFA98"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 </w:t>
      </w:r>
    </w:p>
    <w:p w14:paraId="0F404806" w14:textId="26569C5B"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The stock market has been an integral part of the UK's economic landscape, reflecting the country's economic growth, industrial advancements, and regulatory changes. It has provided companies with access to funding for expansion and innovation, thereby contributing to overall economic prosperity. Additionally, the stock market has served as a barometer of investor sentiment and economic health, influencing business and consumer confidence. </w:t>
      </w:r>
    </w:p>
    <w:p w14:paraId="5AA6948D" w14:textId="6AE52FEF" w:rsidR="0B3603E4" w:rsidRDefault="6E692AAC" w:rsidP="73F31BAE">
      <w:pPr>
        <w:spacing w:after="0" w:line="360" w:lineRule="auto"/>
        <w:ind w:left="-20" w:right="-20"/>
        <w:jc w:val="both"/>
        <w:rPr>
          <w:rFonts w:ascii="Arial" w:eastAsia="Arial" w:hAnsi="Arial" w:cs="Arial"/>
        </w:rPr>
      </w:pPr>
      <w:r w:rsidRPr="73F31BAE">
        <w:rPr>
          <w:rFonts w:ascii="Arial" w:eastAsia="Arial" w:hAnsi="Arial" w:cs="Arial"/>
        </w:rPr>
        <w:t xml:space="preserve"> </w:t>
      </w:r>
    </w:p>
    <w:p w14:paraId="73BCB6A0" w14:textId="28C21BA2"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lastRenderedPageBreak/>
        <w:t xml:space="preserve">The United Kingdom’s stock market holds significant importance in the global financial system, attracting domestic and international investors seeking diverse investment opportunities. It comprises a broad spectrum of industries, including finance, technology, healthcare, and energy, reflecting the country's diverse economic base. The performance of the stock market influences investment decisions, corporate strategies, and government policies, making it a critical component of the UK's financial infrastructure. </w:t>
      </w:r>
    </w:p>
    <w:p w14:paraId="6A66F9B1" w14:textId="00F885A2" w:rsidR="0B3603E4" w:rsidRDefault="6E692AAC" w:rsidP="73F31BAE">
      <w:pPr>
        <w:spacing w:after="0" w:line="360" w:lineRule="auto"/>
        <w:ind w:left="-20" w:right="-20"/>
        <w:jc w:val="both"/>
        <w:rPr>
          <w:rFonts w:ascii="Arial" w:eastAsia="Arial" w:hAnsi="Arial" w:cs="Arial"/>
        </w:rPr>
      </w:pPr>
      <w:r w:rsidRPr="73F31BAE">
        <w:rPr>
          <w:rFonts w:ascii="Arial" w:eastAsia="Arial" w:hAnsi="Arial" w:cs="Arial"/>
        </w:rPr>
        <w:t xml:space="preserve"> </w:t>
      </w:r>
    </w:p>
    <w:p w14:paraId="19B95ED0" w14:textId="1EC66D87"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A vital element of each nation's economy is the stock market. Investors can purchase and sell shares to generate profits on this platform, which enables corporations to raise funds through share sales. Economic data, current political developments, and interest rates are just a few of the variables that affect the stock market. One of the most important things influencing the stock market is the interest rate. To make wise investing decisions, investors must comprehend the relationship between interest rate changes and stock market movements. </w:t>
      </w:r>
    </w:p>
    <w:p w14:paraId="31D4AE10" w14:textId="77B2403E" w:rsidR="0B3603E4" w:rsidRDefault="6E692AAC" w:rsidP="73F31BAE">
      <w:pPr>
        <w:spacing w:after="0" w:line="360" w:lineRule="auto"/>
        <w:ind w:left="-20" w:right="-20"/>
        <w:jc w:val="both"/>
        <w:rPr>
          <w:rFonts w:ascii="Arial" w:eastAsia="Arial" w:hAnsi="Arial" w:cs="Arial"/>
        </w:rPr>
      </w:pPr>
      <w:r w:rsidRPr="73F31BAE">
        <w:rPr>
          <w:rFonts w:ascii="Arial" w:eastAsia="Arial" w:hAnsi="Arial" w:cs="Arial"/>
        </w:rPr>
        <w:t xml:space="preserve"> </w:t>
      </w:r>
    </w:p>
    <w:p w14:paraId="503A962D" w14:textId="3EB1EAB9"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The relationship between interest rates and the stock market has been a topic of considerable interest among economists, investors, and policymakers. In the United Kingdom, the Bank of England's Monetary Policy Committee sets the official interest rate, also known as the Bank Rate, which plays a significant role in the country's economic landscape (Bank of England, 2023). Changes in interest rates have the potential to influence stock market performance in several ways, and understanding these dynamics is crucial for investors and policymakers alike (Hall, 2023). </w:t>
      </w:r>
    </w:p>
    <w:p w14:paraId="1AAACB62" w14:textId="27216C29" w:rsidR="0B3603E4" w:rsidRDefault="6E692AAC" w:rsidP="73F31BAE">
      <w:pPr>
        <w:spacing w:after="0" w:line="360" w:lineRule="auto"/>
        <w:ind w:left="-20" w:right="-20"/>
        <w:jc w:val="both"/>
        <w:rPr>
          <w:rFonts w:ascii="Arial" w:eastAsia="Arial" w:hAnsi="Arial" w:cs="Arial"/>
        </w:rPr>
      </w:pPr>
      <w:r w:rsidRPr="73F31BAE">
        <w:rPr>
          <w:rFonts w:ascii="Arial" w:eastAsia="Arial" w:hAnsi="Arial" w:cs="Arial"/>
        </w:rPr>
        <w:t xml:space="preserve"> </w:t>
      </w:r>
    </w:p>
    <w:p w14:paraId="568405D3" w14:textId="3BA109AE"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b/>
          <w:bCs/>
          <w:color w:val="000000" w:themeColor="text1"/>
        </w:rPr>
        <w:t>Problem Statement</w:t>
      </w:r>
      <w:r w:rsidRPr="73F31BAE">
        <w:rPr>
          <w:rFonts w:ascii="Arial" w:eastAsia="Arial" w:hAnsi="Arial" w:cs="Arial"/>
          <w:color w:val="000000" w:themeColor="text1"/>
        </w:rPr>
        <w:t xml:space="preserve"> </w:t>
      </w:r>
    </w:p>
    <w:p w14:paraId="25C301FE" w14:textId="043704E8" w:rsidR="0B3603E4" w:rsidRDefault="0B3603E4" w:rsidP="73F31BAE">
      <w:pPr>
        <w:spacing w:after="0" w:line="360" w:lineRule="auto"/>
        <w:ind w:left="-20" w:right="-20"/>
        <w:jc w:val="both"/>
        <w:rPr>
          <w:rFonts w:ascii="Arial" w:eastAsia="Arial" w:hAnsi="Arial" w:cs="Arial"/>
          <w:color w:val="000000" w:themeColor="text1"/>
        </w:rPr>
      </w:pPr>
    </w:p>
    <w:p w14:paraId="7900B1DB" w14:textId="190782E2"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The stock market in the United Kingdom is highly developed, and interest rates have had a significant role in shaping the nation's economic strategy. Interest rate adjustments can have a big effect on the stock market since the Bank of England sets interest rates in the UK (United Kingdom). For this reason, it is crucial to comprehend how interest rates and the UK stock market are related. </w:t>
      </w:r>
    </w:p>
    <w:p w14:paraId="7639A6C4" w14:textId="3A627BAE" w:rsidR="0B3603E4" w:rsidRDefault="6E692AAC" w:rsidP="73F31BAE">
      <w:pPr>
        <w:spacing w:after="0" w:line="360" w:lineRule="auto"/>
        <w:ind w:left="-20" w:right="-20"/>
        <w:jc w:val="both"/>
        <w:rPr>
          <w:rFonts w:ascii="Arial" w:eastAsia="Arial" w:hAnsi="Arial" w:cs="Arial"/>
        </w:rPr>
      </w:pPr>
      <w:r w:rsidRPr="73F31BAE">
        <w:rPr>
          <w:rFonts w:ascii="Arial" w:eastAsia="Arial" w:hAnsi="Arial" w:cs="Arial"/>
        </w:rPr>
        <w:t xml:space="preserve"> </w:t>
      </w:r>
    </w:p>
    <w:p w14:paraId="2AE931AC" w14:textId="7FBA1CE7"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The effect of interest rates on the UK stock market has been the subject of numerous studies. For instance, a study discovered that the UK stock market is significantly impacted by changes in interest rates. The study, which examined data from 1985 to 2015, discovered that the stock market index fell by 0.5% for every 1% increase in interest rates (Bredin, Gavin, and O'Reilly, </w:t>
      </w:r>
      <w:r w:rsidRPr="73F31BAE">
        <w:rPr>
          <w:rFonts w:ascii="Arial" w:eastAsia="Arial" w:hAnsi="Arial" w:cs="Arial"/>
          <w:color w:val="000000" w:themeColor="text1"/>
        </w:rPr>
        <w:lastRenderedPageBreak/>
        <w:t xml:space="preserve">2005). According to another study, there is a complicated relationship between interest rates and the UK stock market that is influenced by </w:t>
      </w:r>
      <w:proofErr w:type="gramStart"/>
      <w:r w:rsidRPr="73F31BAE">
        <w:rPr>
          <w:rFonts w:ascii="Arial" w:eastAsia="Arial" w:hAnsi="Arial" w:cs="Arial"/>
          <w:color w:val="000000" w:themeColor="text1"/>
        </w:rPr>
        <w:t>a number of</w:t>
      </w:r>
      <w:proofErr w:type="gramEnd"/>
      <w:r w:rsidRPr="73F31BAE">
        <w:rPr>
          <w:rFonts w:ascii="Arial" w:eastAsia="Arial" w:hAnsi="Arial" w:cs="Arial"/>
          <w:color w:val="000000" w:themeColor="text1"/>
        </w:rPr>
        <w:t xml:space="preserve"> variables, such as investor sentiment, inflation, and the health of the economy (</w:t>
      </w:r>
      <w:proofErr w:type="spellStart"/>
      <w:r w:rsidRPr="73F31BAE">
        <w:rPr>
          <w:rFonts w:ascii="Arial" w:eastAsia="Arial" w:hAnsi="Arial" w:cs="Arial"/>
          <w:color w:val="000000" w:themeColor="text1"/>
        </w:rPr>
        <w:t>Hajilee</w:t>
      </w:r>
      <w:proofErr w:type="spellEnd"/>
      <w:r w:rsidRPr="73F31BAE">
        <w:rPr>
          <w:rFonts w:ascii="Arial" w:eastAsia="Arial" w:hAnsi="Arial" w:cs="Arial"/>
          <w:color w:val="000000" w:themeColor="text1"/>
        </w:rPr>
        <w:t xml:space="preserve"> and Nasser, 2017). </w:t>
      </w:r>
    </w:p>
    <w:p w14:paraId="4C686D5D" w14:textId="737FF828" w:rsidR="0B3603E4" w:rsidRDefault="6E692AAC" w:rsidP="73F31BAE">
      <w:pPr>
        <w:spacing w:after="0" w:line="360" w:lineRule="auto"/>
        <w:ind w:left="-20" w:right="-20"/>
        <w:jc w:val="both"/>
      </w:pPr>
      <w:r w:rsidRPr="73F31BAE">
        <w:rPr>
          <w:rFonts w:ascii="Arial" w:eastAsia="Arial" w:hAnsi="Arial" w:cs="Arial"/>
        </w:rPr>
        <w:t xml:space="preserve"> </w:t>
      </w:r>
    </w:p>
    <w:p w14:paraId="364FC580" w14:textId="6F1791F2"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4A153C5C" w14:textId="71DE551B" w:rsidR="0B3603E4" w:rsidRDefault="6E692AAC" w:rsidP="73F31BAE">
      <w:pPr>
        <w:spacing w:after="0" w:line="360" w:lineRule="auto"/>
        <w:ind w:left="-20" w:right="-20"/>
        <w:jc w:val="both"/>
      </w:pPr>
      <w:r w:rsidRPr="73F31BAE">
        <w:rPr>
          <w:rFonts w:ascii="Arial" w:eastAsia="Arial" w:hAnsi="Arial" w:cs="Arial"/>
          <w:b/>
          <w:bCs/>
          <w:color w:val="000000" w:themeColor="text1"/>
        </w:rPr>
        <w:t>1.</w:t>
      </w:r>
      <w:r w:rsidR="089FCDC5" w:rsidRPr="73F31BAE">
        <w:rPr>
          <w:rFonts w:ascii="Arial" w:eastAsia="Arial" w:hAnsi="Arial" w:cs="Arial"/>
          <w:b/>
          <w:bCs/>
          <w:color w:val="000000" w:themeColor="text1"/>
        </w:rPr>
        <w:t>3</w:t>
      </w:r>
      <w:r w:rsidRPr="73F31BAE">
        <w:rPr>
          <w:rFonts w:ascii="Arial" w:eastAsia="Arial" w:hAnsi="Arial" w:cs="Arial"/>
          <w:b/>
          <w:bCs/>
          <w:color w:val="000000" w:themeColor="text1"/>
        </w:rPr>
        <w:t xml:space="preserve"> Stock Market and its Impact on one nation</w:t>
      </w:r>
    </w:p>
    <w:p w14:paraId="3BF3917E" w14:textId="03EB2A71" w:rsidR="0B3603E4" w:rsidRDefault="0B3603E4" w:rsidP="73F31BAE">
      <w:pPr>
        <w:spacing w:after="0" w:line="360" w:lineRule="auto"/>
        <w:ind w:left="-20" w:right="-20"/>
        <w:jc w:val="both"/>
        <w:rPr>
          <w:rFonts w:ascii="Arial" w:eastAsia="Arial" w:hAnsi="Arial" w:cs="Arial"/>
          <w:b/>
          <w:bCs/>
          <w:color w:val="000000" w:themeColor="text1"/>
        </w:rPr>
      </w:pPr>
    </w:p>
    <w:p w14:paraId="2AA7662C" w14:textId="7F1DFDDF" w:rsidR="0B3603E4" w:rsidRDefault="6E692AAC" w:rsidP="73F31BAE">
      <w:pPr>
        <w:spacing w:after="0" w:line="360" w:lineRule="auto"/>
        <w:ind w:left="-20" w:right="-20"/>
        <w:jc w:val="both"/>
      </w:pPr>
      <w:r w:rsidRPr="73F31BAE">
        <w:rPr>
          <w:rFonts w:ascii="Arial" w:eastAsia="Arial" w:hAnsi="Arial" w:cs="Arial"/>
          <w:color w:val="000000" w:themeColor="text1"/>
        </w:rPr>
        <w:t>Stock markets act as a channel for capital and liquidity, both of which are essential for the expansion and stability of the economy, according to research. According to a study on the relationship between stock market development and economic growth in the Gulf countries, the two are positively correlated (</w:t>
      </w:r>
      <w:proofErr w:type="spellStart"/>
      <w:r w:rsidRPr="73F31BAE">
        <w:rPr>
          <w:rFonts w:ascii="Arial" w:eastAsia="Arial" w:hAnsi="Arial" w:cs="Arial"/>
          <w:color w:val="222222"/>
        </w:rPr>
        <w:t>Chikwira</w:t>
      </w:r>
      <w:proofErr w:type="spellEnd"/>
      <w:r w:rsidRPr="73F31BAE">
        <w:rPr>
          <w:rFonts w:ascii="Arial" w:eastAsia="Arial" w:hAnsi="Arial" w:cs="Arial"/>
          <w:color w:val="222222"/>
        </w:rPr>
        <w:t xml:space="preserve"> and Mohammed, 2023). The stock market can also have an impact on consumer spending and the overall economy. The "wealth effect" refers to the idea that rising stock prices can lead to higher consumer spending, which in turn boosts earnings and employment (The Digest, 2019). </w:t>
      </w:r>
    </w:p>
    <w:p w14:paraId="1DAC1399" w14:textId="0F9E6E33" w:rsidR="0B3603E4" w:rsidRDefault="6E692AAC" w:rsidP="73F31BAE">
      <w:pPr>
        <w:spacing w:after="0" w:line="360" w:lineRule="auto"/>
        <w:ind w:left="-20" w:right="-20"/>
        <w:jc w:val="both"/>
      </w:pPr>
      <w:r w:rsidRPr="73F31BAE">
        <w:rPr>
          <w:rFonts w:ascii="Arial" w:eastAsia="Arial" w:hAnsi="Arial" w:cs="Arial"/>
        </w:rPr>
        <w:t xml:space="preserve"> </w:t>
      </w:r>
    </w:p>
    <w:p w14:paraId="0887B7F2" w14:textId="5092C033" w:rsidR="0B3603E4" w:rsidRDefault="6E692AAC" w:rsidP="73F31BAE">
      <w:pPr>
        <w:spacing w:after="0" w:line="360" w:lineRule="auto"/>
        <w:ind w:left="-20" w:right="-20"/>
        <w:jc w:val="both"/>
        <w:rPr>
          <w:rFonts w:ascii="Arial" w:eastAsia="Arial" w:hAnsi="Arial" w:cs="Arial"/>
          <w:color w:val="222222"/>
        </w:rPr>
      </w:pPr>
      <w:r w:rsidRPr="73F31BAE">
        <w:rPr>
          <w:rFonts w:ascii="Arial" w:eastAsia="Arial" w:hAnsi="Arial" w:cs="Arial"/>
          <w:color w:val="222222"/>
        </w:rPr>
        <w:t xml:space="preserve">External events like interest rate increases and worldwide financial crises can also impact the stock market, which can then affect the economy. For instance, a study looking into how a growing stock market reacts to increases in US interest rates found that the stock market can be impacted by the Fed's abrupt rate hike (Kim, 2023). Another study found that there was a stronger correlation between stock markets during times of crisis, analyzing how developed and developing stock markets responded to the Dow Jones Industrial Average (DJIA) during the 2008 monetary crisis (Özen and Tetik, 2019). </w:t>
      </w:r>
    </w:p>
    <w:p w14:paraId="5E3419A2" w14:textId="5A08D9F1" w:rsidR="0B3603E4" w:rsidRDefault="6E692AAC" w:rsidP="73F31BAE">
      <w:pPr>
        <w:spacing w:after="0" w:line="360" w:lineRule="auto"/>
        <w:ind w:left="-20" w:right="-20"/>
        <w:jc w:val="both"/>
      </w:pPr>
      <w:r w:rsidRPr="73F31BAE">
        <w:rPr>
          <w:rFonts w:ascii="Arial" w:eastAsia="Arial" w:hAnsi="Arial" w:cs="Arial"/>
        </w:rPr>
        <w:t xml:space="preserve"> </w:t>
      </w:r>
    </w:p>
    <w:p w14:paraId="1DAA8CBA" w14:textId="2DE702EC" w:rsidR="0B3603E4" w:rsidRDefault="6E692AAC" w:rsidP="73F31BAE">
      <w:pPr>
        <w:spacing w:after="0" w:line="360" w:lineRule="auto"/>
        <w:ind w:left="-20" w:right="-20"/>
        <w:jc w:val="both"/>
      </w:pPr>
      <w:r w:rsidRPr="73F31BAE">
        <w:rPr>
          <w:rFonts w:ascii="Arial" w:eastAsia="Arial" w:hAnsi="Arial" w:cs="Arial"/>
          <w:color w:val="000000" w:themeColor="text1"/>
        </w:rPr>
        <w:t>Briefly, the stock market affects liquidity, economic growth, consumer spending, and employment all significantly and has a bearing on a country's economy. It is influenced by internal and external factors, which can impact on the overall economy. To manage and analyze the economy, policymakers, investors, and researchers must have a thorough understanding of the dynamics of the stock market.</w:t>
      </w:r>
    </w:p>
    <w:p w14:paraId="44DAF567" w14:textId="4AB9F2FA"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7105E500" w14:textId="4AC3BF9A" w:rsidR="0B3603E4" w:rsidRDefault="6E692AAC" w:rsidP="73F31BAE">
      <w:pPr>
        <w:spacing w:after="0" w:line="360" w:lineRule="auto"/>
        <w:ind w:left="-20" w:right="-20"/>
        <w:jc w:val="both"/>
      </w:pPr>
      <w:r w:rsidRPr="73F31BAE">
        <w:rPr>
          <w:rFonts w:ascii="Arial" w:eastAsia="Arial" w:hAnsi="Arial" w:cs="Arial"/>
          <w:b/>
          <w:bCs/>
          <w:color w:val="000000" w:themeColor="text1"/>
        </w:rPr>
        <w:t>1.</w:t>
      </w:r>
      <w:r w:rsidR="40DE1C92" w:rsidRPr="73F31BAE">
        <w:rPr>
          <w:rFonts w:ascii="Arial" w:eastAsia="Arial" w:hAnsi="Arial" w:cs="Arial"/>
          <w:b/>
          <w:bCs/>
          <w:color w:val="000000" w:themeColor="text1"/>
        </w:rPr>
        <w:t>4</w:t>
      </w:r>
      <w:r w:rsidRPr="73F31BAE">
        <w:rPr>
          <w:rFonts w:ascii="Arial" w:eastAsia="Arial" w:hAnsi="Arial" w:cs="Arial"/>
          <w:b/>
          <w:bCs/>
          <w:color w:val="000000" w:themeColor="text1"/>
        </w:rPr>
        <w:t xml:space="preserve"> The Significance of the United Kingdom’s Stock market </w:t>
      </w:r>
      <w:r w:rsidRPr="73F31BAE">
        <w:rPr>
          <w:rFonts w:ascii="Arial" w:eastAsia="Arial" w:hAnsi="Arial" w:cs="Arial"/>
          <w:color w:val="000000" w:themeColor="text1"/>
        </w:rPr>
        <w:t xml:space="preserve"> </w:t>
      </w:r>
    </w:p>
    <w:p w14:paraId="09EFED87" w14:textId="1B8A3BB4" w:rsidR="0B3603E4" w:rsidRDefault="0B3603E4" w:rsidP="73F31BAE">
      <w:pPr>
        <w:spacing w:after="0" w:line="360" w:lineRule="auto"/>
        <w:ind w:left="-20" w:right="-20"/>
        <w:jc w:val="both"/>
        <w:rPr>
          <w:rFonts w:ascii="Arial" w:eastAsia="Arial" w:hAnsi="Arial" w:cs="Arial"/>
          <w:color w:val="000000" w:themeColor="text1"/>
        </w:rPr>
      </w:pPr>
    </w:p>
    <w:p w14:paraId="5E8452D9" w14:textId="53F146FD" w:rsidR="0B3603E4" w:rsidRDefault="6E692AAC" w:rsidP="73F31BAE">
      <w:pPr>
        <w:spacing w:after="0" w:line="360" w:lineRule="auto"/>
        <w:ind w:left="-20" w:right="-20"/>
        <w:jc w:val="both"/>
      </w:pPr>
      <w:r w:rsidRPr="73F31BAE">
        <w:rPr>
          <w:rFonts w:ascii="Arial" w:eastAsia="Arial" w:hAnsi="Arial" w:cs="Arial"/>
          <w:color w:val="000000" w:themeColor="text1"/>
        </w:rPr>
        <w:t xml:space="preserve">The stock market in the United Kingdom is significant for several reasons. First, because robust public markets are essential for economic growth, it is a fundamental part of the UK economy. The United Kingdom's stock market is the second most developed in the world, after the United States, </w:t>
      </w:r>
      <w:r w:rsidRPr="73F31BAE">
        <w:rPr>
          <w:rFonts w:ascii="Arial" w:eastAsia="Arial" w:hAnsi="Arial" w:cs="Arial"/>
          <w:color w:val="000000" w:themeColor="text1"/>
        </w:rPr>
        <w:lastRenderedPageBreak/>
        <w:t xml:space="preserve">and the country is known for having a corporate economy focused on the stock market. The significance of the stock market is further demonstrated by its correlation with the nation's GDP. The UK has a substantial ratio, indicating the significance of its stock market. A considerable proportion of the aggregate market capitalization of publicly traded shares to GDP implies that the stock market is of substantial importance in relation to the economy (Cheffins and Reddy, 2023). </w:t>
      </w:r>
    </w:p>
    <w:p w14:paraId="0738D807" w14:textId="6822C75E" w:rsidR="0B3603E4" w:rsidRDefault="6E692AAC" w:rsidP="73F31BAE">
      <w:pPr>
        <w:spacing w:after="0" w:line="360" w:lineRule="auto"/>
        <w:ind w:left="-20" w:right="-20"/>
        <w:jc w:val="both"/>
      </w:pPr>
      <w:r w:rsidRPr="73F31BAE">
        <w:rPr>
          <w:rFonts w:ascii="Arial" w:eastAsia="Arial" w:hAnsi="Arial" w:cs="Arial"/>
        </w:rPr>
        <w:t xml:space="preserve"> </w:t>
      </w:r>
    </w:p>
    <w:p w14:paraId="0A7FC199" w14:textId="65615DBE" w:rsidR="0B3603E4" w:rsidRDefault="6E692AAC" w:rsidP="73F31BAE">
      <w:pPr>
        <w:spacing w:after="0" w:line="360" w:lineRule="auto"/>
        <w:ind w:left="-20" w:right="-20"/>
        <w:jc w:val="both"/>
      </w:pPr>
      <w:r w:rsidRPr="73F31BAE">
        <w:rPr>
          <w:rFonts w:ascii="Arial" w:eastAsia="Arial" w:hAnsi="Arial" w:cs="Arial"/>
          <w:color w:val="000000" w:themeColor="text1"/>
        </w:rPr>
        <w:t xml:space="preserve">With a rich history dating back to the 16th century, the UK stock market has played a significant role in supporting domestic industry. At the start of the 20th century, the London Stock Exchange was the world's biggest capital market. The historical significance of the UK stock market highlights its critical role in the economic development of the nation (Campbell, Rogers, and Turner, 2016). </w:t>
      </w:r>
    </w:p>
    <w:p w14:paraId="525D743B" w14:textId="5AF0ED0C" w:rsidR="0B3603E4" w:rsidRDefault="6E692AAC" w:rsidP="73F31BAE">
      <w:pPr>
        <w:spacing w:after="0" w:line="360" w:lineRule="auto"/>
        <w:ind w:left="-20" w:right="-20"/>
        <w:jc w:val="both"/>
      </w:pPr>
      <w:r w:rsidRPr="73F31BAE">
        <w:rPr>
          <w:rFonts w:ascii="Arial" w:eastAsia="Arial" w:hAnsi="Arial" w:cs="Arial"/>
        </w:rPr>
        <w:t xml:space="preserve"> </w:t>
      </w:r>
    </w:p>
    <w:p w14:paraId="69ADB8D8" w14:textId="2C20DE76" w:rsidR="0B3603E4" w:rsidRDefault="6E692AAC" w:rsidP="73F31BAE">
      <w:pPr>
        <w:spacing w:after="0" w:line="360" w:lineRule="auto"/>
        <w:ind w:left="-20" w:right="-20"/>
        <w:jc w:val="both"/>
      </w:pPr>
      <w:r w:rsidRPr="73F31BAE">
        <w:rPr>
          <w:rFonts w:ascii="Arial" w:eastAsia="Arial" w:hAnsi="Arial" w:cs="Arial"/>
          <w:color w:val="000000" w:themeColor="text1"/>
        </w:rPr>
        <w:t xml:space="preserve">Furthermore, the UK stock exchange is a major source of funding for businesses. By issuing shares that can be purchased and sold on the stock exchange, it enables businesses to raise money. This offers a significant source of capital for company expansion and investment (Nyasha, and Odhiambo, 2013). Moreover, investors benefit from the stock market since it gives them the chance to make investments in a variety of assets, such as derivatives, bonds, and stocks. This promotes overall economic growth by directing capital towards its most advantageous uses.  </w:t>
      </w:r>
    </w:p>
    <w:p w14:paraId="57663A81" w14:textId="5D95E126" w:rsidR="0B3603E4" w:rsidRDefault="6E692AAC" w:rsidP="73F31BAE">
      <w:pPr>
        <w:spacing w:after="0" w:line="360" w:lineRule="auto"/>
        <w:ind w:left="-20" w:right="-20"/>
        <w:jc w:val="both"/>
      </w:pPr>
      <w:r w:rsidRPr="73F31BAE">
        <w:rPr>
          <w:rFonts w:ascii="Arial" w:eastAsia="Arial" w:hAnsi="Arial" w:cs="Arial"/>
        </w:rPr>
        <w:t xml:space="preserve"> </w:t>
      </w:r>
    </w:p>
    <w:p w14:paraId="5503A859" w14:textId="10E8AF92" w:rsidR="0B3603E4" w:rsidRDefault="10FC01FB" w:rsidP="73F31BAE">
      <w:pPr>
        <w:spacing w:after="0" w:line="360" w:lineRule="auto"/>
        <w:ind w:left="-20" w:right="-20"/>
        <w:jc w:val="both"/>
      </w:pPr>
      <w:r w:rsidRPr="73F31BAE">
        <w:rPr>
          <w:rFonts w:ascii="Arial" w:eastAsia="Arial" w:hAnsi="Arial" w:cs="Arial"/>
          <w:color w:val="000000" w:themeColor="text1"/>
        </w:rPr>
        <w:t>T</w:t>
      </w:r>
      <w:r w:rsidR="6E692AAC" w:rsidRPr="73F31BAE">
        <w:rPr>
          <w:rFonts w:ascii="Arial" w:eastAsia="Arial" w:hAnsi="Arial" w:cs="Arial"/>
          <w:color w:val="000000" w:themeColor="text1"/>
        </w:rPr>
        <w:t xml:space="preserve">he UK stock market is critical to the nation's economy since it gives businesses access to capital, presents opportunities for individual investors, and supports the expansion and development of the economy. </w:t>
      </w:r>
    </w:p>
    <w:p w14:paraId="6C2E53CF" w14:textId="4DC92F5F"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79C72E1B" w14:textId="0BE33531" w:rsidR="0B3603E4" w:rsidRDefault="6E692AAC" w:rsidP="73F31BAE">
      <w:pPr>
        <w:spacing w:after="0" w:line="360" w:lineRule="auto"/>
        <w:ind w:left="-20" w:right="-20"/>
        <w:jc w:val="both"/>
        <w:rPr>
          <w:rFonts w:ascii="Arial" w:eastAsia="Arial" w:hAnsi="Arial" w:cs="Arial"/>
          <w:b/>
          <w:bCs/>
          <w:color w:val="000000" w:themeColor="text1"/>
        </w:rPr>
      </w:pPr>
      <w:r w:rsidRPr="73F31BAE">
        <w:rPr>
          <w:rFonts w:ascii="Arial" w:eastAsia="Arial" w:hAnsi="Arial" w:cs="Arial"/>
          <w:b/>
          <w:bCs/>
          <w:color w:val="000000" w:themeColor="text1"/>
        </w:rPr>
        <w:t>1.</w:t>
      </w:r>
      <w:r w:rsidR="538DAD9C" w:rsidRPr="73F31BAE">
        <w:rPr>
          <w:rFonts w:ascii="Arial" w:eastAsia="Arial" w:hAnsi="Arial" w:cs="Arial"/>
          <w:b/>
          <w:bCs/>
          <w:color w:val="000000" w:themeColor="text1"/>
        </w:rPr>
        <w:t>5</w:t>
      </w:r>
      <w:r w:rsidRPr="73F31BAE">
        <w:rPr>
          <w:rFonts w:ascii="Arial" w:eastAsia="Arial" w:hAnsi="Arial" w:cs="Arial"/>
          <w:b/>
          <w:bCs/>
          <w:color w:val="000000" w:themeColor="text1"/>
        </w:rPr>
        <w:t xml:space="preserve"> Research Aim</w:t>
      </w:r>
      <w:r w:rsidR="203CE5C6" w:rsidRPr="73F31BAE">
        <w:rPr>
          <w:rFonts w:ascii="Arial" w:eastAsia="Arial" w:hAnsi="Arial" w:cs="Arial"/>
          <w:b/>
          <w:bCs/>
          <w:color w:val="000000" w:themeColor="text1"/>
        </w:rPr>
        <w:t xml:space="preserve"> and Objectives</w:t>
      </w:r>
    </w:p>
    <w:p w14:paraId="71FB3A01" w14:textId="4953709B" w:rsidR="0B3603E4" w:rsidRDefault="6E692AAC" w:rsidP="73F31BAE">
      <w:pPr>
        <w:spacing w:after="0" w:line="360" w:lineRule="auto"/>
        <w:ind w:left="-20" w:right="-20"/>
        <w:jc w:val="both"/>
      </w:pPr>
      <w:r w:rsidRPr="73F31BAE">
        <w:rPr>
          <w:rFonts w:ascii="Arial" w:eastAsia="Arial" w:hAnsi="Arial" w:cs="Arial"/>
        </w:rPr>
        <w:t xml:space="preserve"> </w:t>
      </w:r>
    </w:p>
    <w:p w14:paraId="350F9192" w14:textId="34074E83" w:rsidR="0B3603E4" w:rsidRDefault="6E692AAC" w:rsidP="73F31BAE">
      <w:pPr>
        <w:spacing w:after="0" w:line="360" w:lineRule="auto"/>
        <w:ind w:left="-20" w:right="-20"/>
        <w:jc w:val="both"/>
      </w:pPr>
      <w:r w:rsidRPr="73F31BAE">
        <w:rPr>
          <w:rFonts w:ascii="Arial" w:eastAsia="Arial" w:hAnsi="Arial" w:cs="Arial"/>
          <w:b/>
          <w:bCs/>
          <w:color w:val="000000" w:themeColor="text1"/>
        </w:rPr>
        <w:t>Examine the Relationship between Interest Rates and Stock Prices:</w:t>
      </w:r>
      <w:r w:rsidRPr="73F31BAE">
        <w:rPr>
          <w:rFonts w:ascii="Arial" w:eastAsia="Arial" w:hAnsi="Arial" w:cs="Arial"/>
          <w:color w:val="000000" w:themeColor="text1"/>
        </w:rPr>
        <w:t xml:space="preserve"> The primary aim is to investigate how changes in interest rates influence stock prices in the United Kingdom. This involves analyzing historical data to identify patterns and correlations between fluctuations in interest rates and stock price movements.</w:t>
      </w:r>
    </w:p>
    <w:p w14:paraId="3137498A" w14:textId="12590B05"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449B0436" w14:textId="3D90EC5E" w:rsidR="0B3603E4" w:rsidRDefault="6E692AAC" w:rsidP="73F31BAE">
      <w:pPr>
        <w:spacing w:after="0" w:line="360" w:lineRule="auto"/>
        <w:ind w:left="-20" w:right="-20"/>
        <w:jc w:val="both"/>
      </w:pPr>
      <w:r w:rsidRPr="73F31BAE">
        <w:rPr>
          <w:rFonts w:ascii="Arial" w:eastAsia="Arial" w:hAnsi="Arial" w:cs="Arial"/>
          <w:b/>
          <w:bCs/>
          <w:color w:val="000000" w:themeColor="text1"/>
        </w:rPr>
        <w:t>Analyze the Impact on Trading Volumes:</w:t>
      </w:r>
      <w:r w:rsidRPr="73F31BAE">
        <w:rPr>
          <w:rFonts w:ascii="Arial" w:eastAsia="Arial" w:hAnsi="Arial" w:cs="Arial"/>
          <w:color w:val="000000" w:themeColor="text1"/>
        </w:rPr>
        <w:t xml:space="preserve"> Another key objective is to determine how changes in interest rates affect trading volumes in the UK stock market. This could involve assessing whether fluctuations in interest rates lead to changes in the level of market activity and liquidity. </w:t>
      </w:r>
    </w:p>
    <w:p w14:paraId="7285EE2A" w14:textId="170158A2" w:rsidR="0B3603E4" w:rsidRDefault="6E692AAC" w:rsidP="73F31BAE">
      <w:pPr>
        <w:spacing w:after="0" w:line="360" w:lineRule="auto"/>
        <w:ind w:left="-20" w:right="-20"/>
        <w:jc w:val="both"/>
      </w:pPr>
      <w:r w:rsidRPr="73F31BAE">
        <w:rPr>
          <w:rFonts w:ascii="Arial" w:eastAsia="Arial" w:hAnsi="Arial" w:cs="Arial"/>
        </w:rPr>
        <w:t xml:space="preserve"> </w:t>
      </w:r>
    </w:p>
    <w:p w14:paraId="7413C834" w14:textId="557FA009" w:rsidR="0B3603E4" w:rsidRDefault="6E692AAC" w:rsidP="73F31BAE">
      <w:pPr>
        <w:spacing w:after="0" w:line="360" w:lineRule="auto"/>
        <w:ind w:left="-20" w:right="-20"/>
        <w:jc w:val="both"/>
      </w:pPr>
      <w:r w:rsidRPr="73F31BAE">
        <w:rPr>
          <w:rFonts w:ascii="Arial" w:eastAsia="Arial" w:hAnsi="Arial" w:cs="Arial"/>
          <w:b/>
          <w:bCs/>
          <w:color w:val="000000" w:themeColor="text1"/>
        </w:rPr>
        <w:lastRenderedPageBreak/>
        <w:t>To Analyze the Impact of Global Economic Factors on the UK Stock Market and Interest Rates:</w:t>
      </w:r>
      <w:r w:rsidRPr="73F31BAE">
        <w:rPr>
          <w:rFonts w:ascii="Arial" w:eastAsia="Arial" w:hAnsi="Arial" w:cs="Arial"/>
          <w:color w:val="000000" w:themeColor="text1"/>
        </w:rPr>
        <w:t xml:space="preserve"> Explore how international economic factors, such as global interest rate trends and economic crises, influence the UK stock market and its sensitivity to interest rates.  </w:t>
      </w:r>
    </w:p>
    <w:p w14:paraId="103FC844" w14:textId="41577048"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64A29584" w14:textId="5BC4C34F" w:rsidR="0B3603E4" w:rsidRDefault="6E692AAC" w:rsidP="73F31BAE">
      <w:pPr>
        <w:spacing w:after="0" w:line="360" w:lineRule="auto"/>
        <w:ind w:left="-20" w:right="-20"/>
        <w:jc w:val="both"/>
      </w:pPr>
      <w:r w:rsidRPr="73F31BAE">
        <w:rPr>
          <w:rFonts w:ascii="Arial" w:eastAsia="Arial" w:hAnsi="Arial" w:cs="Arial"/>
          <w:b/>
          <w:bCs/>
          <w:color w:val="000000" w:themeColor="text1"/>
        </w:rPr>
        <w:t>Objectives:</w:t>
      </w:r>
      <w:r w:rsidRPr="73F31BAE">
        <w:rPr>
          <w:rFonts w:ascii="Arial" w:eastAsia="Arial" w:hAnsi="Arial" w:cs="Arial"/>
          <w:color w:val="000000" w:themeColor="text1"/>
        </w:rPr>
        <w:t xml:space="preserve"> </w:t>
      </w:r>
    </w:p>
    <w:p w14:paraId="0F802F85" w14:textId="27148ADE" w:rsidR="0B3603E4" w:rsidRDefault="6E692AAC" w:rsidP="73F31BAE">
      <w:pPr>
        <w:pStyle w:val="ListParagraph"/>
        <w:numPr>
          <w:ilvl w:val="0"/>
          <w:numId w:val="12"/>
        </w:numPr>
        <w:spacing w:after="0" w:line="360" w:lineRule="auto"/>
        <w:jc w:val="both"/>
        <w:rPr>
          <w:rFonts w:ascii="Arial" w:eastAsia="Arial" w:hAnsi="Arial" w:cs="Arial"/>
          <w:color w:val="000000" w:themeColor="text1"/>
        </w:rPr>
      </w:pPr>
      <w:r w:rsidRPr="73F31BAE">
        <w:rPr>
          <w:rFonts w:ascii="Arial" w:eastAsia="Arial" w:hAnsi="Arial" w:cs="Arial"/>
          <w:color w:val="000000" w:themeColor="text1"/>
        </w:rPr>
        <w:t xml:space="preserve">Assess the statistical correlation between changes in interest rates (e.g., Bank of England base rate) and stock market indices (e.g., FTSE 100) to determine the strength and direction of the relationship. </w:t>
      </w:r>
    </w:p>
    <w:p w14:paraId="307A1EA1" w14:textId="7E650CC9"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75EF42CC" w14:textId="556436F2" w:rsidR="0B3603E4" w:rsidRDefault="6E692AAC" w:rsidP="73F31BAE">
      <w:pPr>
        <w:pStyle w:val="ListParagraph"/>
        <w:numPr>
          <w:ilvl w:val="0"/>
          <w:numId w:val="11"/>
        </w:numPr>
        <w:spacing w:after="0" w:line="360" w:lineRule="auto"/>
        <w:jc w:val="both"/>
        <w:rPr>
          <w:rFonts w:ascii="Arial" w:eastAsia="Arial" w:hAnsi="Arial" w:cs="Arial"/>
          <w:color w:val="000000" w:themeColor="text1"/>
        </w:rPr>
      </w:pPr>
      <w:r w:rsidRPr="73F31BAE">
        <w:rPr>
          <w:rFonts w:ascii="Arial" w:eastAsia="Arial" w:hAnsi="Arial" w:cs="Arial"/>
          <w:color w:val="000000" w:themeColor="text1"/>
        </w:rPr>
        <w:t xml:space="preserve">Analyze the impact of diverse types of interest rate changes (e.g., increases, decreases, or stability) on stock prices and identify any patterns or anomalies. </w:t>
      </w:r>
    </w:p>
    <w:p w14:paraId="7BFE5799" w14:textId="3C066543"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76AB25ED" w14:textId="6CF7B5A8" w:rsidR="0B3603E4" w:rsidRDefault="6E692AAC" w:rsidP="73F31BAE">
      <w:pPr>
        <w:pStyle w:val="ListParagraph"/>
        <w:numPr>
          <w:ilvl w:val="0"/>
          <w:numId w:val="10"/>
        </w:numPr>
        <w:spacing w:after="0" w:line="360" w:lineRule="auto"/>
        <w:jc w:val="both"/>
        <w:rPr>
          <w:rFonts w:ascii="Arial" w:eastAsia="Arial" w:hAnsi="Arial" w:cs="Arial"/>
          <w:color w:val="000000" w:themeColor="text1"/>
        </w:rPr>
      </w:pPr>
      <w:r w:rsidRPr="73F31BAE">
        <w:rPr>
          <w:rFonts w:ascii="Arial" w:eastAsia="Arial" w:hAnsi="Arial" w:cs="Arial"/>
          <w:color w:val="000000" w:themeColor="text1"/>
        </w:rPr>
        <w:t xml:space="preserve">Determine whether changes in interest rates correlate with changes in trading volumes and liquidity, considering both daily and monthly data. </w:t>
      </w:r>
    </w:p>
    <w:p w14:paraId="061BB15C" w14:textId="3BB02638"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72E32899" w14:textId="57C75242" w:rsidR="0B3603E4" w:rsidRDefault="6E692AAC" w:rsidP="73F31BAE">
      <w:pPr>
        <w:pStyle w:val="ListParagraph"/>
        <w:numPr>
          <w:ilvl w:val="0"/>
          <w:numId w:val="9"/>
        </w:numPr>
        <w:spacing w:after="0" w:line="360" w:lineRule="auto"/>
        <w:jc w:val="both"/>
        <w:rPr>
          <w:rFonts w:ascii="Arial" w:eastAsia="Arial" w:hAnsi="Arial" w:cs="Arial"/>
          <w:color w:val="000000" w:themeColor="text1"/>
        </w:rPr>
      </w:pPr>
      <w:r w:rsidRPr="73F31BAE">
        <w:rPr>
          <w:rFonts w:ascii="Arial" w:eastAsia="Arial" w:hAnsi="Arial" w:cs="Arial"/>
          <w:color w:val="000000" w:themeColor="text1"/>
        </w:rPr>
        <w:t xml:space="preserve">Analyze historical trading data to identify changes in investor behavior, such as shifts in portfolio allocation, risk appetite, and trading patterns in response to interest rate fluctuations. </w:t>
      </w:r>
    </w:p>
    <w:p w14:paraId="7B0AC6AC" w14:textId="57AE8E60"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3BB1590D" w14:textId="7AE7E072" w:rsidR="0B3603E4" w:rsidRDefault="6E692AAC" w:rsidP="73F31BAE">
      <w:pPr>
        <w:pStyle w:val="ListParagraph"/>
        <w:numPr>
          <w:ilvl w:val="0"/>
          <w:numId w:val="8"/>
        </w:numPr>
        <w:spacing w:after="0" w:line="360" w:lineRule="auto"/>
        <w:jc w:val="both"/>
        <w:rPr>
          <w:rFonts w:ascii="Arial" w:eastAsia="Arial" w:hAnsi="Arial" w:cs="Arial"/>
          <w:color w:val="000000" w:themeColor="text1"/>
        </w:rPr>
      </w:pPr>
      <w:r w:rsidRPr="73F31BAE">
        <w:rPr>
          <w:rFonts w:ascii="Arial" w:eastAsia="Arial" w:hAnsi="Arial" w:cs="Arial"/>
          <w:color w:val="000000" w:themeColor="text1"/>
        </w:rPr>
        <w:t xml:space="preserve">To explore how international economic factors, such as global interest rate trends and economic crises, influence the UK stock market and its sensitivity to interest rates. </w:t>
      </w:r>
    </w:p>
    <w:p w14:paraId="3E77997D" w14:textId="2A050CF9"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3550BBFD" w14:textId="6145C341" w:rsidR="0B3603E4" w:rsidRDefault="6E692AAC" w:rsidP="73F31BAE">
      <w:pPr>
        <w:pStyle w:val="ListParagraph"/>
        <w:numPr>
          <w:ilvl w:val="0"/>
          <w:numId w:val="7"/>
        </w:numPr>
        <w:spacing w:after="0" w:line="360" w:lineRule="auto"/>
        <w:jc w:val="both"/>
        <w:rPr>
          <w:rFonts w:ascii="Arial" w:eastAsia="Arial" w:hAnsi="Arial" w:cs="Arial"/>
          <w:color w:val="000000" w:themeColor="text1"/>
        </w:rPr>
      </w:pPr>
      <w:r w:rsidRPr="73F31BAE">
        <w:rPr>
          <w:rFonts w:ascii="Arial" w:eastAsia="Arial" w:hAnsi="Arial" w:cs="Arial"/>
          <w:color w:val="000000" w:themeColor="text1"/>
        </w:rPr>
        <w:t xml:space="preserve">To study how individual and institutional investors in the UK react to shifts in interest rates and identify any behavioral changes, such as adjustments in portfolio composition or trading volume. </w:t>
      </w:r>
    </w:p>
    <w:p w14:paraId="36D2BF6E" w14:textId="096257A7"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50662A16" w14:textId="77C94B3A" w:rsidR="0B3603E4" w:rsidRDefault="6E692AAC" w:rsidP="73F31BAE">
      <w:pPr>
        <w:spacing w:after="0" w:line="360" w:lineRule="auto"/>
        <w:ind w:left="-20" w:right="-20"/>
        <w:jc w:val="both"/>
      </w:pPr>
      <w:r w:rsidRPr="73F31BAE">
        <w:rPr>
          <w:rFonts w:ascii="Arial" w:eastAsia="Arial" w:hAnsi="Arial" w:cs="Arial"/>
          <w:b/>
          <w:bCs/>
          <w:color w:val="000000" w:themeColor="text1"/>
        </w:rPr>
        <w:t>1.</w:t>
      </w:r>
      <w:r w:rsidR="05E99828" w:rsidRPr="73F31BAE">
        <w:rPr>
          <w:rFonts w:ascii="Arial" w:eastAsia="Arial" w:hAnsi="Arial" w:cs="Arial"/>
          <w:b/>
          <w:bCs/>
          <w:color w:val="000000" w:themeColor="text1"/>
        </w:rPr>
        <w:t>6</w:t>
      </w:r>
      <w:r w:rsidRPr="73F31BAE">
        <w:rPr>
          <w:rFonts w:ascii="Arial" w:eastAsia="Arial" w:hAnsi="Arial" w:cs="Arial"/>
          <w:b/>
          <w:bCs/>
          <w:color w:val="000000" w:themeColor="text1"/>
        </w:rPr>
        <w:t xml:space="preserve"> Research Questions</w:t>
      </w:r>
      <w:r w:rsidRPr="73F31BAE">
        <w:rPr>
          <w:rFonts w:ascii="Arial" w:eastAsia="Arial" w:hAnsi="Arial" w:cs="Arial"/>
          <w:color w:val="000000" w:themeColor="text1"/>
        </w:rPr>
        <w:t xml:space="preserve"> </w:t>
      </w:r>
    </w:p>
    <w:p w14:paraId="2ABB9FEA" w14:textId="2DEE395B" w:rsidR="0B3603E4" w:rsidRDefault="6E692AAC" w:rsidP="73F31BAE">
      <w:pPr>
        <w:spacing w:after="0" w:line="360" w:lineRule="auto"/>
        <w:ind w:left="-20" w:right="-20"/>
        <w:jc w:val="both"/>
      </w:pPr>
      <w:r w:rsidRPr="73F31BAE">
        <w:rPr>
          <w:rFonts w:ascii="Arial" w:eastAsia="Arial" w:hAnsi="Arial" w:cs="Arial"/>
        </w:rPr>
        <w:t xml:space="preserve"> </w:t>
      </w:r>
    </w:p>
    <w:p w14:paraId="29887669" w14:textId="6B6DC6F0" w:rsidR="0B3603E4" w:rsidRDefault="6E692AAC" w:rsidP="73F31BAE">
      <w:pPr>
        <w:pStyle w:val="ListParagraph"/>
        <w:numPr>
          <w:ilvl w:val="0"/>
          <w:numId w:val="6"/>
        </w:numPr>
        <w:spacing w:after="0" w:line="360" w:lineRule="auto"/>
        <w:jc w:val="both"/>
        <w:rPr>
          <w:rFonts w:ascii="Arial" w:eastAsia="Arial" w:hAnsi="Arial" w:cs="Arial"/>
          <w:color w:val="000000" w:themeColor="text1"/>
        </w:rPr>
      </w:pPr>
      <w:r w:rsidRPr="73F31BAE">
        <w:rPr>
          <w:rFonts w:ascii="Arial" w:eastAsia="Arial" w:hAnsi="Arial" w:cs="Arial"/>
          <w:color w:val="000000" w:themeColor="text1"/>
        </w:rPr>
        <w:t xml:space="preserve">How changes in interest rates (e.g., Bank of England base rate) influence stock prices in the United Kingdom? </w:t>
      </w:r>
    </w:p>
    <w:p w14:paraId="2DE52F22" w14:textId="2DA3AF60"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7A83A4BC" w14:textId="029E79FE" w:rsidR="0B3603E4" w:rsidRDefault="6E692AAC" w:rsidP="73F31BAE">
      <w:pPr>
        <w:pStyle w:val="ListParagraph"/>
        <w:numPr>
          <w:ilvl w:val="0"/>
          <w:numId w:val="5"/>
        </w:numPr>
        <w:spacing w:after="0" w:line="360" w:lineRule="auto"/>
        <w:jc w:val="both"/>
        <w:rPr>
          <w:rFonts w:ascii="Arial" w:eastAsia="Arial" w:hAnsi="Arial" w:cs="Arial"/>
          <w:color w:val="000000" w:themeColor="text1"/>
        </w:rPr>
      </w:pPr>
      <w:r w:rsidRPr="73F31BAE">
        <w:rPr>
          <w:rFonts w:ascii="Arial" w:eastAsia="Arial" w:hAnsi="Arial" w:cs="Arial"/>
          <w:color w:val="000000" w:themeColor="text1"/>
        </w:rPr>
        <w:t xml:space="preserve">How has the trading volume of the London Stock Exchange changed over time, and what factors have contributed to these changes? </w:t>
      </w:r>
    </w:p>
    <w:p w14:paraId="23120B6C" w14:textId="16C27BA6" w:rsidR="0B3603E4" w:rsidRDefault="6E692AAC" w:rsidP="73F31BAE">
      <w:pPr>
        <w:spacing w:after="0" w:line="360" w:lineRule="auto"/>
        <w:ind w:left="-20" w:right="-20"/>
        <w:jc w:val="both"/>
      </w:pPr>
      <w:r w:rsidRPr="73F31BAE">
        <w:rPr>
          <w:rFonts w:ascii="Arial" w:eastAsia="Arial" w:hAnsi="Arial" w:cs="Arial"/>
          <w:color w:val="000000" w:themeColor="text1"/>
        </w:rPr>
        <w:lastRenderedPageBreak/>
        <w:t xml:space="preserve"> </w:t>
      </w:r>
    </w:p>
    <w:p w14:paraId="2E3F6EE2" w14:textId="1AFAD8A7" w:rsidR="0B3603E4" w:rsidRDefault="6E692AAC" w:rsidP="73F31BAE">
      <w:pPr>
        <w:pStyle w:val="ListParagraph"/>
        <w:numPr>
          <w:ilvl w:val="0"/>
          <w:numId w:val="4"/>
        </w:numPr>
        <w:spacing w:after="0" w:line="360" w:lineRule="auto"/>
        <w:jc w:val="both"/>
        <w:rPr>
          <w:rFonts w:ascii="Arial" w:eastAsia="Arial" w:hAnsi="Arial" w:cs="Arial"/>
          <w:color w:val="000000" w:themeColor="text1"/>
        </w:rPr>
      </w:pPr>
      <w:r w:rsidRPr="73F31BAE">
        <w:rPr>
          <w:rFonts w:ascii="Arial" w:eastAsia="Arial" w:hAnsi="Arial" w:cs="Arial"/>
          <w:color w:val="000000" w:themeColor="text1"/>
        </w:rPr>
        <w:t xml:space="preserve">How do the key economic indicators such as inflation rate, unemployment rate, and GDP growth in the UK correlate with variations in the relationship between stock prices and trading volumes? </w:t>
      </w:r>
    </w:p>
    <w:p w14:paraId="077ADBAD" w14:textId="74B774DB"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1E4CB428" w14:textId="7AE78FEE" w:rsidR="0B3603E4" w:rsidRDefault="6E692AAC" w:rsidP="73F31BAE">
      <w:pPr>
        <w:pStyle w:val="ListParagraph"/>
        <w:numPr>
          <w:ilvl w:val="0"/>
          <w:numId w:val="3"/>
        </w:numPr>
        <w:spacing w:after="0" w:line="360" w:lineRule="auto"/>
        <w:jc w:val="both"/>
        <w:rPr>
          <w:rFonts w:ascii="Arial" w:eastAsia="Arial" w:hAnsi="Arial" w:cs="Arial"/>
          <w:color w:val="000000" w:themeColor="text1"/>
        </w:rPr>
      </w:pPr>
      <w:r w:rsidRPr="73F31BAE">
        <w:rPr>
          <w:rFonts w:ascii="Arial" w:eastAsia="Arial" w:hAnsi="Arial" w:cs="Arial"/>
          <w:color w:val="000000" w:themeColor="text1"/>
        </w:rPr>
        <w:t>How do the external factors influence the relationship between the trading volumes and stock price of the United Kingdom's financial market</w:t>
      </w:r>
      <w:r w:rsidR="281BF55C" w:rsidRPr="73F31BAE">
        <w:rPr>
          <w:rFonts w:ascii="Arial" w:eastAsia="Arial" w:hAnsi="Arial" w:cs="Arial"/>
          <w:color w:val="000000" w:themeColor="text1"/>
        </w:rPr>
        <w:t>?</w:t>
      </w:r>
      <w:r w:rsidRPr="73F31BAE">
        <w:rPr>
          <w:rFonts w:ascii="Arial" w:eastAsia="Arial" w:hAnsi="Arial" w:cs="Arial"/>
          <w:color w:val="000000" w:themeColor="text1"/>
        </w:rPr>
        <w:t xml:space="preserve"> </w:t>
      </w:r>
    </w:p>
    <w:p w14:paraId="210524BE" w14:textId="34BC4B3F"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302F0AF3" w14:textId="63FCDC6C" w:rsidR="0B3603E4" w:rsidRDefault="6E692AAC" w:rsidP="73F31BAE">
      <w:pPr>
        <w:spacing w:after="0" w:line="360" w:lineRule="auto"/>
        <w:ind w:left="-20" w:right="-20"/>
        <w:jc w:val="both"/>
      </w:pPr>
      <w:r w:rsidRPr="73F31BAE">
        <w:rPr>
          <w:rFonts w:ascii="Arial" w:eastAsia="Arial" w:hAnsi="Arial" w:cs="Arial"/>
          <w:b/>
          <w:bCs/>
          <w:color w:val="000000" w:themeColor="text1"/>
        </w:rPr>
        <w:t>1.</w:t>
      </w:r>
      <w:r w:rsidR="4FAD0FFE" w:rsidRPr="73F31BAE">
        <w:rPr>
          <w:rFonts w:ascii="Arial" w:eastAsia="Arial" w:hAnsi="Arial" w:cs="Arial"/>
          <w:b/>
          <w:bCs/>
          <w:color w:val="000000" w:themeColor="text1"/>
        </w:rPr>
        <w:t>7</w:t>
      </w:r>
      <w:r w:rsidRPr="73F31BAE">
        <w:rPr>
          <w:rFonts w:ascii="Arial" w:eastAsia="Arial" w:hAnsi="Arial" w:cs="Arial"/>
          <w:b/>
          <w:bCs/>
          <w:color w:val="000000" w:themeColor="text1"/>
        </w:rPr>
        <w:t xml:space="preserve"> Significance of the study</w:t>
      </w:r>
    </w:p>
    <w:p w14:paraId="3316D210" w14:textId="488DA683" w:rsidR="0B3603E4" w:rsidRDefault="0B3603E4" w:rsidP="73F31BAE">
      <w:pPr>
        <w:spacing w:after="0" w:line="360" w:lineRule="auto"/>
        <w:ind w:left="-20" w:right="-20"/>
        <w:jc w:val="both"/>
        <w:rPr>
          <w:rFonts w:ascii="Arial" w:eastAsia="Arial" w:hAnsi="Arial" w:cs="Arial"/>
          <w:b/>
          <w:bCs/>
          <w:color w:val="000000" w:themeColor="text1"/>
        </w:rPr>
      </w:pPr>
    </w:p>
    <w:p w14:paraId="7A509B1F" w14:textId="59B364B5" w:rsidR="0B3603E4" w:rsidRDefault="6E692AAC"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 xml:space="preserve">The proposed research on the impact of interest rates on the stock market in the United Kingdom holds significant academic importance for several reasons. Firstly, the study aims to contribute to the existing body of knowledge by providing a comprehensive understanding of the relationship between interest rates and stock prices in the UK. This is crucial as it addresses a gap in the literature, as highlighted by previous studies (Bredin, Gavin, and O'Reilly, 2005; </w:t>
      </w:r>
      <w:proofErr w:type="spellStart"/>
      <w:r w:rsidRPr="73F31BAE">
        <w:rPr>
          <w:rFonts w:ascii="Arial" w:eastAsia="Arial" w:hAnsi="Arial" w:cs="Arial"/>
          <w:color w:val="000000" w:themeColor="text1"/>
        </w:rPr>
        <w:t>Hajilee</w:t>
      </w:r>
      <w:proofErr w:type="spellEnd"/>
      <w:r w:rsidRPr="73F31BAE">
        <w:rPr>
          <w:rFonts w:ascii="Arial" w:eastAsia="Arial" w:hAnsi="Arial" w:cs="Arial"/>
          <w:color w:val="000000" w:themeColor="text1"/>
        </w:rPr>
        <w:t xml:space="preserve"> and Nasser, 2017), and seeks to offer a more nuanced and detailed analysis of this complex relationship</w:t>
      </w:r>
      <w:r w:rsidR="3A22E4B5" w:rsidRPr="73F31BAE">
        <w:rPr>
          <w:rFonts w:ascii="Arial" w:eastAsia="Arial" w:hAnsi="Arial" w:cs="Arial"/>
          <w:color w:val="000000" w:themeColor="text1"/>
        </w:rPr>
        <w:t xml:space="preserve">. </w:t>
      </w:r>
    </w:p>
    <w:p w14:paraId="6388CF3E" w14:textId="399EAE6A" w:rsidR="0B3603E4" w:rsidRDefault="6E692AAC" w:rsidP="73F31BAE">
      <w:pPr>
        <w:spacing w:after="0" w:line="360" w:lineRule="auto"/>
        <w:ind w:left="-30" w:right="-30"/>
        <w:jc w:val="both"/>
      </w:pPr>
      <w:r w:rsidRPr="73F31BAE">
        <w:rPr>
          <w:rFonts w:ascii="Arial" w:eastAsia="Arial" w:hAnsi="Arial" w:cs="Arial"/>
        </w:rPr>
        <w:t xml:space="preserve"> </w:t>
      </w:r>
    </w:p>
    <w:p w14:paraId="01435AE9" w14:textId="1DDE5C1A" w:rsidR="0B3603E4" w:rsidRDefault="6E692AAC"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Secondly, this study's significance lies in its potential to provide valuable insights for academics, researchers, and policymakers in finance and economics. By examining the impact of interest rates on trading volumes and liquidity in the UK stock market, the research aims to shed light on the mechanisms through which monetary policy decisions influence market activity. This has implications for understanding the transmission channels of monetary policy and its effects on financial markets, which is of paramount importance for central banks and policymakers</w:t>
      </w:r>
      <w:r w:rsidR="45AFCE62" w:rsidRPr="73F31BAE">
        <w:rPr>
          <w:rFonts w:ascii="Arial" w:eastAsia="Arial" w:hAnsi="Arial" w:cs="Arial"/>
          <w:color w:val="000000" w:themeColor="text1"/>
        </w:rPr>
        <w:t xml:space="preserve">. </w:t>
      </w:r>
    </w:p>
    <w:p w14:paraId="2CA02FC5" w14:textId="2FE82695" w:rsidR="0B3603E4" w:rsidRDefault="6E692AAC" w:rsidP="73F31BAE">
      <w:pPr>
        <w:spacing w:after="0" w:line="360" w:lineRule="auto"/>
        <w:ind w:left="-30" w:right="-30"/>
        <w:jc w:val="both"/>
      </w:pPr>
      <w:r w:rsidRPr="73F31BAE">
        <w:rPr>
          <w:rFonts w:ascii="Arial" w:eastAsia="Arial" w:hAnsi="Arial" w:cs="Arial"/>
        </w:rPr>
        <w:t xml:space="preserve"> </w:t>
      </w:r>
    </w:p>
    <w:p w14:paraId="2804851B" w14:textId="671B441F" w:rsidR="0B3603E4" w:rsidRDefault="6E692AAC"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Furthermore, the study's focus on analyzing the impact of global economic factors on the UK stock market and interest rates is academically significant as it seeks to explore the interconnectedness of the UK market with international economic trends. This broader perspective is essential for understanding the dynamics of the global financial system and the implications of external factors on domestic financial markets.</w:t>
      </w:r>
    </w:p>
    <w:p w14:paraId="73EC461B" w14:textId="08945856" w:rsidR="0B3603E4" w:rsidRDefault="6E692AAC" w:rsidP="73F31BAE">
      <w:pPr>
        <w:spacing w:after="0" w:line="360" w:lineRule="auto"/>
        <w:ind w:left="-30" w:right="-30"/>
        <w:jc w:val="both"/>
      </w:pPr>
      <w:r w:rsidRPr="73F31BAE">
        <w:rPr>
          <w:rFonts w:ascii="Arial" w:eastAsia="Arial" w:hAnsi="Arial" w:cs="Arial"/>
        </w:rPr>
        <w:t xml:space="preserve"> </w:t>
      </w:r>
    </w:p>
    <w:p w14:paraId="40E794AB" w14:textId="154E2984" w:rsidR="0B3603E4" w:rsidRDefault="1762985F"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T</w:t>
      </w:r>
      <w:r w:rsidR="6E692AAC" w:rsidRPr="73F31BAE">
        <w:rPr>
          <w:rFonts w:ascii="Arial" w:eastAsia="Arial" w:hAnsi="Arial" w:cs="Arial"/>
          <w:color w:val="000000" w:themeColor="text1"/>
        </w:rPr>
        <w:t xml:space="preserve">he proposed study on the impact of interest rates on the stock market in the United Kingdom holds significant academic significance as it aims to contribute to the existing literature, provide insights for policymakers, and offer valuable knowledge on the dynamics of financial markets and </w:t>
      </w:r>
      <w:r w:rsidR="6E692AAC" w:rsidRPr="73F31BAE">
        <w:rPr>
          <w:rFonts w:ascii="Arial" w:eastAsia="Arial" w:hAnsi="Arial" w:cs="Arial"/>
          <w:color w:val="000000" w:themeColor="text1"/>
        </w:rPr>
        <w:lastRenderedPageBreak/>
        <w:t xml:space="preserve">investor behavior. </w:t>
      </w:r>
      <w:r w:rsidR="2781A6E0" w:rsidRPr="73F31BAE">
        <w:rPr>
          <w:rFonts w:ascii="Arial" w:eastAsia="Arial" w:hAnsi="Arial" w:cs="Arial"/>
          <w:color w:val="000000" w:themeColor="text1"/>
        </w:rPr>
        <w:t>This research can advance academic understanding in finance, economics, and monetary policy and contribute to the development of theoretical frameworks and empirical models in these domains.</w:t>
      </w:r>
      <w:r w:rsidR="0B3603E4">
        <w:br/>
      </w:r>
    </w:p>
    <w:p w14:paraId="171EF7D2" w14:textId="400EBAF0"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b/>
          <w:bCs/>
          <w:color w:val="000000" w:themeColor="text1"/>
        </w:rPr>
        <w:t>1.</w:t>
      </w:r>
      <w:r w:rsidR="71850566" w:rsidRPr="73F31BAE">
        <w:rPr>
          <w:rFonts w:ascii="Arial" w:eastAsia="Arial" w:hAnsi="Arial" w:cs="Arial"/>
          <w:b/>
          <w:bCs/>
          <w:color w:val="000000" w:themeColor="text1"/>
        </w:rPr>
        <w:t>8</w:t>
      </w:r>
      <w:r w:rsidRPr="73F31BAE">
        <w:rPr>
          <w:rFonts w:ascii="Arial" w:eastAsia="Arial" w:hAnsi="Arial" w:cs="Arial"/>
          <w:b/>
          <w:bCs/>
          <w:color w:val="000000" w:themeColor="text1"/>
        </w:rPr>
        <w:t xml:space="preserve"> Conclusion</w:t>
      </w:r>
    </w:p>
    <w:p w14:paraId="20CC15BE" w14:textId="7A16EBC0" w:rsidR="0B3603E4" w:rsidRDefault="0B3603E4" w:rsidP="73F31BAE">
      <w:pPr>
        <w:spacing w:after="0" w:line="360" w:lineRule="auto"/>
        <w:ind w:left="-20" w:right="-20"/>
        <w:jc w:val="both"/>
        <w:rPr>
          <w:rFonts w:ascii="Arial" w:eastAsia="Arial" w:hAnsi="Arial" w:cs="Arial"/>
          <w:b/>
          <w:bCs/>
          <w:color w:val="000000" w:themeColor="text1"/>
        </w:rPr>
      </w:pPr>
    </w:p>
    <w:p w14:paraId="7E46E6E6" w14:textId="515243CB" w:rsidR="0B3603E4" w:rsidRDefault="6E692AAC" w:rsidP="73F31BAE">
      <w:pPr>
        <w:spacing w:after="0" w:line="360" w:lineRule="auto"/>
        <w:ind w:left="-20" w:right="-20"/>
        <w:jc w:val="both"/>
      </w:pPr>
      <w:r w:rsidRPr="73F31BAE">
        <w:rPr>
          <w:rFonts w:ascii="Arial" w:eastAsia="Arial" w:hAnsi="Arial" w:cs="Arial"/>
          <w:color w:val="000000" w:themeColor="text1"/>
        </w:rPr>
        <w:t>This research endeavors to shed light on the intricate relationship between interest rates and the United Kingdom's stock market, recognizing its significance in the broader context of the nation's economic landscape. The United Kingdom's stock market, with its roots dating back to the late 17th century and the establishment of the London Stock Exchange in 1801, has evolved into a pivotal player in the global financial system.</w:t>
      </w:r>
    </w:p>
    <w:p w14:paraId="2A537692" w14:textId="7A7671A2" w:rsidR="0B3603E4" w:rsidRDefault="0B3603E4" w:rsidP="73F31BAE">
      <w:pPr>
        <w:spacing w:after="0" w:line="360" w:lineRule="auto"/>
        <w:ind w:left="-20" w:right="-20"/>
        <w:jc w:val="both"/>
        <w:rPr>
          <w:rFonts w:ascii="Arial" w:eastAsia="Arial" w:hAnsi="Arial" w:cs="Arial"/>
          <w:color w:val="000000" w:themeColor="text1"/>
        </w:rPr>
      </w:pPr>
    </w:p>
    <w:p w14:paraId="1EA5202B" w14:textId="65FE4770"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External events, such as interest rate fluctuations and global financial crises, further underscore the interconnectedness of the stock market with the overall economy. The research aims and objectives clearly articulate the focus on understanding the relationship between interest rates and stock prices in the UK, as well as delving into the impact on trading volumes and considering global economic factors. These objectives are designed to contribute valuable insights into the dynamics of the UK stock market, aiding investors, policymakers, and researchers in making informed decisions. </w:t>
      </w:r>
    </w:p>
    <w:p w14:paraId="2B3AF603" w14:textId="70043E49"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1CCA125F" w14:textId="4C855B27" w:rsidR="0B3603E4" w:rsidRDefault="6E692AAC" w:rsidP="73F31BAE">
      <w:pPr>
        <w:spacing w:after="0" w:line="360" w:lineRule="auto"/>
        <w:ind w:left="-20" w:right="-20"/>
        <w:jc w:val="both"/>
      </w:pPr>
      <w:r w:rsidRPr="73F31BAE">
        <w:rPr>
          <w:rFonts w:ascii="Arial" w:eastAsia="Arial" w:hAnsi="Arial" w:cs="Arial"/>
          <w:color w:val="000000" w:themeColor="text1"/>
        </w:rPr>
        <w:t xml:space="preserve">The research questions, ranging from the influence of interest rates on stock prices to the correlation between economic indicators and variations in the relationship between stock prices and trading volumes, provide a structured framework for investigation. By addressing these questions, the research aims to uncover patterns, anomalies, and behavioral changes in response to interest rate fluctuations. </w:t>
      </w:r>
    </w:p>
    <w:p w14:paraId="2BCD4854" w14:textId="0169039C" w:rsidR="0B3603E4" w:rsidRDefault="0B3603E4" w:rsidP="73F31BAE">
      <w:pPr>
        <w:spacing w:after="0" w:line="360" w:lineRule="auto"/>
        <w:ind w:left="-20" w:right="-20"/>
        <w:jc w:val="both"/>
        <w:rPr>
          <w:rFonts w:ascii="Arial" w:eastAsia="Arial" w:hAnsi="Arial" w:cs="Arial"/>
          <w:color w:val="000000" w:themeColor="text1"/>
        </w:rPr>
      </w:pPr>
    </w:p>
    <w:p w14:paraId="4D0CC5F1" w14:textId="00A7B94A"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In conclusion, the proposed research is poised to make significant contributions to the existing body of knowledge surrounding the complex interplay between interest rates and the UK stock market. By leveraging historical data, statistical analyses, and a comprehensive review of literature, the research aims to provide nuanced insights that can inform investment decisions, guide policy formulation, and deepen the understanding of the economic dynamics at play in the United Kingdom's financial landscape.</w:t>
      </w:r>
    </w:p>
    <w:p w14:paraId="4820681A" w14:textId="3E69A70F" w:rsidR="0B3603E4" w:rsidRDefault="0B3603E4" w:rsidP="73F31BAE">
      <w:pPr>
        <w:spacing w:line="276" w:lineRule="auto"/>
        <w:jc w:val="center"/>
      </w:pPr>
    </w:p>
    <w:p w14:paraId="182A05B2" w14:textId="5D9C5A34" w:rsidR="0B3603E4" w:rsidRPr="003309F4" w:rsidRDefault="6E692AAC" w:rsidP="003309F4">
      <w:pPr>
        <w:spacing w:after="200" w:line="276" w:lineRule="auto"/>
        <w:ind w:left="-20" w:right="-20"/>
        <w:jc w:val="center"/>
        <w:rPr>
          <w:rFonts w:ascii="Arial" w:eastAsia="Arial" w:hAnsi="Arial" w:cs="Arial"/>
        </w:rPr>
      </w:pPr>
      <w:r w:rsidRPr="73F31BAE">
        <w:rPr>
          <w:rFonts w:ascii="Arial" w:eastAsia="Arial" w:hAnsi="Arial" w:cs="Arial"/>
        </w:rPr>
        <w:t xml:space="preserve"> </w:t>
      </w:r>
      <w:r w:rsidR="647696B9" w:rsidRPr="73F31BAE">
        <w:rPr>
          <w:rFonts w:ascii="Arial" w:eastAsia="Arial" w:hAnsi="Arial" w:cs="Arial"/>
        </w:rPr>
        <w:t>__________________________________________________________________________</w:t>
      </w:r>
    </w:p>
    <w:p w14:paraId="136FF9BD" w14:textId="06C833A6" w:rsidR="0B3603E4" w:rsidRDefault="23E0EFF2" w:rsidP="73F31BAE">
      <w:pPr>
        <w:spacing w:after="0" w:line="360" w:lineRule="auto"/>
        <w:ind w:left="-20" w:right="-20"/>
        <w:jc w:val="center"/>
        <w:rPr>
          <w:rFonts w:ascii="Arial" w:eastAsia="Arial" w:hAnsi="Arial" w:cs="Arial"/>
          <w:b/>
          <w:bCs/>
          <w:color w:val="000000" w:themeColor="text1"/>
          <w:sz w:val="44"/>
          <w:szCs w:val="44"/>
          <w:lang w:val="en-GB"/>
        </w:rPr>
      </w:pPr>
      <w:r w:rsidRPr="73F31BAE">
        <w:rPr>
          <w:rFonts w:ascii="Arial" w:eastAsia="Arial" w:hAnsi="Arial" w:cs="Arial"/>
          <w:b/>
          <w:bCs/>
          <w:color w:val="000000" w:themeColor="text1"/>
          <w:sz w:val="44"/>
          <w:szCs w:val="44"/>
        </w:rPr>
        <w:lastRenderedPageBreak/>
        <w:t xml:space="preserve">CHAPTER TWO: </w:t>
      </w:r>
      <w:r w:rsidRPr="73F31BAE">
        <w:rPr>
          <w:rFonts w:ascii="Arial" w:eastAsia="Arial" w:hAnsi="Arial" w:cs="Arial"/>
          <w:b/>
          <w:bCs/>
          <w:color w:val="000000" w:themeColor="text1"/>
          <w:sz w:val="44"/>
          <w:szCs w:val="44"/>
          <w:lang w:val="en-GB"/>
        </w:rPr>
        <w:t>LITERATURE REVIEW</w:t>
      </w:r>
    </w:p>
    <w:p w14:paraId="156D34FF" w14:textId="4A98C1F9" w:rsidR="0B3603E4" w:rsidRDefault="0B3603E4" w:rsidP="73F31BAE">
      <w:pPr>
        <w:spacing w:after="0" w:line="360" w:lineRule="auto"/>
        <w:ind w:left="-20" w:right="-20"/>
        <w:jc w:val="both"/>
        <w:rPr>
          <w:rFonts w:ascii="Arial" w:eastAsia="Arial" w:hAnsi="Arial" w:cs="Arial"/>
          <w:b/>
          <w:bCs/>
          <w:color w:val="000000" w:themeColor="text1"/>
        </w:rPr>
      </w:pPr>
    </w:p>
    <w:p w14:paraId="7B305B75" w14:textId="0F87FCA9"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2.1 Introduction </w:t>
      </w:r>
      <w:r w:rsidRPr="73F31BAE">
        <w:rPr>
          <w:rFonts w:ascii="Arial" w:eastAsia="Arial" w:hAnsi="Arial" w:cs="Arial"/>
          <w:color w:val="000000" w:themeColor="text1"/>
        </w:rPr>
        <w:t xml:space="preserve"> </w:t>
      </w:r>
    </w:p>
    <w:p w14:paraId="2C30080E" w14:textId="47CA22D9" w:rsidR="0B3603E4" w:rsidRDefault="6E692AAC" w:rsidP="73F31BAE">
      <w:pPr>
        <w:spacing w:after="0" w:line="360" w:lineRule="auto"/>
        <w:ind w:left="-20" w:right="-20"/>
        <w:jc w:val="both"/>
      </w:pPr>
      <w:r w:rsidRPr="73F31BAE">
        <w:rPr>
          <w:rFonts w:ascii="Arial" w:eastAsia="Arial" w:hAnsi="Arial" w:cs="Arial"/>
          <w:color w:val="000000" w:themeColor="text1"/>
        </w:rPr>
        <w:t xml:space="preserve">Chapter 2 of this study delves into existing research regarding the influence of interest rates on the stock market within the United Kingdom. Section 2.2 comprehensively examines the literature surrounding the correlation between interest rates and stock prices. Furthermore, Section 2.3 explores the impact of trading volume, while Section 2.4 elucidates the effects of global economic factors on both the UK stock market and interest rates. </w:t>
      </w:r>
    </w:p>
    <w:p w14:paraId="26A56936" w14:textId="36F630E8" w:rsidR="0B3603E4" w:rsidRDefault="6E692AAC" w:rsidP="73F31BAE">
      <w:pPr>
        <w:spacing w:after="0" w:line="360" w:lineRule="auto"/>
        <w:ind w:left="-20" w:right="-20"/>
        <w:jc w:val="both"/>
      </w:pPr>
      <w:r w:rsidRPr="73F31BAE">
        <w:rPr>
          <w:rFonts w:ascii="Arial" w:eastAsia="Arial" w:hAnsi="Arial" w:cs="Arial"/>
        </w:rPr>
        <w:t xml:space="preserve"> </w:t>
      </w:r>
    </w:p>
    <w:p w14:paraId="1F8CC237" w14:textId="4F42941C" w:rsidR="0B3603E4" w:rsidRDefault="6E692AAC" w:rsidP="73F31BAE">
      <w:pPr>
        <w:spacing w:after="0" w:line="360" w:lineRule="auto"/>
        <w:ind w:left="-20" w:right="-20"/>
        <w:jc w:val="both"/>
      </w:pPr>
      <w:r w:rsidRPr="73F31BAE">
        <w:rPr>
          <w:rFonts w:ascii="Arial" w:eastAsia="Arial" w:hAnsi="Arial" w:cs="Arial"/>
          <w:color w:val="000000" w:themeColor="text1"/>
        </w:rPr>
        <w:t xml:space="preserve">Additionally, Section 2.5 provides insights into the viewpoints expressed in literature concerning the United Kingdom's economy and its GDP growth. Moving forward, Section 2.6 delves into an in-depth discussion on the United Kingdom's financial market. Section 2.7 presents a table summarizing the key findings of the literature review. </w:t>
      </w:r>
    </w:p>
    <w:p w14:paraId="0F3321BE" w14:textId="12C51890" w:rsidR="0B3603E4" w:rsidRDefault="6E692AAC" w:rsidP="73F31BAE">
      <w:pPr>
        <w:spacing w:after="0" w:line="360" w:lineRule="auto"/>
        <w:ind w:left="-20" w:right="-20"/>
        <w:jc w:val="both"/>
      </w:pPr>
      <w:r w:rsidRPr="73F31BAE">
        <w:rPr>
          <w:rFonts w:ascii="Arial" w:eastAsia="Arial" w:hAnsi="Arial" w:cs="Arial"/>
        </w:rPr>
        <w:t xml:space="preserve"> </w:t>
      </w:r>
    </w:p>
    <w:p w14:paraId="4C109531" w14:textId="3D6F9624" w:rsidR="0B3603E4" w:rsidRDefault="6E692AAC" w:rsidP="73F31BAE">
      <w:pPr>
        <w:spacing w:after="0" w:line="360" w:lineRule="auto"/>
        <w:ind w:left="-20" w:right="-20"/>
        <w:jc w:val="both"/>
      </w:pPr>
      <w:r w:rsidRPr="73F31BAE">
        <w:rPr>
          <w:rFonts w:ascii="Arial" w:eastAsia="Arial" w:hAnsi="Arial" w:cs="Arial"/>
          <w:color w:val="000000" w:themeColor="text1"/>
        </w:rPr>
        <w:t xml:space="preserve">Subsequently, Section 2.8 meticulously highlights the identified gaps within the existing literature, paving the way for a robust conclusion. This structured approach ensures a comprehensive exploration of the subject matter while laying the groundwork for the subsequent chapters of this study. </w:t>
      </w:r>
    </w:p>
    <w:p w14:paraId="732C231D" w14:textId="5796809E" w:rsidR="0B3603E4" w:rsidRDefault="6E692AAC" w:rsidP="73F31BAE">
      <w:pPr>
        <w:spacing w:after="0" w:line="360" w:lineRule="auto"/>
        <w:ind w:left="-30" w:right="-30"/>
        <w:jc w:val="both"/>
      </w:pPr>
      <w:r w:rsidRPr="73F31BAE">
        <w:rPr>
          <w:rFonts w:ascii="Arial" w:eastAsia="Arial" w:hAnsi="Arial" w:cs="Arial"/>
          <w:color w:val="000000" w:themeColor="text1"/>
        </w:rPr>
        <w:t xml:space="preserve"> </w:t>
      </w:r>
    </w:p>
    <w:p w14:paraId="123C3C26" w14:textId="38CF61FD"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713A41F9" w14:textId="1ED73D6D" w:rsidR="0B3603E4" w:rsidRDefault="6E692AAC" w:rsidP="73F31BAE">
      <w:pPr>
        <w:spacing w:after="0" w:line="360" w:lineRule="auto"/>
        <w:ind w:left="-20" w:right="-20"/>
        <w:jc w:val="both"/>
      </w:pPr>
      <w:r w:rsidRPr="73F31BAE">
        <w:rPr>
          <w:rFonts w:ascii="Arial" w:eastAsia="Arial" w:hAnsi="Arial" w:cs="Arial"/>
          <w:b/>
          <w:bCs/>
          <w:color w:val="000000" w:themeColor="text1"/>
        </w:rPr>
        <w:t>2.2 The Relationship between Interest rates and stock prices</w:t>
      </w:r>
    </w:p>
    <w:p w14:paraId="43C0D87A" w14:textId="4054116D"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0A451F69" w14:textId="568BDAEA" w:rsidR="0B3603E4" w:rsidRDefault="6E692AAC" w:rsidP="73F31BAE">
      <w:pPr>
        <w:spacing w:after="0" w:line="360" w:lineRule="auto"/>
        <w:ind w:left="-20" w:right="-20"/>
        <w:jc w:val="both"/>
      </w:pPr>
      <w:r w:rsidRPr="73F31BAE">
        <w:rPr>
          <w:rFonts w:ascii="Arial" w:eastAsia="Arial" w:hAnsi="Arial" w:cs="Arial"/>
          <w:color w:val="000000" w:themeColor="text1"/>
        </w:rPr>
        <w:t>According to one study, the share market enables the economy to guarantee long-term commitments in real capital (</w:t>
      </w:r>
      <w:proofErr w:type="spellStart"/>
      <w:r w:rsidRPr="73F31BAE">
        <w:rPr>
          <w:rFonts w:ascii="Arial" w:eastAsia="Arial" w:hAnsi="Arial" w:cs="Arial"/>
          <w:color w:val="000000" w:themeColor="text1"/>
        </w:rPr>
        <w:t>Ologunde</w:t>
      </w:r>
      <w:proofErr w:type="spellEnd"/>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Elumilade</w:t>
      </w:r>
      <w:proofErr w:type="spellEnd"/>
      <w:r w:rsidRPr="73F31BAE">
        <w:rPr>
          <w:rFonts w:ascii="Arial" w:eastAsia="Arial" w:hAnsi="Arial" w:cs="Arial"/>
          <w:color w:val="000000" w:themeColor="text1"/>
        </w:rPr>
        <w:t xml:space="preserve">, and </w:t>
      </w:r>
      <w:proofErr w:type="spellStart"/>
      <w:r w:rsidRPr="73F31BAE">
        <w:rPr>
          <w:rFonts w:ascii="Arial" w:eastAsia="Arial" w:hAnsi="Arial" w:cs="Arial"/>
          <w:color w:val="000000" w:themeColor="text1"/>
        </w:rPr>
        <w:t>Asaolu</w:t>
      </w:r>
      <w:proofErr w:type="spellEnd"/>
      <w:r w:rsidRPr="73F31BAE">
        <w:rPr>
          <w:rFonts w:ascii="Arial" w:eastAsia="Arial" w:hAnsi="Arial" w:cs="Arial"/>
          <w:color w:val="000000" w:themeColor="text1"/>
        </w:rPr>
        <w:t xml:space="preserve">, 2006). This has implications for the whole economy. Because these individuals guarantee the long-term real capital in an economy, investors, policymakers, and other key actors place a great deal of importance on the measuring of the stock market's efficiency. Globally, a mature stock market efficiency level is regarded as a sign of both local and foreign investors' confidence and a gauge of a nation's economic prospects and health.  </w:t>
      </w:r>
    </w:p>
    <w:p w14:paraId="41C3C278" w14:textId="7D3A6893"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4C3E8AA7" w14:textId="32B8ED61" w:rsidR="0B3603E4" w:rsidRDefault="6E692AAC" w:rsidP="73F31BAE">
      <w:pPr>
        <w:spacing w:after="0" w:line="360" w:lineRule="auto"/>
        <w:ind w:left="-20" w:right="-20"/>
        <w:jc w:val="both"/>
      </w:pPr>
      <w:r w:rsidRPr="73F31BAE">
        <w:rPr>
          <w:rFonts w:ascii="Arial" w:eastAsia="Arial" w:hAnsi="Arial" w:cs="Arial"/>
          <w:color w:val="000000" w:themeColor="text1"/>
        </w:rPr>
        <w:t xml:space="preserve">One of the key macroeconomic factors that have a direct bearing on economic growth is interest rates. Interest rates are typically thought of as the cost of capital, which is the amount paid for the temporary use of money. The cost of borrowing money, as seen from the perspective of the </w:t>
      </w:r>
      <w:r w:rsidRPr="73F31BAE">
        <w:rPr>
          <w:rFonts w:ascii="Arial" w:eastAsia="Arial" w:hAnsi="Arial" w:cs="Arial"/>
          <w:color w:val="000000" w:themeColor="text1"/>
        </w:rPr>
        <w:lastRenderedPageBreak/>
        <w:t>borrower, is the interest rate (borrowing rate). The cost associated with lending money is known as the lending rate, or interest rate, from the perspective of the lender (Alam, and Uddin, 2009).</w:t>
      </w:r>
    </w:p>
    <w:p w14:paraId="2C9C2757" w14:textId="216504B1"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69448144" w14:textId="172B2837" w:rsidR="0B3603E4" w:rsidRDefault="6E692AAC" w:rsidP="73F31BAE">
      <w:pPr>
        <w:spacing w:after="0" w:line="360" w:lineRule="auto"/>
        <w:ind w:left="-20" w:right="-20"/>
        <w:jc w:val="both"/>
      </w:pPr>
      <w:r w:rsidRPr="73F31BAE">
        <w:rPr>
          <w:rFonts w:ascii="Arial" w:eastAsia="Arial" w:hAnsi="Arial" w:cs="Arial"/>
          <w:color w:val="000000" w:themeColor="text1"/>
        </w:rPr>
        <w:t xml:space="preserve">A paper titled "Economic Forces and the Stock Market," Chen, Roll, and Ross (1986) argued that interest rates are crucial in determining stock prices. They found that changes in interest rates have both a direct and an indirect effect on stock prices. The direct effect occurs due to the discounting of future cash flows, while the indirect effect arises from changes in investor risk aversion caused by interest rate fluctuations. </w:t>
      </w:r>
    </w:p>
    <w:p w14:paraId="2F351498" w14:textId="2EBCCF4C"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2216CDE2" w14:textId="3262219C" w:rsidR="0B3603E4" w:rsidRDefault="6E692AAC" w:rsidP="73F31BAE">
      <w:pPr>
        <w:spacing w:after="0" w:line="360" w:lineRule="auto"/>
        <w:ind w:left="-20" w:right="-20"/>
        <w:jc w:val="both"/>
      </w:pPr>
      <w:r w:rsidRPr="73F31BAE">
        <w:rPr>
          <w:rFonts w:ascii="Arial" w:eastAsia="Arial" w:hAnsi="Arial" w:cs="Arial"/>
          <w:color w:val="000000" w:themeColor="text1"/>
        </w:rPr>
        <w:t xml:space="preserve">However, the most influential paper titled "Stock Prices, Earnings, and Expected Dividends," analyzed by Campbell and Shiller (1988) reflects the impact of interest rates on stock prices. They found that changes in interest rates significantly affect stock prices, as they influence the present value of future cash flows. According to their findings, lower interest rates lead to higher stock prices. </w:t>
      </w:r>
    </w:p>
    <w:p w14:paraId="36DFDC0D" w14:textId="62B96B3E"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72FCB7A8" w14:textId="5C0FEDE3" w:rsidR="0B3603E4" w:rsidRDefault="6E692AAC" w:rsidP="73F31BAE">
      <w:pPr>
        <w:spacing w:after="0" w:line="360" w:lineRule="auto"/>
        <w:ind w:left="-20" w:right="-20"/>
        <w:jc w:val="both"/>
      </w:pPr>
      <w:r w:rsidRPr="73F31BAE">
        <w:rPr>
          <w:rFonts w:ascii="Arial" w:eastAsia="Arial" w:hAnsi="Arial" w:cs="Arial"/>
          <w:color w:val="000000" w:themeColor="text1"/>
        </w:rPr>
        <w:t xml:space="preserve">Fama and French (1989) also examined the relationship between interest rates and stock returns in their paper titled "Business Conditions and Expected Returns on Stocks and Bonds." They concluded that changes in interest rates have a direct impact on stock returns. Their findings suggested that stock returns tend to be negatively correlated with changes in interest rates. </w:t>
      </w:r>
    </w:p>
    <w:p w14:paraId="6E049715" w14:textId="0214BB9E"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0F5F7FB6" w14:textId="3D4CBC46" w:rsidR="0B3603E4" w:rsidRDefault="6E692AAC" w:rsidP="73F31BAE">
      <w:pPr>
        <w:spacing w:after="0" w:line="360" w:lineRule="auto"/>
        <w:ind w:left="-20" w:right="-20"/>
        <w:jc w:val="both"/>
      </w:pPr>
      <w:r w:rsidRPr="73F31BAE">
        <w:rPr>
          <w:rFonts w:ascii="Arial" w:eastAsia="Arial" w:hAnsi="Arial" w:cs="Arial"/>
          <w:color w:val="000000" w:themeColor="text1"/>
        </w:rPr>
        <w:t xml:space="preserve">Lastly, Bernanke and Kuttner (2005) investigated the relationship between interest rates and stock prices from 1994-2003. Their paper titled "What Explains the Stock Market's Reaction to Federal Reserve Policy?" revealed that changes in interest rates have a significant impact on stock prices. They found that unexpected changes in interest rates lead to substantial movements in stock prices. </w:t>
      </w:r>
    </w:p>
    <w:p w14:paraId="36A67F96" w14:textId="1D880BBC"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710AB2C1" w14:textId="398F9570" w:rsidR="0B3603E4" w:rsidRDefault="3340F4FE" w:rsidP="73F31BAE">
      <w:pPr>
        <w:spacing w:after="0" w:line="360" w:lineRule="auto"/>
        <w:ind w:left="-20" w:right="-20"/>
        <w:jc w:val="both"/>
      </w:pPr>
      <w:r w:rsidRPr="73F31BAE">
        <w:rPr>
          <w:rFonts w:ascii="Arial" w:eastAsia="Arial" w:hAnsi="Arial" w:cs="Arial"/>
          <w:color w:val="000000" w:themeColor="text1"/>
        </w:rPr>
        <w:t>T</w:t>
      </w:r>
      <w:r w:rsidR="6E692AAC" w:rsidRPr="73F31BAE">
        <w:rPr>
          <w:rFonts w:ascii="Arial" w:eastAsia="Arial" w:hAnsi="Arial" w:cs="Arial"/>
          <w:color w:val="000000" w:themeColor="text1"/>
        </w:rPr>
        <w:t xml:space="preserve">he relationship between interest rates and stock prices has been extensively studied in finance. The literature review has highlighted the significant impact of interest rates on stock prices, as evidenced by the findings of various influential papers. Chen, Roll, and Ross (1986) emphasized the direct and indirect effects of interest rates on stock prices, while Campbell and Shiller (1988) demonstrated the influence of interest rates on the present value of future cash flows. Fama and French (1989) further supported these findings by concluding that changes in interest rates have a direct impact on stock returns, with stock returns being negatively correlated with changes in interest rates. Additionally, Bernanke and Kuttner (2005) provided evidence of the significant </w:t>
      </w:r>
      <w:r w:rsidR="6E692AAC" w:rsidRPr="73F31BAE">
        <w:rPr>
          <w:rFonts w:ascii="Arial" w:eastAsia="Arial" w:hAnsi="Arial" w:cs="Arial"/>
          <w:color w:val="000000" w:themeColor="text1"/>
        </w:rPr>
        <w:lastRenderedPageBreak/>
        <w:t xml:space="preserve">impact of unexpected changes in interest rates on stock prices. These studies collectively underscore the importance of understanding the dynamics of the relationship between interest rates and stock prices for investors, policymakers, and financial analysts. </w:t>
      </w:r>
    </w:p>
    <w:p w14:paraId="0FA8509D" w14:textId="6D76883D"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033C8775" w14:textId="008BB10A" w:rsidR="0B3603E4" w:rsidRDefault="6E692AAC" w:rsidP="73F31BAE">
      <w:pPr>
        <w:spacing w:after="0" w:line="360" w:lineRule="auto"/>
        <w:ind w:left="-20" w:right="-20"/>
        <w:jc w:val="both"/>
        <w:rPr>
          <w:rFonts w:ascii="Arial" w:eastAsia="Arial" w:hAnsi="Arial" w:cs="Arial"/>
          <w:b/>
          <w:bCs/>
          <w:color w:val="000000" w:themeColor="text1"/>
        </w:rPr>
      </w:pPr>
      <w:r w:rsidRPr="73F31BAE">
        <w:rPr>
          <w:rFonts w:ascii="Arial" w:eastAsia="Arial" w:hAnsi="Arial" w:cs="Arial"/>
          <w:b/>
          <w:bCs/>
          <w:color w:val="000000" w:themeColor="text1"/>
        </w:rPr>
        <w:t xml:space="preserve">2.3 </w:t>
      </w:r>
      <w:r w:rsidR="1F650A93" w:rsidRPr="73F31BAE">
        <w:rPr>
          <w:rFonts w:ascii="Arial" w:eastAsia="Arial" w:hAnsi="Arial" w:cs="Arial"/>
          <w:b/>
          <w:bCs/>
          <w:color w:val="000000" w:themeColor="text1"/>
        </w:rPr>
        <w:t>The Trading Volume of the United Kingdom and its change over time</w:t>
      </w:r>
    </w:p>
    <w:p w14:paraId="2B377052" w14:textId="725BDCD1"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54A7DF8E" w14:textId="0D6EFA42" w:rsidR="0B3603E4" w:rsidRDefault="6E692AAC" w:rsidP="73F31BAE">
      <w:pPr>
        <w:spacing w:after="0" w:line="360" w:lineRule="auto"/>
        <w:ind w:left="-20" w:right="-20"/>
        <w:jc w:val="both"/>
      </w:pPr>
      <w:r w:rsidRPr="73F31BAE">
        <w:rPr>
          <w:rFonts w:ascii="Arial" w:eastAsia="Arial" w:hAnsi="Arial" w:cs="Arial"/>
          <w:color w:val="000000" w:themeColor="text1"/>
        </w:rPr>
        <w:t xml:space="preserve">For each traded stock, the trading volume over time can be monitored. It is plausible to assume that analysts pay greater attention to equities with higher volume than to those with lower trading activity. In time series development, this might lead to a more accurate reflection of the affecting variables. Trading volume is a highly significant and closely monitored metric. This indicates how carefully writers consider connected subjects. The primary focus is on how trading volume and stock return are directly correlated (Chan, 2012).  </w:t>
      </w:r>
    </w:p>
    <w:p w14:paraId="47DA490E" w14:textId="3A590CDA"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28143153" w14:textId="4881E602" w:rsidR="0B3603E4" w:rsidRDefault="6E692AAC" w:rsidP="73F31BAE">
      <w:pPr>
        <w:spacing w:after="0" w:line="360" w:lineRule="auto"/>
        <w:ind w:left="-20" w:right="-20"/>
        <w:jc w:val="both"/>
      </w:pPr>
      <w:r w:rsidRPr="73F31BAE">
        <w:rPr>
          <w:rFonts w:ascii="Arial" w:eastAsia="Arial" w:hAnsi="Arial" w:cs="Arial"/>
          <w:color w:val="000000" w:themeColor="text1"/>
        </w:rPr>
        <w:t xml:space="preserve">The significance of trading volume in the stock market has long been recognized. According to one study, there is information in the link between trading volume and stock return that can be used to choose the best theoretical model (Karpoff, 1987). As demonstrated, the link in question aids in identifying problems during model testing (Campbell et al., 1993). However, some research (Karpoff, 1987) failed to find a correlation between trading volume and stock price that was positive. </w:t>
      </w:r>
    </w:p>
    <w:p w14:paraId="3635C903" w14:textId="7187D4F7"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4952CCC5" w14:textId="172F66D7" w:rsidR="0B3603E4" w:rsidRDefault="6E692AAC" w:rsidP="73F31BAE">
      <w:pPr>
        <w:spacing w:after="0" w:line="360" w:lineRule="auto"/>
        <w:ind w:left="-20" w:right="-20"/>
        <w:jc w:val="both"/>
      </w:pPr>
      <w:r w:rsidRPr="73F31BAE">
        <w:rPr>
          <w:rFonts w:ascii="Arial" w:eastAsia="Arial" w:hAnsi="Arial" w:cs="Arial"/>
          <w:color w:val="000000" w:themeColor="text1"/>
        </w:rPr>
        <w:t xml:space="preserve">One of the key factors that influence trading volumes is market volatility. According to the efficient market hypothesis (EMH), share prices reflect all available information (Naseer, and Bin Tariq, 2015). When there is high volatility in the market, investors may trade more actively to capitalize on short-term price movements. </w:t>
      </w:r>
      <w:r w:rsidR="031E3E4C" w:rsidRPr="73F31BAE">
        <w:rPr>
          <w:rFonts w:ascii="Arial" w:eastAsia="Arial" w:hAnsi="Arial" w:cs="Arial"/>
          <w:color w:val="000000" w:themeColor="text1"/>
        </w:rPr>
        <w:t xml:space="preserve">A </w:t>
      </w:r>
      <w:r w:rsidRPr="73F31BAE">
        <w:rPr>
          <w:rFonts w:ascii="Arial" w:eastAsia="Arial" w:hAnsi="Arial" w:cs="Arial"/>
          <w:color w:val="000000" w:themeColor="text1"/>
        </w:rPr>
        <w:t>stud</w:t>
      </w:r>
      <w:r w:rsidR="47A587BF" w:rsidRPr="73F31BAE">
        <w:rPr>
          <w:rFonts w:ascii="Arial" w:eastAsia="Arial" w:hAnsi="Arial" w:cs="Arial"/>
          <w:color w:val="000000" w:themeColor="text1"/>
        </w:rPr>
        <w:t>y</w:t>
      </w:r>
      <w:r w:rsidRPr="73F31BAE">
        <w:rPr>
          <w:rFonts w:ascii="Arial" w:eastAsia="Arial" w:hAnsi="Arial" w:cs="Arial"/>
          <w:color w:val="000000" w:themeColor="text1"/>
        </w:rPr>
        <w:t xml:space="preserve"> ha</w:t>
      </w:r>
      <w:r w:rsidR="13D53FF2" w:rsidRPr="73F31BAE">
        <w:rPr>
          <w:rFonts w:ascii="Arial" w:eastAsia="Arial" w:hAnsi="Arial" w:cs="Arial"/>
          <w:color w:val="000000" w:themeColor="text1"/>
        </w:rPr>
        <w:t>s</w:t>
      </w:r>
      <w:r w:rsidRPr="73F31BAE">
        <w:rPr>
          <w:rFonts w:ascii="Arial" w:eastAsia="Arial" w:hAnsi="Arial" w:cs="Arial"/>
          <w:color w:val="000000" w:themeColor="text1"/>
        </w:rPr>
        <w:t xml:space="preserve"> found a positive relationship between volatility and trading volumes (Naseer, and Bin Tariq, 2015). </w:t>
      </w:r>
    </w:p>
    <w:p w14:paraId="01136762" w14:textId="429C75C7"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2E871801" w14:textId="3DD0A75E" w:rsidR="0B3603E4" w:rsidRDefault="6E692AAC" w:rsidP="73F31BAE">
      <w:pPr>
        <w:spacing w:after="0" w:line="360" w:lineRule="auto"/>
        <w:ind w:left="-20" w:right="-20"/>
        <w:jc w:val="both"/>
      </w:pPr>
      <w:r w:rsidRPr="73F31BAE">
        <w:rPr>
          <w:rFonts w:ascii="Arial" w:eastAsia="Arial" w:hAnsi="Arial" w:cs="Arial"/>
          <w:color w:val="000000" w:themeColor="text1"/>
        </w:rPr>
        <w:t>Another factor that affects trading volumes is market liquidity. Liquidity refers to the ease with which an asset can be bought or sold without causing a notable change in its price. High liquidity is associated with higher trading volumes as it provides market participants with the confidence that they can easily enter or exit a position. Conversely, low liquidity can deter trading activity (</w:t>
      </w:r>
      <w:proofErr w:type="spellStart"/>
      <w:r w:rsidRPr="73F31BAE">
        <w:rPr>
          <w:rFonts w:ascii="Arial" w:eastAsia="Arial" w:hAnsi="Arial" w:cs="Arial"/>
          <w:color w:val="000000" w:themeColor="text1"/>
        </w:rPr>
        <w:t>Vayanos</w:t>
      </w:r>
      <w:proofErr w:type="spellEnd"/>
      <w:r w:rsidRPr="73F31BAE">
        <w:rPr>
          <w:rFonts w:ascii="Arial" w:eastAsia="Arial" w:hAnsi="Arial" w:cs="Arial"/>
          <w:color w:val="000000" w:themeColor="text1"/>
        </w:rPr>
        <w:t xml:space="preserve">, and Wang, 2013). </w:t>
      </w:r>
    </w:p>
    <w:p w14:paraId="4FB7C55D" w14:textId="5BFB5043"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722917BE" w14:textId="6EB828A0" w:rsidR="0B3603E4" w:rsidRDefault="6E692AAC" w:rsidP="73F31BAE">
      <w:pPr>
        <w:spacing w:after="0" w:line="360" w:lineRule="auto"/>
        <w:ind w:left="-20" w:right="-20"/>
        <w:jc w:val="both"/>
      </w:pPr>
      <w:r w:rsidRPr="73F31BAE">
        <w:rPr>
          <w:rFonts w:ascii="Arial" w:eastAsia="Arial" w:hAnsi="Arial" w:cs="Arial"/>
          <w:color w:val="000000" w:themeColor="text1"/>
        </w:rPr>
        <w:t xml:space="preserve">The level of investor sentiment also influences trading volumes. Investor sentiment refers to the overall attitude and outlook of market participants towards the market. When sentiment is positive, </w:t>
      </w:r>
      <w:r w:rsidRPr="73F31BAE">
        <w:rPr>
          <w:rFonts w:ascii="Arial" w:eastAsia="Arial" w:hAnsi="Arial" w:cs="Arial"/>
          <w:color w:val="000000" w:themeColor="text1"/>
        </w:rPr>
        <w:lastRenderedPageBreak/>
        <w:t xml:space="preserve">investors may be more willing to engage in trading activities, leading to higher trading volumes. Conversely, during periods of negative sentiment, trading volumes may decline as investors become more cautious. A study found a positive relationship between investor sentiment and trading volumes (Baker and Wurgler, 2006). </w:t>
      </w:r>
    </w:p>
    <w:p w14:paraId="64C9E303" w14:textId="51792E3E"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2C03AC2F" w14:textId="3D7539AD" w:rsidR="0B3603E4" w:rsidRDefault="6E692AAC" w:rsidP="73F31BAE">
      <w:pPr>
        <w:spacing w:after="0" w:line="360" w:lineRule="auto"/>
        <w:ind w:left="-20" w:right="-20"/>
        <w:jc w:val="both"/>
      </w:pPr>
      <w:r w:rsidRPr="73F31BAE">
        <w:rPr>
          <w:rFonts w:ascii="Arial" w:eastAsia="Arial" w:hAnsi="Arial" w:cs="Arial"/>
          <w:color w:val="000000" w:themeColor="text1"/>
        </w:rPr>
        <w:t xml:space="preserve">In addition to these factors, macroeconomic variables such as interest rates, economic growth, and inflation can also influence trading volumes. For instance, a study found that changes in interest rates have a significant impact on trading volumes (Hasbrouck and Seppi, 2001). When interest rates are low, borrowing costs are reduced, leading to increased trading activity. On the other hand, high interest rates can discourage borrowing and trading, resulting in lower trading </w:t>
      </w:r>
      <w:proofErr w:type="spellStart"/>
      <w:proofErr w:type="gramStart"/>
      <w:r w:rsidRPr="73F31BAE">
        <w:rPr>
          <w:rFonts w:ascii="Arial" w:eastAsia="Arial" w:hAnsi="Arial" w:cs="Arial"/>
          <w:color w:val="000000" w:themeColor="text1"/>
        </w:rPr>
        <w:t>volumes.It</w:t>
      </w:r>
      <w:proofErr w:type="spellEnd"/>
      <w:proofErr w:type="gramEnd"/>
      <w:r w:rsidRPr="73F31BAE">
        <w:rPr>
          <w:rFonts w:ascii="Arial" w:eastAsia="Arial" w:hAnsi="Arial" w:cs="Arial"/>
          <w:color w:val="000000" w:themeColor="text1"/>
        </w:rPr>
        <w:t xml:space="preserve"> is worth noting that the impact of these factors on trading volumes can vary across different markets and time periods. Market structure, investor behavior, and other idiosyncratic factors specific to each market may also play a role in determining trading volumes. </w:t>
      </w:r>
    </w:p>
    <w:p w14:paraId="4ACB8885" w14:textId="06CF6946"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7676D1FD" w14:textId="7DFCFE2E" w:rsidR="0B3603E4" w:rsidRDefault="2BEDB8A0"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T</w:t>
      </w:r>
      <w:r w:rsidR="6E692AAC" w:rsidRPr="73F31BAE">
        <w:rPr>
          <w:rFonts w:ascii="Arial" w:eastAsia="Arial" w:hAnsi="Arial" w:cs="Arial"/>
          <w:color w:val="000000" w:themeColor="text1"/>
        </w:rPr>
        <w:t>rading volumes are influenced by several factors including market volatility, liquidity, investor sentiment, market regulations, and macroeconomic variables. Understanding the impact of these factors is crucial for market participants and regulators in assessing market dynamics and making informed decisions</w:t>
      </w:r>
      <w:r w:rsidR="39C1BDB6" w:rsidRPr="73F31BAE">
        <w:rPr>
          <w:rFonts w:ascii="Arial" w:eastAsia="Arial" w:hAnsi="Arial" w:cs="Arial"/>
          <w:color w:val="000000" w:themeColor="text1"/>
        </w:rPr>
        <w:t>.</w:t>
      </w:r>
    </w:p>
    <w:p w14:paraId="01471004" w14:textId="0C99E2CD"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1A87F047" w14:textId="4792B810" w:rsidR="0B3603E4" w:rsidRDefault="6E692AAC" w:rsidP="73F31BAE">
      <w:pPr>
        <w:spacing w:after="0" w:line="360" w:lineRule="auto"/>
        <w:ind w:left="-20" w:right="-20"/>
        <w:jc w:val="both"/>
      </w:pPr>
      <w:r w:rsidRPr="73F31BAE">
        <w:rPr>
          <w:rFonts w:ascii="Arial" w:eastAsia="Arial" w:hAnsi="Arial" w:cs="Arial"/>
          <w:b/>
          <w:bCs/>
          <w:color w:val="000000" w:themeColor="text1"/>
        </w:rPr>
        <w:t>2.4 The Impact of Global Economic Factors on the UK Stock Market and Interest Rates</w:t>
      </w:r>
    </w:p>
    <w:p w14:paraId="2D4A60E6" w14:textId="7FAF8146"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218F7C8A" w14:textId="789BAC89" w:rsidR="0B3603E4" w:rsidRDefault="6E692AAC" w:rsidP="73F31BAE">
      <w:pPr>
        <w:spacing w:after="0" w:line="360" w:lineRule="auto"/>
        <w:ind w:left="-20" w:right="-20"/>
        <w:jc w:val="both"/>
      </w:pPr>
      <w:r w:rsidRPr="73F31BAE">
        <w:rPr>
          <w:rFonts w:ascii="Arial" w:eastAsia="Arial" w:hAnsi="Arial" w:cs="Arial"/>
          <w:color w:val="000000" w:themeColor="text1"/>
        </w:rPr>
        <w:t>The global economy is an interconnected web of economic factors that influence financial markets across the world. The UK stock market is influenced by various global economic factors and interest rates. Studies have shown that the predictability of UK stock returns can be modeled using recursive approaches (</w:t>
      </w:r>
      <w:proofErr w:type="spellStart"/>
      <w:r w:rsidRPr="73F31BAE">
        <w:rPr>
          <w:rFonts w:ascii="Arial" w:eastAsia="Arial" w:hAnsi="Arial" w:cs="Arial"/>
          <w:color w:val="000000" w:themeColor="text1"/>
        </w:rPr>
        <w:t>Pesaran</w:t>
      </w:r>
      <w:proofErr w:type="spellEnd"/>
      <w:r w:rsidRPr="73F31BAE">
        <w:rPr>
          <w:rFonts w:ascii="Arial" w:eastAsia="Arial" w:hAnsi="Arial" w:cs="Arial"/>
          <w:color w:val="000000" w:themeColor="text1"/>
        </w:rPr>
        <w:t xml:space="preserve">, and Timmermann, 2000). </w:t>
      </w:r>
    </w:p>
    <w:p w14:paraId="4EBAF5E6" w14:textId="75336E4C"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29C59664" w14:textId="4415CC14" w:rsidR="0B3603E4" w:rsidRDefault="6E692AAC" w:rsidP="73F31BAE">
      <w:pPr>
        <w:spacing w:after="0" w:line="360" w:lineRule="auto"/>
        <w:ind w:left="-20" w:right="-20"/>
        <w:jc w:val="both"/>
      </w:pPr>
      <w:r w:rsidRPr="73F31BAE">
        <w:rPr>
          <w:rFonts w:ascii="Arial" w:eastAsia="Arial" w:hAnsi="Arial" w:cs="Arial"/>
          <w:color w:val="000000" w:themeColor="text1"/>
        </w:rPr>
        <w:t xml:space="preserve">Furthermore, research has been conducted on the risk transmission between Islamic and conventional stock markets, as well as the effects of quantitative easing on the stock markets of the United States, the United Kingdom, and Japan. These findings demonstrate the interdependence of global economic variables and stock market performance (Shahzad, Ferrer, Ballester, and Umar, 2017). It has also been discovered that there is a nonlinear relationship between money market rates and stock market liquidity, which has important ramifications for interest rate effects and market stability (Sun, and Yuan, 2021). </w:t>
      </w:r>
    </w:p>
    <w:p w14:paraId="4FC4578C" w14:textId="59ABA814"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130FEA2A" w14:textId="4FB33DB6" w:rsidR="0B3603E4" w:rsidRDefault="6E692AAC" w:rsidP="73F31BAE">
      <w:pPr>
        <w:spacing w:after="0" w:line="360" w:lineRule="auto"/>
        <w:ind w:left="-20" w:right="-20"/>
        <w:jc w:val="both"/>
      </w:pPr>
      <w:r w:rsidRPr="73F31BAE">
        <w:rPr>
          <w:rFonts w:ascii="Arial" w:eastAsia="Arial" w:hAnsi="Arial" w:cs="Arial"/>
          <w:color w:val="000000" w:themeColor="text1"/>
        </w:rPr>
        <w:lastRenderedPageBreak/>
        <w:t xml:space="preserve"> </w:t>
      </w:r>
    </w:p>
    <w:p w14:paraId="5BB5D970" w14:textId="06F2E532" w:rsidR="0B3603E4" w:rsidRDefault="6E692AAC" w:rsidP="73F31BAE">
      <w:pPr>
        <w:spacing w:after="0" w:line="360" w:lineRule="auto"/>
        <w:ind w:left="-20" w:right="-20"/>
        <w:jc w:val="both"/>
      </w:pPr>
      <w:r w:rsidRPr="73F31BAE">
        <w:rPr>
          <w:rFonts w:ascii="Arial" w:eastAsia="Arial" w:hAnsi="Arial" w:cs="Arial"/>
          <w:color w:val="000000" w:themeColor="text1"/>
        </w:rPr>
        <w:t xml:space="preserve">Additionally, a study focusing on the significance of economic policy uncertainty (PU) factors in influencing stock market performance, and how PU affects the UK stock market. Furthermore, research has been conducted on the impact of both domestic and international economic uncertainty on the cross-sectional pricing of UK stocks (Gao, Zhu, O’Sullivan, and Sherman, 2019). The findings demonstrate the influence of economic uncertainty on the returns of the UK stock market. </w:t>
      </w:r>
    </w:p>
    <w:p w14:paraId="17EBE768" w14:textId="09F4781F"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6BDD6097" w14:textId="51C4F4B3" w:rsidR="0B3603E4" w:rsidRDefault="6E692AAC" w:rsidP="73F31BAE">
      <w:pPr>
        <w:spacing w:after="0" w:line="360" w:lineRule="auto"/>
        <w:ind w:left="-20" w:right="-20"/>
        <w:jc w:val="both"/>
      </w:pPr>
      <w:r w:rsidRPr="73F31BAE">
        <w:rPr>
          <w:rFonts w:ascii="Arial" w:eastAsia="Arial" w:hAnsi="Arial" w:cs="Arial"/>
          <w:color w:val="000000" w:themeColor="text1"/>
        </w:rPr>
        <w:t xml:space="preserve">And just for a note, the 2008 global budgetary crisis also had a profound impact on financial markets worldwide. A study found that financial crises in one country can spill over to other countries through financial linkages (Forbes and </w:t>
      </w:r>
      <w:proofErr w:type="spellStart"/>
      <w:r w:rsidRPr="73F31BAE">
        <w:rPr>
          <w:rFonts w:ascii="Arial" w:eastAsia="Arial" w:hAnsi="Arial" w:cs="Arial"/>
          <w:color w:val="000000" w:themeColor="text1"/>
        </w:rPr>
        <w:t>Rigobon</w:t>
      </w:r>
      <w:proofErr w:type="spellEnd"/>
      <w:r w:rsidRPr="73F31BAE">
        <w:rPr>
          <w:rFonts w:ascii="Arial" w:eastAsia="Arial" w:hAnsi="Arial" w:cs="Arial"/>
          <w:color w:val="000000" w:themeColor="text1"/>
        </w:rPr>
        <w:t xml:space="preserve">, 2002). This indicates that global economic factors, such as financial crises, can have ripple effects on the UK stock market and interest rates. All these results show how closely global economic conditions, interest rates, and the UK stock market are related. In the stock market's dynamic environment, policymakers, investors, and market participants must understand these interconnections to make informed decisions and reduce risks. </w:t>
      </w:r>
    </w:p>
    <w:p w14:paraId="74B07093" w14:textId="0CF46506"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0DD5BC1F" w14:textId="1C22D525" w:rsidR="0B3603E4" w:rsidRDefault="6E692AAC" w:rsidP="73F31BAE">
      <w:pPr>
        <w:spacing w:after="0" w:line="360" w:lineRule="auto"/>
        <w:ind w:left="-20" w:right="-20"/>
        <w:jc w:val="both"/>
        <w:rPr>
          <w:rFonts w:ascii="Arial" w:eastAsia="Arial" w:hAnsi="Arial" w:cs="Arial"/>
          <w:b/>
          <w:bCs/>
          <w:color w:val="000000" w:themeColor="text1"/>
        </w:rPr>
      </w:pPr>
      <w:r w:rsidRPr="73F31BAE">
        <w:rPr>
          <w:rFonts w:ascii="Arial" w:eastAsia="Arial" w:hAnsi="Arial" w:cs="Arial"/>
          <w:b/>
          <w:bCs/>
          <w:color w:val="000000" w:themeColor="text1"/>
        </w:rPr>
        <w:t>2.5 United Kingdom’s Economy</w:t>
      </w:r>
      <w:r w:rsidRPr="73F31BAE">
        <w:rPr>
          <w:rFonts w:ascii="Arial" w:eastAsia="Arial" w:hAnsi="Arial" w:cs="Arial"/>
          <w:color w:val="000000" w:themeColor="text1"/>
        </w:rPr>
        <w:t xml:space="preserve"> </w:t>
      </w:r>
      <w:r w:rsidRPr="73F31BAE">
        <w:rPr>
          <w:rFonts w:ascii="Arial" w:eastAsia="Arial" w:hAnsi="Arial" w:cs="Arial"/>
          <w:b/>
          <w:bCs/>
          <w:color w:val="000000" w:themeColor="text1"/>
        </w:rPr>
        <w:t xml:space="preserve">and </w:t>
      </w:r>
      <w:r w:rsidR="21179759" w:rsidRPr="73F31BAE">
        <w:rPr>
          <w:rFonts w:ascii="Arial" w:eastAsia="Arial" w:hAnsi="Arial" w:cs="Arial"/>
          <w:b/>
          <w:bCs/>
          <w:color w:val="000000" w:themeColor="text1"/>
        </w:rPr>
        <w:t xml:space="preserve">its </w:t>
      </w:r>
      <w:r w:rsidRPr="73F31BAE">
        <w:rPr>
          <w:rFonts w:ascii="Arial" w:eastAsia="Arial" w:hAnsi="Arial" w:cs="Arial"/>
          <w:b/>
          <w:bCs/>
          <w:color w:val="000000" w:themeColor="text1"/>
        </w:rPr>
        <w:t>GDP Growth</w:t>
      </w:r>
    </w:p>
    <w:p w14:paraId="305EB193" w14:textId="1914B88F"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6D603745" w14:textId="06771C71" w:rsidR="0B3603E4" w:rsidRDefault="6E692AAC" w:rsidP="73F31BAE">
      <w:pPr>
        <w:spacing w:after="0" w:line="360" w:lineRule="auto"/>
        <w:ind w:left="-20" w:right="-20"/>
        <w:jc w:val="both"/>
      </w:pPr>
      <w:r w:rsidRPr="73F31BAE">
        <w:rPr>
          <w:rFonts w:ascii="Arial" w:eastAsia="Arial" w:hAnsi="Arial" w:cs="Arial"/>
          <w:color w:val="000000" w:themeColor="text1"/>
        </w:rPr>
        <w:t xml:space="preserve">Recent events like the COVID-19 epidemic, the effects of Brexit, and shocks to energy prices have all presented serious difficulties to the UK economy. The UK is anticipated to escape a recession in 2023, but its economic future is predicted to be difficult, with growth of just 0.4 percent in 2023 and 1 percent in 2024. To support the UK's productive potential and guarantee long-term prosperity, the IMF highlights the necessity of significant reforms (IMF European Department, 2023). </w:t>
      </w:r>
    </w:p>
    <w:p w14:paraId="3A875CF1" w14:textId="46F2BEE1"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79CC100D" w14:textId="34603216"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With a projected GDP of </w:t>
      </w:r>
      <w:r w:rsidR="6FACA656" w:rsidRPr="73F31BAE">
        <w:rPr>
          <w:rFonts w:ascii="Arial" w:eastAsia="Arial" w:hAnsi="Arial" w:cs="Arial"/>
          <w:color w:val="000000" w:themeColor="text1"/>
        </w:rPr>
        <w:t>$</w:t>
      </w:r>
      <w:r w:rsidR="4AE0F818" w:rsidRPr="73F31BAE">
        <w:rPr>
          <w:rFonts w:ascii="Arial" w:eastAsia="Arial" w:hAnsi="Arial" w:cs="Arial"/>
          <w:color w:val="000000" w:themeColor="text1"/>
        </w:rPr>
        <w:t xml:space="preserve"> </w:t>
      </w:r>
      <w:r w:rsidR="6FACA656" w:rsidRPr="73F31BAE">
        <w:rPr>
          <w:rFonts w:ascii="Arial" w:eastAsia="Arial" w:hAnsi="Arial" w:cs="Arial"/>
          <w:color w:val="000000" w:themeColor="text1"/>
        </w:rPr>
        <w:t>3.1 trill</w:t>
      </w:r>
      <w:r w:rsidR="44DC0782" w:rsidRPr="73F31BAE">
        <w:rPr>
          <w:rFonts w:ascii="Arial" w:eastAsia="Arial" w:hAnsi="Arial" w:cs="Arial"/>
          <w:color w:val="000000" w:themeColor="text1"/>
        </w:rPr>
        <w:t xml:space="preserve">ion </w:t>
      </w:r>
      <w:r w:rsidR="6FACA656" w:rsidRPr="73F31BAE">
        <w:rPr>
          <w:rFonts w:ascii="Arial" w:eastAsia="Arial" w:hAnsi="Arial" w:cs="Arial"/>
          <w:color w:val="000000" w:themeColor="text1"/>
        </w:rPr>
        <w:t>(about $9,500 per person in the US)</w:t>
      </w:r>
      <w:r w:rsidRPr="73F31BAE">
        <w:rPr>
          <w:rFonts w:ascii="Arial" w:eastAsia="Arial" w:hAnsi="Arial" w:cs="Arial"/>
          <w:color w:val="000000" w:themeColor="text1"/>
        </w:rPr>
        <w:t xml:space="preserve"> in 2022, the United Kingdom continues to be a significant player in global trade despite these obstacles. In terms of GDP growth in 2022, the UK, which has the second-biggest economy in Europe, leads the G7. With a substantial investment relationship with the United States, the nation remains a vital market for American exports of goods and services (International Trade Administration, 2023). </w:t>
      </w:r>
    </w:p>
    <w:p w14:paraId="3B7B0807" w14:textId="179A4BEA"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49ECF1CB" w14:textId="330B331A" w:rsidR="0B3603E4" w:rsidRDefault="6E692AAC" w:rsidP="73F31BAE">
      <w:pPr>
        <w:spacing w:after="0" w:line="360" w:lineRule="auto"/>
        <w:ind w:left="-20" w:right="-20"/>
        <w:jc w:val="both"/>
      </w:pPr>
      <w:r w:rsidRPr="73F31BAE">
        <w:rPr>
          <w:rFonts w:ascii="Arial" w:eastAsia="Arial" w:hAnsi="Arial" w:cs="Arial"/>
          <w:color w:val="000000" w:themeColor="text1"/>
        </w:rPr>
        <w:t xml:space="preserve">Three main categories were examined in a study that was published in PLOS One: growth, trade, and the effects on individuals. The study assessed the effects of COVID-19 and Brexit on the UK </w:t>
      </w:r>
      <w:r w:rsidRPr="73F31BAE">
        <w:rPr>
          <w:rFonts w:ascii="Arial" w:eastAsia="Arial" w:hAnsi="Arial" w:cs="Arial"/>
          <w:color w:val="000000" w:themeColor="text1"/>
        </w:rPr>
        <w:lastRenderedPageBreak/>
        <w:t xml:space="preserve">economy. The impact of these events was evaluated by the study using various data analysis tools and techniques. It concluded that Brexit had a negative overall impact on the UK's economy, resulting in decreased trade, investment, and economic growth (Gupta, Hasan, Islam, Yasmin, and Uddin, 2023). </w:t>
      </w:r>
    </w:p>
    <w:p w14:paraId="6DFE1458" w14:textId="6C5F480D"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783158A8" w14:textId="6FCBBD7E" w:rsidR="0B3603E4" w:rsidRDefault="6E692AAC" w:rsidP="73F31BAE">
      <w:pPr>
        <w:spacing w:after="0" w:line="360" w:lineRule="auto"/>
        <w:ind w:left="-20" w:right="-20"/>
        <w:jc w:val="both"/>
      </w:pPr>
      <w:r w:rsidRPr="73F31BAE">
        <w:rPr>
          <w:rFonts w:ascii="Arial" w:eastAsia="Arial" w:hAnsi="Arial" w:cs="Arial"/>
          <w:color w:val="000000" w:themeColor="text1"/>
        </w:rPr>
        <w:t xml:space="preserve">In addition, a study on the GDP of the United Kingdom released by Atlantis Press examined the connection between GDP, investment, and consumption. The study underlined the positive correlation between GDP and investment or consumption, stressing the need of supporting investment for immediate economic recovery and fostering consumption for sustained GDP growth (Pei, Zheng, Huang, Li, and Zhu, 2022). </w:t>
      </w:r>
    </w:p>
    <w:p w14:paraId="23103682" w14:textId="4AD3790D"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015DABA5" w14:textId="4F7A4AC8" w:rsidR="0B3603E4" w:rsidRDefault="5EA4F1BF" w:rsidP="73F31BAE">
      <w:pPr>
        <w:spacing w:after="0" w:line="360" w:lineRule="auto"/>
        <w:ind w:left="-20" w:right="-20"/>
        <w:jc w:val="both"/>
      </w:pPr>
      <w:r w:rsidRPr="73F31BAE">
        <w:rPr>
          <w:rFonts w:ascii="Arial" w:eastAsia="Arial" w:hAnsi="Arial" w:cs="Arial"/>
          <w:color w:val="000000" w:themeColor="text1"/>
        </w:rPr>
        <w:t>S</w:t>
      </w:r>
      <w:r w:rsidR="6E692AAC" w:rsidRPr="73F31BAE">
        <w:rPr>
          <w:rFonts w:ascii="Arial" w:eastAsia="Arial" w:hAnsi="Arial" w:cs="Arial"/>
          <w:color w:val="000000" w:themeColor="text1"/>
        </w:rPr>
        <w:t xml:space="preserve">everal issues, such as Brexit, the COVID-19 epidemic, and shocks to energy prices, have an impact on the economy of the United Kingdom. </w:t>
      </w:r>
      <w:r w:rsidR="1A99AAA9" w:rsidRPr="73F31BAE">
        <w:rPr>
          <w:rFonts w:ascii="Arial" w:eastAsia="Arial" w:hAnsi="Arial" w:cs="Arial"/>
          <w:color w:val="000000" w:themeColor="text1"/>
        </w:rPr>
        <w:t>To</w:t>
      </w:r>
      <w:r w:rsidR="6E692AAC" w:rsidRPr="73F31BAE">
        <w:rPr>
          <w:rFonts w:ascii="Arial" w:eastAsia="Arial" w:hAnsi="Arial" w:cs="Arial"/>
          <w:color w:val="000000" w:themeColor="text1"/>
        </w:rPr>
        <w:t xml:space="preserve"> </w:t>
      </w:r>
      <w:r w:rsidR="3F06C61C" w:rsidRPr="73F31BAE">
        <w:rPr>
          <w:rFonts w:ascii="Arial" w:eastAsia="Arial" w:hAnsi="Arial" w:cs="Arial"/>
          <w:color w:val="000000" w:themeColor="text1"/>
        </w:rPr>
        <w:t>maximize</w:t>
      </w:r>
      <w:r w:rsidR="6E692AAC" w:rsidRPr="73F31BAE">
        <w:rPr>
          <w:rFonts w:ascii="Arial" w:eastAsia="Arial" w:hAnsi="Arial" w:cs="Arial"/>
          <w:color w:val="000000" w:themeColor="text1"/>
        </w:rPr>
        <w:t xml:space="preserve"> the nation's productive capacity and guarantee long-term prosperity, ambitious changes are seen to be required, and the connection between GDP, consumption, and investment is crucial for economic recovery and growth. </w:t>
      </w:r>
    </w:p>
    <w:p w14:paraId="269526B4" w14:textId="6FD79A2E" w:rsidR="0B3603E4" w:rsidRDefault="6E692AAC" w:rsidP="73F31BAE">
      <w:pPr>
        <w:spacing w:after="200" w:line="360" w:lineRule="auto"/>
        <w:ind w:left="-20" w:right="-20"/>
        <w:jc w:val="both"/>
      </w:pPr>
      <w:r w:rsidRPr="73F31BAE">
        <w:rPr>
          <w:rFonts w:ascii="Arial" w:eastAsia="Arial" w:hAnsi="Arial" w:cs="Arial"/>
          <w:color w:val="000000" w:themeColor="text1"/>
        </w:rPr>
        <w:t xml:space="preserve"> </w:t>
      </w:r>
    </w:p>
    <w:p w14:paraId="242467C8" w14:textId="553F0CE3" w:rsidR="0B3603E4" w:rsidRDefault="6E692AAC" w:rsidP="73F31BAE">
      <w:pPr>
        <w:spacing w:after="0" w:line="360" w:lineRule="auto"/>
        <w:ind w:left="-20" w:right="-20"/>
        <w:jc w:val="both"/>
      </w:pPr>
      <w:r w:rsidRPr="73F31BAE">
        <w:rPr>
          <w:rFonts w:ascii="Arial" w:eastAsia="Arial" w:hAnsi="Arial" w:cs="Arial"/>
          <w:b/>
          <w:bCs/>
          <w:color w:val="000000" w:themeColor="text1"/>
        </w:rPr>
        <w:t>2.6 The United Kingdom’s Financial Market</w:t>
      </w:r>
    </w:p>
    <w:p w14:paraId="0A6DB5D9" w14:textId="2F1DB043"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04CA08FB" w14:textId="65E19A69" w:rsidR="0B3603E4" w:rsidRDefault="6E692AAC" w:rsidP="73F31BAE">
      <w:pPr>
        <w:spacing w:after="0" w:line="360" w:lineRule="auto"/>
        <w:ind w:left="-20" w:right="-20"/>
        <w:jc w:val="both"/>
      </w:pPr>
      <w:r w:rsidRPr="73F31BAE">
        <w:rPr>
          <w:rFonts w:ascii="Arial" w:eastAsia="Arial" w:hAnsi="Arial" w:cs="Arial"/>
          <w:color w:val="000000" w:themeColor="text1"/>
        </w:rPr>
        <w:t xml:space="preserve">The economy, the rate of inflation, and stock market movements are some of the variables that affect the financial market in the United Kingdom. Unexpected depreciations in the UK economy have raised the pressure on inflation (Young, 1995). This has sparked questions about whether the current inflation can be adequately addressed by tightening monetary policy. Furthermore, a lengthy analysis of the correlation between UK inflation rates and stock returns has revealed different frequencies and their effects on the economy (Tiwari, </w:t>
      </w:r>
      <w:proofErr w:type="spellStart"/>
      <w:r w:rsidRPr="73F31BAE">
        <w:rPr>
          <w:rFonts w:ascii="Arial" w:eastAsia="Arial" w:hAnsi="Arial" w:cs="Arial"/>
          <w:color w:val="000000" w:themeColor="text1"/>
        </w:rPr>
        <w:t>Cuñado</w:t>
      </w:r>
      <w:proofErr w:type="spellEnd"/>
      <w:r w:rsidRPr="73F31BAE">
        <w:rPr>
          <w:rFonts w:ascii="Arial" w:eastAsia="Arial" w:hAnsi="Arial" w:cs="Arial"/>
          <w:color w:val="000000" w:themeColor="text1"/>
        </w:rPr>
        <w:t xml:space="preserve">, Gupta, and </w:t>
      </w:r>
      <w:proofErr w:type="spellStart"/>
      <w:r w:rsidRPr="73F31BAE">
        <w:rPr>
          <w:rFonts w:ascii="Arial" w:eastAsia="Arial" w:hAnsi="Arial" w:cs="Arial"/>
          <w:color w:val="000000" w:themeColor="text1"/>
        </w:rPr>
        <w:t>Wohar</w:t>
      </w:r>
      <w:proofErr w:type="spellEnd"/>
      <w:r w:rsidRPr="73F31BAE">
        <w:rPr>
          <w:rFonts w:ascii="Arial" w:eastAsia="Arial" w:hAnsi="Arial" w:cs="Arial"/>
          <w:color w:val="000000" w:themeColor="text1"/>
        </w:rPr>
        <w:t xml:space="preserve">, 2018). </w:t>
      </w:r>
    </w:p>
    <w:p w14:paraId="49352204" w14:textId="30A39D63"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1B8C7771" w14:textId="163569FC" w:rsidR="0B3603E4" w:rsidRDefault="6E692AAC" w:rsidP="73F31BAE">
      <w:pPr>
        <w:spacing w:after="0" w:line="360" w:lineRule="auto"/>
        <w:ind w:left="-20" w:right="-20"/>
        <w:jc w:val="both"/>
      </w:pPr>
      <w:r w:rsidRPr="73F31BAE">
        <w:rPr>
          <w:rFonts w:ascii="Arial" w:eastAsia="Arial" w:hAnsi="Arial" w:cs="Arial"/>
          <w:color w:val="000000" w:themeColor="text1"/>
        </w:rPr>
        <w:t>Additionally, the relationship between the exchange rate and inflation behavior has been examined, with a particular emphasis on the relationship between the exchange rate and inflation of consumer prices (Kara &amp; Nelson, 2003). It has also been investigated how the sharp depreciation linked to Brexit has affected the UK's inflation and balance of payments, offering insights into the implications for price stability (Nasir &amp; Simpson, 2018).</w:t>
      </w:r>
    </w:p>
    <w:p w14:paraId="5E5D15A9" w14:textId="69B07A55"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367A9DA4" w14:textId="5BE1E540" w:rsidR="0B3603E4" w:rsidRDefault="6E692AAC" w:rsidP="73F31BAE">
      <w:pPr>
        <w:spacing w:after="0" w:line="360" w:lineRule="auto"/>
        <w:ind w:left="-20" w:right="-20"/>
        <w:jc w:val="both"/>
      </w:pPr>
      <w:r w:rsidRPr="73F31BAE">
        <w:rPr>
          <w:rFonts w:ascii="Arial" w:eastAsia="Arial" w:hAnsi="Arial" w:cs="Arial"/>
          <w:color w:val="000000" w:themeColor="text1"/>
        </w:rPr>
        <w:t xml:space="preserve">Particularly in the 1987 U.S. market crash, there has been a rise in cross-market correlations regarding stock market movements among the United States, the United Kingdom, and Japan </w:t>
      </w:r>
      <w:r w:rsidRPr="73F31BAE">
        <w:rPr>
          <w:rFonts w:ascii="Arial" w:eastAsia="Arial" w:hAnsi="Arial" w:cs="Arial"/>
          <w:color w:val="000000" w:themeColor="text1"/>
        </w:rPr>
        <w:lastRenderedPageBreak/>
        <w:t xml:space="preserve">(Forbes &amp; </w:t>
      </w:r>
      <w:proofErr w:type="spellStart"/>
      <w:r w:rsidRPr="73F31BAE">
        <w:rPr>
          <w:rFonts w:ascii="Arial" w:eastAsia="Arial" w:hAnsi="Arial" w:cs="Arial"/>
          <w:color w:val="000000" w:themeColor="text1"/>
        </w:rPr>
        <w:t>Rigobón</w:t>
      </w:r>
      <w:proofErr w:type="spellEnd"/>
      <w:r w:rsidRPr="73F31BAE">
        <w:rPr>
          <w:rFonts w:ascii="Arial" w:eastAsia="Arial" w:hAnsi="Arial" w:cs="Arial"/>
          <w:color w:val="000000" w:themeColor="text1"/>
        </w:rPr>
        <w:t xml:space="preserve">, 2002). The impact of UK monetary policy shocks on inflation, equity prices, and the exchange rate during the inflation targeting period has also been demonstrated by an analysis of the transmission of monetary policy in the UK (Forbes, Kirkham, Theodoridis, 2019). In support of the idea of inflation targeting regimes, research has also been done on the relationship between interest rates and inflation uncertainty in the UK, specifically before and after the inflation targeting period (Mallik and Bhar, 2011). </w:t>
      </w:r>
    </w:p>
    <w:p w14:paraId="082C442D" w14:textId="5B22A06A"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4F11683C" w14:textId="0773A7EA" w:rsidR="0B3603E4" w:rsidRDefault="6E692AAC" w:rsidP="73F31BAE">
      <w:pPr>
        <w:spacing w:after="0" w:line="360" w:lineRule="auto"/>
        <w:ind w:left="-20" w:right="-20"/>
        <w:jc w:val="both"/>
      </w:pPr>
      <w:r w:rsidRPr="73F31BAE">
        <w:rPr>
          <w:rFonts w:ascii="Arial" w:eastAsia="Arial" w:hAnsi="Arial" w:cs="Arial"/>
          <w:color w:val="000000" w:themeColor="text1"/>
        </w:rPr>
        <w:t xml:space="preserve">Studies comparing the experiences of the US and the UK during and after the recession have shown how financial shocks influence the severity of crises and length of recoveries. The UK financial market has also been impacted by the Great Recession (Larkin, 2021). Furthermore, the nonlinear autoregressive distributed lag (ARDL) approach has been used to investigate the relationship between interest rates and inflation in the UK. Based on past research, significant correlations have been found between changes in nominal interest rates and inflation (Göçer and </w:t>
      </w:r>
      <w:proofErr w:type="spellStart"/>
      <w:r w:rsidRPr="73F31BAE">
        <w:rPr>
          <w:rFonts w:ascii="Arial" w:eastAsia="Arial" w:hAnsi="Arial" w:cs="Arial"/>
          <w:color w:val="000000" w:themeColor="text1"/>
        </w:rPr>
        <w:t>Ongan</w:t>
      </w:r>
      <w:proofErr w:type="spellEnd"/>
      <w:r w:rsidRPr="73F31BAE">
        <w:rPr>
          <w:rFonts w:ascii="Arial" w:eastAsia="Arial" w:hAnsi="Arial" w:cs="Arial"/>
          <w:color w:val="000000" w:themeColor="text1"/>
        </w:rPr>
        <w:t xml:space="preserve">, 2020). </w:t>
      </w:r>
    </w:p>
    <w:p w14:paraId="412C3D9F" w14:textId="7BAA561C"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36040E1A" w14:textId="4B5A622A" w:rsidR="0B3603E4" w:rsidRDefault="6E692AAC" w:rsidP="73F31BAE">
      <w:pPr>
        <w:spacing w:after="0" w:line="360" w:lineRule="auto"/>
        <w:ind w:left="-20" w:right="-20"/>
        <w:jc w:val="both"/>
      </w:pPr>
      <w:r w:rsidRPr="73F31BAE">
        <w:rPr>
          <w:rFonts w:ascii="Arial" w:eastAsia="Arial" w:hAnsi="Arial" w:cs="Arial"/>
          <w:color w:val="000000" w:themeColor="text1"/>
        </w:rPr>
        <w:t>In simple terms, the collection of studies presented here highlights the complexity of the financial system in the United Kingdom and provides a thorough grasp of the different forces and variables that influence its capacity to respond to economic shocks.</w:t>
      </w:r>
    </w:p>
    <w:p w14:paraId="43C464D9" w14:textId="06260B9F"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560DB889" w14:textId="5101309D" w:rsidR="0B3603E4" w:rsidRDefault="0B3603E4" w:rsidP="73F31BAE">
      <w:r>
        <w:br w:type="page"/>
      </w:r>
    </w:p>
    <w:p w14:paraId="43210189" w14:textId="72CDD2A0" w:rsidR="0B3603E4" w:rsidRDefault="6E692AAC" w:rsidP="73F31BAE">
      <w:pPr>
        <w:spacing w:after="200" w:line="360" w:lineRule="auto"/>
        <w:ind w:left="-20" w:right="-20"/>
        <w:jc w:val="both"/>
        <w:rPr>
          <w:rFonts w:ascii="Arial" w:eastAsia="Arial" w:hAnsi="Arial" w:cs="Arial"/>
          <w:b/>
          <w:bCs/>
          <w:color w:val="000000" w:themeColor="text1"/>
        </w:rPr>
      </w:pPr>
      <w:r w:rsidRPr="73F31BAE">
        <w:rPr>
          <w:rFonts w:ascii="Arial" w:eastAsia="Arial" w:hAnsi="Arial" w:cs="Arial"/>
          <w:b/>
          <w:bCs/>
          <w:color w:val="000000" w:themeColor="text1"/>
        </w:rPr>
        <w:lastRenderedPageBreak/>
        <w:t xml:space="preserve">2.7 </w:t>
      </w:r>
      <w:r w:rsidR="60B19630" w:rsidRPr="73F31BAE">
        <w:rPr>
          <w:rFonts w:ascii="Arial" w:eastAsia="Arial" w:hAnsi="Arial" w:cs="Arial"/>
          <w:b/>
          <w:bCs/>
          <w:color w:val="000000" w:themeColor="text1"/>
        </w:rPr>
        <w:t xml:space="preserve">Table no.1 </w:t>
      </w:r>
      <w:r w:rsidRPr="73F31BAE">
        <w:rPr>
          <w:rFonts w:ascii="Arial" w:eastAsia="Arial" w:hAnsi="Arial" w:cs="Arial"/>
          <w:b/>
          <w:bCs/>
          <w:color w:val="000000" w:themeColor="text1"/>
        </w:rPr>
        <w:t>Table of Literature Reviews</w:t>
      </w:r>
    </w:p>
    <w:p w14:paraId="3BCBD352" w14:textId="29742EC1" w:rsidR="0B3603E4" w:rsidRDefault="0B3603E4" w:rsidP="73F31BAE">
      <w:pPr>
        <w:spacing w:after="200" w:line="360" w:lineRule="auto"/>
        <w:ind w:left="-20" w:right="-20"/>
        <w:jc w:val="both"/>
        <w:rPr>
          <w:rFonts w:ascii="Arial" w:eastAsia="Arial" w:hAnsi="Arial" w:cs="Arial"/>
          <w:b/>
          <w:bCs/>
          <w:color w:val="000000" w:themeColor="text1"/>
        </w:rPr>
      </w:pPr>
    </w:p>
    <w:tbl>
      <w:tblPr>
        <w:tblStyle w:val="TableGrid"/>
        <w:tblW w:w="0" w:type="auto"/>
        <w:jc w:val="center"/>
        <w:tblLayout w:type="fixed"/>
        <w:tblLook w:val="04A0" w:firstRow="1" w:lastRow="0" w:firstColumn="1" w:lastColumn="0" w:noHBand="0" w:noVBand="1"/>
      </w:tblPr>
      <w:tblGrid>
        <w:gridCol w:w="792"/>
        <w:gridCol w:w="1115"/>
        <w:gridCol w:w="1658"/>
        <w:gridCol w:w="1658"/>
        <w:gridCol w:w="4137"/>
      </w:tblGrid>
      <w:tr w:rsidR="73F31BAE" w14:paraId="7CF20788" w14:textId="77777777" w:rsidTr="73F31BAE">
        <w:trPr>
          <w:trHeight w:val="300"/>
          <w:jc w:val="center"/>
        </w:trPr>
        <w:tc>
          <w:tcPr>
            <w:tcW w:w="9360" w:type="dxa"/>
            <w:gridSpan w:val="5"/>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bottom"/>
          </w:tcPr>
          <w:p w14:paraId="36C36289" w14:textId="1D30F881" w:rsidR="73F31BAE" w:rsidRDefault="73F31BAE" w:rsidP="73F31BAE">
            <w:pPr>
              <w:spacing w:line="360" w:lineRule="auto"/>
              <w:ind w:left="-20" w:right="-20"/>
              <w:jc w:val="center"/>
            </w:pPr>
            <w:r w:rsidRPr="73F31BAE">
              <w:rPr>
                <w:rFonts w:ascii="Arial" w:eastAsia="Arial" w:hAnsi="Arial" w:cs="Arial"/>
                <w:b/>
                <w:bCs/>
                <w:color w:val="000000" w:themeColor="text1"/>
              </w:rPr>
              <w:t>Table of literature Reviews</w:t>
            </w:r>
          </w:p>
        </w:tc>
      </w:tr>
      <w:tr w:rsidR="73F31BAE" w14:paraId="79D1D932" w14:textId="77777777" w:rsidTr="73F31BAE">
        <w:trPr>
          <w:trHeight w:val="300"/>
          <w:jc w:val="center"/>
        </w:trPr>
        <w:tc>
          <w:tcPr>
            <w:tcW w:w="7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51AF92F" w14:textId="7C2C7052" w:rsidR="73F31BAE" w:rsidRDefault="73F31BAE" w:rsidP="73F31BAE">
            <w:pPr>
              <w:spacing w:line="360" w:lineRule="auto"/>
              <w:ind w:left="-20" w:right="-20"/>
              <w:jc w:val="center"/>
            </w:pPr>
            <w:r w:rsidRPr="73F31BAE">
              <w:rPr>
                <w:rFonts w:ascii="Arial" w:eastAsia="Arial" w:hAnsi="Arial" w:cs="Arial"/>
                <w:b/>
                <w:bCs/>
                <w:color w:val="000000" w:themeColor="text1"/>
              </w:rPr>
              <w:t>Year</w:t>
            </w:r>
          </w:p>
        </w:tc>
        <w:tc>
          <w:tcPr>
            <w:tcW w:w="1115"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0693AF1" w14:textId="1F9019D6" w:rsidR="73F31BAE" w:rsidRDefault="73F31BAE" w:rsidP="73F31BAE">
            <w:pPr>
              <w:spacing w:line="360" w:lineRule="auto"/>
              <w:ind w:left="-20" w:right="-20"/>
              <w:jc w:val="center"/>
            </w:pPr>
            <w:r w:rsidRPr="73F31BAE">
              <w:rPr>
                <w:rFonts w:ascii="Arial" w:eastAsia="Arial" w:hAnsi="Arial" w:cs="Arial"/>
                <w:b/>
                <w:bCs/>
                <w:color w:val="000000" w:themeColor="text1"/>
              </w:rPr>
              <w:t>Author</w:t>
            </w:r>
          </w:p>
        </w:tc>
        <w:tc>
          <w:tcPr>
            <w:tcW w:w="1658"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7799AE3" w14:textId="6E16E1F2" w:rsidR="73F31BAE" w:rsidRDefault="73F31BAE" w:rsidP="73F31BAE">
            <w:pPr>
              <w:spacing w:line="360" w:lineRule="auto"/>
              <w:ind w:left="-20" w:right="-20"/>
              <w:jc w:val="center"/>
            </w:pPr>
            <w:r w:rsidRPr="73F31BAE">
              <w:rPr>
                <w:rFonts w:ascii="Arial" w:eastAsia="Arial" w:hAnsi="Arial" w:cs="Arial"/>
                <w:b/>
                <w:bCs/>
                <w:color w:val="000000" w:themeColor="text1"/>
              </w:rPr>
              <w:t>Title of the Journal/Book</w:t>
            </w:r>
          </w:p>
        </w:tc>
        <w:tc>
          <w:tcPr>
            <w:tcW w:w="1658"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10EF3A7" w14:textId="12B5F994" w:rsidR="73F31BAE" w:rsidRDefault="73F31BAE" w:rsidP="73F31BAE">
            <w:pPr>
              <w:spacing w:line="360" w:lineRule="auto"/>
              <w:ind w:left="-20" w:right="-20"/>
              <w:jc w:val="center"/>
            </w:pPr>
            <w:r w:rsidRPr="73F31BAE">
              <w:rPr>
                <w:rFonts w:ascii="Arial" w:eastAsia="Arial" w:hAnsi="Arial" w:cs="Arial"/>
                <w:b/>
                <w:bCs/>
                <w:color w:val="000000" w:themeColor="text1"/>
              </w:rPr>
              <w:t>Methodology</w:t>
            </w:r>
          </w:p>
        </w:tc>
        <w:tc>
          <w:tcPr>
            <w:tcW w:w="4137"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9DFCACA" w14:textId="13C1245F" w:rsidR="73F31BAE" w:rsidRDefault="73F31BAE" w:rsidP="73F31BAE">
            <w:pPr>
              <w:spacing w:line="360" w:lineRule="auto"/>
              <w:ind w:left="-20" w:right="-20"/>
              <w:jc w:val="center"/>
            </w:pPr>
            <w:r w:rsidRPr="73F31BAE">
              <w:rPr>
                <w:rFonts w:ascii="Arial" w:eastAsia="Arial" w:hAnsi="Arial" w:cs="Arial"/>
                <w:b/>
                <w:bCs/>
                <w:color w:val="000000" w:themeColor="text1"/>
              </w:rPr>
              <w:t>Key Findings</w:t>
            </w:r>
          </w:p>
        </w:tc>
      </w:tr>
      <w:tr w:rsidR="73F31BAE" w14:paraId="2D085850" w14:textId="77777777" w:rsidTr="73F31BAE">
        <w:trPr>
          <w:trHeight w:val="300"/>
          <w:jc w:val="center"/>
        </w:trPr>
        <w:tc>
          <w:tcPr>
            <w:tcW w:w="7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C353D0E" w14:textId="22E60A8B" w:rsidR="73F31BAE" w:rsidRDefault="73F31BAE" w:rsidP="73F31BAE">
            <w:pPr>
              <w:spacing w:line="360" w:lineRule="auto"/>
              <w:ind w:left="-20" w:right="-20"/>
              <w:jc w:val="both"/>
            </w:pPr>
            <w:r w:rsidRPr="73F31BAE">
              <w:rPr>
                <w:rFonts w:ascii="Arial" w:eastAsia="Arial" w:hAnsi="Arial" w:cs="Arial"/>
                <w:color w:val="000000" w:themeColor="text1"/>
              </w:rPr>
              <w:t>1989</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DE7E0CD" w14:textId="1A9C5B66" w:rsidR="73F31BAE" w:rsidRDefault="73F31BAE" w:rsidP="73F31BAE">
            <w:pPr>
              <w:spacing w:line="360" w:lineRule="auto"/>
              <w:ind w:left="-20" w:right="-20"/>
              <w:jc w:val="both"/>
            </w:pPr>
            <w:r w:rsidRPr="73F31BAE">
              <w:rPr>
                <w:rFonts w:ascii="Arial" w:eastAsia="Arial" w:hAnsi="Arial" w:cs="Arial"/>
                <w:color w:val="000000" w:themeColor="text1"/>
              </w:rPr>
              <w:t xml:space="preserve">John Y. Campbell and Robert J. Shiller </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EA4BF0B" w14:textId="497A8F82" w:rsidR="73F31BAE" w:rsidRDefault="73F31BAE" w:rsidP="73F31BAE">
            <w:pPr>
              <w:spacing w:line="360" w:lineRule="auto"/>
              <w:ind w:left="-20" w:right="-20"/>
              <w:jc w:val="both"/>
            </w:pPr>
            <w:r w:rsidRPr="73F31BAE">
              <w:rPr>
                <w:rFonts w:ascii="Arial" w:eastAsia="Arial" w:hAnsi="Arial" w:cs="Arial"/>
                <w:color w:val="000000" w:themeColor="text1"/>
              </w:rPr>
              <w:t>Yield spreads and interest rate movements</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B73B241" w14:textId="41FAC828" w:rsidR="73F31BAE" w:rsidRDefault="73F31BAE" w:rsidP="73F31BAE">
            <w:pPr>
              <w:spacing w:line="360" w:lineRule="auto"/>
              <w:ind w:left="-20" w:right="-20"/>
              <w:jc w:val="both"/>
            </w:pPr>
            <w:r w:rsidRPr="73F31BAE">
              <w:rPr>
                <w:rFonts w:ascii="Arial" w:eastAsia="Arial" w:hAnsi="Arial" w:cs="Arial"/>
                <w:color w:val="000000" w:themeColor="text1"/>
              </w:rPr>
              <w:t xml:space="preserve">Empirical analysis and Regression analysis </w:t>
            </w:r>
          </w:p>
        </w:tc>
        <w:tc>
          <w:tcPr>
            <w:tcW w:w="41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E8DCE15" w14:textId="5F2CD23C"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259959AB" w14:textId="5C790FFC" w:rsidR="73F31BAE" w:rsidRDefault="73F31BAE" w:rsidP="73F31BAE">
            <w:pPr>
              <w:spacing w:line="360" w:lineRule="auto"/>
              <w:ind w:left="-20" w:right="-20"/>
              <w:jc w:val="both"/>
            </w:pPr>
            <w:r w:rsidRPr="73F31BAE">
              <w:rPr>
                <w:rFonts w:ascii="Arial" w:eastAsia="Arial" w:hAnsi="Arial" w:cs="Arial"/>
                <w:color w:val="000000" w:themeColor="text1"/>
              </w:rPr>
              <w:t xml:space="preserve">Yield spreads are positively related to future short-term interest rate movements, supporting the expectations theory. </w:t>
            </w:r>
          </w:p>
          <w:p w14:paraId="3D9F5A82" w14:textId="66B42704"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1FE2AEA2" w14:textId="23DC8D78" w:rsidR="73F31BAE" w:rsidRDefault="73F31BAE" w:rsidP="73F31BAE">
            <w:pPr>
              <w:spacing w:line="360" w:lineRule="auto"/>
              <w:ind w:left="-20" w:right="-20"/>
              <w:jc w:val="both"/>
            </w:pPr>
            <w:r w:rsidRPr="73F31BAE">
              <w:rPr>
                <w:rFonts w:ascii="Arial" w:eastAsia="Arial" w:hAnsi="Arial" w:cs="Arial"/>
                <w:color w:val="000000" w:themeColor="text1"/>
              </w:rPr>
              <w:t>The behavior of yield spreads is consistent with the segmented markets theory, indicating that different segments of the bond market have different responses to interest rate movements</w:t>
            </w:r>
            <w:r w:rsidR="70A8E2B5" w:rsidRPr="73F31BAE">
              <w:rPr>
                <w:rFonts w:ascii="Arial" w:eastAsia="Arial" w:hAnsi="Arial" w:cs="Arial"/>
                <w:color w:val="000000" w:themeColor="text1"/>
              </w:rPr>
              <w:t xml:space="preserve">. </w:t>
            </w:r>
            <w:r w:rsidRPr="73F31BAE">
              <w:rPr>
                <w:rFonts w:ascii="Arial" w:eastAsia="Arial" w:hAnsi="Arial" w:cs="Arial"/>
                <w:color w:val="000000" w:themeColor="text1"/>
              </w:rPr>
              <w:t xml:space="preserve">   </w:t>
            </w:r>
          </w:p>
          <w:p w14:paraId="208EB2B1" w14:textId="71B77F90"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7F401DB8" w14:textId="2F026BB5" w:rsidR="73F31BAE" w:rsidRDefault="73F31BAE" w:rsidP="73F31BAE">
            <w:pPr>
              <w:spacing w:line="360" w:lineRule="auto"/>
              <w:ind w:left="-20" w:right="-20"/>
              <w:jc w:val="both"/>
            </w:pPr>
            <w:r w:rsidRPr="73F31BAE">
              <w:rPr>
                <w:rFonts w:ascii="Arial" w:eastAsia="Arial" w:hAnsi="Arial" w:cs="Arial"/>
                <w:color w:val="000000" w:themeColor="text1"/>
              </w:rPr>
              <w:t xml:space="preserve">The paper suggests that yield spreads contain information about future economic activity, as they tend to widen prior to economic downturns. </w:t>
            </w:r>
          </w:p>
          <w:p w14:paraId="0EDA6495" w14:textId="6B6E6C53"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tc>
      </w:tr>
      <w:tr w:rsidR="73F31BAE" w14:paraId="6F550F77" w14:textId="77777777" w:rsidTr="73F31BAE">
        <w:trPr>
          <w:trHeight w:val="300"/>
          <w:jc w:val="center"/>
        </w:trPr>
        <w:tc>
          <w:tcPr>
            <w:tcW w:w="7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E039ED7" w14:textId="7A800497" w:rsidR="73F31BAE" w:rsidRDefault="73F31BAE" w:rsidP="73F31BAE">
            <w:pPr>
              <w:spacing w:line="360" w:lineRule="auto"/>
              <w:ind w:left="-20" w:right="-20"/>
              <w:jc w:val="both"/>
            </w:pPr>
            <w:r w:rsidRPr="73F31BAE">
              <w:rPr>
                <w:rFonts w:ascii="Arial" w:eastAsia="Arial" w:hAnsi="Arial" w:cs="Arial"/>
                <w:color w:val="000000" w:themeColor="text1"/>
              </w:rPr>
              <w:t>1989</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659F3E1" w14:textId="7A69CB7F" w:rsidR="73F31BAE" w:rsidRDefault="73F31BAE" w:rsidP="73F31BAE">
            <w:pPr>
              <w:spacing w:line="360" w:lineRule="auto"/>
              <w:ind w:left="-20" w:right="-20"/>
              <w:jc w:val="both"/>
            </w:pPr>
            <w:r w:rsidRPr="73F31BAE">
              <w:rPr>
                <w:rFonts w:ascii="Arial" w:eastAsia="Arial" w:hAnsi="Arial" w:cs="Arial"/>
                <w:color w:val="000000" w:themeColor="text1"/>
              </w:rPr>
              <w:t xml:space="preserve">Eugene F. FAMA and Kenneth R. FRENCH  </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AEFF7C8" w14:textId="78DADB44" w:rsidR="73F31BAE" w:rsidRDefault="73F31BAE" w:rsidP="73F31BAE">
            <w:pPr>
              <w:spacing w:line="360" w:lineRule="auto"/>
              <w:ind w:left="-20" w:right="-20"/>
              <w:jc w:val="both"/>
            </w:pPr>
            <w:r w:rsidRPr="73F31BAE">
              <w:rPr>
                <w:rFonts w:ascii="Arial" w:eastAsia="Arial" w:hAnsi="Arial" w:cs="Arial"/>
                <w:color w:val="000000" w:themeColor="text1"/>
              </w:rPr>
              <w:t>Business conditions and expected returns on stocks and bonds</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1BE228D" w14:textId="027C0837" w:rsidR="73F31BAE" w:rsidRDefault="73F31BAE" w:rsidP="73F31BAE">
            <w:pPr>
              <w:spacing w:line="360" w:lineRule="auto"/>
              <w:ind w:left="-20" w:right="-20"/>
              <w:jc w:val="both"/>
            </w:pPr>
            <w:r w:rsidRPr="73F31BAE">
              <w:rPr>
                <w:rFonts w:ascii="Arial" w:eastAsia="Arial" w:hAnsi="Arial" w:cs="Arial"/>
                <w:color w:val="000000" w:themeColor="text1"/>
              </w:rPr>
              <w:t xml:space="preserve">Time-series regression framework </w:t>
            </w:r>
          </w:p>
        </w:tc>
        <w:tc>
          <w:tcPr>
            <w:tcW w:w="41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0B8E348" w14:textId="310E7B41"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0F868512" w14:textId="6BFCED01" w:rsidR="73F31BAE" w:rsidRDefault="73F31BAE" w:rsidP="73F31BAE">
            <w:pPr>
              <w:spacing w:line="360" w:lineRule="auto"/>
              <w:ind w:left="-20" w:right="-20"/>
              <w:jc w:val="both"/>
            </w:pPr>
            <w:r w:rsidRPr="73F31BAE">
              <w:rPr>
                <w:rFonts w:ascii="Arial" w:eastAsia="Arial" w:hAnsi="Arial" w:cs="Arial"/>
                <w:color w:val="000000" w:themeColor="text1"/>
              </w:rPr>
              <w:t>Business conditions, as measured by the Dividend-Price Ratio (D/P) and the default spread are significantly related to expected returns on stocks and bonds.</w:t>
            </w:r>
          </w:p>
          <w:p w14:paraId="095FFEC0" w14:textId="307FBBD3" w:rsidR="73F31BAE" w:rsidRDefault="73F31BAE" w:rsidP="73F31BAE">
            <w:pPr>
              <w:spacing w:line="360" w:lineRule="auto"/>
              <w:ind w:left="720" w:right="-20"/>
              <w:jc w:val="both"/>
            </w:pPr>
            <w:r w:rsidRPr="73F31BAE">
              <w:rPr>
                <w:rFonts w:ascii="Arial" w:eastAsia="Arial" w:hAnsi="Arial" w:cs="Arial"/>
                <w:color w:val="000000" w:themeColor="text1"/>
              </w:rPr>
              <w:t xml:space="preserve"> </w:t>
            </w:r>
          </w:p>
          <w:p w14:paraId="488AF619" w14:textId="66F2ABA4" w:rsidR="73F31BAE" w:rsidRDefault="73F31BAE" w:rsidP="73F31BAE">
            <w:pPr>
              <w:spacing w:line="360" w:lineRule="auto"/>
              <w:ind w:left="-20" w:right="-20"/>
              <w:jc w:val="both"/>
            </w:pPr>
            <w:r w:rsidRPr="73F31BAE">
              <w:rPr>
                <w:rFonts w:ascii="Arial" w:eastAsia="Arial" w:hAnsi="Arial" w:cs="Arial"/>
                <w:color w:val="000000" w:themeColor="text1"/>
              </w:rPr>
              <w:t>Expected stock returns increase with a decrease in the D/P ratio, indicating that stocks are more attractive during periods of low business conditions.</w:t>
            </w:r>
          </w:p>
          <w:p w14:paraId="34C70497" w14:textId="2C83BAE9" w:rsidR="73F31BAE" w:rsidRDefault="73F31BAE" w:rsidP="73F31BAE">
            <w:pPr>
              <w:spacing w:line="360" w:lineRule="auto"/>
              <w:ind w:left="-20" w:right="-20"/>
              <w:jc w:val="both"/>
            </w:pPr>
            <w:r w:rsidRPr="73F31BAE">
              <w:rPr>
                <w:rFonts w:ascii="Arial" w:eastAsia="Arial" w:hAnsi="Arial" w:cs="Arial"/>
                <w:color w:val="000000" w:themeColor="text1"/>
              </w:rPr>
              <w:lastRenderedPageBreak/>
              <w:t xml:space="preserve"> </w:t>
            </w:r>
          </w:p>
          <w:p w14:paraId="35971A55" w14:textId="5F7F6FA5" w:rsidR="73F31BAE" w:rsidRDefault="73F31BAE" w:rsidP="73F31BAE">
            <w:pPr>
              <w:spacing w:line="360" w:lineRule="auto"/>
              <w:ind w:left="-20" w:right="-20"/>
              <w:jc w:val="both"/>
            </w:pPr>
            <w:r w:rsidRPr="73F31BAE">
              <w:rPr>
                <w:rFonts w:ascii="Arial" w:eastAsia="Arial" w:hAnsi="Arial" w:cs="Arial"/>
                <w:color w:val="000000" w:themeColor="text1"/>
              </w:rPr>
              <w:t xml:space="preserve">The default spread is positively related to expected bond returns, indicating that bonds are more attractive during periods of high default risk. </w:t>
            </w:r>
          </w:p>
          <w:p w14:paraId="101F38A2" w14:textId="76773DA5"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tc>
      </w:tr>
      <w:tr w:rsidR="73F31BAE" w14:paraId="73A73364" w14:textId="77777777" w:rsidTr="73F31BAE">
        <w:trPr>
          <w:trHeight w:val="300"/>
          <w:jc w:val="center"/>
        </w:trPr>
        <w:tc>
          <w:tcPr>
            <w:tcW w:w="7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53D940C" w14:textId="57181F70" w:rsidR="73F31BAE" w:rsidRDefault="73F31BAE" w:rsidP="73F31BAE">
            <w:pPr>
              <w:spacing w:line="360" w:lineRule="auto"/>
              <w:ind w:left="-20" w:right="-20"/>
              <w:jc w:val="both"/>
            </w:pPr>
            <w:r w:rsidRPr="73F31BAE">
              <w:rPr>
                <w:rFonts w:ascii="Arial" w:eastAsia="Arial" w:hAnsi="Arial" w:cs="Arial"/>
                <w:color w:val="000000" w:themeColor="text1"/>
              </w:rPr>
              <w:t>1981</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F2F7B55" w14:textId="01B436A6" w:rsidR="73F31BAE" w:rsidRDefault="73F31BAE" w:rsidP="73F31BAE">
            <w:pPr>
              <w:spacing w:line="360" w:lineRule="auto"/>
              <w:ind w:left="-20" w:right="-20"/>
              <w:jc w:val="both"/>
            </w:pPr>
            <w:r w:rsidRPr="73F31BAE">
              <w:rPr>
                <w:rFonts w:ascii="Arial" w:eastAsia="Arial" w:hAnsi="Arial" w:cs="Arial"/>
                <w:color w:val="000000" w:themeColor="text1"/>
              </w:rPr>
              <w:t xml:space="preserve">Eugene F. FAMA  </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AA9B271" w14:textId="32212F37" w:rsidR="73F31BAE" w:rsidRDefault="73F31BAE" w:rsidP="73F31BAE">
            <w:pPr>
              <w:spacing w:line="360" w:lineRule="auto"/>
              <w:ind w:left="-20" w:right="-20"/>
              <w:jc w:val="both"/>
            </w:pPr>
            <w:r w:rsidRPr="73F31BAE">
              <w:rPr>
                <w:rFonts w:ascii="Arial" w:eastAsia="Arial" w:hAnsi="Arial" w:cs="Arial"/>
                <w:color w:val="000000" w:themeColor="text1"/>
              </w:rPr>
              <w:t>Stock returns, real activity, inflation, and money</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650B063" w14:textId="3248A11A" w:rsidR="73F31BAE" w:rsidRDefault="73F31BAE" w:rsidP="73F31BAE">
            <w:pPr>
              <w:spacing w:line="360" w:lineRule="auto"/>
              <w:ind w:left="-20" w:right="-20"/>
              <w:jc w:val="both"/>
            </w:pPr>
            <w:r w:rsidRPr="73F31BAE">
              <w:rPr>
                <w:rFonts w:ascii="Arial" w:eastAsia="Arial" w:hAnsi="Arial" w:cs="Arial"/>
                <w:color w:val="000000" w:themeColor="text1"/>
              </w:rPr>
              <w:t xml:space="preserve">Empirical investigation and Dynamic Regression Analysis </w:t>
            </w:r>
          </w:p>
        </w:tc>
        <w:tc>
          <w:tcPr>
            <w:tcW w:w="41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A1445E8" w14:textId="787AF2EB"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7B0B4063" w14:textId="5B4FA2F0" w:rsidR="73F31BAE" w:rsidRDefault="73F31BAE" w:rsidP="73F31BAE">
            <w:pPr>
              <w:spacing w:line="360" w:lineRule="auto"/>
              <w:ind w:left="-20" w:right="-20"/>
              <w:jc w:val="both"/>
            </w:pPr>
            <w:r w:rsidRPr="73F31BAE">
              <w:rPr>
                <w:rFonts w:ascii="Arial" w:eastAsia="Arial" w:hAnsi="Arial" w:cs="Arial"/>
                <w:color w:val="000000" w:themeColor="text1"/>
              </w:rPr>
              <w:t xml:space="preserve">The study explains the negative relationship between inflation and real activity, and a negative relationship between real activity and stock returns. </w:t>
            </w:r>
          </w:p>
          <w:p w14:paraId="0FA4840B" w14:textId="66AF8141"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0136CC2D" w14:textId="0FB5831D" w:rsidR="73F31BAE" w:rsidRDefault="73F31BAE" w:rsidP="73F31BAE">
            <w:pPr>
              <w:spacing w:line="360" w:lineRule="auto"/>
              <w:ind w:left="-20" w:right="-20"/>
              <w:jc w:val="both"/>
            </w:pPr>
            <w:r w:rsidRPr="73F31BAE">
              <w:rPr>
                <w:rFonts w:ascii="Arial" w:eastAsia="Arial" w:hAnsi="Arial" w:cs="Arial"/>
                <w:color w:val="000000" w:themeColor="text1"/>
              </w:rPr>
              <w:t>It also addresses the fundamental ties between expected inflation, expected real stock returns, and expected growth in future real activity.</w:t>
            </w:r>
          </w:p>
          <w:p w14:paraId="0F9294A8" w14:textId="4E95B52C"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tc>
      </w:tr>
      <w:tr w:rsidR="73F31BAE" w14:paraId="3001895A" w14:textId="77777777" w:rsidTr="73F31BAE">
        <w:trPr>
          <w:trHeight w:val="300"/>
          <w:jc w:val="center"/>
        </w:trPr>
        <w:tc>
          <w:tcPr>
            <w:tcW w:w="7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183C7A5" w14:textId="08A1CC07" w:rsidR="73F31BAE" w:rsidRDefault="73F31BAE" w:rsidP="73F31BAE">
            <w:pPr>
              <w:spacing w:line="360" w:lineRule="auto"/>
              <w:ind w:left="-20" w:right="-20"/>
              <w:jc w:val="both"/>
            </w:pPr>
            <w:r w:rsidRPr="73F31BAE">
              <w:rPr>
                <w:rFonts w:ascii="Arial" w:eastAsia="Arial" w:hAnsi="Arial" w:cs="Arial"/>
                <w:color w:val="000000" w:themeColor="text1"/>
              </w:rPr>
              <w:t>1986</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4227E27" w14:textId="5DB8D408" w:rsidR="73F31BAE" w:rsidRDefault="73F31BAE" w:rsidP="73F31BAE">
            <w:pPr>
              <w:spacing w:line="360" w:lineRule="auto"/>
              <w:ind w:left="-20" w:right="-20"/>
              <w:jc w:val="both"/>
            </w:pPr>
            <w:r w:rsidRPr="73F31BAE">
              <w:rPr>
                <w:rFonts w:ascii="Arial" w:eastAsia="Arial" w:hAnsi="Arial" w:cs="Arial"/>
                <w:color w:val="000000" w:themeColor="text1"/>
              </w:rPr>
              <w:t xml:space="preserve">Nai-Fu Chen, Richard Roll and Stephen A. Ross </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FF43EAB" w14:textId="59091D13" w:rsidR="73F31BAE" w:rsidRDefault="73F31BAE" w:rsidP="73F31BAE">
            <w:pPr>
              <w:spacing w:line="360" w:lineRule="auto"/>
              <w:ind w:left="-20" w:right="-20"/>
              <w:jc w:val="both"/>
            </w:pPr>
            <w:r w:rsidRPr="73F31BAE">
              <w:rPr>
                <w:rFonts w:ascii="Arial" w:eastAsia="Arial" w:hAnsi="Arial" w:cs="Arial"/>
                <w:color w:val="000000" w:themeColor="text1"/>
              </w:rPr>
              <w:t>Economic forces and the stock market</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52A0194" w14:textId="0A62E2E5" w:rsidR="73F31BAE" w:rsidRDefault="73F31BAE" w:rsidP="73F31BAE">
            <w:pPr>
              <w:spacing w:line="360" w:lineRule="auto"/>
              <w:ind w:left="-20" w:right="-20"/>
              <w:jc w:val="both"/>
            </w:pPr>
            <w:r w:rsidRPr="73F31BAE">
              <w:rPr>
                <w:rFonts w:ascii="Arial" w:eastAsia="Arial" w:hAnsi="Arial" w:cs="Arial"/>
                <w:color w:val="000000" w:themeColor="text1"/>
              </w:rPr>
              <w:t xml:space="preserve"> Statistical analysis and Econometric modeling </w:t>
            </w:r>
          </w:p>
        </w:tc>
        <w:tc>
          <w:tcPr>
            <w:tcW w:w="41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690A718" w14:textId="34812CDE"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11A96E8F" w14:textId="4193B75F" w:rsidR="73F31BAE" w:rsidRDefault="73F31BAE" w:rsidP="73F31BAE">
            <w:pPr>
              <w:spacing w:line="360" w:lineRule="auto"/>
              <w:ind w:left="-20" w:right="-20"/>
              <w:jc w:val="both"/>
            </w:pPr>
            <w:r w:rsidRPr="73F31BAE">
              <w:rPr>
                <w:rFonts w:ascii="Arial" w:eastAsia="Arial" w:hAnsi="Arial" w:cs="Arial"/>
                <w:color w:val="000000" w:themeColor="text1"/>
              </w:rPr>
              <w:t xml:space="preserve">The authors highlight the impact of economic variables such as inflation, interest rates, and industrial production on stock returns. </w:t>
            </w:r>
          </w:p>
          <w:p w14:paraId="44040118" w14:textId="16DF55DA"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16AB03B4" w14:textId="7C635A3D" w:rsidR="73F31BAE" w:rsidRDefault="73F31BAE" w:rsidP="73F31BAE">
            <w:pPr>
              <w:spacing w:line="360" w:lineRule="auto"/>
              <w:ind w:left="-20" w:right="-20"/>
              <w:jc w:val="both"/>
            </w:pPr>
            <w:r w:rsidRPr="73F31BAE">
              <w:rPr>
                <w:rFonts w:ascii="Arial" w:eastAsia="Arial" w:hAnsi="Arial" w:cs="Arial"/>
                <w:color w:val="000000" w:themeColor="text1"/>
              </w:rPr>
              <w:t>They also emphasize the importance of incorporating these economic factors into models for asset pricing.</w:t>
            </w:r>
          </w:p>
          <w:p w14:paraId="132B2F0F" w14:textId="25D2EFAD"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tc>
      </w:tr>
      <w:tr w:rsidR="73F31BAE" w14:paraId="23CD2DC1" w14:textId="77777777" w:rsidTr="73F31BAE">
        <w:trPr>
          <w:trHeight w:val="300"/>
          <w:jc w:val="center"/>
        </w:trPr>
        <w:tc>
          <w:tcPr>
            <w:tcW w:w="7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9EB96D4" w14:textId="6DA3EE65" w:rsidR="73F31BAE" w:rsidRDefault="73F31BAE" w:rsidP="73F31BAE">
            <w:pPr>
              <w:spacing w:line="360" w:lineRule="auto"/>
              <w:ind w:left="-20" w:right="-20"/>
              <w:jc w:val="both"/>
            </w:pPr>
            <w:r w:rsidRPr="73F31BAE">
              <w:rPr>
                <w:rFonts w:ascii="Arial" w:eastAsia="Arial" w:hAnsi="Arial" w:cs="Arial"/>
                <w:color w:val="000000" w:themeColor="text1"/>
              </w:rPr>
              <w:t>1997</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CA6F8CA" w14:textId="3AD5C20A" w:rsidR="73F31BAE" w:rsidRDefault="73F31BAE" w:rsidP="73F31BAE">
            <w:pPr>
              <w:spacing w:line="360" w:lineRule="auto"/>
              <w:ind w:left="-20" w:right="-20"/>
              <w:jc w:val="both"/>
            </w:pPr>
            <w:r w:rsidRPr="73F31BAE">
              <w:rPr>
                <w:rFonts w:ascii="Arial" w:eastAsia="Arial" w:hAnsi="Arial" w:cs="Arial"/>
                <w:color w:val="000000" w:themeColor="text1"/>
              </w:rPr>
              <w:t xml:space="preserve">Geert Bekaert and Campbell R. Harvey </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C994AB0" w14:textId="68B7F019" w:rsidR="73F31BAE" w:rsidRDefault="73F31BAE" w:rsidP="73F31BAE">
            <w:pPr>
              <w:spacing w:line="360" w:lineRule="auto"/>
              <w:ind w:left="-20" w:right="-20"/>
              <w:jc w:val="both"/>
            </w:pPr>
            <w:r w:rsidRPr="73F31BAE">
              <w:rPr>
                <w:rFonts w:ascii="Arial" w:eastAsia="Arial" w:hAnsi="Arial" w:cs="Arial"/>
                <w:color w:val="000000" w:themeColor="text1"/>
              </w:rPr>
              <w:t>Emerging equity market volatility.</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E2E5220" w14:textId="274FE30D" w:rsidR="73F31BAE" w:rsidRDefault="73F31BAE" w:rsidP="73F31BAE">
            <w:pPr>
              <w:spacing w:line="360" w:lineRule="auto"/>
              <w:ind w:left="-20" w:right="-20"/>
              <w:jc w:val="both"/>
            </w:pPr>
            <w:r w:rsidRPr="73F31BAE">
              <w:rPr>
                <w:rFonts w:ascii="Arial" w:eastAsia="Arial" w:hAnsi="Arial" w:cs="Arial"/>
                <w:color w:val="000000" w:themeColor="text1"/>
              </w:rPr>
              <w:t xml:space="preserve"> Autoregressive Conditional Heteroskedasticity (ARCH) and </w:t>
            </w:r>
            <w:r w:rsidRPr="73F31BAE">
              <w:rPr>
                <w:rFonts w:ascii="Arial" w:eastAsia="Arial" w:hAnsi="Arial" w:cs="Arial"/>
                <w:color w:val="000000" w:themeColor="text1"/>
              </w:rPr>
              <w:lastRenderedPageBreak/>
              <w:t xml:space="preserve">Generalized Autoregressive Conditional Heteroskedasticity (GARCH) models and Empirical analysis </w:t>
            </w:r>
          </w:p>
        </w:tc>
        <w:tc>
          <w:tcPr>
            <w:tcW w:w="41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8DDC3CC" w14:textId="5D77FC31" w:rsidR="73F31BAE" w:rsidRDefault="73F31BAE" w:rsidP="73F31BAE">
            <w:pPr>
              <w:spacing w:line="360" w:lineRule="auto"/>
              <w:ind w:left="-20" w:right="-20"/>
              <w:jc w:val="both"/>
            </w:pPr>
            <w:r w:rsidRPr="73F31BAE">
              <w:rPr>
                <w:rFonts w:ascii="Arial" w:eastAsia="Arial" w:hAnsi="Arial" w:cs="Arial"/>
                <w:color w:val="000000" w:themeColor="text1"/>
              </w:rPr>
              <w:lastRenderedPageBreak/>
              <w:t xml:space="preserve"> </w:t>
            </w:r>
          </w:p>
          <w:p w14:paraId="6C308D47" w14:textId="2B997301" w:rsidR="73F31BAE" w:rsidRDefault="73F31BAE" w:rsidP="73F31BAE">
            <w:pPr>
              <w:spacing w:line="360" w:lineRule="auto"/>
              <w:ind w:left="-20" w:right="-20"/>
              <w:jc w:val="both"/>
            </w:pPr>
            <w:r w:rsidRPr="73F31BAE">
              <w:rPr>
                <w:rFonts w:ascii="Arial" w:eastAsia="Arial" w:hAnsi="Arial" w:cs="Arial"/>
                <w:color w:val="000000" w:themeColor="text1"/>
              </w:rPr>
              <w:t xml:space="preserve">Emerging equity markets exhibit higher volatility compared to developed markets. </w:t>
            </w:r>
          </w:p>
          <w:p w14:paraId="66C86B26" w14:textId="4836BCB3"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2B94E4DD" w14:textId="285CCF07" w:rsidR="73F31BAE" w:rsidRDefault="73F31BAE" w:rsidP="73F31BAE">
            <w:pPr>
              <w:spacing w:line="360" w:lineRule="auto"/>
              <w:ind w:left="-20" w:right="-20"/>
              <w:jc w:val="both"/>
            </w:pPr>
            <w:r w:rsidRPr="73F31BAE">
              <w:rPr>
                <w:rFonts w:ascii="Arial" w:eastAsia="Arial" w:hAnsi="Arial" w:cs="Arial"/>
                <w:color w:val="000000" w:themeColor="text1"/>
              </w:rPr>
              <w:lastRenderedPageBreak/>
              <w:t xml:space="preserve">The study identifies several factors contributing to the volatility of emerging equity markets, including macroeconomic variables, market liquidity, and investor sentiment. </w:t>
            </w:r>
          </w:p>
          <w:p w14:paraId="22F645E1" w14:textId="55F72914"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4D1C0A28" w14:textId="10C718DC" w:rsidR="73F31BAE" w:rsidRDefault="73F31BAE" w:rsidP="73F31BAE">
            <w:pPr>
              <w:spacing w:line="360" w:lineRule="auto"/>
              <w:ind w:left="-20" w:right="-20"/>
              <w:jc w:val="both"/>
            </w:pPr>
            <w:r w:rsidRPr="73F31BAE">
              <w:rPr>
                <w:rFonts w:ascii="Arial" w:eastAsia="Arial" w:hAnsi="Arial" w:cs="Arial"/>
                <w:color w:val="000000" w:themeColor="text1"/>
              </w:rPr>
              <w:t>The authors emphasize the importance of considering the unique characteristics of emerging markets when analyzing and managing volatility.</w:t>
            </w:r>
          </w:p>
          <w:p w14:paraId="7C4C4149" w14:textId="097CEA8B"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tc>
      </w:tr>
      <w:tr w:rsidR="73F31BAE" w14:paraId="000FD828" w14:textId="77777777" w:rsidTr="73F31BAE">
        <w:trPr>
          <w:trHeight w:val="300"/>
          <w:jc w:val="center"/>
        </w:trPr>
        <w:tc>
          <w:tcPr>
            <w:tcW w:w="7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22A801E" w14:textId="4C0D0354" w:rsidR="73F31BAE" w:rsidRDefault="73F31BAE" w:rsidP="73F31BAE">
            <w:pPr>
              <w:spacing w:line="360" w:lineRule="auto"/>
              <w:ind w:left="-20" w:right="-20"/>
              <w:jc w:val="both"/>
            </w:pPr>
            <w:r w:rsidRPr="73F31BAE">
              <w:rPr>
                <w:rFonts w:ascii="Arial" w:eastAsia="Arial" w:hAnsi="Arial" w:cs="Arial"/>
                <w:color w:val="000000" w:themeColor="text1"/>
              </w:rPr>
              <w:t>2007</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B8C05BC" w14:textId="6CF1C5AA" w:rsidR="73F31BAE" w:rsidRDefault="73F31BAE" w:rsidP="73F31BAE">
            <w:pPr>
              <w:spacing w:line="360" w:lineRule="auto"/>
              <w:ind w:left="-20" w:right="-20"/>
              <w:jc w:val="both"/>
            </w:pPr>
            <w:r w:rsidRPr="73F31BAE">
              <w:rPr>
                <w:rFonts w:ascii="Arial" w:eastAsia="Arial" w:hAnsi="Arial" w:cs="Arial"/>
                <w:color w:val="000000" w:themeColor="text1"/>
              </w:rPr>
              <w:t xml:space="preserve">Frederic S. Mishkin </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CAA0C3B" w14:textId="1F4E437F" w:rsidR="73F31BAE" w:rsidRDefault="73F31BAE" w:rsidP="73F31BAE">
            <w:pPr>
              <w:spacing w:line="360" w:lineRule="auto"/>
              <w:ind w:left="-20" w:right="-20"/>
              <w:jc w:val="both"/>
            </w:pPr>
            <w:r w:rsidRPr="73F31BAE">
              <w:rPr>
                <w:rFonts w:ascii="Arial" w:eastAsia="Arial" w:hAnsi="Arial" w:cs="Arial"/>
                <w:color w:val="000000" w:themeColor="text1"/>
              </w:rPr>
              <w:t>The economics of money, banking, and financial markets</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91F1312" w14:textId="24AFEC71" w:rsidR="73F31BAE" w:rsidRDefault="73F31BAE" w:rsidP="73F31BAE">
            <w:pPr>
              <w:spacing w:line="360" w:lineRule="auto"/>
              <w:ind w:left="-20" w:right="-20"/>
              <w:jc w:val="both"/>
            </w:pPr>
            <w:r w:rsidRPr="73F31BAE">
              <w:rPr>
                <w:rFonts w:ascii="Arial" w:eastAsia="Arial" w:hAnsi="Arial" w:cs="Arial"/>
                <w:color w:val="000000" w:themeColor="text1"/>
              </w:rPr>
              <w:t xml:space="preserve"> Statistical analysis and Econometric modeling </w:t>
            </w:r>
          </w:p>
        </w:tc>
        <w:tc>
          <w:tcPr>
            <w:tcW w:w="41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ACF43F4" w14:textId="2ACD5F2F"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6BC21550" w14:textId="19B53E34" w:rsidR="73F31BAE" w:rsidRDefault="73F31BAE" w:rsidP="73F31BAE">
            <w:pPr>
              <w:spacing w:line="360" w:lineRule="auto"/>
              <w:ind w:left="-20" w:right="-20"/>
              <w:jc w:val="both"/>
            </w:pPr>
            <w:r w:rsidRPr="73F31BAE">
              <w:rPr>
                <w:rFonts w:ascii="Arial" w:eastAsia="Arial" w:hAnsi="Arial" w:cs="Arial"/>
                <w:color w:val="000000" w:themeColor="text1"/>
              </w:rPr>
              <w:t xml:space="preserve">The book provides a comprehensive overview of the economics of money, banking, and financial markets, emphasizing the importance of these elements in the broader economy. </w:t>
            </w:r>
          </w:p>
          <w:p w14:paraId="2DCBECA1" w14:textId="477555C2"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773FCAB8" w14:textId="35A8F226" w:rsidR="73F31BAE" w:rsidRDefault="73F31BAE" w:rsidP="73F31BAE">
            <w:pPr>
              <w:spacing w:line="360" w:lineRule="auto"/>
              <w:ind w:left="-20" w:right="-20"/>
              <w:jc w:val="both"/>
            </w:pPr>
            <w:r w:rsidRPr="73F31BAE">
              <w:rPr>
                <w:rFonts w:ascii="Arial" w:eastAsia="Arial" w:hAnsi="Arial" w:cs="Arial"/>
                <w:color w:val="000000" w:themeColor="text1"/>
              </w:rPr>
              <w:t>It discusses the role of financial institutions, the central bank, and the impact of monetary policy on the economy.</w:t>
            </w:r>
          </w:p>
          <w:p w14:paraId="22C1075F" w14:textId="14AFAC06"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68647F73" w14:textId="20B34CE6" w:rsidR="5D81476E" w:rsidRDefault="5D81476E" w:rsidP="73F31BAE">
            <w:pPr>
              <w:spacing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It also </w:t>
            </w:r>
            <w:r w:rsidR="73F31BAE" w:rsidRPr="73F31BAE">
              <w:rPr>
                <w:rFonts w:ascii="Arial" w:eastAsia="Arial" w:hAnsi="Arial" w:cs="Arial"/>
                <w:color w:val="000000" w:themeColor="text1"/>
              </w:rPr>
              <w:t xml:space="preserve">explores the relationship between financial markets and the macro economy, offering insights into the dynamics of money and interest rates. </w:t>
            </w:r>
          </w:p>
          <w:p w14:paraId="55C5AEE7" w14:textId="7B215EF5"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tc>
      </w:tr>
      <w:tr w:rsidR="73F31BAE" w14:paraId="5C69DDFF" w14:textId="77777777" w:rsidTr="73F31BAE">
        <w:trPr>
          <w:trHeight w:val="300"/>
          <w:jc w:val="center"/>
        </w:trPr>
        <w:tc>
          <w:tcPr>
            <w:tcW w:w="7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078990C" w14:textId="4A35EA20" w:rsidR="73F31BAE" w:rsidRDefault="73F31BAE" w:rsidP="73F31BAE">
            <w:pPr>
              <w:spacing w:line="360" w:lineRule="auto"/>
              <w:ind w:left="-20" w:right="-20"/>
              <w:jc w:val="both"/>
            </w:pPr>
            <w:r w:rsidRPr="73F31BAE">
              <w:rPr>
                <w:rFonts w:ascii="Arial" w:eastAsia="Arial" w:hAnsi="Arial" w:cs="Arial"/>
                <w:color w:val="000000" w:themeColor="text1"/>
              </w:rPr>
              <w:t>2003</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13DF114" w14:textId="71359C12" w:rsidR="73F31BAE" w:rsidRDefault="73F31BAE" w:rsidP="73F31BAE">
            <w:pPr>
              <w:spacing w:line="360" w:lineRule="auto"/>
              <w:ind w:left="-20" w:right="-20"/>
              <w:jc w:val="both"/>
            </w:pPr>
            <w:r w:rsidRPr="73F31BAE">
              <w:rPr>
                <w:rFonts w:ascii="Arial" w:eastAsia="Arial" w:hAnsi="Arial" w:cs="Arial"/>
                <w:color w:val="000000" w:themeColor="text1"/>
              </w:rPr>
              <w:t xml:space="preserve">John C. Hull </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F9D490C" w14:textId="22C832BE" w:rsidR="73F31BAE" w:rsidRDefault="73F31BAE" w:rsidP="73F31BAE">
            <w:pPr>
              <w:spacing w:line="360" w:lineRule="auto"/>
              <w:ind w:left="-20" w:right="-20"/>
              <w:jc w:val="both"/>
            </w:pPr>
            <w:r w:rsidRPr="73F31BAE">
              <w:rPr>
                <w:rFonts w:ascii="Arial" w:eastAsia="Arial" w:hAnsi="Arial" w:cs="Arial"/>
                <w:color w:val="000000" w:themeColor="text1"/>
              </w:rPr>
              <w:t>Options futures and other derivatives</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1B62C65" w14:textId="71488C25" w:rsidR="73F31BAE" w:rsidRDefault="73F31BAE" w:rsidP="73F31BAE">
            <w:pPr>
              <w:spacing w:line="360" w:lineRule="auto"/>
              <w:ind w:left="-20" w:right="-20"/>
              <w:jc w:val="both"/>
            </w:pPr>
            <w:r w:rsidRPr="73F31BAE">
              <w:rPr>
                <w:rFonts w:ascii="Arial" w:eastAsia="Arial" w:hAnsi="Arial" w:cs="Arial"/>
                <w:color w:val="000000" w:themeColor="text1"/>
              </w:rPr>
              <w:t xml:space="preserve">The Black-Scholes model and the Binomial </w:t>
            </w:r>
            <w:r w:rsidRPr="73F31BAE">
              <w:rPr>
                <w:rFonts w:ascii="Arial" w:eastAsia="Arial" w:hAnsi="Arial" w:cs="Arial"/>
                <w:color w:val="000000" w:themeColor="text1"/>
              </w:rPr>
              <w:lastRenderedPageBreak/>
              <w:t xml:space="preserve">options pricing model </w:t>
            </w:r>
          </w:p>
        </w:tc>
        <w:tc>
          <w:tcPr>
            <w:tcW w:w="41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1771E61" w14:textId="33E39AF6" w:rsidR="73F31BAE" w:rsidRDefault="73F31BAE" w:rsidP="73F31BAE">
            <w:pPr>
              <w:spacing w:line="360" w:lineRule="auto"/>
              <w:ind w:left="-20" w:right="-20"/>
              <w:jc w:val="both"/>
            </w:pPr>
            <w:r w:rsidRPr="73F31BAE">
              <w:rPr>
                <w:rFonts w:ascii="Arial" w:eastAsia="Arial" w:hAnsi="Arial" w:cs="Arial"/>
                <w:color w:val="000000" w:themeColor="text1"/>
              </w:rPr>
              <w:lastRenderedPageBreak/>
              <w:t xml:space="preserve"> </w:t>
            </w:r>
          </w:p>
          <w:p w14:paraId="021F0B12" w14:textId="2A915BE3" w:rsidR="73F31BAE" w:rsidRDefault="73F31BAE" w:rsidP="73F31BAE">
            <w:pPr>
              <w:spacing w:line="360" w:lineRule="auto"/>
              <w:ind w:left="-20" w:right="-20"/>
              <w:jc w:val="both"/>
            </w:pPr>
            <w:r w:rsidRPr="73F31BAE">
              <w:rPr>
                <w:rFonts w:ascii="Arial" w:eastAsia="Arial" w:hAnsi="Arial" w:cs="Arial"/>
                <w:color w:val="000000" w:themeColor="text1"/>
              </w:rPr>
              <w:t xml:space="preserve">Comprehensive explanations of options, futures, forwards, swaps, and other derivatives, and their applications in risk management and investment strategies. </w:t>
            </w:r>
          </w:p>
          <w:p w14:paraId="4D33B4BF" w14:textId="19369C9B" w:rsidR="73F31BAE" w:rsidRDefault="73F31BAE" w:rsidP="73F31BAE">
            <w:pPr>
              <w:spacing w:line="360" w:lineRule="auto"/>
              <w:ind w:left="-20" w:right="-20"/>
              <w:jc w:val="both"/>
            </w:pPr>
            <w:r w:rsidRPr="73F31BAE">
              <w:rPr>
                <w:rFonts w:ascii="Arial" w:eastAsia="Arial" w:hAnsi="Arial" w:cs="Arial"/>
                <w:color w:val="000000" w:themeColor="text1"/>
              </w:rPr>
              <w:lastRenderedPageBreak/>
              <w:t xml:space="preserve"> </w:t>
            </w:r>
          </w:p>
          <w:p w14:paraId="67D426D5" w14:textId="6F51F989" w:rsidR="73F31BAE" w:rsidRDefault="73F31BAE" w:rsidP="73F31BAE">
            <w:pPr>
              <w:spacing w:line="360" w:lineRule="auto"/>
              <w:ind w:left="-20" w:right="-20"/>
              <w:jc w:val="both"/>
            </w:pPr>
            <w:r w:rsidRPr="73F31BAE">
              <w:rPr>
                <w:rFonts w:ascii="Arial" w:eastAsia="Arial" w:hAnsi="Arial" w:cs="Arial"/>
                <w:color w:val="000000" w:themeColor="text1"/>
              </w:rPr>
              <w:t xml:space="preserve">It provides detailed insights into the valuation and use of derivative securities in financial markets. </w:t>
            </w:r>
          </w:p>
          <w:p w14:paraId="6166A58F" w14:textId="4E410382"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tc>
      </w:tr>
      <w:tr w:rsidR="73F31BAE" w14:paraId="32AC43DE" w14:textId="77777777" w:rsidTr="73F31BAE">
        <w:trPr>
          <w:trHeight w:val="300"/>
          <w:jc w:val="center"/>
        </w:trPr>
        <w:tc>
          <w:tcPr>
            <w:tcW w:w="7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7A307DD" w14:textId="31E1F3CC" w:rsidR="73F31BAE" w:rsidRDefault="73F31BAE" w:rsidP="73F31BAE">
            <w:pPr>
              <w:spacing w:line="360" w:lineRule="auto"/>
              <w:ind w:left="-20" w:right="-20"/>
              <w:jc w:val="both"/>
            </w:pPr>
            <w:r w:rsidRPr="73F31BAE">
              <w:rPr>
                <w:rFonts w:ascii="Arial" w:eastAsia="Arial" w:hAnsi="Arial" w:cs="Arial"/>
                <w:color w:val="000000" w:themeColor="text1"/>
              </w:rPr>
              <w:t>2022</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A795F1F" w14:textId="7FD2B946" w:rsidR="73F31BAE" w:rsidRDefault="73F31BAE" w:rsidP="73F31BAE">
            <w:pPr>
              <w:spacing w:line="360" w:lineRule="auto"/>
              <w:ind w:left="-20" w:right="-20"/>
              <w:jc w:val="both"/>
            </w:pPr>
            <w:r w:rsidRPr="73F31BAE">
              <w:rPr>
                <w:rFonts w:ascii="Arial" w:eastAsia="Arial" w:hAnsi="Arial" w:cs="Arial"/>
                <w:color w:val="000000" w:themeColor="text1"/>
              </w:rPr>
              <w:t xml:space="preserve">Gormsen, Niels Joachim; </w:t>
            </w:r>
            <w:proofErr w:type="spellStart"/>
            <w:r w:rsidRPr="73F31BAE">
              <w:rPr>
                <w:rFonts w:ascii="Arial" w:eastAsia="Arial" w:hAnsi="Arial" w:cs="Arial"/>
                <w:color w:val="000000" w:themeColor="text1"/>
              </w:rPr>
              <w:t>Koijen</w:t>
            </w:r>
            <w:proofErr w:type="spellEnd"/>
            <w:r w:rsidRPr="73F31BAE">
              <w:rPr>
                <w:rFonts w:ascii="Arial" w:eastAsia="Arial" w:hAnsi="Arial" w:cs="Arial"/>
                <w:color w:val="000000" w:themeColor="text1"/>
              </w:rPr>
              <w:t xml:space="preserve">, Ralph S J </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944E6A9" w14:textId="22201F89" w:rsidR="73F31BAE" w:rsidRDefault="73F31BAE" w:rsidP="73F31BAE">
            <w:pPr>
              <w:spacing w:line="360" w:lineRule="auto"/>
              <w:ind w:left="-20" w:right="-20"/>
              <w:jc w:val="both"/>
            </w:pPr>
            <w:r w:rsidRPr="73F31BAE">
              <w:rPr>
                <w:rFonts w:ascii="Arial" w:eastAsia="Arial" w:hAnsi="Arial" w:cs="Arial"/>
                <w:color w:val="000000" w:themeColor="text1"/>
              </w:rPr>
              <w:t>Coronavirus: Impact on Stock Prices and Growth Expectations</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D45E16D" w14:textId="2BA8E05E" w:rsidR="73F31BAE" w:rsidRDefault="73F31BAE" w:rsidP="73F31BAE">
            <w:pPr>
              <w:spacing w:line="360" w:lineRule="auto"/>
              <w:ind w:left="-20" w:right="-20"/>
              <w:jc w:val="both"/>
            </w:pPr>
            <w:r w:rsidRPr="73F31BAE">
              <w:rPr>
                <w:rFonts w:ascii="Arial" w:eastAsia="Arial" w:hAnsi="Arial" w:cs="Arial"/>
                <w:color w:val="000000" w:themeColor="text1"/>
              </w:rPr>
              <w:t xml:space="preserve">Asset pricing Methods </w:t>
            </w:r>
          </w:p>
        </w:tc>
        <w:tc>
          <w:tcPr>
            <w:tcW w:w="41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2C23FF4" w14:textId="58363DC6"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147D4981" w14:textId="152A4C4B" w:rsidR="73F31BAE" w:rsidRDefault="73F31BAE" w:rsidP="73F31BAE">
            <w:pPr>
              <w:spacing w:line="360" w:lineRule="auto"/>
              <w:ind w:left="-20" w:right="-20"/>
              <w:jc w:val="both"/>
            </w:pPr>
            <w:r w:rsidRPr="73F31BAE">
              <w:rPr>
                <w:rFonts w:ascii="Arial" w:eastAsia="Arial" w:hAnsi="Arial" w:cs="Arial"/>
                <w:color w:val="000000" w:themeColor="text1"/>
              </w:rPr>
              <w:t xml:space="preserve">It finds that the pandemic led to a substantial decline in stock prices and a significant increase in the equity risk premium. </w:t>
            </w:r>
          </w:p>
          <w:p w14:paraId="1748E76D" w14:textId="414BA4EC"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77F8ED71" w14:textId="1358FBED" w:rsidR="73F31BAE" w:rsidRDefault="73F31BAE" w:rsidP="73F31BAE">
            <w:pPr>
              <w:spacing w:line="360" w:lineRule="auto"/>
              <w:ind w:left="-20" w:right="-20"/>
              <w:jc w:val="both"/>
            </w:pPr>
            <w:r w:rsidRPr="73F31BAE">
              <w:rPr>
                <w:rFonts w:ascii="Arial" w:eastAsia="Arial" w:hAnsi="Arial" w:cs="Arial"/>
                <w:color w:val="000000" w:themeColor="text1"/>
              </w:rPr>
              <w:t xml:space="preserve">It also highlights the importance of incorporating time-varying disaster risk in asset pricing models. </w:t>
            </w:r>
          </w:p>
          <w:p w14:paraId="51AC830D" w14:textId="00B169BB"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tc>
      </w:tr>
      <w:tr w:rsidR="73F31BAE" w14:paraId="0EFE23C1" w14:textId="77777777" w:rsidTr="73F31BAE">
        <w:trPr>
          <w:trHeight w:val="300"/>
          <w:jc w:val="center"/>
        </w:trPr>
        <w:tc>
          <w:tcPr>
            <w:tcW w:w="7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3C750AA" w14:textId="746DFA4D" w:rsidR="73F31BAE" w:rsidRDefault="73F31BAE" w:rsidP="73F31BAE">
            <w:pPr>
              <w:spacing w:line="360" w:lineRule="auto"/>
              <w:ind w:left="-20" w:right="-20"/>
              <w:jc w:val="both"/>
            </w:pPr>
            <w:r w:rsidRPr="73F31BAE">
              <w:rPr>
                <w:rFonts w:ascii="Arial" w:eastAsia="Arial" w:hAnsi="Arial" w:cs="Arial"/>
                <w:color w:val="000000" w:themeColor="text1"/>
              </w:rPr>
              <w:t>2022</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FB02B22" w14:textId="3F83E386" w:rsidR="73F31BAE" w:rsidRDefault="73F31BAE" w:rsidP="73F31BAE">
            <w:pPr>
              <w:spacing w:line="360" w:lineRule="auto"/>
              <w:ind w:left="-20" w:right="-20"/>
              <w:jc w:val="both"/>
            </w:pPr>
            <w:r w:rsidRPr="73F31BAE">
              <w:rPr>
                <w:rFonts w:ascii="Arial" w:eastAsia="Arial" w:hAnsi="Arial" w:cs="Arial"/>
                <w:color w:val="000000" w:themeColor="text1"/>
              </w:rPr>
              <w:t xml:space="preserve">Hock Tsen Wong </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5005360" w14:textId="3E320315" w:rsidR="73F31BAE" w:rsidRDefault="73F31BAE" w:rsidP="73F31BAE">
            <w:pPr>
              <w:spacing w:line="360" w:lineRule="auto"/>
              <w:ind w:left="-20" w:right="-20"/>
              <w:jc w:val="both"/>
            </w:pPr>
            <w:r w:rsidRPr="73F31BAE">
              <w:rPr>
                <w:rFonts w:ascii="Arial" w:eastAsia="Arial" w:hAnsi="Arial" w:cs="Arial"/>
                <w:color w:val="000000" w:themeColor="text1"/>
              </w:rPr>
              <w:t xml:space="preserve"> The impact of real exchange rates on real stock prices</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6525FF9" w14:textId="39191A32" w:rsidR="73F31BAE" w:rsidRDefault="73F31BAE" w:rsidP="73F31BAE">
            <w:pPr>
              <w:spacing w:line="360" w:lineRule="auto"/>
              <w:ind w:left="-20" w:right="-20"/>
              <w:jc w:val="both"/>
            </w:pPr>
            <w:r w:rsidRPr="73F31BAE">
              <w:rPr>
                <w:rFonts w:ascii="Arial" w:eastAsia="Arial" w:hAnsi="Arial" w:cs="Arial"/>
                <w:color w:val="000000" w:themeColor="text1"/>
              </w:rPr>
              <w:t xml:space="preserve">X13 multiplicative method </w:t>
            </w:r>
          </w:p>
        </w:tc>
        <w:tc>
          <w:tcPr>
            <w:tcW w:w="41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10859F8" w14:textId="61BD2EF7"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1EA5CF09" w14:textId="6392C7DF" w:rsidR="73F31BAE" w:rsidRDefault="73F31BAE" w:rsidP="73F31BAE">
            <w:pPr>
              <w:spacing w:line="360" w:lineRule="auto"/>
              <w:ind w:left="-20" w:right="-20"/>
              <w:jc w:val="both"/>
            </w:pPr>
            <w:r w:rsidRPr="73F31BAE">
              <w:rPr>
                <w:rFonts w:ascii="Arial" w:eastAsia="Arial" w:hAnsi="Arial" w:cs="Arial"/>
                <w:color w:val="000000" w:themeColor="text1"/>
              </w:rPr>
              <w:t>The asymmetric ARDL approach shows more economic variables are found to be statistically significant than the ARDL approach.</w:t>
            </w:r>
          </w:p>
          <w:p w14:paraId="32838A71" w14:textId="51E76B42"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3905B73D" w14:textId="6D5F6F5E" w:rsidR="73F31BAE" w:rsidRDefault="73F31BAE" w:rsidP="73F31BAE">
            <w:pPr>
              <w:spacing w:line="360" w:lineRule="auto"/>
              <w:ind w:left="-20" w:right="-20"/>
              <w:jc w:val="both"/>
            </w:pPr>
            <w:r w:rsidRPr="73F31BAE">
              <w:rPr>
                <w:rFonts w:ascii="Arial" w:eastAsia="Arial" w:hAnsi="Arial" w:cs="Arial"/>
                <w:color w:val="000000" w:themeColor="text1"/>
              </w:rPr>
              <w:t>The asymmetric real exchange rate is mostly found to have a significant impact on the real stock price.</w:t>
            </w:r>
          </w:p>
          <w:p w14:paraId="2CE73E16" w14:textId="3EF02A74"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tc>
      </w:tr>
      <w:tr w:rsidR="73F31BAE" w14:paraId="214E953A" w14:textId="77777777" w:rsidTr="73F31BAE">
        <w:trPr>
          <w:trHeight w:val="300"/>
          <w:jc w:val="center"/>
        </w:trPr>
        <w:tc>
          <w:tcPr>
            <w:tcW w:w="7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A5DA4FA" w14:textId="01CFE293" w:rsidR="73F31BAE" w:rsidRDefault="73F31BAE" w:rsidP="73F31BAE">
            <w:pPr>
              <w:spacing w:line="360" w:lineRule="auto"/>
              <w:ind w:left="-20" w:right="-20"/>
              <w:jc w:val="both"/>
            </w:pPr>
            <w:r w:rsidRPr="73F31BAE">
              <w:rPr>
                <w:rFonts w:ascii="Arial" w:eastAsia="Arial" w:hAnsi="Arial" w:cs="Arial"/>
                <w:color w:val="000000" w:themeColor="text1"/>
              </w:rPr>
              <w:t>2005</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90522D7" w14:textId="237F10D1" w:rsidR="73F31BAE" w:rsidRDefault="73F31BAE" w:rsidP="73F31BAE">
            <w:pPr>
              <w:spacing w:line="360" w:lineRule="auto"/>
              <w:ind w:left="-20" w:right="-20"/>
              <w:jc w:val="both"/>
            </w:pPr>
            <w:r w:rsidRPr="73F31BAE">
              <w:rPr>
                <w:rFonts w:ascii="Arial" w:eastAsia="Arial" w:hAnsi="Arial" w:cs="Arial"/>
                <w:color w:val="000000" w:themeColor="text1"/>
              </w:rPr>
              <w:t>Antonio Torrero Mañas</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612DA0F" w14:textId="5E6F84A8" w:rsidR="73F31BAE" w:rsidRDefault="73F31BAE" w:rsidP="73F31BAE">
            <w:pPr>
              <w:spacing w:line="360" w:lineRule="auto"/>
              <w:ind w:left="-20" w:right="-20"/>
              <w:jc w:val="both"/>
            </w:pPr>
            <w:r w:rsidRPr="73F31BAE">
              <w:rPr>
                <w:rFonts w:ascii="Arial" w:eastAsia="Arial" w:hAnsi="Arial" w:cs="Arial"/>
                <w:color w:val="000000" w:themeColor="text1"/>
              </w:rPr>
              <w:t>The increasing relevance of the stock market in the world: A new scenario.</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8624D58" w14:textId="4CF68F17" w:rsidR="73F31BAE" w:rsidRDefault="73F31BAE" w:rsidP="73F31BAE">
            <w:pPr>
              <w:spacing w:line="360" w:lineRule="auto"/>
              <w:ind w:left="-20" w:right="-20"/>
              <w:jc w:val="both"/>
            </w:pPr>
            <w:r w:rsidRPr="73F31BAE">
              <w:rPr>
                <w:rFonts w:ascii="Arial" w:eastAsia="Arial" w:hAnsi="Arial" w:cs="Arial"/>
                <w:color w:val="000000" w:themeColor="text1"/>
              </w:rPr>
              <w:t>A qualitative approach</w:t>
            </w:r>
          </w:p>
        </w:tc>
        <w:tc>
          <w:tcPr>
            <w:tcW w:w="41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D5CC041" w14:textId="4465193E"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4DFDFBD7" w14:textId="4EB8D8EA" w:rsidR="73F31BAE" w:rsidRDefault="73F31BAE" w:rsidP="73F31BAE">
            <w:pPr>
              <w:spacing w:line="360" w:lineRule="auto"/>
              <w:ind w:left="-20" w:right="-20"/>
              <w:jc w:val="both"/>
            </w:pPr>
            <w:r w:rsidRPr="73F31BAE">
              <w:rPr>
                <w:rFonts w:ascii="Arial" w:eastAsia="Arial" w:hAnsi="Arial" w:cs="Arial"/>
                <w:color w:val="000000" w:themeColor="text1"/>
              </w:rPr>
              <w:t xml:space="preserve">The paper's main conclusions show that the stock market is becoming </w:t>
            </w:r>
            <w:r w:rsidR="0FDD31FA" w:rsidRPr="73F31BAE">
              <w:rPr>
                <w:rFonts w:ascii="Arial" w:eastAsia="Arial" w:hAnsi="Arial" w:cs="Arial"/>
                <w:color w:val="000000" w:themeColor="text1"/>
              </w:rPr>
              <w:t xml:space="preserve">more </w:t>
            </w:r>
            <w:r w:rsidRPr="73F31BAE">
              <w:rPr>
                <w:rFonts w:ascii="Arial" w:eastAsia="Arial" w:hAnsi="Arial" w:cs="Arial"/>
                <w:color w:val="000000" w:themeColor="text1"/>
              </w:rPr>
              <w:t xml:space="preserve">significant in the global economy and that it is essential to economic growth. It has been discovered that there is a positive correlation between stock market values and the value relevance of accounting </w:t>
            </w:r>
            <w:r w:rsidRPr="73F31BAE">
              <w:rPr>
                <w:rFonts w:ascii="Arial" w:eastAsia="Arial" w:hAnsi="Arial" w:cs="Arial"/>
                <w:color w:val="000000" w:themeColor="text1"/>
              </w:rPr>
              <w:lastRenderedPageBreak/>
              <w:t xml:space="preserve">information, such as earnings and book value. This implies that financial reporting and accounting rules are important to the stock market. </w:t>
            </w:r>
          </w:p>
          <w:p w14:paraId="7F3A419F" w14:textId="1F3DFF31"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0BF8B5C6" w14:textId="3F1A09C6" w:rsidR="73F31BAE" w:rsidRDefault="73F31BAE" w:rsidP="73F31BAE">
            <w:pPr>
              <w:spacing w:line="360" w:lineRule="auto"/>
              <w:ind w:left="-20" w:right="-20"/>
              <w:jc w:val="both"/>
            </w:pPr>
            <w:r w:rsidRPr="73F31BAE">
              <w:rPr>
                <w:rFonts w:ascii="Arial" w:eastAsia="Arial" w:hAnsi="Arial" w:cs="Arial"/>
                <w:color w:val="000000" w:themeColor="text1"/>
              </w:rPr>
              <w:t>Furthermore, compared to the dynamics of a portfolio of stocks traded in a single stock market, the dynamics of stock exchange indices globally offer additional complexities, underscoring the interconnectedness of global stock markets.</w:t>
            </w:r>
          </w:p>
          <w:p w14:paraId="56E37498" w14:textId="3E004351"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tc>
      </w:tr>
      <w:tr w:rsidR="73F31BAE" w14:paraId="6043F8A0" w14:textId="77777777" w:rsidTr="73F31BAE">
        <w:trPr>
          <w:trHeight w:val="300"/>
          <w:jc w:val="center"/>
        </w:trPr>
        <w:tc>
          <w:tcPr>
            <w:tcW w:w="7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883AB27" w14:textId="26A85064" w:rsidR="73F31BAE" w:rsidRDefault="73F31BAE" w:rsidP="73F31BAE">
            <w:pPr>
              <w:spacing w:line="360" w:lineRule="auto"/>
              <w:ind w:left="-20" w:right="-20"/>
              <w:jc w:val="both"/>
            </w:pPr>
            <w:r w:rsidRPr="73F31BAE">
              <w:rPr>
                <w:rFonts w:ascii="Arial" w:eastAsia="Arial" w:hAnsi="Arial" w:cs="Arial"/>
                <w:color w:val="000000" w:themeColor="text1"/>
              </w:rPr>
              <w:t>2000</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1CC8A9A" w14:textId="4592B7E1" w:rsidR="73F31BAE" w:rsidRDefault="73F31BAE" w:rsidP="73F31BAE">
            <w:pPr>
              <w:spacing w:line="360" w:lineRule="auto"/>
              <w:ind w:left="-20" w:right="-20"/>
              <w:jc w:val="both"/>
            </w:pPr>
            <w:r w:rsidRPr="73F31BAE">
              <w:rPr>
                <w:rFonts w:ascii="Arial" w:eastAsia="Arial" w:hAnsi="Arial" w:cs="Arial"/>
                <w:color w:val="000000" w:themeColor="text1"/>
              </w:rPr>
              <w:t xml:space="preserve">M. Hashem </w:t>
            </w:r>
            <w:proofErr w:type="spellStart"/>
            <w:r w:rsidRPr="73F31BAE">
              <w:rPr>
                <w:rFonts w:ascii="Arial" w:eastAsia="Arial" w:hAnsi="Arial" w:cs="Arial"/>
                <w:color w:val="000000" w:themeColor="text1"/>
              </w:rPr>
              <w:t>Pesaran</w:t>
            </w:r>
            <w:proofErr w:type="spellEnd"/>
            <w:r w:rsidRPr="73F31BAE">
              <w:rPr>
                <w:rFonts w:ascii="Arial" w:eastAsia="Arial" w:hAnsi="Arial" w:cs="Arial"/>
                <w:color w:val="000000" w:themeColor="text1"/>
              </w:rPr>
              <w:t xml:space="preserve"> and Allan Timmermann</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8024F48" w14:textId="5D31F18D" w:rsidR="73F31BAE" w:rsidRDefault="73F31BAE" w:rsidP="73F31BAE">
            <w:pPr>
              <w:spacing w:line="360" w:lineRule="auto"/>
              <w:ind w:left="-20" w:right="-20"/>
              <w:jc w:val="both"/>
            </w:pPr>
            <w:r w:rsidRPr="73F31BAE">
              <w:rPr>
                <w:rFonts w:ascii="Arial" w:eastAsia="Arial" w:hAnsi="Arial" w:cs="Arial"/>
                <w:color w:val="000000" w:themeColor="text1"/>
              </w:rPr>
              <w:t>A recursive modeling approach to predicting UK stock returns.</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7DCECD2" w14:textId="30ABE4FD" w:rsidR="73F31BAE" w:rsidRDefault="73F31BAE" w:rsidP="73F31BAE">
            <w:pPr>
              <w:spacing w:line="360" w:lineRule="auto"/>
              <w:ind w:left="-20" w:right="-20"/>
              <w:jc w:val="both"/>
            </w:pPr>
            <w:r w:rsidRPr="73F31BAE">
              <w:rPr>
                <w:rFonts w:ascii="Arial" w:eastAsia="Arial" w:hAnsi="Arial" w:cs="Arial"/>
                <w:color w:val="000000" w:themeColor="text1"/>
              </w:rPr>
              <w:t>Time series data on financial and macroeconomic variables</w:t>
            </w:r>
          </w:p>
        </w:tc>
        <w:tc>
          <w:tcPr>
            <w:tcW w:w="41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D08052F" w14:textId="41181C8D"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6E0684E3" w14:textId="5DA3BC95" w:rsidR="73F31BAE" w:rsidRDefault="73F31BAE" w:rsidP="73F31BAE">
            <w:pPr>
              <w:spacing w:line="360" w:lineRule="auto"/>
              <w:ind w:left="-20" w:right="-20"/>
              <w:jc w:val="both"/>
            </w:pPr>
            <w:r w:rsidRPr="73F31BAE">
              <w:rPr>
                <w:rFonts w:ascii="Arial" w:eastAsia="Arial" w:hAnsi="Arial" w:cs="Arial"/>
                <w:color w:val="000000" w:themeColor="text1"/>
              </w:rPr>
              <w:t>The recursive modeling technique that the authors developed in their earlier work was expanded upon and applied to the UK stock market. Because it enables the investigation of the predictability of stock returns based on a range of macroeconomic and financial variables, the study's recursive modeling approach is noteworthy.</w:t>
            </w:r>
          </w:p>
          <w:p w14:paraId="34DE3A97" w14:textId="5467B829"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250F3DAB" w14:textId="5D229340" w:rsidR="73F31BAE" w:rsidRDefault="73F31BAE" w:rsidP="73F31BAE">
            <w:pPr>
              <w:spacing w:line="360" w:lineRule="auto"/>
              <w:ind w:left="-20" w:right="-20"/>
              <w:jc w:val="both"/>
            </w:pPr>
            <w:r w:rsidRPr="73F31BAE">
              <w:rPr>
                <w:rFonts w:ascii="Arial" w:eastAsia="Arial" w:hAnsi="Arial" w:cs="Arial"/>
                <w:color w:val="000000" w:themeColor="text1"/>
              </w:rPr>
              <w:t xml:space="preserve">The study also highlights the practical applicability of the recursive modeling approach by showing that recursive predictions derived from excess returns regressions can accurately predict a statistically </w:t>
            </w:r>
            <w:r w:rsidR="0C7881C1" w:rsidRPr="73F31BAE">
              <w:rPr>
                <w:rFonts w:ascii="Arial" w:eastAsia="Arial" w:hAnsi="Arial" w:cs="Arial"/>
                <w:color w:val="000000" w:themeColor="text1"/>
              </w:rPr>
              <w:t>considerable proportion</w:t>
            </w:r>
            <w:r w:rsidRPr="73F31BAE">
              <w:rPr>
                <w:rFonts w:ascii="Arial" w:eastAsia="Arial" w:hAnsi="Arial" w:cs="Arial"/>
                <w:color w:val="000000" w:themeColor="text1"/>
              </w:rPr>
              <w:t xml:space="preserve"> of the signs of the actual returns.</w:t>
            </w:r>
          </w:p>
          <w:p w14:paraId="28EF2449" w14:textId="6E5BE20E"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tc>
      </w:tr>
      <w:tr w:rsidR="73F31BAE" w14:paraId="641F8E4A" w14:textId="77777777" w:rsidTr="73F31BAE">
        <w:trPr>
          <w:trHeight w:val="300"/>
          <w:jc w:val="center"/>
        </w:trPr>
        <w:tc>
          <w:tcPr>
            <w:tcW w:w="7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4CF898F" w14:textId="0922E49B" w:rsidR="73F31BAE" w:rsidRDefault="73F31BAE" w:rsidP="73F31BAE">
            <w:pPr>
              <w:spacing w:line="360" w:lineRule="auto"/>
              <w:ind w:left="-20" w:right="-20"/>
              <w:jc w:val="both"/>
            </w:pPr>
            <w:r w:rsidRPr="73F31BAE">
              <w:rPr>
                <w:rFonts w:ascii="Arial" w:eastAsia="Arial" w:hAnsi="Arial" w:cs="Arial"/>
                <w:color w:val="000000" w:themeColor="text1"/>
              </w:rPr>
              <w:lastRenderedPageBreak/>
              <w:t>2013</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4295EFB" w14:textId="43B70622" w:rsidR="73F31BAE" w:rsidRDefault="73F31BAE" w:rsidP="73F31BAE">
            <w:pPr>
              <w:spacing w:line="360" w:lineRule="auto"/>
              <w:ind w:left="-20" w:right="-20"/>
              <w:jc w:val="both"/>
            </w:pPr>
            <w:r w:rsidRPr="73F31BAE">
              <w:rPr>
                <w:rFonts w:ascii="Arial" w:eastAsia="Arial" w:hAnsi="Arial" w:cs="Arial"/>
                <w:color w:val="000000" w:themeColor="text1"/>
              </w:rPr>
              <w:t>Sheilla Nyasha and N.M. Odhiambo</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890691B" w14:textId="053D42BD" w:rsidR="73F31BAE" w:rsidRDefault="73F31BAE" w:rsidP="73F31BAE">
            <w:pPr>
              <w:spacing w:line="360" w:lineRule="auto"/>
              <w:ind w:left="-20" w:right="-20"/>
              <w:jc w:val="both"/>
            </w:pPr>
            <w:r w:rsidRPr="73F31BAE">
              <w:rPr>
                <w:rFonts w:ascii="Arial" w:eastAsia="Arial" w:hAnsi="Arial" w:cs="Arial"/>
                <w:color w:val="000000" w:themeColor="text1"/>
              </w:rPr>
              <w:t>Stock market development in the United Kingdom: Prospects and challenges.</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8A54E35" w14:textId="0D032525" w:rsidR="73F31BAE" w:rsidRDefault="73F31BAE" w:rsidP="73F31BAE">
            <w:pPr>
              <w:spacing w:line="360" w:lineRule="auto"/>
              <w:ind w:left="-20" w:right="-20"/>
              <w:jc w:val="both"/>
            </w:pPr>
            <w:r w:rsidRPr="73F31BAE">
              <w:rPr>
                <w:rFonts w:ascii="Arial" w:eastAsia="Arial" w:hAnsi="Arial" w:cs="Arial"/>
                <w:color w:val="000000" w:themeColor="text1"/>
              </w:rPr>
              <w:t>A qualitative approach</w:t>
            </w:r>
          </w:p>
        </w:tc>
        <w:tc>
          <w:tcPr>
            <w:tcW w:w="41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7A9646F" w14:textId="51CC3D30"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184A303E" w14:textId="4853C00C" w:rsidR="73F31BAE" w:rsidRDefault="73F31BAE" w:rsidP="73F31BAE">
            <w:pPr>
              <w:spacing w:line="360" w:lineRule="auto"/>
              <w:ind w:left="-20" w:right="-20"/>
              <w:jc w:val="both"/>
            </w:pPr>
            <w:r w:rsidRPr="73F31BAE">
              <w:rPr>
                <w:rFonts w:ascii="Arial" w:eastAsia="Arial" w:hAnsi="Arial" w:cs="Arial"/>
                <w:color w:val="000000" w:themeColor="text1"/>
              </w:rPr>
              <w:t xml:space="preserve">The authors discovered that the market capitalization, total value of stocks traded, and turnover ratio of the UK stock market have all grown. </w:t>
            </w:r>
          </w:p>
          <w:p w14:paraId="2C967498" w14:textId="1BC1F690"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40A09F6C" w14:textId="4A1455CC"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213339DF" w14:textId="695A5A3B" w:rsidR="73F31BAE" w:rsidRDefault="73F31BAE" w:rsidP="73F31BAE">
            <w:pPr>
              <w:spacing w:line="360" w:lineRule="auto"/>
              <w:ind w:left="-20" w:right="-20"/>
              <w:jc w:val="both"/>
            </w:pPr>
            <w:r w:rsidRPr="73F31BAE">
              <w:rPr>
                <w:rFonts w:ascii="Arial" w:eastAsia="Arial" w:hAnsi="Arial" w:cs="Arial"/>
                <w:color w:val="000000" w:themeColor="text1"/>
              </w:rPr>
              <w:t>On the other hand, they also noted difficulties like the volatility brought on by the sovereign debt crisis and the uncertainties surrounding new regulations as well as changes to regulations both domestically and internationally.</w:t>
            </w:r>
          </w:p>
          <w:p w14:paraId="0946360E" w14:textId="5EA9CA57"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tc>
      </w:tr>
      <w:tr w:rsidR="73F31BAE" w14:paraId="2C266751" w14:textId="77777777" w:rsidTr="73F31BAE">
        <w:trPr>
          <w:trHeight w:val="300"/>
          <w:jc w:val="center"/>
        </w:trPr>
        <w:tc>
          <w:tcPr>
            <w:tcW w:w="7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B34D697" w14:textId="5C80729A" w:rsidR="73F31BAE" w:rsidRDefault="73F31BAE" w:rsidP="73F31BAE">
            <w:pPr>
              <w:spacing w:line="360" w:lineRule="auto"/>
              <w:ind w:left="-20" w:right="-20"/>
              <w:jc w:val="both"/>
            </w:pPr>
            <w:r w:rsidRPr="73F31BAE">
              <w:rPr>
                <w:rFonts w:ascii="Arial" w:eastAsia="Arial" w:hAnsi="Arial" w:cs="Arial"/>
                <w:color w:val="000000" w:themeColor="text1"/>
              </w:rPr>
              <w:t>2019</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DE767DE" w14:textId="03401113" w:rsidR="73F31BAE" w:rsidRDefault="73F31BAE" w:rsidP="73F31BAE">
            <w:pPr>
              <w:spacing w:line="360" w:lineRule="auto"/>
              <w:ind w:left="-20" w:right="-20"/>
              <w:jc w:val="both"/>
            </w:pPr>
            <w:r w:rsidRPr="73F31BAE">
              <w:rPr>
                <w:rFonts w:ascii="Arial" w:eastAsia="Arial" w:hAnsi="Arial" w:cs="Arial"/>
                <w:color w:val="000000" w:themeColor="text1"/>
              </w:rPr>
              <w:t>Jun Gao, Sheng Zhu, Niall O’Sullivan and Meadhbh Sherman</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8D96657" w14:textId="10749FF0" w:rsidR="73F31BAE" w:rsidRDefault="73F31BAE" w:rsidP="73F31BAE">
            <w:pPr>
              <w:spacing w:line="360" w:lineRule="auto"/>
              <w:ind w:left="-20" w:right="-20"/>
              <w:jc w:val="both"/>
            </w:pPr>
            <w:r w:rsidRPr="73F31BAE">
              <w:rPr>
                <w:rFonts w:ascii="Arial" w:eastAsia="Arial" w:hAnsi="Arial" w:cs="Arial"/>
                <w:color w:val="000000" w:themeColor="text1"/>
              </w:rPr>
              <w:t>The role of economic uncertainty in UK stock returns.</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48D3776" w14:textId="7781F457" w:rsidR="73F31BAE" w:rsidRDefault="73F31BAE" w:rsidP="73F31BAE">
            <w:pPr>
              <w:spacing w:line="360" w:lineRule="auto"/>
              <w:ind w:left="-20" w:right="-20"/>
              <w:jc w:val="both"/>
            </w:pPr>
            <w:r w:rsidRPr="73F31BAE">
              <w:rPr>
                <w:rFonts w:ascii="Arial" w:eastAsia="Arial" w:hAnsi="Arial" w:cs="Arial"/>
                <w:color w:val="000000" w:themeColor="text1"/>
              </w:rPr>
              <w:t>An Autoregressive model</w:t>
            </w:r>
          </w:p>
        </w:tc>
        <w:tc>
          <w:tcPr>
            <w:tcW w:w="41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D71EA70" w14:textId="6DCB9C32"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0669F77F" w14:textId="51B02C5C" w:rsidR="1156701D" w:rsidRDefault="1156701D" w:rsidP="73F31BAE">
            <w:pPr>
              <w:spacing w:line="360" w:lineRule="auto"/>
              <w:ind w:left="-20" w:right="-20"/>
              <w:jc w:val="both"/>
            </w:pPr>
            <w:r w:rsidRPr="73F31BAE">
              <w:rPr>
                <w:rFonts w:ascii="Arial" w:eastAsia="Arial" w:hAnsi="Arial" w:cs="Arial"/>
                <w:color w:val="000000" w:themeColor="text1"/>
              </w:rPr>
              <w:t>The research's objective is to examine how cross-sectional pricing of UK stocks is affected by economic uncertainty.</w:t>
            </w:r>
            <w:r w:rsidR="73F31BAE" w:rsidRPr="73F31BAE">
              <w:rPr>
                <w:rFonts w:ascii="Arial" w:eastAsia="Arial" w:hAnsi="Arial" w:cs="Arial"/>
                <w:color w:val="000000" w:themeColor="text1"/>
              </w:rPr>
              <w:t xml:space="preserve"> </w:t>
            </w:r>
          </w:p>
          <w:p w14:paraId="14479089" w14:textId="0C4BC5BD"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147EA857" w14:textId="3336DCF0" w:rsidR="73F31BAE" w:rsidRDefault="73F31BAE" w:rsidP="73F31BAE">
            <w:pPr>
              <w:spacing w:line="360" w:lineRule="auto"/>
              <w:ind w:left="-20" w:right="-20"/>
              <w:jc w:val="both"/>
            </w:pPr>
            <w:r w:rsidRPr="73F31BAE">
              <w:rPr>
                <w:rFonts w:ascii="Arial" w:eastAsia="Arial" w:hAnsi="Arial" w:cs="Arial"/>
                <w:color w:val="000000" w:themeColor="text1"/>
              </w:rPr>
              <w:t>The study's principal discovery is that the pricing of UK stocks is significantly influenced by economic uncertainty, both domestically and internationally.</w:t>
            </w:r>
          </w:p>
          <w:p w14:paraId="1AA1FC2B" w14:textId="0CA8B710"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tc>
      </w:tr>
      <w:tr w:rsidR="73F31BAE" w14:paraId="7DDD126B" w14:textId="77777777" w:rsidTr="73F31BAE">
        <w:trPr>
          <w:trHeight w:val="300"/>
          <w:jc w:val="center"/>
        </w:trPr>
        <w:tc>
          <w:tcPr>
            <w:tcW w:w="7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E5BCEE0" w14:textId="7AD0BA31" w:rsidR="73F31BAE" w:rsidRDefault="73F31BAE" w:rsidP="73F31BAE">
            <w:pPr>
              <w:spacing w:line="360" w:lineRule="auto"/>
              <w:ind w:left="-20" w:right="-20"/>
              <w:jc w:val="both"/>
            </w:pPr>
            <w:r w:rsidRPr="73F31BAE">
              <w:rPr>
                <w:rFonts w:ascii="Arial" w:eastAsia="Arial" w:hAnsi="Arial" w:cs="Arial"/>
                <w:color w:val="000000" w:themeColor="text1"/>
              </w:rPr>
              <w:t>2013</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454EDE5" w14:textId="14A75636" w:rsidR="73F31BAE" w:rsidRDefault="73F31BAE" w:rsidP="73F31BAE">
            <w:pPr>
              <w:spacing w:line="360" w:lineRule="auto"/>
              <w:ind w:left="-20" w:right="-20"/>
              <w:jc w:val="both"/>
            </w:pPr>
            <w:r w:rsidRPr="73F31BAE">
              <w:rPr>
                <w:rFonts w:ascii="Arial" w:eastAsia="Arial" w:hAnsi="Arial" w:cs="Arial"/>
                <w:color w:val="000000" w:themeColor="text1"/>
              </w:rPr>
              <w:t xml:space="preserve">C. G. </w:t>
            </w:r>
            <w:proofErr w:type="spellStart"/>
            <w:r w:rsidRPr="73F31BAE">
              <w:rPr>
                <w:rFonts w:ascii="Arial" w:eastAsia="Arial" w:hAnsi="Arial" w:cs="Arial"/>
                <w:color w:val="000000" w:themeColor="text1"/>
              </w:rPr>
              <w:t>Amaefula</w:t>
            </w:r>
            <w:proofErr w:type="spellEnd"/>
            <w:r w:rsidRPr="73F31BAE">
              <w:rPr>
                <w:rFonts w:ascii="Arial" w:eastAsia="Arial" w:hAnsi="Arial" w:cs="Arial"/>
                <w:color w:val="000000" w:themeColor="text1"/>
              </w:rPr>
              <w:t xml:space="preserve"> </w:t>
            </w:r>
            <w:r w:rsidR="787C1D75" w:rsidRPr="73F31BAE">
              <w:rPr>
                <w:rFonts w:ascii="Arial" w:eastAsia="Arial" w:hAnsi="Arial" w:cs="Arial"/>
                <w:color w:val="000000" w:themeColor="text1"/>
              </w:rPr>
              <w:t>and B.</w:t>
            </w:r>
            <w:r w:rsidRPr="73F31BAE">
              <w:rPr>
                <w:rFonts w:ascii="Arial" w:eastAsia="Arial" w:hAnsi="Arial" w:cs="Arial"/>
                <w:color w:val="000000" w:themeColor="text1"/>
              </w:rPr>
              <w:t>K. Asare</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78DF64A" w14:textId="4FD3D44D" w:rsidR="73F31BAE" w:rsidRDefault="73F31BAE" w:rsidP="73F31BAE">
            <w:pPr>
              <w:spacing w:line="360" w:lineRule="auto"/>
              <w:ind w:left="-20" w:right="-20"/>
              <w:jc w:val="both"/>
            </w:pPr>
            <w:r w:rsidRPr="73F31BAE">
              <w:rPr>
                <w:rFonts w:ascii="Arial" w:eastAsia="Arial" w:hAnsi="Arial" w:cs="Arial"/>
                <w:color w:val="000000" w:themeColor="text1"/>
              </w:rPr>
              <w:t xml:space="preserve">Predictive Impacts of Interest Rate Dynamics and Global Financial Crises on Stock Returns </w:t>
            </w:r>
            <w:r w:rsidRPr="73F31BAE">
              <w:rPr>
                <w:rFonts w:ascii="Arial" w:eastAsia="Arial" w:hAnsi="Arial" w:cs="Arial"/>
                <w:color w:val="000000" w:themeColor="text1"/>
              </w:rPr>
              <w:lastRenderedPageBreak/>
              <w:t>and Volatility: A Nigerian Context.</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7083BA5" w14:textId="4C00F56D" w:rsidR="73F31BAE" w:rsidRDefault="73F31BAE" w:rsidP="73F31BAE">
            <w:pPr>
              <w:spacing w:line="360" w:lineRule="auto"/>
              <w:ind w:left="-20" w:right="-20"/>
              <w:jc w:val="both"/>
            </w:pPr>
            <w:r w:rsidRPr="73F31BAE">
              <w:rPr>
                <w:rFonts w:ascii="Arial" w:eastAsia="Arial" w:hAnsi="Arial" w:cs="Arial"/>
                <w:color w:val="000000" w:themeColor="text1"/>
              </w:rPr>
              <w:lastRenderedPageBreak/>
              <w:t>A quantitative approach</w:t>
            </w:r>
          </w:p>
        </w:tc>
        <w:tc>
          <w:tcPr>
            <w:tcW w:w="41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A8486E3" w14:textId="0B907225"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02FFF06D" w14:textId="37CEE579" w:rsidR="49F5A0C9" w:rsidRDefault="49F5A0C9" w:rsidP="73F31BAE">
            <w:pPr>
              <w:spacing w:line="360" w:lineRule="auto"/>
              <w:ind w:left="-20" w:right="-20"/>
              <w:jc w:val="both"/>
            </w:pPr>
            <w:r w:rsidRPr="73F31BAE">
              <w:rPr>
                <w:rFonts w:ascii="Arial" w:eastAsia="Arial" w:hAnsi="Arial" w:cs="Arial"/>
                <w:color w:val="000000" w:themeColor="text1"/>
              </w:rPr>
              <w:t>The research uses three-month bank deposit rate data from 1985 to 2010 and monthly All Shares Index prices from the NSE market.</w:t>
            </w:r>
            <w:r w:rsidR="73F31BAE" w:rsidRPr="73F31BAE">
              <w:rPr>
                <w:rFonts w:ascii="Arial" w:eastAsia="Arial" w:hAnsi="Arial" w:cs="Arial"/>
                <w:color w:val="000000" w:themeColor="text1"/>
              </w:rPr>
              <w:t xml:space="preserve"> The study's conclusions are important for comprehending the dynamics of stock returns and volatility in Nigeria, particularly </w:t>
            </w:r>
            <w:proofErr w:type="gramStart"/>
            <w:r w:rsidR="73F31BAE" w:rsidRPr="73F31BAE">
              <w:rPr>
                <w:rFonts w:ascii="Arial" w:eastAsia="Arial" w:hAnsi="Arial" w:cs="Arial"/>
                <w:color w:val="000000" w:themeColor="text1"/>
              </w:rPr>
              <w:t>in light of</w:t>
            </w:r>
            <w:proofErr w:type="gramEnd"/>
            <w:r w:rsidR="73F31BAE" w:rsidRPr="73F31BAE">
              <w:rPr>
                <w:rFonts w:ascii="Arial" w:eastAsia="Arial" w:hAnsi="Arial" w:cs="Arial"/>
                <w:color w:val="000000" w:themeColor="text1"/>
              </w:rPr>
              <w:t xml:space="preserve"> shifts in </w:t>
            </w:r>
            <w:r w:rsidR="73F31BAE" w:rsidRPr="73F31BAE">
              <w:rPr>
                <w:rFonts w:ascii="Arial" w:eastAsia="Arial" w:hAnsi="Arial" w:cs="Arial"/>
                <w:color w:val="000000" w:themeColor="text1"/>
              </w:rPr>
              <w:lastRenderedPageBreak/>
              <w:t xml:space="preserve">interest rates and international financial crises. </w:t>
            </w:r>
          </w:p>
          <w:p w14:paraId="64F8E825" w14:textId="265D80EA"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452C1935" w14:textId="28A3254E" w:rsidR="73F31BAE" w:rsidRDefault="73F31BAE" w:rsidP="73F31BAE">
            <w:pPr>
              <w:spacing w:line="360" w:lineRule="auto"/>
              <w:ind w:left="-20" w:right="-20"/>
              <w:jc w:val="both"/>
            </w:pPr>
            <w:r w:rsidRPr="73F31BAE">
              <w:rPr>
                <w:rFonts w:ascii="Arial" w:eastAsia="Arial" w:hAnsi="Arial" w:cs="Arial"/>
                <w:color w:val="000000" w:themeColor="text1"/>
              </w:rPr>
              <w:t>The study adds to the body of knowledge already available on the influence of macroeconomic factors on stock market behavior, especially when considering developing nations like Nigeria.</w:t>
            </w:r>
          </w:p>
          <w:p w14:paraId="363A324C" w14:textId="26BC82DA"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tc>
      </w:tr>
      <w:tr w:rsidR="73F31BAE" w14:paraId="4D4D2539" w14:textId="77777777" w:rsidTr="73F31BAE">
        <w:trPr>
          <w:trHeight w:val="300"/>
          <w:jc w:val="center"/>
        </w:trPr>
        <w:tc>
          <w:tcPr>
            <w:tcW w:w="7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FEE9B5D" w14:textId="6789A1B6" w:rsidR="73F31BAE" w:rsidRDefault="73F31BAE" w:rsidP="73F31BAE">
            <w:pPr>
              <w:spacing w:line="360" w:lineRule="auto"/>
              <w:ind w:left="-20" w:right="-20"/>
              <w:jc w:val="both"/>
            </w:pPr>
            <w:r w:rsidRPr="73F31BAE">
              <w:rPr>
                <w:rFonts w:ascii="Arial" w:eastAsia="Arial" w:hAnsi="Arial" w:cs="Arial"/>
                <w:color w:val="000000" w:themeColor="text1"/>
              </w:rPr>
              <w:t>2020</w:t>
            </w:r>
          </w:p>
        </w:tc>
        <w:tc>
          <w:tcPr>
            <w:tcW w:w="11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F9250FA" w14:textId="695D4D38" w:rsidR="73F31BAE" w:rsidRDefault="73F31BAE" w:rsidP="73F31BAE">
            <w:pPr>
              <w:spacing w:line="360" w:lineRule="auto"/>
              <w:ind w:left="-20" w:right="-20"/>
              <w:jc w:val="both"/>
            </w:pPr>
            <w:r w:rsidRPr="73F31BAE">
              <w:rPr>
                <w:rFonts w:ascii="Arial" w:eastAsia="Arial" w:hAnsi="Arial" w:cs="Arial"/>
                <w:color w:val="000000" w:themeColor="text1"/>
              </w:rPr>
              <w:t xml:space="preserve">Diana </w:t>
            </w:r>
            <w:proofErr w:type="spellStart"/>
            <w:r w:rsidRPr="73F31BAE">
              <w:rPr>
                <w:rFonts w:ascii="Arial" w:eastAsia="Arial" w:hAnsi="Arial" w:cs="Arial"/>
                <w:color w:val="000000" w:themeColor="text1"/>
              </w:rPr>
              <w:t>Tunaru</w:t>
            </w:r>
            <w:proofErr w:type="spellEnd"/>
            <w:r w:rsidRPr="73F31BAE">
              <w:rPr>
                <w:rFonts w:ascii="Arial" w:eastAsia="Arial" w:hAnsi="Arial" w:cs="Arial"/>
                <w:color w:val="000000" w:themeColor="text1"/>
              </w:rPr>
              <w:t xml:space="preserve"> and Frank J. Fabozzi</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02E269C" w14:textId="52141348" w:rsidR="73F31BAE" w:rsidRDefault="73F31BAE" w:rsidP="73F31BAE">
            <w:pPr>
              <w:spacing w:line="360" w:lineRule="auto"/>
              <w:ind w:left="-20" w:right="-20"/>
              <w:jc w:val="both"/>
            </w:pPr>
            <w:r w:rsidRPr="73F31BAE">
              <w:rPr>
                <w:rFonts w:ascii="Arial" w:eastAsia="Arial" w:hAnsi="Arial" w:cs="Arial"/>
                <w:color w:val="000000" w:themeColor="text1"/>
              </w:rPr>
              <w:t xml:space="preserve">Not Everyone is a Follower: The </w:t>
            </w:r>
            <w:proofErr w:type="spellStart"/>
            <w:r w:rsidRPr="73F31BAE">
              <w:rPr>
                <w:rFonts w:ascii="Arial" w:eastAsia="Arial" w:hAnsi="Arial" w:cs="Arial"/>
                <w:color w:val="000000" w:themeColor="text1"/>
              </w:rPr>
              <w:t>Behaviour</w:t>
            </w:r>
            <w:proofErr w:type="spellEnd"/>
            <w:r w:rsidRPr="73F31BAE">
              <w:rPr>
                <w:rFonts w:ascii="Arial" w:eastAsia="Arial" w:hAnsi="Arial" w:cs="Arial"/>
                <w:color w:val="000000" w:themeColor="text1"/>
              </w:rPr>
              <w:t xml:space="preserve"> of Interest Rate and Equity Markets within Major Economies relative to the US.</w:t>
            </w:r>
          </w:p>
        </w:tc>
        <w:tc>
          <w:tcPr>
            <w:tcW w:w="16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F37A0A6" w14:textId="40788F5D" w:rsidR="73F31BAE" w:rsidRDefault="73F31BAE" w:rsidP="73F31BAE">
            <w:pPr>
              <w:spacing w:line="360" w:lineRule="auto"/>
              <w:ind w:left="-20" w:right="-20"/>
              <w:jc w:val="both"/>
            </w:pPr>
            <w:r w:rsidRPr="73F31BAE">
              <w:rPr>
                <w:rFonts w:ascii="Arial" w:eastAsia="Arial" w:hAnsi="Arial" w:cs="Arial"/>
                <w:color w:val="000000" w:themeColor="text1"/>
              </w:rPr>
              <w:t>a multifactor continuous</w:t>
            </w:r>
            <w:r w:rsidRPr="73F31BAE">
              <w:rPr>
                <w:rFonts w:ascii="Cambria Math" w:eastAsia="Cambria Math" w:hAnsi="Cambria Math" w:cs="Cambria Math"/>
                <w:color w:val="000000" w:themeColor="text1"/>
              </w:rPr>
              <w:t>‐</w:t>
            </w:r>
            <w:r w:rsidRPr="73F31BAE">
              <w:rPr>
                <w:rFonts w:ascii="Arial" w:eastAsia="Arial" w:hAnsi="Arial" w:cs="Arial"/>
                <w:color w:val="000000" w:themeColor="text1"/>
              </w:rPr>
              <w:t>time model</w:t>
            </w:r>
          </w:p>
        </w:tc>
        <w:tc>
          <w:tcPr>
            <w:tcW w:w="413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0A268BF" w14:textId="12963FE5"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5A8B4AF7" w14:textId="78DE1E5E" w:rsidR="73F31BAE" w:rsidRDefault="73F31BAE" w:rsidP="73F31BAE">
            <w:pPr>
              <w:spacing w:line="360" w:lineRule="auto"/>
              <w:ind w:left="-20" w:right="-20"/>
              <w:jc w:val="both"/>
            </w:pPr>
            <w:r w:rsidRPr="73F31BAE">
              <w:rPr>
                <w:rFonts w:ascii="Arial" w:eastAsia="Arial" w:hAnsi="Arial" w:cs="Arial"/>
                <w:color w:val="000000" w:themeColor="text1"/>
              </w:rPr>
              <w:t xml:space="preserve">The study's main conclusion is how the global financial crisis has affected the information-transmission mechanism between the equity and interest rate markets in the US and each of the other four major economies (the UK, Germany, Canada, Japan, and the US). </w:t>
            </w:r>
          </w:p>
          <w:p w14:paraId="6659D99D" w14:textId="0E98DD18"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p w14:paraId="12773874" w14:textId="3207D1C1" w:rsidR="73F31BAE" w:rsidRDefault="73F31BAE" w:rsidP="73F31BAE">
            <w:pPr>
              <w:spacing w:line="360" w:lineRule="auto"/>
              <w:ind w:left="-20" w:right="-20"/>
              <w:jc w:val="both"/>
            </w:pPr>
            <w:r w:rsidRPr="73F31BAE">
              <w:rPr>
                <w:rFonts w:ascii="Arial" w:eastAsia="Arial" w:hAnsi="Arial" w:cs="Arial"/>
                <w:color w:val="000000" w:themeColor="text1"/>
              </w:rPr>
              <w:t xml:space="preserve">The information transmission mechanism's dynamics are </w:t>
            </w:r>
            <w:r w:rsidR="3926B7B6" w:rsidRPr="73F31BAE">
              <w:rPr>
                <w:rFonts w:ascii="Arial" w:eastAsia="Arial" w:hAnsi="Arial" w:cs="Arial"/>
                <w:color w:val="000000" w:themeColor="text1"/>
              </w:rPr>
              <w:t>examined,</w:t>
            </w:r>
            <w:r w:rsidRPr="73F31BAE">
              <w:rPr>
                <w:rFonts w:ascii="Arial" w:eastAsia="Arial" w:hAnsi="Arial" w:cs="Arial"/>
                <w:color w:val="000000" w:themeColor="text1"/>
              </w:rPr>
              <w:t xml:space="preserve"> and this impact is analyzed by the authors using a multifactor continuous-time model.</w:t>
            </w:r>
          </w:p>
          <w:p w14:paraId="14ADAFAC" w14:textId="09442BB7" w:rsidR="73F31BAE" w:rsidRDefault="73F31BAE" w:rsidP="73F31BAE">
            <w:pPr>
              <w:spacing w:line="360" w:lineRule="auto"/>
              <w:ind w:left="-20" w:right="-20"/>
              <w:jc w:val="both"/>
            </w:pPr>
            <w:r w:rsidRPr="73F31BAE">
              <w:rPr>
                <w:rFonts w:ascii="Arial" w:eastAsia="Arial" w:hAnsi="Arial" w:cs="Arial"/>
                <w:color w:val="000000" w:themeColor="text1"/>
              </w:rPr>
              <w:t xml:space="preserve"> </w:t>
            </w:r>
          </w:p>
        </w:tc>
      </w:tr>
    </w:tbl>
    <w:p w14:paraId="76ACB45E" w14:textId="6091A7FF" w:rsidR="0B3603E4" w:rsidRDefault="63DBB5ED" w:rsidP="73F31BAE">
      <w:pPr>
        <w:spacing w:after="200" w:line="360" w:lineRule="auto"/>
        <w:ind w:left="-20" w:right="-20"/>
        <w:jc w:val="center"/>
        <w:rPr>
          <w:rFonts w:ascii="Arial" w:eastAsia="Arial" w:hAnsi="Arial" w:cs="Arial"/>
          <w:color w:val="000000" w:themeColor="text1"/>
        </w:rPr>
      </w:pPr>
      <w:r w:rsidRPr="73F31BAE">
        <w:rPr>
          <w:rFonts w:ascii="Arial" w:eastAsia="Arial" w:hAnsi="Arial" w:cs="Arial"/>
          <w:color w:val="000000" w:themeColor="text1"/>
        </w:rPr>
        <w:t xml:space="preserve">Table no. 1: </w:t>
      </w:r>
      <w:r w:rsidR="2304CD41" w:rsidRPr="73F31BAE">
        <w:rPr>
          <w:rFonts w:ascii="Arial" w:eastAsia="Arial" w:hAnsi="Arial" w:cs="Arial"/>
          <w:color w:val="000000" w:themeColor="text1"/>
        </w:rPr>
        <w:t xml:space="preserve">Literatures based on the research and its key </w:t>
      </w:r>
      <w:proofErr w:type="gramStart"/>
      <w:r w:rsidR="2304CD41" w:rsidRPr="73F31BAE">
        <w:rPr>
          <w:rFonts w:ascii="Arial" w:eastAsia="Arial" w:hAnsi="Arial" w:cs="Arial"/>
          <w:color w:val="000000" w:themeColor="text1"/>
        </w:rPr>
        <w:t>findings</w:t>
      </w:r>
      <w:proofErr w:type="gramEnd"/>
    </w:p>
    <w:p w14:paraId="03B41999" w14:textId="2728749B" w:rsidR="0B3603E4" w:rsidRDefault="6E692AAC" w:rsidP="73F31BAE">
      <w:pPr>
        <w:spacing w:after="200" w:line="360" w:lineRule="auto"/>
        <w:ind w:left="-20" w:right="-20"/>
        <w:jc w:val="both"/>
      </w:pPr>
      <w:r w:rsidRPr="73F31BAE">
        <w:rPr>
          <w:rFonts w:ascii="Arial" w:eastAsia="Arial" w:hAnsi="Arial" w:cs="Arial"/>
          <w:color w:val="000000" w:themeColor="text1"/>
        </w:rPr>
        <w:t xml:space="preserve"> </w:t>
      </w:r>
    </w:p>
    <w:p w14:paraId="2FF2BE92" w14:textId="7AB83C97" w:rsidR="0B3603E4" w:rsidRDefault="6E692AAC" w:rsidP="73F31BAE">
      <w:pPr>
        <w:spacing w:after="200" w:line="360" w:lineRule="auto"/>
        <w:ind w:left="-20" w:right="-20"/>
        <w:jc w:val="both"/>
        <w:rPr>
          <w:rFonts w:ascii="Arial" w:eastAsia="Arial" w:hAnsi="Arial" w:cs="Arial"/>
          <w:b/>
          <w:bCs/>
          <w:color w:val="000000" w:themeColor="text1"/>
        </w:rPr>
      </w:pPr>
      <w:r w:rsidRPr="73F31BAE">
        <w:rPr>
          <w:rFonts w:ascii="Arial" w:eastAsia="Arial" w:hAnsi="Arial" w:cs="Arial"/>
          <w:b/>
          <w:bCs/>
          <w:color w:val="000000" w:themeColor="text1"/>
        </w:rPr>
        <w:t xml:space="preserve">2.8 Identified Gaps between the </w:t>
      </w:r>
      <w:proofErr w:type="gramStart"/>
      <w:r w:rsidRPr="73F31BAE">
        <w:rPr>
          <w:rFonts w:ascii="Arial" w:eastAsia="Arial" w:hAnsi="Arial" w:cs="Arial"/>
          <w:b/>
          <w:bCs/>
          <w:color w:val="000000" w:themeColor="text1"/>
        </w:rPr>
        <w:t>literatures</w:t>
      </w:r>
      <w:proofErr w:type="gramEnd"/>
    </w:p>
    <w:p w14:paraId="4A4E6159" w14:textId="4FDD44EC" w:rsidR="0B3603E4" w:rsidRDefault="6E692AAC" w:rsidP="73F31BAE">
      <w:pPr>
        <w:spacing w:after="0" w:line="360" w:lineRule="auto"/>
        <w:ind w:left="-20" w:right="-20"/>
        <w:jc w:val="both"/>
      </w:pPr>
      <w:r w:rsidRPr="73F31BAE">
        <w:rPr>
          <w:rFonts w:ascii="Arial" w:eastAsia="Arial" w:hAnsi="Arial" w:cs="Arial"/>
          <w:color w:val="000000" w:themeColor="text1"/>
        </w:rPr>
        <w:t xml:space="preserve">The literature review reveals several gaps that warrant further investigation. </w:t>
      </w:r>
      <w:r w:rsidR="2772137D" w:rsidRPr="73F31BAE">
        <w:rPr>
          <w:rFonts w:ascii="Arial" w:eastAsia="Arial" w:hAnsi="Arial" w:cs="Arial"/>
          <w:color w:val="000000" w:themeColor="text1"/>
        </w:rPr>
        <w:t xml:space="preserve">Firstly, from the above table </w:t>
      </w:r>
      <w:r w:rsidRPr="73F31BAE">
        <w:rPr>
          <w:rFonts w:ascii="Arial" w:eastAsia="Arial" w:hAnsi="Arial" w:cs="Arial"/>
          <w:color w:val="000000" w:themeColor="text1"/>
        </w:rPr>
        <w:t>there is a lack of comprehensive research on the specific causal relationship between interest rates and stock market returns in the UK (</w:t>
      </w:r>
      <w:proofErr w:type="spellStart"/>
      <w:r w:rsidRPr="73F31BAE">
        <w:rPr>
          <w:rFonts w:ascii="Arial" w:eastAsia="Arial" w:hAnsi="Arial" w:cs="Arial"/>
          <w:color w:val="000000" w:themeColor="text1"/>
        </w:rPr>
        <w:t>Tunaru</w:t>
      </w:r>
      <w:proofErr w:type="spellEnd"/>
      <w:r w:rsidRPr="73F31BAE">
        <w:rPr>
          <w:rFonts w:ascii="Arial" w:eastAsia="Arial" w:hAnsi="Arial" w:cs="Arial"/>
          <w:color w:val="000000" w:themeColor="text1"/>
        </w:rPr>
        <w:t xml:space="preserve">, and Fabozzi, 2020). This study has examined the impact of interest rates on stock </w:t>
      </w:r>
      <w:r w:rsidR="4DBB9D45" w:rsidRPr="73F31BAE">
        <w:rPr>
          <w:rFonts w:ascii="Arial" w:eastAsia="Arial" w:hAnsi="Arial" w:cs="Arial"/>
          <w:color w:val="000000" w:themeColor="text1"/>
        </w:rPr>
        <w:t>returns,</w:t>
      </w:r>
      <w:r w:rsidRPr="73F31BAE">
        <w:rPr>
          <w:rFonts w:ascii="Arial" w:eastAsia="Arial" w:hAnsi="Arial" w:cs="Arial"/>
          <w:color w:val="000000" w:themeColor="text1"/>
        </w:rPr>
        <w:t xml:space="preserve"> however there is a need for more focused </w:t>
      </w:r>
      <w:r w:rsidRPr="73F31BAE">
        <w:rPr>
          <w:rFonts w:ascii="Arial" w:eastAsia="Arial" w:hAnsi="Arial" w:cs="Arial"/>
          <w:color w:val="000000" w:themeColor="text1"/>
        </w:rPr>
        <w:lastRenderedPageBreak/>
        <w:t xml:space="preserve">research that delves into the unique dynamics of the UK stock market in response to interest rate movements. </w:t>
      </w:r>
    </w:p>
    <w:p w14:paraId="5273C94F" w14:textId="1F8D4773"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590313B8" w14:textId="32054B0D" w:rsidR="0B3603E4" w:rsidRDefault="6E692AAC" w:rsidP="73F31BAE">
      <w:pPr>
        <w:spacing w:after="0" w:line="360" w:lineRule="auto"/>
        <w:ind w:left="-20" w:right="-20"/>
        <w:jc w:val="both"/>
      </w:pPr>
      <w:r w:rsidRPr="73F31BAE">
        <w:rPr>
          <w:rFonts w:ascii="Arial" w:eastAsia="Arial" w:hAnsi="Arial" w:cs="Arial"/>
          <w:color w:val="000000" w:themeColor="text1"/>
        </w:rPr>
        <w:t>Additionally, the literature lacks a comprehensive understanding of the implications of interest rate volatility on stock returns in the UK (</w:t>
      </w:r>
      <w:proofErr w:type="spellStart"/>
      <w:r w:rsidRPr="73F31BAE">
        <w:rPr>
          <w:rFonts w:ascii="Arial" w:eastAsia="Arial" w:hAnsi="Arial" w:cs="Arial"/>
          <w:color w:val="000000" w:themeColor="text1"/>
        </w:rPr>
        <w:t>Amaefula</w:t>
      </w:r>
      <w:proofErr w:type="spellEnd"/>
      <w:r w:rsidRPr="73F31BAE">
        <w:rPr>
          <w:rFonts w:ascii="Arial" w:eastAsia="Arial" w:hAnsi="Arial" w:cs="Arial"/>
          <w:color w:val="000000" w:themeColor="text1"/>
        </w:rPr>
        <w:t xml:space="preserve">, and Asare, 2013). While studies have examined the impact of interest rate volatility on stock returns, there is a need for more empirical evidence and analysis specific to the UK market. Understanding how interest rate volatility affects stock returns is crucial for investors and policymakers in making informed decisions. </w:t>
      </w:r>
    </w:p>
    <w:p w14:paraId="1BBB8474" w14:textId="0E4FFF70"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52D7F28E" w14:textId="6E875564" w:rsidR="0B3603E4" w:rsidRDefault="6E692AAC" w:rsidP="73F31BAE">
      <w:pPr>
        <w:spacing w:after="0" w:line="360" w:lineRule="auto"/>
        <w:ind w:left="-20" w:right="-20"/>
        <w:jc w:val="both"/>
      </w:pPr>
      <w:r w:rsidRPr="73F31BAE">
        <w:rPr>
          <w:rFonts w:ascii="Arial" w:eastAsia="Arial" w:hAnsi="Arial" w:cs="Arial"/>
          <w:color w:val="000000" w:themeColor="text1"/>
        </w:rPr>
        <w:t>Furthermore, the existing literature does not adequately address the differential impact of short-term and long-term interest rates on the UK stock market (</w:t>
      </w:r>
      <w:proofErr w:type="spellStart"/>
      <w:r w:rsidRPr="73F31BAE">
        <w:rPr>
          <w:rFonts w:ascii="Arial" w:eastAsia="Arial" w:hAnsi="Arial" w:cs="Arial"/>
          <w:color w:val="000000" w:themeColor="text1"/>
        </w:rPr>
        <w:t>Tunaru</w:t>
      </w:r>
      <w:proofErr w:type="spellEnd"/>
      <w:r w:rsidRPr="73F31BAE">
        <w:rPr>
          <w:rFonts w:ascii="Arial" w:eastAsia="Arial" w:hAnsi="Arial" w:cs="Arial"/>
          <w:color w:val="000000" w:themeColor="text1"/>
        </w:rPr>
        <w:t xml:space="preserve">, and Fabozzi, 2020). It is essential to explore how the behavior of the UK stock market varies in response to short-term and long-term interest rate movements. This distinction is crucial as it can provide valuable insights into the investment strategies and risk management practices of market participants. </w:t>
      </w:r>
    </w:p>
    <w:p w14:paraId="48ECCF5D" w14:textId="25A9EB34"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63027A66" w14:textId="6426A772"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Finally, there is a need for research that examines the response of industry stock returns to the market, exchange rate, and interest rate risks in the UK (Hyde, 2006). This sector-specific analysis can provide valuable insights into the differential impact of these risks across various industries, contributing to a more nuanced understanding of stock market behavior</w:t>
      </w:r>
      <w:r w:rsidR="78C689B8" w:rsidRPr="73F31BAE">
        <w:rPr>
          <w:rFonts w:ascii="Arial" w:eastAsia="Arial" w:hAnsi="Arial" w:cs="Arial"/>
          <w:color w:val="000000" w:themeColor="text1"/>
        </w:rPr>
        <w:t xml:space="preserve">. </w:t>
      </w:r>
    </w:p>
    <w:p w14:paraId="6E739719" w14:textId="052CE222"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5B1612D7" w14:textId="59189848" w:rsidR="0B3603E4" w:rsidRDefault="6F2FA492" w:rsidP="73F31BAE">
      <w:pPr>
        <w:spacing w:after="0" w:line="360" w:lineRule="auto"/>
        <w:ind w:left="-20" w:right="-20"/>
        <w:jc w:val="both"/>
      </w:pPr>
      <w:r w:rsidRPr="73F31BAE">
        <w:rPr>
          <w:rFonts w:ascii="Arial" w:eastAsia="Arial" w:hAnsi="Arial" w:cs="Arial"/>
          <w:color w:val="000000" w:themeColor="text1"/>
        </w:rPr>
        <w:t>T</w:t>
      </w:r>
      <w:r w:rsidR="6E692AAC" w:rsidRPr="73F31BAE">
        <w:rPr>
          <w:rFonts w:ascii="Arial" w:eastAsia="Arial" w:hAnsi="Arial" w:cs="Arial"/>
          <w:color w:val="000000" w:themeColor="text1"/>
        </w:rPr>
        <w:t xml:space="preserve">he gaps identified in the literature highlight the need for further research that specifically addresses the causal relationship between interest rates and stock market returns, the implications of interest rate volatility, the differential impact of short-term and long-term interest rates, the combined influence of macroeconomic variables, the spillover effects of short-term interest rates, and the sector-specific response of industry stock returns to market risks in the UK. </w:t>
      </w:r>
    </w:p>
    <w:p w14:paraId="5C964F90" w14:textId="4622D67C" w:rsidR="0B3603E4" w:rsidRDefault="6E692AAC" w:rsidP="73F31BAE">
      <w:pPr>
        <w:spacing w:after="200" w:line="360" w:lineRule="auto"/>
        <w:ind w:left="-20" w:right="-20"/>
        <w:jc w:val="both"/>
      </w:pPr>
      <w:r w:rsidRPr="73F31BAE">
        <w:rPr>
          <w:rFonts w:ascii="Arial" w:eastAsia="Arial" w:hAnsi="Arial" w:cs="Arial"/>
          <w:b/>
          <w:bCs/>
          <w:color w:val="000000" w:themeColor="text1"/>
        </w:rPr>
        <w:t xml:space="preserve"> </w:t>
      </w:r>
    </w:p>
    <w:p w14:paraId="4EF69F6C" w14:textId="0A083052" w:rsidR="0B3603E4" w:rsidRDefault="6E692AAC" w:rsidP="73F31BAE">
      <w:pPr>
        <w:spacing w:after="200" w:line="360" w:lineRule="auto"/>
        <w:ind w:left="-20" w:right="-20"/>
        <w:jc w:val="both"/>
        <w:rPr>
          <w:rFonts w:ascii="Arial" w:eastAsia="Arial" w:hAnsi="Arial" w:cs="Arial"/>
          <w:b/>
          <w:bCs/>
          <w:color w:val="000000" w:themeColor="text1"/>
        </w:rPr>
      </w:pPr>
      <w:r w:rsidRPr="73F31BAE">
        <w:rPr>
          <w:rFonts w:ascii="Arial" w:eastAsia="Arial" w:hAnsi="Arial" w:cs="Arial"/>
          <w:b/>
          <w:bCs/>
          <w:color w:val="000000" w:themeColor="text1"/>
        </w:rPr>
        <w:t>2.9 Conclusion</w:t>
      </w:r>
    </w:p>
    <w:p w14:paraId="2E6C6150" w14:textId="2BB946B3" w:rsidR="0B3603E4" w:rsidRDefault="6E692AAC" w:rsidP="73F31BAE">
      <w:pPr>
        <w:spacing w:after="0" w:line="360" w:lineRule="auto"/>
        <w:ind w:left="-20" w:right="-20"/>
        <w:jc w:val="both"/>
      </w:pPr>
      <w:r w:rsidRPr="73F31BAE">
        <w:rPr>
          <w:rFonts w:ascii="Arial" w:eastAsia="Arial" w:hAnsi="Arial" w:cs="Arial"/>
          <w:color w:val="000000" w:themeColor="text1"/>
        </w:rPr>
        <w:t xml:space="preserve">The literature review on the impact of interest rates on the stock market in the United Kingdom provides a comprehensive analysis of existing research and identifies several gaps that warrant further investigation. The review begins by highlighting the significance of the relationship between interest rates and stock prices, emphasizing the importance of understanding this dynamic for investors, policymakers, and financial analysts. It then delves into the impact of interest rates on trading volumes, exploring the numerous factors that influence trading activity in the stock market. </w:t>
      </w:r>
    </w:p>
    <w:p w14:paraId="5FD3FC08" w14:textId="06D31AAD" w:rsidR="0B3603E4" w:rsidRDefault="6E692AAC" w:rsidP="73F31BAE">
      <w:pPr>
        <w:spacing w:after="0" w:line="360" w:lineRule="auto"/>
        <w:ind w:left="-20" w:right="-20"/>
        <w:jc w:val="both"/>
      </w:pPr>
      <w:r w:rsidRPr="73F31BAE">
        <w:rPr>
          <w:rFonts w:ascii="Arial" w:eastAsia="Arial" w:hAnsi="Arial" w:cs="Arial"/>
          <w:color w:val="000000" w:themeColor="text1"/>
        </w:rPr>
        <w:lastRenderedPageBreak/>
        <w:t xml:space="preserve"> </w:t>
      </w:r>
    </w:p>
    <w:p w14:paraId="79112665" w14:textId="1E357EDF"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Moreover, the chapter identifies several gaps in the literature, including the need for more focused research on the causal relationship between interest rates and stock market returns in the UK, a comprehensive understanding of the implications of interest rate volatility, and an exploration of the differential impact of short-term and long-term interest rates on the UK stock market</w:t>
      </w:r>
      <w:r w:rsidR="1C274525" w:rsidRPr="73F31BAE">
        <w:rPr>
          <w:rFonts w:ascii="Arial" w:eastAsia="Arial" w:hAnsi="Arial" w:cs="Arial"/>
          <w:color w:val="000000" w:themeColor="text1"/>
        </w:rPr>
        <w:t xml:space="preserve">. </w:t>
      </w:r>
    </w:p>
    <w:p w14:paraId="754E3C41" w14:textId="3DF17C71"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4E8F64F6" w14:textId="6FE2D26D"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Additionally, the review highlights the lack of research on the combined influence of macroeconomic variables and the spillover effects of short-term interest rates on the UK stock market. Finally, it emphasizes the need for sector-specific analysis to understand the response of industry stock returns to market risks in the UK</w:t>
      </w:r>
      <w:r w:rsidR="4B4BCF89" w:rsidRPr="73F31BAE">
        <w:rPr>
          <w:rFonts w:ascii="Arial" w:eastAsia="Arial" w:hAnsi="Arial" w:cs="Arial"/>
          <w:color w:val="000000" w:themeColor="text1"/>
        </w:rPr>
        <w:t xml:space="preserve">. </w:t>
      </w:r>
    </w:p>
    <w:p w14:paraId="73E19E4C" w14:textId="6E290EBA"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0CE73238" w14:textId="39E7C2D1" w:rsidR="0B3603E4" w:rsidRDefault="6E692AAC" w:rsidP="73F31BAE">
      <w:pPr>
        <w:spacing w:after="0" w:line="360" w:lineRule="auto"/>
        <w:ind w:left="-20" w:right="-20"/>
        <w:jc w:val="both"/>
      </w:pPr>
      <w:r w:rsidRPr="73F31BAE">
        <w:rPr>
          <w:rFonts w:ascii="Arial" w:eastAsia="Arial" w:hAnsi="Arial" w:cs="Arial"/>
          <w:color w:val="000000" w:themeColor="text1"/>
        </w:rPr>
        <w:t xml:space="preserve">In conclusion, the literature review provides a thorough examination of the existing research on the impact of interest rates on the stock market in the United Kingdom, while also identifying key gaps that present opportunities for further investigation. By addressing these gaps, future research can contribute to a more nuanced understanding of the relationship between interest rates and stock market performance, providing valuable insights for investors, policymakers, and market participants. This comprehensive review sets the stage for future research endeavors aimed at filling the identified gaps and advancing knowledge in this </w:t>
      </w:r>
      <w:r w:rsidR="08B26C24" w:rsidRPr="73F31BAE">
        <w:rPr>
          <w:rFonts w:ascii="Arial" w:eastAsia="Arial" w:hAnsi="Arial" w:cs="Arial"/>
          <w:color w:val="000000" w:themeColor="text1"/>
        </w:rPr>
        <w:t>critical area</w:t>
      </w:r>
      <w:r w:rsidRPr="73F31BAE">
        <w:rPr>
          <w:rFonts w:ascii="Arial" w:eastAsia="Arial" w:hAnsi="Arial" w:cs="Arial"/>
          <w:color w:val="000000" w:themeColor="text1"/>
        </w:rPr>
        <w:t xml:space="preserve"> of study. </w:t>
      </w:r>
    </w:p>
    <w:p w14:paraId="2B644FF7" w14:textId="62BC233F" w:rsidR="0B3603E4" w:rsidRDefault="6E692AAC" w:rsidP="73F31BAE">
      <w:pPr>
        <w:spacing w:after="0" w:line="360" w:lineRule="auto"/>
        <w:ind w:left="-20" w:right="-20"/>
        <w:jc w:val="both"/>
      </w:pPr>
      <w:r w:rsidRPr="73F31BAE">
        <w:rPr>
          <w:rFonts w:ascii="Arial" w:eastAsia="Arial" w:hAnsi="Arial" w:cs="Arial"/>
          <w:color w:val="000000" w:themeColor="text1"/>
        </w:rPr>
        <w:t xml:space="preserve"> </w:t>
      </w:r>
    </w:p>
    <w:p w14:paraId="44C62F03" w14:textId="6EE8E865"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4493B981" w14:textId="39CE6315"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r w:rsidR="61C0611C" w:rsidRPr="73F31BAE">
        <w:rPr>
          <w:rFonts w:ascii="Arial" w:eastAsia="Arial" w:hAnsi="Arial" w:cs="Arial"/>
          <w:b/>
          <w:bCs/>
          <w:color w:val="000000" w:themeColor="text1"/>
        </w:rPr>
        <w:t>___________________________________________________________________________</w:t>
      </w:r>
    </w:p>
    <w:p w14:paraId="36C67230" w14:textId="3C72D1B3"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738FDD56" w14:textId="3EDE483E"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747AF2BB" w14:textId="0EE837CA"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3EE4A3A0" w14:textId="183CBE58"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4455B2E8" w14:textId="417443D5"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467ED5C1" w14:textId="6BC34458"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65D535F2" w14:textId="5A932859"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31651E22" w14:textId="575637F8"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6425B3AD" w14:textId="2FE93D3F" w:rsidR="0B3603E4" w:rsidRDefault="6E692AAC" w:rsidP="73F31BAE">
      <w:pPr>
        <w:spacing w:after="0" w:line="360" w:lineRule="auto"/>
        <w:ind w:left="-20" w:right="-20"/>
        <w:jc w:val="both"/>
      </w:pPr>
      <w:r w:rsidRPr="73F31BAE">
        <w:rPr>
          <w:rFonts w:ascii="Arial" w:eastAsia="Arial" w:hAnsi="Arial" w:cs="Arial"/>
          <w:b/>
          <w:bCs/>
          <w:color w:val="000000" w:themeColor="text1"/>
        </w:rPr>
        <w:t xml:space="preserve"> </w:t>
      </w:r>
    </w:p>
    <w:p w14:paraId="776A0B1A" w14:textId="395E1EEF" w:rsidR="0B3603E4" w:rsidRDefault="0B3603E4" w:rsidP="003309F4">
      <w:pPr>
        <w:spacing w:after="0" w:line="360" w:lineRule="auto"/>
        <w:ind w:right="-20"/>
        <w:jc w:val="both"/>
      </w:pPr>
    </w:p>
    <w:p w14:paraId="1D104776" w14:textId="77777777" w:rsidR="003309F4" w:rsidRDefault="003309F4">
      <w:pPr>
        <w:rPr>
          <w:rFonts w:ascii="Arial" w:eastAsia="Arial" w:hAnsi="Arial" w:cs="Arial"/>
          <w:b/>
          <w:bCs/>
          <w:color w:val="000000" w:themeColor="text1"/>
          <w:sz w:val="40"/>
          <w:szCs w:val="40"/>
        </w:rPr>
      </w:pPr>
      <w:r>
        <w:rPr>
          <w:rFonts w:ascii="Arial" w:eastAsia="Arial" w:hAnsi="Arial" w:cs="Arial"/>
          <w:b/>
          <w:bCs/>
          <w:color w:val="000000" w:themeColor="text1"/>
          <w:sz w:val="40"/>
          <w:szCs w:val="40"/>
        </w:rPr>
        <w:br w:type="page"/>
      </w:r>
    </w:p>
    <w:p w14:paraId="10B70478" w14:textId="6AD589B1" w:rsidR="0B3603E4" w:rsidRDefault="3104D886" w:rsidP="73F31BAE">
      <w:pPr>
        <w:spacing w:after="0" w:line="360" w:lineRule="auto"/>
        <w:ind w:left="-20" w:right="-20"/>
        <w:jc w:val="center"/>
      </w:pPr>
      <w:r w:rsidRPr="73F31BAE">
        <w:rPr>
          <w:rFonts w:ascii="Arial" w:eastAsia="Arial" w:hAnsi="Arial" w:cs="Arial"/>
          <w:b/>
          <w:bCs/>
          <w:color w:val="000000" w:themeColor="text1"/>
          <w:sz w:val="40"/>
          <w:szCs w:val="40"/>
        </w:rPr>
        <w:lastRenderedPageBreak/>
        <w:t>CHAPTER THREE:</w:t>
      </w:r>
    </w:p>
    <w:p w14:paraId="614F1F26" w14:textId="353731D1" w:rsidR="0B3603E4" w:rsidRDefault="3104D886" w:rsidP="73F31BAE">
      <w:pPr>
        <w:spacing w:after="0" w:line="360" w:lineRule="auto"/>
        <w:ind w:left="-20" w:right="-20"/>
        <w:jc w:val="center"/>
      </w:pPr>
      <w:r w:rsidRPr="73F31BAE">
        <w:rPr>
          <w:rFonts w:ascii="Arial" w:eastAsia="Arial" w:hAnsi="Arial" w:cs="Arial"/>
          <w:b/>
          <w:bCs/>
          <w:color w:val="000000" w:themeColor="text1"/>
          <w:sz w:val="40"/>
          <w:szCs w:val="40"/>
        </w:rPr>
        <w:t>RESEARCH METHODOLOGY</w:t>
      </w:r>
    </w:p>
    <w:p w14:paraId="336F032B" w14:textId="1A42D018" w:rsidR="0B3603E4" w:rsidRDefault="0B3603E4" w:rsidP="73F31BAE">
      <w:pPr>
        <w:spacing w:after="0" w:line="360" w:lineRule="auto"/>
        <w:ind w:left="-20" w:right="-20"/>
        <w:jc w:val="both"/>
        <w:rPr>
          <w:rFonts w:ascii="Arial" w:eastAsia="Arial" w:hAnsi="Arial" w:cs="Arial"/>
          <w:b/>
          <w:bCs/>
          <w:color w:val="000000" w:themeColor="text1"/>
          <w:sz w:val="24"/>
          <w:szCs w:val="24"/>
        </w:rPr>
      </w:pPr>
    </w:p>
    <w:p w14:paraId="0D15BE65" w14:textId="146D9EAB"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b/>
          <w:bCs/>
          <w:color w:val="000000" w:themeColor="text1"/>
        </w:rPr>
        <w:t xml:space="preserve">3.1 </w:t>
      </w:r>
      <w:r w:rsidR="39DB3CA6" w:rsidRPr="73F31BAE">
        <w:rPr>
          <w:rFonts w:ascii="Arial" w:eastAsia="Arial" w:hAnsi="Arial" w:cs="Arial"/>
          <w:b/>
          <w:bCs/>
          <w:color w:val="000000" w:themeColor="text1"/>
        </w:rPr>
        <w:t>Introduction</w:t>
      </w:r>
      <w:r w:rsidRPr="73F31BAE">
        <w:rPr>
          <w:rFonts w:ascii="Arial" w:eastAsia="Arial" w:hAnsi="Arial" w:cs="Arial"/>
          <w:color w:val="000000" w:themeColor="text1"/>
        </w:rPr>
        <w:t xml:space="preserve"> </w:t>
      </w:r>
    </w:p>
    <w:p w14:paraId="620EEA9D" w14:textId="16B19135"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Chapter 3 of this study delves into the research methodology employed. Section 3.1 elucidates the chosen methodology for this specific research and provides reasoning for its selection. In Section 3.2, a comparative analysis of the two primary research methods, namely Quantitative and Qualitative research, is presented, accompanied by a rationale for the preference of quantitative research. Section 3.3 sheds light on the utilization of Linear Regression analysis for the study's data analysis, offering a justification for this choice. Following this, Section 3.4 outlines the data collection methods employed in the study. Section 3.5 addresses the ethical considerations integral to the research, and the chapter concludes with a summary. </w:t>
      </w:r>
    </w:p>
    <w:p w14:paraId="662C822C" w14:textId="674D7914"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 </w:t>
      </w:r>
    </w:p>
    <w:p w14:paraId="01306288" w14:textId="2B2F653C" w:rsidR="0B3603E4" w:rsidRDefault="6E692AAC" w:rsidP="73F31BAE">
      <w:pPr>
        <w:spacing w:after="0" w:line="360" w:lineRule="auto"/>
        <w:ind w:left="-37" w:right="-37"/>
        <w:jc w:val="both"/>
        <w:rPr>
          <w:rFonts w:ascii="Arial" w:eastAsia="Arial" w:hAnsi="Arial" w:cs="Arial"/>
          <w:color w:val="000000" w:themeColor="text1"/>
        </w:rPr>
      </w:pPr>
      <w:r w:rsidRPr="73F31BAE">
        <w:rPr>
          <w:rFonts w:ascii="Arial" w:eastAsia="Arial" w:hAnsi="Arial" w:cs="Arial"/>
          <w:color w:val="000000" w:themeColor="text1"/>
        </w:rPr>
        <w:t>The research methodology for investigating the impact of interest rates on the stock market in the United Kingdom will employ a quantitative research method with linear regression analysis. This approach is supported when utilized empirical research to study the impact of the secondary stock market for the IPO market, demonstrating the applicability of quantitative methods in analyzing stock market dynamics (Li and Shi, 2016). Additionally, the study on herding behavior in Islamic GCC stock markets utilized quantile regression analysis, further supporting the use of quantitative methods in examining stock market behaviors (</w:t>
      </w:r>
      <w:proofErr w:type="spellStart"/>
      <w:r w:rsidRPr="73F31BAE">
        <w:rPr>
          <w:rFonts w:ascii="Arial" w:eastAsia="Arial" w:hAnsi="Arial" w:cs="Arial"/>
          <w:color w:val="000000" w:themeColor="text1"/>
        </w:rPr>
        <w:t>Chaffai</w:t>
      </w:r>
      <w:proofErr w:type="spellEnd"/>
      <w:r w:rsidRPr="73F31BAE">
        <w:rPr>
          <w:rFonts w:ascii="Arial" w:eastAsia="Arial" w:hAnsi="Arial" w:cs="Arial"/>
          <w:color w:val="000000" w:themeColor="text1"/>
        </w:rPr>
        <w:t xml:space="preserve"> and </w:t>
      </w:r>
      <w:proofErr w:type="spellStart"/>
      <w:r w:rsidRPr="73F31BAE">
        <w:rPr>
          <w:rFonts w:ascii="Arial" w:eastAsia="Arial" w:hAnsi="Arial" w:cs="Arial"/>
          <w:color w:val="000000" w:themeColor="text1"/>
        </w:rPr>
        <w:t>Medhioub</w:t>
      </w:r>
      <w:proofErr w:type="spellEnd"/>
      <w:r w:rsidRPr="73F31BAE">
        <w:rPr>
          <w:rFonts w:ascii="Arial" w:eastAsia="Arial" w:hAnsi="Arial" w:cs="Arial"/>
          <w:color w:val="000000" w:themeColor="text1"/>
        </w:rPr>
        <w:t>, 2018)</w:t>
      </w:r>
      <w:r w:rsidR="37E231B7" w:rsidRPr="73F31BAE">
        <w:rPr>
          <w:rFonts w:ascii="Arial" w:eastAsia="Arial" w:hAnsi="Arial" w:cs="Arial"/>
          <w:color w:val="000000" w:themeColor="text1"/>
        </w:rPr>
        <w:t>.</w:t>
      </w:r>
    </w:p>
    <w:p w14:paraId="2A4E807C" w14:textId="0758AFFD" w:rsidR="0B3603E4" w:rsidRDefault="6E692AAC" w:rsidP="73F31BAE">
      <w:pPr>
        <w:spacing w:after="0" w:line="360" w:lineRule="auto"/>
        <w:ind w:left="-37" w:right="-37"/>
        <w:jc w:val="both"/>
        <w:rPr>
          <w:rFonts w:ascii="Arial" w:eastAsia="Arial" w:hAnsi="Arial" w:cs="Arial"/>
          <w:color w:val="000000" w:themeColor="text1"/>
        </w:rPr>
      </w:pPr>
      <w:r w:rsidRPr="73F31BAE">
        <w:rPr>
          <w:rFonts w:ascii="Arial" w:eastAsia="Arial" w:hAnsi="Arial" w:cs="Arial"/>
          <w:color w:val="000000" w:themeColor="text1"/>
        </w:rPr>
        <w:t xml:space="preserve"> </w:t>
      </w:r>
    </w:p>
    <w:p w14:paraId="351950F9" w14:textId="550C3BB1" w:rsidR="0B3603E4" w:rsidRDefault="6E692AAC" w:rsidP="73F31BAE">
      <w:pPr>
        <w:spacing w:after="0" w:line="360" w:lineRule="auto"/>
        <w:ind w:left="-37" w:right="-37"/>
        <w:jc w:val="both"/>
        <w:rPr>
          <w:rFonts w:ascii="Arial" w:eastAsia="Arial" w:hAnsi="Arial" w:cs="Arial"/>
          <w:color w:val="000000" w:themeColor="text1"/>
        </w:rPr>
      </w:pPr>
      <w:r w:rsidRPr="73F31BAE">
        <w:rPr>
          <w:rFonts w:ascii="Arial" w:eastAsia="Arial" w:hAnsi="Arial" w:cs="Arial"/>
          <w:color w:val="000000" w:themeColor="text1"/>
        </w:rPr>
        <w:t>The research will focus on data from the last 10 years (2013-2023), aligning with the approach of emphasized the significance of time series data in predicting stock market volatility, highlighting the relevance of analyzing data over a specific period to understand market dynamics (Idrees, Alam, and Agarwal, 2019). Furthermore, the study on the effect of trading volume, frequency, and market capitalization on stock return of the chemical sub-sector utilized econometrics, providing a methodological framework for analyzing the relationship between market variables and stock returns (Nurhayati, 2022)</w:t>
      </w:r>
      <w:r w:rsidR="5F41839F" w:rsidRPr="73F31BAE">
        <w:rPr>
          <w:rFonts w:ascii="Arial" w:eastAsia="Arial" w:hAnsi="Arial" w:cs="Arial"/>
          <w:color w:val="000000" w:themeColor="text1"/>
        </w:rPr>
        <w:t>.</w:t>
      </w:r>
    </w:p>
    <w:p w14:paraId="57E24006" w14:textId="140103F2" w:rsidR="0B3603E4" w:rsidRDefault="6E692AAC" w:rsidP="73F31BAE">
      <w:pPr>
        <w:spacing w:after="0" w:line="360" w:lineRule="auto"/>
        <w:ind w:left="-37" w:right="-37"/>
        <w:jc w:val="both"/>
        <w:rPr>
          <w:rFonts w:ascii="Arial" w:eastAsia="Arial" w:hAnsi="Arial" w:cs="Arial"/>
          <w:color w:val="000000" w:themeColor="text1"/>
        </w:rPr>
      </w:pPr>
      <w:r w:rsidRPr="73F31BAE">
        <w:rPr>
          <w:rFonts w:ascii="Arial" w:eastAsia="Arial" w:hAnsi="Arial" w:cs="Arial"/>
          <w:color w:val="000000" w:themeColor="text1"/>
        </w:rPr>
        <w:t xml:space="preserve"> </w:t>
      </w:r>
    </w:p>
    <w:p w14:paraId="00BDA4C2" w14:textId="47816F1D" w:rsidR="0B3603E4" w:rsidRDefault="6E692AAC" w:rsidP="73F31BAE">
      <w:pPr>
        <w:spacing w:after="0" w:line="360" w:lineRule="auto"/>
        <w:ind w:left="-37" w:right="-37"/>
        <w:jc w:val="both"/>
        <w:rPr>
          <w:rFonts w:ascii="Arial" w:eastAsia="Arial" w:hAnsi="Arial" w:cs="Arial"/>
          <w:color w:val="000000" w:themeColor="text1"/>
        </w:rPr>
      </w:pPr>
      <w:r w:rsidRPr="73F31BAE">
        <w:rPr>
          <w:rFonts w:ascii="Arial" w:eastAsia="Arial" w:hAnsi="Arial" w:cs="Arial"/>
          <w:color w:val="000000" w:themeColor="text1"/>
        </w:rPr>
        <w:t xml:space="preserve">In addition, the research will incorporate linear regression analysis to examine the relationship between interest rates and stock market performance. This approach was used to conduct research on the relationship between the price of Bit coin and the stock market using linear </w:t>
      </w:r>
      <w:r w:rsidRPr="73F31BAE">
        <w:rPr>
          <w:rFonts w:ascii="Arial" w:eastAsia="Arial" w:hAnsi="Arial" w:cs="Arial"/>
          <w:color w:val="000000" w:themeColor="text1"/>
        </w:rPr>
        <w:lastRenderedPageBreak/>
        <w:t>regression, demonstrating the applicability of this method in analyzing stock market dynamics (Jiang, 2023). Furthermore, the study highlighted the application of Bayesian regression models in financial stock market forecasting, providing insights into alternative regression techniques for analyzing stock market data (Zhao, 2021)</w:t>
      </w:r>
      <w:r w:rsidR="0AC5953D" w:rsidRPr="73F31BAE">
        <w:rPr>
          <w:rFonts w:ascii="Arial" w:eastAsia="Arial" w:hAnsi="Arial" w:cs="Arial"/>
          <w:color w:val="000000" w:themeColor="text1"/>
        </w:rPr>
        <w:t>.</w:t>
      </w:r>
    </w:p>
    <w:p w14:paraId="39A0E645" w14:textId="73952A3D" w:rsidR="0B3603E4" w:rsidRDefault="6E692AAC" w:rsidP="73F31BAE">
      <w:pPr>
        <w:spacing w:after="0" w:line="360" w:lineRule="auto"/>
        <w:ind w:left="-37" w:right="-37"/>
        <w:jc w:val="both"/>
        <w:rPr>
          <w:rFonts w:ascii="Arial" w:eastAsia="Arial" w:hAnsi="Arial" w:cs="Arial"/>
          <w:color w:val="000000" w:themeColor="text1"/>
        </w:rPr>
      </w:pPr>
      <w:r w:rsidRPr="73F31BAE">
        <w:rPr>
          <w:rFonts w:ascii="Arial" w:eastAsia="Arial" w:hAnsi="Arial" w:cs="Arial"/>
          <w:color w:val="000000" w:themeColor="text1"/>
        </w:rPr>
        <w:t xml:space="preserve"> </w:t>
      </w:r>
    </w:p>
    <w:p w14:paraId="31758BFC" w14:textId="3DEC205B" w:rsidR="0B3603E4" w:rsidRDefault="6E692AAC" w:rsidP="73F31BAE">
      <w:pPr>
        <w:spacing w:after="0" w:line="360" w:lineRule="auto"/>
        <w:ind w:left="-37" w:right="-37"/>
        <w:jc w:val="both"/>
        <w:rPr>
          <w:rFonts w:ascii="Arial" w:eastAsia="Arial" w:hAnsi="Arial" w:cs="Arial"/>
          <w:color w:val="000000" w:themeColor="text1"/>
        </w:rPr>
      </w:pPr>
      <w:r w:rsidRPr="73F31BAE">
        <w:rPr>
          <w:rFonts w:ascii="Arial" w:eastAsia="Arial" w:hAnsi="Arial" w:cs="Arial"/>
          <w:color w:val="000000" w:themeColor="text1"/>
        </w:rPr>
        <w:t xml:space="preserve">The quantitative research method with linear regression analysis aligns with the objective of providing a comprehensive understanding of the impact of interest rates on the stock market in the United Kingdom. By utilizing this methodological approach, the study aims to contribute to the existing literature on stock market dynamics and provide valuable insights for investors, policymakers, and financial analysts. </w:t>
      </w:r>
    </w:p>
    <w:p w14:paraId="42E40B9F" w14:textId="7F4A32AF"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 </w:t>
      </w:r>
    </w:p>
    <w:p w14:paraId="045A78A4" w14:textId="607D09A3"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b/>
          <w:bCs/>
          <w:color w:val="000000" w:themeColor="text1"/>
        </w:rPr>
        <w:t>3.2 Comparison between Quantitative and Qualitative research</w:t>
      </w:r>
      <w:r w:rsidRPr="73F31BAE">
        <w:rPr>
          <w:rFonts w:ascii="Arial" w:eastAsia="Arial" w:hAnsi="Arial" w:cs="Arial"/>
          <w:color w:val="000000" w:themeColor="text1"/>
        </w:rPr>
        <w:t xml:space="preserve"> </w:t>
      </w:r>
    </w:p>
    <w:p w14:paraId="32FD8CF8" w14:textId="487CFBAC"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 </w:t>
      </w:r>
    </w:p>
    <w:p w14:paraId="3960C209" w14:textId="194B31C1" w:rsidR="0B3603E4" w:rsidRDefault="6E692AAC"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 xml:space="preserve">Quantitative and qualitative research methods are both valuable approaches in academic research. However, in the context of studying the impact of interest rates on the stock market in the United Kingdom, a preference for quantitative research methods can be justified. Quantitative research methods involve the collection and analysis of numerical data, allowing for statistical and mathematical modeling to identify patterns and relationships (Macaulay, </w:t>
      </w:r>
      <w:proofErr w:type="spellStart"/>
      <w:r w:rsidRPr="73F31BAE">
        <w:rPr>
          <w:rFonts w:ascii="Arial" w:eastAsia="Arial" w:hAnsi="Arial" w:cs="Arial"/>
          <w:color w:val="000000" w:themeColor="text1"/>
        </w:rPr>
        <w:t>Jagosh</w:t>
      </w:r>
      <w:proofErr w:type="spellEnd"/>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Pluye</w:t>
      </w:r>
      <w:proofErr w:type="spellEnd"/>
      <w:r w:rsidRPr="73F31BAE">
        <w:rPr>
          <w:rFonts w:ascii="Arial" w:eastAsia="Arial" w:hAnsi="Arial" w:cs="Arial"/>
          <w:color w:val="000000" w:themeColor="text1"/>
        </w:rPr>
        <w:t>, Bush, and Salsberg, 2013). In the study of economic phenomena such as the impact of interest rates on the stock market, quantitative methods are particularly advantageous due to their ability to provide precise measurements and statistical significance, which are essential for understanding complex financial interactions (Balog, 2020)</w:t>
      </w:r>
      <w:r w:rsidR="5450D390" w:rsidRPr="73F31BAE">
        <w:rPr>
          <w:rFonts w:ascii="Arial" w:eastAsia="Arial" w:hAnsi="Arial" w:cs="Arial"/>
          <w:color w:val="000000" w:themeColor="text1"/>
        </w:rPr>
        <w:t>.</w:t>
      </w:r>
    </w:p>
    <w:p w14:paraId="21920141" w14:textId="6BE98D14"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 xml:space="preserve"> </w:t>
      </w:r>
    </w:p>
    <w:p w14:paraId="7F24FC83" w14:textId="0079B6C7" w:rsidR="0B3603E4" w:rsidRDefault="6E692AAC"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 xml:space="preserve">While qualitative research methods, which involve the collection and analysis of non-numerical data such as interviews, observations, and textual analysis, can provide in-depth insights into individuals' perceptions and behaviors (Shaffer, 1996), they may not be as suitable for studying the intricate relationships between interest rates and stock market performance. Quantitative methods, on the other hand, allow for the analysis of large datasets from financial markets, enabling researchers to identify correlations, trends, and predictive models that can inform investment decisions and policy implications (Blersch, Franchuk, Lucas, Nord, </w:t>
      </w:r>
      <w:proofErr w:type="spellStart"/>
      <w:r w:rsidRPr="73F31BAE">
        <w:rPr>
          <w:rFonts w:ascii="Arial" w:eastAsia="Arial" w:hAnsi="Arial" w:cs="Arial"/>
          <w:color w:val="000000" w:themeColor="text1"/>
        </w:rPr>
        <w:t>Varsanyi</w:t>
      </w:r>
      <w:proofErr w:type="spellEnd"/>
      <w:r w:rsidRPr="73F31BAE">
        <w:rPr>
          <w:rFonts w:ascii="Arial" w:eastAsia="Arial" w:hAnsi="Arial" w:cs="Arial"/>
          <w:color w:val="000000" w:themeColor="text1"/>
        </w:rPr>
        <w:t xml:space="preserve">, and Bonnell, 2021). </w:t>
      </w:r>
    </w:p>
    <w:p w14:paraId="75B93B12" w14:textId="6B4F07B4"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 xml:space="preserve"> </w:t>
      </w:r>
    </w:p>
    <w:p w14:paraId="3A0BBCFB" w14:textId="7EF82D12" w:rsidR="0B3603E4" w:rsidRDefault="6E692AAC"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 xml:space="preserve">In the context of economic research, the preference for quantitative methods is further supported by the potential for causal analysis and the construction of directed acyclic graphs, which can help </w:t>
      </w:r>
      <w:r w:rsidRPr="73F31BAE">
        <w:rPr>
          <w:rFonts w:ascii="Arial" w:eastAsia="Arial" w:hAnsi="Arial" w:cs="Arial"/>
          <w:color w:val="000000" w:themeColor="text1"/>
        </w:rPr>
        <w:lastRenderedPageBreak/>
        <w:t xml:space="preserve">in identifying variables of interest and testing them through subsequent quantitative statistics (Blersch, Franchuk, Lucas, Nord, </w:t>
      </w:r>
      <w:proofErr w:type="spellStart"/>
      <w:r w:rsidRPr="73F31BAE">
        <w:rPr>
          <w:rFonts w:ascii="Arial" w:eastAsia="Arial" w:hAnsi="Arial" w:cs="Arial"/>
          <w:color w:val="000000" w:themeColor="text1"/>
        </w:rPr>
        <w:t>Varsanyi</w:t>
      </w:r>
      <w:proofErr w:type="spellEnd"/>
      <w:r w:rsidRPr="73F31BAE">
        <w:rPr>
          <w:rFonts w:ascii="Arial" w:eastAsia="Arial" w:hAnsi="Arial" w:cs="Arial"/>
          <w:color w:val="000000" w:themeColor="text1"/>
        </w:rPr>
        <w:t xml:space="preserve">, and Bonnell, 2021).  Additionally, the use of quantitative methods in participatory research has been shown to provide valuable insights into economic phenomena, highlighting the relevance of numerical data in understanding complex social and economic dynamics (Macaulay, </w:t>
      </w:r>
      <w:proofErr w:type="spellStart"/>
      <w:r w:rsidRPr="73F31BAE">
        <w:rPr>
          <w:rFonts w:ascii="Arial" w:eastAsia="Arial" w:hAnsi="Arial" w:cs="Arial"/>
          <w:color w:val="000000" w:themeColor="text1"/>
        </w:rPr>
        <w:t>Jagosh</w:t>
      </w:r>
      <w:proofErr w:type="spellEnd"/>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Pluye</w:t>
      </w:r>
      <w:proofErr w:type="spellEnd"/>
      <w:r w:rsidRPr="73F31BAE">
        <w:rPr>
          <w:rFonts w:ascii="Arial" w:eastAsia="Arial" w:hAnsi="Arial" w:cs="Arial"/>
          <w:color w:val="000000" w:themeColor="text1"/>
        </w:rPr>
        <w:t>, Bush, and Salsberg, 2013)</w:t>
      </w:r>
      <w:r w:rsidR="63230523" w:rsidRPr="73F31BAE">
        <w:rPr>
          <w:rFonts w:ascii="Arial" w:eastAsia="Arial" w:hAnsi="Arial" w:cs="Arial"/>
          <w:color w:val="000000" w:themeColor="text1"/>
        </w:rPr>
        <w:t>.</w:t>
      </w:r>
    </w:p>
    <w:p w14:paraId="0651D806" w14:textId="43292B08"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 xml:space="preserve"> </w:t>
      </w:r>
    </w:p>
    <w:p w14:paraId="2FFBB916" w14:textId="2B31FFF6" w:rsidR="0B3603E4" w:rsidRDefault="6E692AAC"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 xml:space="preserve">In summary, while qualitative research methods have their own merits, the preference for quantitative research methods in studying the impact of interest rates on the stock market in the United Kingdom is justified by their ability to provide precise measurements, statistical significance, and insights into complex financial interactions. </w:t>
      </w:r>
    </w:p>
    <w:p w14:paraId="69067EEB" w14:textId="5D62E3A3"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 </w:t>
      </w:r>
    </w:p>
    <w:p w14:paraId="58EFCF1F" w14:textId="5C4BF4FC"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b/>
          <w:bCs/>
          <w:color w:val="000000" w:themeColor="text1"/>
        </w:rPr>
        <w:t>3.3 Regression Analysis</w:t>
      </w:r>
      <w:r w:rsidRPr="73F31BAE">
        <w:rPr>
          <w:rFonts w:ascii="Arial" w:eastAsia="Arial" w:hAnsi="Arial" w:cs="Arial"/>
          <w:color w:val="000000" w:themeColor="text1"/>
        </w:rPr>
        <w:t xml:space="preserve"> </w:t>
      </w:r>
    </w:p>
    <w:p w14:paraId="63385662" w14:textId="25D52395"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 </w:t>
      </w:r>
    </w:p>
    <w:p w14:paraId="50702A33" w14:textId="32D74077" w:rsidR="0B3603E4" w:rsidRDefault="6E692AAC"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Linear regression analysis is a statistical method used to model the relationship between a dependent variable and one or more independent variables. In the context of the impact of interest rates on the stock market in the United Kingdom, linear regression analysis can be employed to understand how changes in interest rates affect stock market performance. This method allows researchers to quantify the impact of interest rate fluctuations on stock returns and assess the significance of this relationship</w:t>
      </w:r>
      <w:r w:rsidR="0AEBA9AA" w:rsidRPr="73F31BAE">
        <w:rPr>
          <w:rFonts w:ascii="Arial" w:eastAsia="Arial" w:hAnsi="Arial" w:cs="Arial"/>
          <w:color w:val="000000" w:themeColor="text1"/>
        </w:rPr>
        <w:t>.</w:t>
      </w:r>
    </w:p>
    <w:p w14:paraId="4229F5CA" w14:textId="2417AEDF"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 xml:space="preserve"> </w:t>
      </w:r>
    </w:p>
    <w:p w14:paraId="7485F191" w14:textId="2E9AED3B" w:rsidR="0B3603E4" w:rsidRDefault="6E692AAC"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For example, in a study by (</w:t>
      </w:r>
      <w:proofErr w:type="spellStart"/>
      <w:r w:rsidRPr="73F31BAE">
        <w:rPr>
          <w:rFonts w:ascii="Arial" w:eastAsia="Arial" w:hAnsi="Arial" w:cs="Arial"/>
          <w:color w:val="000000" w:themeColor="text1"/>
        </w:rPr>
        <w:t>Bekiros</w:t>
      </w:r>
      <w:proofErr w:type="spellEnd"/>
      <w:r w:rsidRPr="73F31BAE">
        <w:rPr>
          <w:rFonts w:ascii="Arial" w:eastAsia="Arial" w:hAnsi="Arial" w:cs="Arial"/>
          <w:color w:val="000000" w:themeColor="text1"/>
        </w:rPr>
        <w:t xml:space="preserve"> and Gupta, 2015), the authors demonstrated how the consumption-aggregate wealth ratio (cay) can predict stock returns and volatility using a nonlinear approach. This illustrates the application of linear regression in understanding stock market dynamics. Additionally, a study utilized regression analysis to investigate the effect of trading volume, frequency, and market capitalization on stock returns in the chemical sub-sector. The regression coefficients provided insights into the relationship between these variables and stock returns (Nurhayati, 2022)</w:t>
      </w:r>
      <w:r w:rsidR="4C2ECCE0" w:rsidRPr="73F31BAE">
        <w:rPr>
          <w:rFonts w:ascii="Arial" w:eastAsia="Arial" w:hAnsi="Arial" w:cs="Arial"/>
          <w:color w:val="000000" w:themeColor="text1"/>
        </w:rPr>
        <w:t>.</w:t>
      </w:r>
    </w:p>
    <w:p w14:paraId="786A7C79" w14:textId="2FB4C48A"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 xml:space="preserve"> </w:t>
      </w:r>
    </w:p>
    <w:p w14:paraId="279943BE" w14:textId="57159837" w:rsidR="0B3603E4" w:rsidRDefault="6E692AAC"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 xml:space="preserve">The choice of employing linear regression analysis in this study is justified by its ability to model the relationship between variables and provide quantitative insights into the impact of interest rates on stock market performance. Linear regression allows for the identification of the strength and direction of the relationship, enabling researchers to make predictions and test hypotheses based on the observed data. Furthermore, the use of quantitative research methods, as indicated in the </w:t>
      </w:r>
      <w:r w:rsidRPr="73F31BAE">
        <w:rPr>
          <w:rFonts w:ascii="Arial" w:eastAsia="Arial" w:hAnsi="Arial" w:cs="Arial"/>
          <w:color w:val="000000" w:themeColor="text1"/>
        </w:rPr>
        <w:lastRenderedPageBreak/>
        <w:t>study methodology, aligns with the objective of employing linear regression analysis to analyze numerical data and derive empirical findings</w:t>
      </w:r>
      <w:r w:rsidR="17A28603" w:rsidRPr="73F31BAE">
        <w:rPr>
          <w:rFonts w:ascii="Arial" w:eastAsia="Arial" w:hAnsi="Arial" w:cs="Arial"/>
          <w:color w:val="000000" w:themeColor="text1"/>
        </w:rPr>
        <w:t>.</w:t>
      </w:r>
    </w:p>
    <w:p w14:paraId="6ACB9878" w14:textId="75AD3681"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 xml:space="preserve"> </w:t>
      </w:r>
    </w:p>
    <w:p w14:paraId="5C158FFF" w14:textId="03E90048" w:rsidR="0B3603E4" w:rsidRDefault="6E692AAC"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 xml:space="preserve">In contrast to other analytical methods, such as nonparametric statistics or predictive models, linear regression analysis is particularly suitable for examining the linear relationship between variables, which is essential in understanding how changes in interest rates influence stock market behavior. This method provides a structured approach to modeling the relationship and estimating the magnitude of the impact, making it a valuable tool for investigating the impact of interest rates on stock market dynamics in the United Kingdom. </w:t>
      </w:r>
    </w:p>
    <w:p w14:paraId="1810B300" w14:textId="69AAF98A"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 </w:t>
      </w:r>
    </w:p>
    <w:p w14:paraId="4A1026CD" w14:textId="366303C3"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b/>
          <w:bCs/>
          <w:color w:val="000000" w:themeColor="text1"/>
        </w:rPr>
        <w:t xml:space="preserve">3.4 Data Collection Methods </w:t>
      </w:r>
      <w:r w:rsidRPr="73F31BAE">
        <w:rPr>
          <w:rFonts w:ascii="Arial" w:eastAsia="Arial" w:hAnsi="Arial" w:cs="Arial"/>
          <w:color w:val="000000" w:themeColor="text1"/>
        </w:rPr>
        <w:t xml:space="preserve"> </w:t>
      </w:r>
    </w:p>
    <w:p w14:paraId="48281594" w14:textId="76CCD26E"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 </w:t>
      </w:r>
    </w:p>
    <w:p w14:paraId="4698CBDE" w14:textId="153B950C"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The data collection method for the study on the impact of interest rates on the stock market in the United Kingdom will primarily utilize quantitative data from reputable sources such as the Bank of England, the Office for National Statistics (ONS), the London Stock Exchange (LSE), and Trading Economic</w:t>
      </w:r>
      <w:r w:rsidR="0BCED351" w:rsidRPr="73F31BAE">
        <w:rPr>
          <w:rFonts w:ascii="Arial" w:eastAsia="Arial" w:hAnsi="Arial" w:cs="Arial"/>
        </w:rPr>
        <w:t>s.</w:t>
      </w:r>
    </w:p>
    <w:p w14:paraId="1734311E" w14:textId="04CF6FEA"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 xml:space="preserve"> </w:t>
      </w:r>
    </w:p>
    <w:p w14:paraId="34D8962E" w14:textId="162E433C"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The data will be aggregated and anonymized to prevent the identification of specific companies, individuals, or proprietary financial information sources. This approach aligns with the need for numerical information for statistical analysis in the study, as it aims to investigate the relationship between interest rates and stock market performance in the UK</w:t>
      </w:r>
      <w:r w:rsidR="4C47CFD5" w:rsidRPr="73F31BAE">
        <w:rPr>
          <w:rFonts w:ascii="Arial" w:eastAsia="Arial" w:hAnsi="Arial" w:cs="Arial"/>
        </w:rPr>
        <w:t>.</w:t>
      </w:r>
    </w:p>
    <w:p w14:paraId="788992E5" w14:textId="21CA30CB"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 xml:space="preserve"> </w:t>
      </w:r>
    </w:p>
    <w:p w14:paraId="38B3744B" w14:textId="030F480A"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The utilization of quantitative data collection methods is essential for this study, as it will enable the researcher to conduct statistical analysis to understand the impact of interest rates on the stock market. The study will draw upon official platforms such as the Bank of England and the Office for National Statistics to gather reliable and high-quality data, ensuring the robustness of the analysis. Additionally, the inclusion of data from the London Stock Exchange and Trading Economics will provide comprehensive insights into stock market performance in the UK.</w:t>
      </w:r>
    </w:p>
    <w:p w14:paraId="57698CD3" w14:textId="5ADD0581"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 xml:space="preserve"> </w:t>
      </w:r>
    </w:p>
    <w:p w14:paraId="35ADF2A2" w14:textId="593223BF"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 xml:space="preserve">Furthermore, the decision to aggregate and anonymize the data is crucial for maintaining the confidentiality and privacy of the information sources. This approach aligns with ethical considerations and data protection principles, ensuring that specific companies, individuals, or proprietary financial information sources are not identifiable in the </w:t>
      </w:r>
      <w:proofErr w:type="gramStart"/>
      <w:r w:rsidRPr="73F31BAE">
        <w:rPr>
          <w:rFonts w:ascii="Arial" w:eastAsia="Arial" w:hAnsi="Arial" w:cs="Arial"/>
        </w:rPr>
        <w:t>study</w:t>
      </w:r>
      <w:proofErr w:type="gramEnd"/>
    </w:p>
    <w:p w14:paraId="5CA08D07" w14:textId="13B03CC7"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 xml:space="preserve"> </w:t>
      </w:r>
    </w:p>
    <w:p w14:paraId="5D124F8E" w14:textId="1ECB200A" w:rsidR="0B3603E4" w:rsidRDefault="23EC67A0" w:rsidP="73F31BAE">
      <w:pPr>
        <w:spacing w:after="0" w:line="360" w:lineRule="auto"/>
        <w:ind w:left="-30" w:right="-30"/>
        <w:jc w:val="both"/>
        <w:rPr>
          <w:rFonts w:ascii="Arial" w:eastAsia="Arial" w:hAnsi="Arial" w:cs="Arial"/>
        </w:rPr>
      </w:pPr>
      <w:r w:rsidRPr="73F31BAE">
        <w:rPr>
          <w:rFonts w:ascii="Arial" w:eastAsia="Arial" w:hAnsi="Arial" w:cs="Arial"/>
        </w:rPr>
        <w:lastRenderedPageBreak/>
        <w:t>T</w:t>
      </w:r>
      <w:r w:rsidR="6E692AAC" w:rsidRPr="73F31BAE">
        <w:rPr>
          <w:rFonts w:ascii="Arial" w:eastAsia="Arial" w:hAnsi="Arial" w:cs="Arial"/>
        </w:rPr>
        <w:t xml:space="preserve">he data collection method for the study will focus on utilizing quantitative data from reputable sources such as the Bank of England, the Office for National Statistics, the London Stock Exchange, and Trading Economics. The aggregation and anonymization of the data will be implemented to uphold confidentiality and prevent the identification of specific entities, individuals, or proprietary financial information sources. </w:t>
      </w:r>
    </w:p>
    <w:p w14:paraId="42E871D8" w14:textId="5FF82718"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 </w:t>
      </w:r>
    </w:p>
    <w:p w14:paraId="2620734B" w14:textId="581777CA"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b/>
          <w:bCs/>
          <w:color w:val="000000" w:themeColor="text1"/>
        </w:rPr>
        <w:t>3.5 Ethical Consideration</w:t>
      </w:r>
      <w:r w:rsidRPr="73F31BAE">
        <w:rPr>
          <w:rFonts w:ascii="Arial" w:eastAsia="Arial" w:hAnsi="Arial" w:cs="Arial"/>
          <w:color w:val="000000" w:themeColor="text1"/>
        </w:rPr>
        <w:t xml:space="preserve"> </w:t>
      </w:r>
    </w:p>
    <w:p w14:paraId="2AA554AE" w14:textId="010700CA"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 </w:t>
      </w:r>
    </w:p>
    <w:p w14:paraId="672EBA42" w14:textId="55345980"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The data collection method for the study on the impact of interest rates on the stock market in the United Kingdom necessitates careful consideration of ethical principles to ensure the confidentiality, privacy, and integrity of the information sources. The utilization of quantitative data from reputable sources such as the Bank of England, the Office for National Statistics (ONS), the London Stock Exchange (LSE), and Trading Economics underscores the importance of ethical considerations in the research process</w:t>
      </w:r>
      <w:r w:rsidR="43E4E3C3" w:rsidRPr="73F31BAE">
        <w:rPr>
          <w:rFonts w:ascii="Arial" w:eastAsia="Arial" w:hAnsi="Arial" w:cs="Arial"/>
        </w:rPr>
        <w:t>.</w:t>
      </w:r>
    </w:p>
    <w:p w14:paraId="18E4A522" w14:textId="4E5284BD"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 xml:space="preserve"> </w:t>
      </w:r>
    </w:p>
    <w:p w14:paraId="78BE73C1" w14:textId="57BA4C19"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 xml:space="preserve">One of the primary ethical considerations in this study is the protection of confidentiality and privacy. The decision to aggregate and anonymize the data is essential to prevent the identification of specific companies, individuals, or proprietary financial information sources. By anonymizing the data, the researchers uphold the confidentiality of the information sources and mitigate the risk of potential harm or misuse of the data. This approach aligns with the ethical principle of respecting the privacy of individuals and organizations whose data is being utilized for research purposes. </w:t>
      </w:r>
    </w:p>
    <w:p w14:paraId="54B65571" w14:textId="52952E3F"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 xml:space="preserve"> </w:t>
      </w:r>
    </w:p>
    <w:p w14:paraId="561B4849" w14:textId="036436DF"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Furthermore, the ethical principle of beneficence is also relevant to the data collection method. By drawing upon official platforms such as the Bank of England and the Office for National Statistics to gather reliable and high-quality data, the researchers demonstrate a commitment to using information that has been obtained and maintained in an ethical manner. This ensures that the study's findings are based on robust and trustworthy data, thereby contributing to the advancement of knowledge in the field of finance and economics</w:t>
      </w:r>
      <w:r w:rsidR="708E0633" w:rsidRPr="73F31BAE">
        <w:rPr>
          <w:rFonts w:ascii="Arial" w:eastAsia="Arial" w:hAnsi="Arial" w:cs="Arial"/>
        </w:rPr>
        <w:t>.</w:t>
      </w:r>
    </w:p>
    <w:p w14:paraId="3B493220" w14:textId="6949BAE1"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 xml:space="preserve"> </w:t>
      </w:r>
    </w:p>
    <w:p w14:paraId="45A9CF0D" w14:textId="367F945D"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t>Moreover, the decision to utilize quantitative data from reputable sources aligns with the ethical principle of integrity. By relying on official platforms and recognized financial institutions, the researchers uphold the integrity of the study and demonstrate a commitment to using accurate and reliable information. This ethical consideration is crucial in maintaining the credibility and validity of the research findings, thereby contributing to the study's overall trustworthiness</w:t>
      </w:r>
      <w:r w:rsidR="49908EDB" w:rsidRPr="73F31BAE">
        <w:rPr>
          <w:rFonts w:ascii="Arial" w:eastAsia="Arial" w:hAnsi="Arial" w:cs="Arial"/>
        </w:rPr>
        <w:t>.</w:t>
      </w:r>
    </w:p>
    <w:p w14:paraId="5069067C" w14:textId="2E897D09" w:rsidR="0B3603E4" w:rsidRDefault="6E692AAC" w:rsidP="73F31BAE">
      <w:pPr>
        <w:spacing w:after="0" w:line="360" w:lineRule="auto"/>
        <w:ind w:left="-30" w:right="-30"/>
        <w:jc w:val="both"/>
        <w:rPr>
          <w:rFonts w:ascii="Arial" w:eastAsia="Arial" w:hAnsi="Arial" w:cs="Arial"/>
        </w:rPr>
      </w:pPr>
      <w:r w:rsidRPr="73F31BAE">
        <w:rPr>
          <w:rFonts w:ascii="Arial" w:eastAsia="Arial" w:hAnsi="Arial" w:cs="Arial"/>
        </w:rPr>
        <w:lastRenderedPageBreak/>
        <w:t xml:space="preserve"> </w:t>
      </w:r>
    </w:p>
    <w:p w14:paraId="0ECAB30F" w14:textId="58C9DAF5" w:rsidR="0B3603E4" w:rsidRDefault="51348ECF" w:rsidP="73F31BAE">
      <w:pPr>
        <w:spacing w:after="0" w:line="360" w:lineRule="auto"/>
        <w:ind w:left="-30" w:right="-30"/>
        <w:jc w:val="both"/>
        <w:rPr>
          <w:rFonts w:ascii="Arial" w:eastAsia="Arial" w:hAnsi="Arial" w:cs="Arial"/>
        </w:rPr>
      </w:pPr>
      <w:r w:rsidRPr="73F31BAE">
        <w:rPr>
          <w:rFonts w:ascii="Arial" w:eastAsia="Arial" w:hAnsi="Arial" w:cs="Arial"/>
        </w:rPr>
        <w:t>T</w:t>
      </w:r>
      <w:r w:rsidR="6E692AAC" w:rsidRPr="73F31BAE">
        <w:rPr>
          <w:rFonts w:ascii="Arial" w:eastAsia="Arial" w:hAnsi="Arial" w:cs="Arial"/>
        </w:rPr>
        <w:t>he ethical considerations</w:t>
      </w:r>
      <w:r w:rsidR="4FF7253F" w:rsidRPr="73F31BAE">
        <w:rPr>
          <w:rFonts w:ascii="Arial" w:eastAsia="Arial" w:hAnsi="Arial" w:cs="Arial"/>
        </w:rPr>
        <w:t xml:space="preserve"> </w:t>
      </w:r>
      <w:r w:rsidR="6E692AAC" w:rsidRPr="73F31BAE">
        <w:rPr>
          <w:rFonts w:ascii="Arial" w:eastAsia="Arial" w:hAnsi="Arial" w:cs="Arial"/>
        </w:rPr>
        <w:t xml:space="preserve">for the study on the impact of interest rates on the stock market in the United Kingdom encompass the protection of confidentiality and privacy, the principle of beneficence in utilizing reliable data, and the commitment to integrity in sourcing information from reputable sources. These ethical considerations are essential in upholding the ethical standards of research and ensuring the responsible conduct of the study. </w:t>
      </w:r>
    </w:p>
    <w:p w14:paraId="345F4EE5" w14:textId="1DE92D94"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 </w:t>
      </w:r>
    </w:p>
    <w:p w14:paraId="3FCD1275" w14:textId="14E4C43A" w:rsidR="0B3603E4" w:rsidRDefault="6E692AAC" w:rsidP="73F31BAE">
      <w:pPr>
        <w:spacing w:after="200" w:line="360" w:lineRule="auto"/>
        <w:ind w:left="-20" w:right="-20"/>
        <w:jc w:val="both"/>
        <w:rPr>
          <w:rFonts w:ascii="Arial" w:eastAsia="Arial" w:hAnsi="Arial" w:cs="Arial"/>
          <w:b/>
          <w:bCs/>
          <w:color w:val="000000" w:themeColor="text1"/>
        </w:rPr>
      </w:pPr>
      <w:r w:rsidRPr="73F31BAE">
        <w:rPr>
          <w:rFonts w:ascii="Arial" w:eastAsia="Arial" w:hAnsi="Arial" w:cs="Arial"/>
          <w:b/>
          <w:bCs/>
          <w:color w:val="000000" w:themeColor="text1"/>
        </w:rPr>
        <w:t>3.6 Conclusion</w:t>
      </w:r>
    </w:p>
    <w:p w14:paraId="61052305" w14:textId="04FE3790" w:rsidR="0B3603E4" w:rsidRDefault="6E692AAC"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 xml:space="preserve">The research methodology for investigating the impact of interest rates on the stock market in the United Kingdom has been carefully designed to employ a quantitative research method with linear regression analysis. This approach is supported by previous empirical research studies that have utilized quantitative methods to analyze stock market dynamics and relationships between market variables. The focus on data from the last 10 years aligns with the significance of time series data in predicting stock market volatility, emphasizing the relevance of analyzing data over a specific period to understand market dynamics. </w:t>
      </w:r>
    </w:p>
    <w:p w14:paraId="51567D0E" w14:textId="53BD55F7" w:rsidR="0B3603E4" w:rsidRDefault="6E692AAC"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 xml:space="preserve"> </w:t>
      </w:r>
    </w:p>
    <w:p w14:paraId="0FA256BE" w14:textId="48D83C46" w:rsidR="0B3603E4" w:rsidRDefault="6E692AAC"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 xml:space="preserve">The incorporation of linear regression analysis is justified by its applicability in analyzing stock market dynamics and providing valuable insights for investors, policymakers, and financial analysts. The data collection method for the study will primarily utilize quantitative data from reputable sources such as the Bank of England, the Office for National Statistics, the London Stock Exchange, and Trading Economics. </w:t>
      </w:r>
    </w:p>
    <w:p w14:paraId="407B0CA8" w14:textId="4B89F5B0" w:rsidR="0B3603E4" w:rsidRDefault="6E692AAC"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 xml:space="preserve"> </w:t>
      </w:r>
    </w:p>
    <w:p w14:paraId="307604B0" w14:textId="380DE912" w:rsidR="0B3603E4" w:rsidRDefault="6E692AAC"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 xml:space="preserve">In conclusion, the research methodology for investigating the impact of interest rates on the stock market in the United Kingdom is robust and well-aligned with the objectives of the study. The preference for quantitative research methods, the utilization of linear regression analysis, and the ethical considerations in data collection collectively contribute to the rigor and integrity of the research process. </w:t>
      </w:r>
    </w:p>
    <w:p w14:paraId="75F94CD7" w14:textId="675FB076" w:rsidR="0B3603E4" w:rsidRDefault="0B3603E4" w:rsidP="73F31BAE">
      <w:pPr>
        <w:spacing w:after="0" w:line="360" w:lineRule="auto"/>
        <w:ind w:left="-30" w:right="-30"/>
        <w:jc w:val="both"/>
        <w:rPr>
          <w:rFonts w:ascii="Arial" w:eastAsia="Arial" w:hAnsi="Arial" w:cs="Arial"/>
          <w:color w:val="000000" w:themeColor="text1"/>
        </w:rPr>
      </w:pPr>
    </w:p>
    <w:p w14:paraId="42BB019C" w14:textId="627ECE55" w:rsidR="0B3603E4" w:rsidRDefault="7C306BCB" w:rsidP="73F31BAE">
      <w:pPr>
        <w:spacing w:after="0" w:line="360" w:lineRule="auto"/>
        <w:ind w:left="-30" w:right="-30"/>
        <w:jc w:val="both"/>
        <w:rPr>
          <w:rFonts w:ascii="Arial" w:eastAsia="Arial" w:hAnsi="Arial" w:cs="Arial"/>
          <w:color w:val="000000" w:themeColor="text1"/>
        </w:rPr>
      </w:pPr>
      <w:r w:rsidRPr="73F31BAE">
        <w:rPr>
          <w:rFonts w:ascii="Arial" w:eastAsia="Arial" w:hAnsi="Arial" w:cs="Arial"/>
          <w:color w:val="000000" w:themeColor="text1"/>
        </w:rPr>
        <w:t>____________________________________________________________________________</w:t>
      </w:r>
    </w:p>
    <w:p w14:paraId="0BA9542E" w14:textId="73823E1A" w:rsidR="0B3603E4" w:rsidRDefault="6E692AAC"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 </w:t>
      </w:r>
    </w:p>
    <w:p w14:paraId="782AA534" w14:textId="7F371C5A" w:rsidR="0B3603E4" w:rsidRDefault="6E692AAC" w:rsidP="00CD52D8">
      <w:pPr>
        <w:spacing w:after="0" w:line="360" w:lineRule="auto"/>
        <w:ind w:left="-20" w:right="-20"/>
        <w:jc w:val="both"/>
      </w:pPr>
      <w:r w:rsidRPr="73F31BAE">
        <w:rPr>
          <w:rFonts w:ascii="Arial" w:eastAsia="Arial" w:hAnsi="Arial" w:cs="Arial"/>
          <w:color w:val="000000" w:themeColor="text1"/>
        </w:rPr>
        <w:t xml:space="preserve"> </w:t>
      </w:r>
    </w:p>
    <w:p w14:paraId="55BA6D3C" w14:textId="77777777" w:rsidR="00CD52D8" w:rsidRDefault="00CD52D8">
      <w:pPr>
        <w:rPr>
          <w:rFonts w:ascii="Arial" w:eastAsia="Arial" w:hAnsi="Arial" w:cs="Arial"/>
          <w:b/>
          <w:bCs/>
          <w:sz w:val="40"/>
          <w:szCs w:val="40"/>
        </w:rPr>
      </w:pPr>
      <w:r>
        <w:rPr>
          <w:rFonts w:ascii="Arial" w:eastAsia="Arial" w:hAnsi="Arial" w:cs="Arial"/>
          <w:b/>
          <w:bCs/>
          <w:sz w:val="40"/>
          <w:szCs w:val="40"/>
        </w:rPr>
        <w:br w:type="page"/>
      </w:r>
    </w:p>
    <w:p w14:paraId="18B5B5D4" w14:textId="004798B8" w:rsidR="0B3603E4" w:rsidRDefault="30C0A72F" w:rsidP="73F31BAE">
      <w:pPr>
        <w:jc w:val="center"/>
        <w:rPr>
          <w:rFonts w:ascii="Arial" w:eastAsia="Arial" w:hAnsi="Arial" w:cs="Arial"/>
          <w:b/>
          <w:bCs/>
          <w:sz w:val="40"/>
          <w:szCs w:val="40"/>
        </w:rPr>
      </w:pPr>
      <w:r w:rsidRPr="73F31BAE">
        <w:rPr>
          <w:rFonts w:ascii="Arial" w:eastAsia="Arial" w:hAnsi="Arial" w:cs="Arial"/>
          <w:b/>
          <w:bCs/>
          <w:sz w:val="40"/>
          <w:szCs w:val="40"/>
        </w:rPr>
        <w:lastRenderedPageBreak/>
        <w:t>Chapter four:</w:t>
      </w:r>
      <w:r w:rsidR="2B4D0B97" w:rsidRPr="73F31BAE">
        <w:rPr>
          <w:rFonts w:ascii="Arial" w:eastAsia="Arial" w:hAnsi="Arial" w:cs="Arial"/>
          <w:b/>
          <w:bCs/>
          <w:sz w:val="40"/>
          <w:szCs w:val="40"/>
        </w:rPr>
        <w:t xml:space="preserve"> </w:t>
      </w:r>
      <w:r w:rsidRPr="73F31BAE">
        <w:rPr>
          <w:rFonts w:ascii="Arial" w:eastAsia="Arial" w:hAnsi="Arial" w:cs="Arial"/>
          <w:b/>
          <w:bCs/>
          <w:sz w:val="40"/>
          <w:szCs w:val="40"/>
        </w:rPr>
        <w:t>Key findings and Results</w:t>
      </w:r>
    </w:p>
    <w:p w14:paraId="7F8BBBB4" w14:textId="5D9A5678" w:rsidR="0B3603E4" w:rsidRDefault="0B3603E4" w:rsidP="73F31BAE">
      <w:pPr>
        <w:jc w:val="center"/>
        <w:rPr>
          <w:rFonts w:ascii="Arial" w:eastAsia="Arial" w:hAnsi="Arial" w:cs="Arial"/>
          <w:b/>
          <w:bCs/>
        </w:rPr>
      </w:pPr>
    </w:p>
    <w:p w14:paraId="541E26AC" w14:textId="1C624ED3" w:rsidR="0B3603E4" w:rsidRDefault="4112D3B5" w:rsidP="73F31BAE">
      <w:pPr>
        <w:spacing w:line="360" w:lineRule="auto"/>
        <w:jc w:val="both"/>
        <w:rPr>
          <w:rFonts w:ascii="Arial" w:eastAsia="Arial" w:hAnsi="Arial" w:cs="Arial"/>
          <w:b/>
          <w:bCs/>
        </w:rPr>
      </w:pPr>
      <w:r w:rsidRPr="73F31BAE">
        <w:rPr>
          <w:rFonts w:ascii="Arial" w:eastAsia="Arial" w:hAnsi="Arial" w:cs="Arial"/>
          <w:b/>
          <w:bCs/>
        </w:rPr>
        <w:t>4.</w:t>
      </w:r>
      <w:r w:rsidR="23D45A5D" w:rsidRPr="73F31BAE">
        <w:rPr>
          <w:rFonts w:ascii="Arial" w:eastAsia="Arial" w:hAnsi="Arial" w:cs="Arial"/>
          <w:b/>
          <w:bCs/>
        </w:rPr>
        <w:t>1 Introduction</w:t>
      </w:r>
    </w:p>
    <w:p w14:paraId="1B39F56D" w14:textId="4B23DDE9" w:rsidR="42021E07" w:rsidRDefault="1A93D889" w:rsidP="73F31BAE">
      <w:pPr>
        <w:spacing w:line="360" w:lineRule="auto"/>
        <w:ind w:left="-20" w:right="-20"/>
        <w:jc w:val="both"/>
        <w:rPr>
          <w:rFonts w:ascii="Arial" w:eastAsia="Arial" w:hAnsi="Arial" w:cs="Arial"/>
        </w:rPr>
      </w:pPr>
      <w:r w:rsidRPr="73F31BAE">
        <w:rPr>
          <w:rFonts w:ascii="Arial" w:eastAsia="Arial" w:hAnsi="Arial" w:cs="Arial"/>
        </w:rPr>
        <w:t>Chapter 4 will evaluate the discovered findings and data regarding the influence of interest rates on the stock market in the United Kingdom. Section 4.2 comprises three parts. Firstly, 4.2.1 will analyze the trends and patterns identified from the existing literatures. Following that, Section 4.2.2 will explore the impact of the Bank of England’s interest rates on stock prices in the United Kingdom. Lastly, 4.2.3 will scrutinize the trading volume of the London Stock Exchange and key economic indicators in the United Kingdom followed by a conclusion.</w:t>
      </w:r>
    </w:p>
    <w:p w14:paraId="6A9183DE" w14:textId="7F3F04F1" w:rsidR="42021E07" w:rsidRDefault="42021E07" w:rsidP="73F31BAE">
      <w:pPr>
        <w:spacing w:line="360" w:lineRule="auto"/>
        <w:jc w:val="both"/>
        <w:rPr>
          <w:rFonts w:ascii="Arial" w:eastAsia="Arial" w:hAnsi="Arial" w:cs="Arial"/>
          <w:b/>
          <w:bCs/>
        </w:rPr>
      </w:pPr>
    </w:p>
    <w:p w14:paraId="47D5555E" w14:textId="232ED35B" w:rsidR="42021E07" w:rsidRDefault="4A613220" w:rsidP="73F31BAE">
      <w:pPr>
        <w:spacing w:line="360" w:lineRule="auto"/>
        <w:jc w:val="both"/>
        <w:rPr>
          <w:rFonts w:ascii="Arial" w:eastAsia="Arial" w:hAnsi="Arial" w:cs="Arial"/>
          <w:b/>
          <w:bCs/>
        </w:rPr>
      </w:pPr>
      <w:r w:rsidRPr="73F31BAE">
        <w:rPr>
          <w:rFonts w:ascii="Arial" w:eastAsia="Arial" w:hAnsi="Arial" w:cs="Arial"/>
          <w:b/>
          <w:bCs/>
        </w:rPr>
        <w:t>4.</w:t>
      </w:r>
      <w:r w:rsidR="7FBFA639" w:rsidRPr="73F31BAE">
        <w:rPr>
          <w:rFonts w:ascii="Arial" w:eastAsia="Arial" w:hAnsi="Arial" w:cs="Arial"/>
          <w:b/>
          <w:bCs/>
        </w:rPr>
        <w:t xml:space="preserve">2 </w:t>
      </w:r>
      <w:r w:rsidR="2BF6A655" w:rsidRPr="73F31BAE">
        <w:rPr>
          <w:rFonts w:ascii="Arial" w:eastAsia="Arial" w:hAnsi="Arial" w:cs="Arial"/>
          <w:b/>
          <w:bCs/>
        </w:rPr>
        <w:t>Findings and Analyses</w:t>
      </w:r>
    </w:p>
    <w:p w14:paraId="3CDB8BE9" w14:textId="6315AB92" w:rsidR="42021E07" w:rsidRDefault="2BF6A655" w:rsidP="73F31BAE">
      <w:pPr>
        <w:spacing w:line="360" w:lineRule="auto"/>
        <w:jc w:val="both"/>
        <w:rPr>
          <w:rFonts w:ascii="Arial" w:eastAsia="Arial" w:hAnsi="Arial" w:cs="Arial"/>
          <w:b/>
          <w:bCs/>
        </w:rPr>
      </w:pPr>
      <w:r w:rsidRPr="73F31BAE">
        <w:rPr>
          <w:rFonts w:ascii="Arial" w:eastAsia="Arial" w:hAnsi="Arial" w:cs="Arial"/>
          <w:b/>
          <w:bCs/>
        </w:rPr>
        <w:t xml:space="preserve">4.2.1 </w:t>
      </w:r>
      <w:r w:rsidR="35AEC568" w:rsidRPr="73F31BAE">
        <w:rPr>
          <w:rFonts w:ascii="Arial" w:eastAsia="Arial" w:hAnsi="Arial" w:cs="Arial"/>
          <w:b/>
          <w:bCs/>
        </w:rPr>
        <w:t xml:space="preserve">Trend and Patterns emerged from the literature </w:t>
      </w:r>
      <w:proofErr w:type="gramStart"/>
      <w:r w:rsidR="31AA2F05" w:rsidRPr="73F31BAE">
        <w:rPr>
          <w:rFonts w:ascii="Arial" w:eastAsia="Arial" w:hAnsi="Arial" w:cs="Arial"/>
          <w:b/>
          <w:bCs/>
        </w:rPr>
        <w:t>Review</w:t>
      </w:r>
      <w:proofErr w:type="gramEnd"/>
    </w:p>
    <w:p w14:paraId="3774C242" w14:textId="0206AAAD" w:rsidR="42021E07" w:rsidRDefault="128F2FD4" w:rsidP="73F31BAE">
      <w:pPr>
        <w:spacing w:line="360" w:lineRule="auto"/>
        <w:jc w:val="both"/>
        <w:rPr>
          <w:rFonts w:ascii="Arial" w:eastAsia="Arial" w:hAnsi="Arial" w:cs="Arial"/>
        </w:rPr>
      </w:pPr>
      <w:r w:rsidRPr="73F31BAE">
        <w:rPr>
          <w:rFonts w:ascii="Arial" w:eastAsia="Arial" w:hAnsi="Arial" w:cs="Arial"/>
        </w:rPr>
        <w:t xml:space="preserve">A brief </w:t>
      </w:r>
      <w:r w:rsidR="1CB98278" w:rsidRPr="73F31BAE">
        <w:rPr>
          <w:rFonts w:ascii="Arial" w:eastAsia="Arial" w:hAnsi="Arial" w:cs="Arial"/>
        </w:rPr>
        <w:t>comparison of stock market evolution</w:t>
      </w:r>
      <w:r w:rsidR="3E167BF8" w:rsidRPr="73F31BAE">
        <w:rPr>
          <w:rFonts w:ascii="Arial" w:eastAsia="Arial" w:hAnsi="Arial" w:cs="Arial"/>
        </w:rPr>
        <w:t xml:space="preserve"> with other nations</w:t>
      </w:r>
      <w:r w:rsidR="1CB98278" w:rsidRPr="73F31BAE">
        <w:rPr>
          <w:rFonts w:ascii="Arial" w:eastAsia="Arial" w:hAnsi="Arial" w:cs="Arial"/>
        </w:rPr>
        <w:t xml:space="preserve"> through time</w:t>
      </w:r>
      <w:r w:rsidR="1E5A36E5" w:rsidRPr="73F31BAE">
        <w:rPr>
          <w:rFonts w:ascii="Arial" w:eastAsia="Arial" w:hAnsi="Arial" w:cs="Arial"/>
        </w:rPr>
        <w:t xml:space="preserve"> (1980-2000).</w:t>
      </w:r>
    </w:p>
    <w:p w14:paraId="0D4317F9" w14:textId="41F62AF0" w:rsidR="7C1E5D2B" w:rsidRDefault="1D6AAA13" w:rsidP="73F31BAE">
      <w:pPr>
        <w:spacing w:line="360" w:lineRule="auto"/>
        <w:jc w:val="both"/>
        <w:rPr>
          <w:rFonts w:ascii="Arial" w:eastAsia="Arial" w:hAnsi="Arial" w:cs="Arial"/>
        </w:rPr>
      </w:pPr>
      <w:r w:rsidRPr="73F31BAE">
        <w:rPr>
          <w:rFonts w:ascii="Arial" w:eastAsia="Arial" w:hAnsi="Arial" w:cs="Arial"/>
        </w:rPr>
        <w:t xml:space="preserve">The stock markets have grown remarkably over the past 25 years. Table No. </w:t>
      </w:r>
      <w:r w:rsidR="6CACEF7A" w:rsidRPr="73F31BAE">
        <w:rPr>
          <w:rFonts w:ascii="Arial" w:eastAsia="Arial" w:hAnsi="Arial" w:cs="Arial"/>
        </w:rPr>
        <w:t>2</w:t>
      </w:r>
      <w:r w:rsidRPr="73F31BAE">
        <w:rPr>
          <w:rFonts w:ascii="Arial" w:eastAsia="Arial" w:hAnsi="Arial" w:cs="Arial"/>
        </w:rPr>
        <w:t xml:space="preserve"> illustrates the evolution of the economic significance of stock markets in developed nations using the capitalization of domestic listed companies as an indicator in relation to GDP.</w:t>
      </w:r>
    </w:p>
    <w:p w14:paraId="279C0280" w14:textId="5533656A" w:rsidR="42021E07" w:rsidRDefault="42021E07" w:rsidP="2F0C2401">
      <w:pPr>
        <w:rPr>
          <w:rFonts w:ascii="Arial" w:eastAsia="Arial" w:hAnsi="Arial" w:cs="Arial"/>
          <w:b/>
          <w:bCs/>
        </w:rPr>
      </w:pPr>
    </w:p>
    <w:p w14:paraId="3D004691" w14:textId="1D983CF8" w:rsidR="5C2FE2FD" w:rsidRDefault="60B3FC06" w:rsidP="73F31BAE">
      <w:pPr>
        <w:rPr>
          <w:rFonts w:ascii="Arial" w:eastAsia="Arial" w:hAnsi="Arial" w:cs="Arial"/>
          <w:b/>
          <w:bCs/>
        </w:rPr>
      </w:pPr>
      <w:r w:rsidRPr="73F31BAE">
        <w:rPr>
          <w:rFonts w:ascii="Arial" w:eastAsia="Arial" w:hAnsi="Arial" w:cs="Arial"/>
          <w:b/>
          <w:bCs/>
        </w:rPr>
        <w:t xml:space="preserve">Table no. 2. </w:t>
      </w:r>
      <w:r w:rsidR="1A1437BB" w:rsidRPr="73F31BAE">
        <w:rPr>
          <w:rFonts w:ascii="Arial" w:eastAsia="Arial" w:hAnsi="Arial" w:cs="Arial"/>
          <w:b/>
          <w:bCs/>
        </w:rPr>
        <w:t>Percentage</w:t>
      </w:r>
      <w:r w:rsidRPr="73F31BAE">
        <w:rPr>
          <w:rFonts w:ascii="Arial" w:eastAsia="Arial" w:hAnsi="Arial" w:cs="Arial"/>
          <w:b/>
          <w:bCs/>
        </w:rPr>
        <w:t xml:space="preserve"> of Market Capitalization/ National Product</w:t>
      </w:r>
    </w:p>
    <w:tbl>
      <w:tblPr>
        <w:tblStyle w:val="TableGrid"/>
        <w:tblW w:w="0" w:type="auto"/>
        <w:jc w:val="center"/>
        <w:tblLayout w:type="fixed"/>
        <w:tblLook w:val="06A0" w:firstRow="1" w:lastRow="0" w:firstColumn="1" w:lastColumn="0" w:noHBand="1" w:noVBand="1"/>
      </w:tblPr>
      <w:tblGrid>
        <w:gridCol w:w="2340"/>
        <w:gridCol w:w="2340"/>
        <w:gridCol w:w="2340"/>
        <w:gridCol w:w="2340"/>
      </w:tblGrid>
      <w:tr w:rsidR="42021E07" w14:paraId="028C6D31" w14:textId="77777777" w:rsidTr="2F0C2401">
        <w:trPr>
          <w:trHeight w:val="300"/>
          <w:jc w:val="center"/>
        </w:trPr>
        <w:tc>
          <w:tcPr>
            <w:tcW w:w="2340" w:type="dxa"/>
          </w:tcPr>
          <w:p w14:paraId="1BF2E1B5" w14:textId="043359D4" w:rsidR="42021E07" w:rsidRDefault="42021E07" w:rsidP="2F0C2401">
            <w:pPr>
              <w:jc w:val="center"/>
              <w:rPr>
                <w:rFonts w:ascii="Arial" w:eastAsia="Arial" w:hAnsi="Arial" w:cs="Arial"/>
                <w:b/>
                <w:bCs/>
              </w:rPr>
            </w:pPr>
          </w:p>
        </w:tc>
        <w:tc>
          <w:tcPr>
            <w:tcW w:w="2340" w:type="dxa"/>
          </w:tcPr>
          <w:p w14:paraId="0748D79E" w14:textId="05CE355E" w:rsidR="311A2E5A" w:rsidRDefault="7974066C" w:rsidP="2F0C2401">
            <w:pPr>
              <w:jc w:val="center"/>
              <w:rPr>
                <w:rFonts w:ascii="Arial" w:eastAsia="Arial" w:hAnsi="Arial" w:cs="Arial"/>
                <w:b/>
                <w:bCs/>
              </w:rPr>
            </w:pPr>
            <w:r w:rsidRPr="2F0C2401">
              <w:rPr>
                <w:rFonts w:ascii="Arial" w:eastAsia="Arial" w:hAnsi="Arial" w:cs="Arial"/>
                <w:b/>
                <w:bCs/>
              </w:rPr>
              <w:t>1980</w:t>
            </w:r>
          </w:p>
        </w:tc>
        <w:tc>
          <w:tcPr>
            <w:tcW w:w="2340" w:type="dxa"/>
          </w:tcPr>
          <w:p w14:paraId="5799CC99" w14:textId="5C9AF912" w:rsidR="311A2E5A" w:rsidRDefault="7974066C" w:rsidP="2F0C2401">
            <w:pPr>
              <w:jc w:val="center"/>
              <w:rPr>
                <w:rFonts w:ascii="Arial" w:eastAsia="Arial" w:hAnsi="Arial" w:cs="Arial"/>
                <w:b/>
                <w:bCs/>
              </w:rPr>
            </w:pPr>
            <w:r w:rsidRPr="2F0C2401">
              <w:rPr>
                <w:rFonts w:ascii="Arial" w:eastAsia="Arial" w:hAnsi="Arial" w:cs="Arial"/>
                <w:b/>
                <w:bCs/>
              </w:rPr>
              <w:t>1990</w:t>
            </w:r>
          </w:p>
        </w:tc>
        <w:tc>
          <w:tcPr>
            <w:tcW w:w="2340" w:type="dxa"/>
          </w:tcPr>
          <w:p w14:paraId="043A2D08" w14:textId="4716F65C" w:rsidR="311A2E5A" w:rsidRDefault="7974066C" w:rsidP="2F0C2401">
            <w:pPr>
              <w:jc w:val="center"/>
              <w:rPr>
                <w:rFonts w:ascii="Arial" w:eastAsia="Arial" w:hAnsi="Arial" w:cs="Arial"/>
                <w:b/>
                <w:bCs/>
              </w:rPr>
            </w:pPr>
            <w:r w:rsidRPr="2F0C2401">
              <w:rPr>
                <w:rFonts w:ascii="Arial" w:eastAsia="Arial" w:hAnsi="Arial" w:cs="Arial"/>
                <w:b/>
                <w:bCs/>
              </w:rPr>
              <w:t>1999</w:t>
            </w:r>
          </w:p>
        </w:tc>
      </w:tr>
      <w:tr w:rsidR="42021E07" w14:paraId="21D54343" w14:textId="77777777" w:rsidTr="2F0C2401">
        <w:trPr>
          <w:trHeight w:val="300"/>
          <w:jc w:val="center"/>
        </w:trPr>
        <w:tc>
          <w:tcPr>
            <w:tcW w:w="2340" w:type="dxa"/>
          </w:tcPr>
          <w:p w14:paraId="53A2DE00" w14:textId="0C74A762" w:rsidR="311A2E5A" w:rsidRDefault="7974066C" w:rsidP="2F0C2401">
            <w:pPr>
              <w:jc w:val="center"/>
              <w:rPr>
                <w:rFonts w:ascii="Arial" w:eastAsia="Arial" w:hAnsi="Arial" w:cs="Arial"/>
              </w:rPr>
            </w:pPr>
            <w:r w:rsidRPr="2F0C2401">
              <w:rPr>
                <w:rFonts w:ascii="Arial" w:eastAsia="Arial" w:hAnsi="Arial" w:cs="Arial"/>
              </w:rPr>
              <w:t>Continental Europe (arithmetic mean)</w:t>
            </w:r>
          </w:p>
        </w:tc>
        <w:tc>
          <w:tcPr>
            <w:tcW w:w="2340" w:type="dxa"/>
          </w:tcPr>
          <w:p w14:paraId="38A7D7DF" w14:textId="1118FCB6" w:rsidR="2210A4C7" w:rsidRDefault="31C59275" w:rsidP="2F0C2401">
            <w:pPr>
              <w:jc w:val="center"/>
              <w:rPr>
                <w:rFonts w:ascii="Arial" w:eastAsia="Arial" w:hAnsi="Arial" w:cs="Arial"/>
              </w:rPr>
            </w:pPr>
            <w:r w:rsidRPr="2F0C2401">
              <w:rPr>
                <w:rFonts w:ascii="Arial" w:eastAsia="Arial" w:hAnsi="Arial" w:cs="Arial"/>
              </w:rPr>
              <w:t>17.36</w:t>
            </w:r>
          </w:p>
        </w:tc>
        <w:tc>
          <w:tcPr>
            <w:tcW w:w="2340" w:type="dxa"/>
          </w:tcPr>
          <w:p w14:paraId="413DEB54" w14:textId="33DE1A33" w:rsidR="2210A4C7" w:rsidRDefault="31C59275" w:rsidP="2F0C2401">
            <w:pPr>
              <w:jc w:val="center"/>
              <w:rPr>
                <w:rFonts w:ascii="Arial" w:eastAsia="Arial" w:hAnsi="Arial" w:cs="Arial"/>
              </w:rPr>
            </w:pPr>
            <w:r w:rsidRPr="2F0C2401">
              <w:rPr>
                <w:rFonts w:ascii="Arial" w:eastAsia="Arial" w:hAnsi="Arial" w:cs="Arial"/>
              </w:rPr>
              <w:t>47.09</w:t>
            </w:r>
          </w:p>
        </w:tc>
        <w:tc>
          <w:tcPr>
            <w:tcW w:w="2340" w:type="dxa"/>
          </w:tcPr>
          <w:p w14:paraId="0CF0F0EB" w14:textId="42A59BBD" w:rsidR="2210A4C7" w:rsidRDefault="31C59275" w:rsidP="2F0C2401">
            <w:pPr>
              <w:jc w:val="center"/>
              <w:rPr>
                <w:rFonts w:ascii="Arial" w:eastAsia="Arial" w:hAnsi="Arial" w:cs="Arial"/>
              </w:rPr>
            </w:pPr>
            <w:r w:rsidRPr="2F0C2401">
              <w:rPr>
                <w:rFonts w:ascii="Arial" w:eastAsia="Arial" w:hAnsi="Arial" w:cs="Arial"/>
              </w:rPr>
              <w:t>114.54</w:t>
            </w:r>
          </w:p>
        </w:tc>
      </w:tr>
      <w:tr w:rsidR="42021E07" w14:paraId="64E69A8F" w14:textId="77777777" w:rsidTr="2F0C2401">
        <w:trPr>
          <w:trHeight w:val="300"/>
          <w:jc w:val="center"/>
        </w:trPr>
        <w:tc>
          <w:tcPr>
            <w:tcW w:w="2340" w:type="dxa"/>
          </w:tcPr>
          <w:p w14:paraId="53AF723D" w14:textId="6EE72C5B" w:rsidR="2210A4C7" w:rsidRDefault="31C59275" w:rsidP="2F0C2401">
            <w:pPr>
              <w:jc w:val="center"/>
              <w:rPr>
                <w:rFonts w:ascii="Arial" w:eastAsia="Arial" w:hAnsi="Arial" w:cs="Arial"/>
              </w:rPr>
            </w:pPr>
            <w:r w:rsidRPr="2F0C2401">
              <w:rPr>
                <w:rFonts w:ascii="Arial" w:eastAsia="Arial" w:hAnsi="Arial" w:cs="Arial"/>
              </w:rPr>
              <w:t>United Kingdom</w:t>
            </w:r>
          </w:p>
        </w:tc>
        <w:tc>
          <w:tcPr>
            <w:tcW w:w="2340" w:type="dxa"/>
          </w:tcPr>
          <w:p w14:paraId="02ACE7BC" w14:textId="2CFB5D3F" w:rsidR="2210A4C7" w:rsidRDefault="31C59275" w:rsidP="2F0C2401">
            <w:pPr>
              <w:jc w:val="center"/>
              <w:rPr>
                <w:rFonts w:ascii="Arial" w:eastAsia="Arial" w:hAnsi="Arial" w:cs="Arial"/>
              </w:rPr>
            </w:pPr>
            <w:r w:rsidRPr="2F0C2401">
              <w:rPr>
                <w:rFonts w:ascii="Arial" w:eastAsia="Arial" w:hAnsi="Arial" w:cs="Arial"/>
              </w:rPr>
              <w:t>38.00</w:t>
            </w:r>
          </w:p>
        </w:tc>
        <w:tc>
          <w:tcPr>
            <w:tcW w:w="2340" w:type="dxa"/>
          </w:tcPr>
          <w:p w14:paraId="3BE445D6" w14:textId="44296D84" w:rsidR="2210A4C7" w:rsidRDefault="31C59275" w:rsidP="2F0C2401">
            <w:pPr>
              <w:jc w:val="center"/>
              <w:rPr>
                <w:rFonts w:ascii="Arial" w:eastAsia="Arial" w:hAnsi="Arial" w:cs="Arial"/>
              </w:rPr>
            </w:pPr>
            <w:r w:rsidRPr="2F0C2401">
              <w:rPr>
                <w:rFonts w:ascii="Arial" w:eastAsia="Arial" w:hAnsi="Arial" w:cs="Arial"/>
              </w:rPr>
              <w:t>81.00</w:t>
            </w:r>
          </w:p>
        </w:tc>
        <w:tc>
          <w:tcPr>
            <w:tcW w:w="2340" w:type="dxa"/>
          </w:tcPr>
          <w:p w14:paraId="15185559" w14:textId="221509E9" w:rsidR="2210A4C7" w:rsidRDefault="31C59275" w:rsidP="2F0C2401">
            <w:pPr>
              <w:jc w:val="center"/>
              <w:rPr>
                <w:rFonts w:ascii="Arial" w:eastAsia="Arial" w:hAnsi="Arial" w:cs="Arial"/>
              </w:rPr>
            </w:pPr>
            <w:r w:rsidRPr="2F0C2401">
              <w:rPr>
                <w:rFonts w:ascii="Arial" w:eastAsia="Arial" w:hAnsi="Arial" w:cs="Arial"/>
              </w:rPr>
              <w:t>225.00</w:t>
            </w:r>
          </w:p>
        </w:tc>
      </w:tr>
      <w:tr w:rsidR="42021E07" w14:paraId="7636C720" w14:textId="77777777" w:rsidTr="2F0C2401">
        <w:trPr>
          <w:trHeight w:val="300"/>
          <w:jc w:val="center"/>
        </w:trPr>
        <w:tc>
          <w:tcPr>
            <w:tcW w:w="2340" w:type="dxa"/>
          </w:tcPr>
          <w:p w14:paraId="62C1A398" w14:textId="2293CD5F" w:rsidR="2210A4C7" w:rsidRDefault="31C59275" w:rsidP="2F0C2401">
            <w:pPr>
              <w:jc w:val="center"/>
              <w:rPr>
                <w:rFonts w:ascii="Arial" w:eastAsia="Arial" w:hAnsi="Arial" w:cs="Arial"/>
              </w:rPr>
            </w:pPr>
            <w:r w:rsidRPr="2F0C2401">
              <w:rPr>
                <w:rFonts w:ascii="Arial" w:eastAsia="Arial" w:hAnsi="Arial" w:cs="Arial"/>
              </w:rPr>
              <w:t xml:space="preserve">United States </w:t>
            </w:r>
          </w:p>
        </w:tc>
        <w:tc>
          <w:tcPr>
            <w:tcW w:w="2340" w:type="dxa"/>
          </w:tcPr>
          <w:p w14:paraId="3CAADB97" w14:textId="7D3B2256" w:rsidR="2210A4C7" w:rsidRDefault="31C59275" w:rsidP="2F0C2401">
            <w:pPr>
              <w:jc w:val="center"/>
              <w:rPr>
                <w:rFonts w:ascii="Arial" w:eastAsia="Arial" w:hAnsi="Arial" w:cs="Arial"/>
              </w:rPr>
            </w:pPr>
            <w:r w:rsidRPr="2F0C2401">
              <w:rPr>
                <w:rFonts w:ascii="Arial" w:eastAsia="Arial" w:hAnsi="Arial" w:cs="Arial"/>
              </w:rPr>
              <w:t>46.00</w:t>
            </w:r>
          </w:p>
        </w:tc>
        <w:tc>
          <w:tcPr>
            <w:tcW w:w="2340" w:type="dxa"/>
          </w:tcPr>
          <w:p w14:paraId="189F538E" w14:textId="170565AE" w:rsidR="2210A4C7" w:rsidRDefault="31C59275" w:rsidP="2F0C2401">
            <w:pPr>
              <w:jc w:val="center"/>
              <w:rPr>
                <w:rFonts w:ascii="Arial" w:eastAsia="Arial" w:hAnsi="Arial" w:cs="Arial"/>
              </w:rPr>
            </w:pPr>
            <w:r w:rsidRPr="2F0C2401">
              <w:rPr>
                <w:rFonts w:ascii="Arial" w:eastAsia="Arial" w:hAnsi="Arial" w:cs="Arial"/>
              </w:rPr>
              <w:t>54.0</w:t>
            </w:r>
          </w:p>
        </w:tc>
        <w:tc>
          <w:tcPr>
            <w:tcW w:w="2340" w:type="dxa"/>
          </w:tcPr>
          <w:p w14:paraId="6E480395" w14:textId="3D892B53" w:rsidR="2210A4C7" w:rsidRDefault="31C59275" w:rsidP="2F0C2401">
            <w:pPr>
              <w:jc w:val="center"/>
              <w:rPr>
                <w:rFonts w:ascii="Arial" w:eastAsia="Arial" w:hAnsi="Arial" w:cs="Arial"/>
              </w:rPr>
            </w:pPr>
            <w:r w:rsidRPr="2F0C2401">
              <w:rPr>
                <w:rFonts w:ascii="Arial" w:eastAsia="Arial" w:hAnsi="Arial" w:cs="Arial"/>
              </w:rPr>
              <w:t>152.00</w:t>
            </w:r>
          </w:p>
        </w:tc>
      </w:tr>
      <w:tr w:rsidR="42021E07" w14:paraId="1608A452" w14:textId="77777777" w:rsidTr="2F0C2401">
        <w:trPr>
          <w:trHeight w:val="300"/>
          <w:jc w:val="center"/>
        </w:trPr>
        <w:tc>
          <w:tcPr>
            <w:tcW w:w="2340" w:type="dxa"/>
          </w:tcPr>
          <w:p w14:paraId="6FC991F6" w14:textId="66B6AA8D" w:rsidR="2210A4C7" w:rsidRDefault="31C59275" w:rsidP="2F0C2401">
            <w:pPr>
              <w:jc w:val="center"/>
              <w:rPr>
                <w:rFonts w:ascii="Arial" w:eastAsia="Arial" w:hAnsi="Arial" w:cs="Arial"/>
              </w:rPr>
            </w:pPr>
            <w:r w:rsidRPr="2F0C2401">
              <w:rPr>
                <w:rFonts w:ascii="Arial" w:eastAsia="Arial" w:hAnsi="Arial" w:cs="Arial"/>
              </w:rPr>
              <w:t xml:space="preserve">Japan </w:t>
            </w:r>
          </w:p>
        </w:tc>
        <w:tc>
          <w:tcPr>
            <w:tcW w:w="2340" w:type="dxa"/>
          </w:tcPr>
          <w:p w14:paraId="156DBC66" w14:textId="6EAC2513" w:rsidR="2210A4C7" w:rsidRDefault="31C59275" w:rsidP="2F0C2401">
            <w:pPr>
              <w:jc w:val="center"/>
              <w:rPr>
                <w:rFonts w:ascii="Arial" w:eastAsia="Arial" w:hAnsi="Arial" w:cs="Arial"/>
              </w:rPr>
            </w:pPr>
            <w:r w:rsidRPr="2F0C2401">
              <w:rPr>
                <w:rFonts w:ascii="Arial" w:eastAsia="Arial" w:hAnsi="Arial" w:cs="Arial"/>
              </w:rPr>
              <w:t>33.00</w:t>
            </w:r>
          </w:p>
        </w:tc>
        <w:tc>
          <w:tcPr>
            <w:tcW w:w="2340" w:type="dxa"/>
          </w:tcPr>
          <w:p w14:paraId="3B5CDBB4" w14:textId="1709C778" w:rsidR="2210A4C7" w:rsidRDefault="31C59275" w:rsidP="2F0C2401">
            <w:pPr>
              <w:jc w:val="center"/>
              <w:rPr>
                <w:rFonts w:ascii="Arial" w:eastAsia="Arial" w:hAnsi="Arial" w:cs="Arial"/>
              </w:rPr>
            </w:pPr>
            <w:r w:rsidRPr="2F0C2401">
              <w:rPr>
                <w:rFonts w:ascii="Arial" w:eastAsia="Arial" w:hAnsi="Arial" w:cs="Arial"/>
              </w:rPr>
              <w:t>164.00</w:t>
            </w:r>
          </w:p>
        </w:tc>
        <w:tc>
          <w:tcPr>
            <w:tcW w:w="2340" w:type="dxa"/>
          </w:tcPr>
          <w:p w14:paraId="08AA1F50" w14:textId="6115D4A4" w:rsidR="2210A4C7" w:rsidRDefault="31C59275" w:rsidP="2F0C2401">
            <w:pPr>
              <w:jc w:val="center"/>
              <w:rPr>
                <w:rFonts w:ascii="Arial" w:eastAsia="Arial" w:hAnsi="Arial" w:cs="Arial"/>
              </w:rPr>
            </w:pPr>
            <w:r w:rsidRPr="2F0C2401">
              <w:rPr>
                <w:rFonts w:ascii="Arial" w:eastAsia="Arial" w:hAnsi="Arial" w:cs="Arial"/>
              </w:rPr>
              <w:t>95.00</w:t>
            </w:r>
          </w:p>
        </w:tc>
      </w:tr>
    </w:tbl>
    <w:p w14:paraId="4BABE949" w14:textId="6FED4592" w:rsidR="06C6F833" w:rsidRDefault="2B063D1C" w:rsidP="2F0C2401">
      <w:pPr>
        <w:jc w:val="center"/>
        <w:rPr>
          <w:rFonts w:ascii="Arial" w:eastAsia="Arial" w:hAnsi="Arial" w:cs="Arial"/>
        </w:rPr>
      </w:pPr>
      <w:r w:rsidRPr="73F31BAE">
        <w:rPr>
          <w:rFonts w:ascii="Arial" w:eastAsia="Arial" w:hAnsi="Arial" w:cs="Arial"/>
        </w:rPr>
        <w:t>Source: (RAJAN, and ZINGALES, 2001)</w:t>
      </w:r>
    </w:p>
    <w:p w14:paraId="7CF7EAD8" w14:textId="4A3B1321" w:rsidR="42021E07" w:rsidRDefault="42021E07" w:rsidP="73F31BAE">
      <w:pPr>
        <w:ind w:left="-20" w:right="-20"/>
        <w:rPr>
          <w:rFonts w:ascii="Arial" w:eastAsia="Arial" w:hAnsi="Arial" w:cs="Arial"/>
          <w:color w:val="000000" w:themeColor="text1"/>
        </w:rPr>
      </w:pPr>
    </w:p>
    <w:p w14:paraId="7E5D6DB3" w14:textId="14F9BFBA" w:rsidR="42021E07" w:rsidRDefault="6104F663" w:rsidP="73F31BAE">
      <w:pPr>
        <w:spacing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The table provided presents the percentage of market capitalization to national product for various countries over the years 1980, 1990, and 1999. The United Kingdom's market capitalization as a percentage of national product shows substantial growth over the years, with values of 38.00%, 81.00%, and 225.00% for 1980, 1990, and 1999, respectively. This growth is noteworthy when compared to other nations such as the United States, Continental Europe, and Japan. The growth </w:t>
      </w:r>
      <w:r w:rsidRPr="73F31BAE">
        <w:rPr>
          <w:rFonts w:ascii="Arial" w:eastAsia="Arial" w:hAnsi="Arial" w:cs="Arial"/>
          <w:color w:val="000000" w:themeColor="text1"/>
        </w:rPr>
        <w:lastRenderedPageBreak/>
        <w:t xml:space="preserve">of the United Kingdom's market capitalization reflects its economic development and the increasing significance of its capital market in contributing to the national economy (Wallis, 2009). </w:t>
      </w:r>
    </w:p>
    <w:p w14:paraId="6E80CF4C" w14:textId="4CD2AD88" w:rsidR="42021E07" w:rsidRDefault="6104F663" w:rsidP="73F31BAE">
      <w:pPr>
        <w:spacing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The relationship between stock markets and economic growth has been extensively studied emphasizes the positive influence of stock markets on economic growth, supporting the idea that well-functioning capital markets positively affect saving and growth rates (Levine, 1999). This supports the observed growth in the United Kingdom's market capitalization, indicating a potential positive impact on economic growth.</w:t>
      </w:r>
    </w:p>
    <w:p w14:paraId="3C465F8B" w14:textId="15CEEEED" w:rsidR="73A97C5E" w:rsidRDefault="5313F2A6" w:rsidP="73F31BAE">
      <w:pPr>
        <w:spacing w:line="360" w:lineRule="auto"/>
        <w:jc w:val="both"/>
        <w:rPr>
          <w:rFonts w:ascii="Arial" w:eastAsia="Arial" w:hAnsi="Arial" w:cs="Arial"/>
        </w:rPr>
      </w:pPr>
      <w:r w:rsidRPr="73F31BAE">
        <w:rPr>
          <w:rFonts w:ascii="Arial" w:eastAsia="Arial" w:hAnsi="Arial" w:cs="Arial"/>
        </w:rPr>
        <w:t>Furthermore, a</w:t>
      </w:r>
      <w:r w:rsidR="44F24C3D" w:rsidRPr="73F31BAE">
        <w:rPr>
          <w:rFonts w:ascii="Arial" w:eastAsia="Arial" w:hAnsi="Arial" w:cs="Arial"/>
        </w:rPr>
        <w:t xml:space="preserve"> phenomenon </w:t>
      </w:r>
      <w:r w:rsidR="4064619C" w:rsidRPr="73F31BAE">
        <w:rPr>
          <w:rFonts w:ascii="Arial" w:eastAsia="Arial" w:hAnsi="Arial" w:cs="Arial"/>
        </w:rPr>
        <w:t>has also been</w:t>
      </w:r>
      <w:r w:rsidR="44F24C3D" w:rsidRPr="73F31BAE">
        <w:rPr>
          <w:rFonts w:ascii="Arial" w:eastAsia="Arial" w:hAnsi="Arial" w:cs="Arial"/>
        </w:rPr>
        <w:t xml:space="preserve"> observed in the trading volume, which is in the liquidity supplied by the secondary market, even in the busiest side of the stock markets, as table no. 4 illustrates.</w:t>
      </w:r>
    </w:p>
    <w:p w14:paraId="3E275169" w14:textId="05D41D84" w:rsidR="3A28F79C" w:rsidRDefault="062F45C8" w:rsidP="73F31BAE">
      <w:pPr>
        <w:jc w:val="both"/>
        <w:rPr>
          <w:rFonts w:ascii="Arial" w:eastAsia="Arial" w:hAnsi="Arial" w:cs="Arial"/>
        </w:rPr>
      </w:pPr>
      <w:r w:rsidRPr="73F31BAE">
        <w:rPr>
          <w:rFonts w:ascii="Arial" w:eastAsia="Arial" w:hAnsi="Arial" w:cs="Arial"/>
          <w:b/>
          <w:bCs/>
        </w:rPr>
        <w:t xml:space="preserve">Table no. </w:t>
      </w:r>
      <w:r w:rsidR="6C9EEA94" w:rsidRPr="73F31BAE">
        <w:rPr>
          <w:rFonts w:ascii="Arial" w:eastAsia="Arial" w:hAnsi="Arial" w:cs="Arial"/>
          <w:b/>
          <w:bCs/>
        </w:rPr>
        <w:t>3</w:t>
      </w:r>
      <w:r w:rsidRPr="73F31BAE">
        <w:rPr>
          <w:rFonts w:ascii="Arial" w:eastAsia="Arial" w:hAnsi="Arial" w:cs="Arial"/>
          <w:b/>
          <w:bCs/>
        </w:rPr>
        <w:t>. Trading Volume. (Thousands of Millions of $)</w:t>
      </w:r>
    </w:p>
    <w:tbl>
      <w:tblPr>
        <w:tblStyle w:val="TableGrid"/>
        <w:tblW w:w="0" w:type="auto"/>
        <w:jc w:val="center"/>
        <w:tblLayout w:type="fixed"/>
        <w:tblLook w:val="06A0" w:firstRow="1" w:lastRow="0" w:firstColumn="1" w:lastColumn="0" w:noHBand="1" w:noVBand="1"/>
      </w:tblPr>
      <w:tblGrid>
        <w:gridCol w:w="1872"/>
        <w:gridCol w:w="1872"/>
        <w:gridCol w:w="1872"/>
        <w:gridCol w:w="1872"/>
        <w:gridCol w:w="1872"/>
      </w:tblGrid>
      <w:tr w:rsidR="42021E07" w14:paraId="7AFF2066" w14:textId="77777777" w:rsidTr="2F0C2401">
        <w:trPr>
          <w:trHeight w:val="300"/>
          <w:jc w:val="center"/>
        </w:trPr>
        <w:tc>
          <w:tcPr>
            <w:tcW w:w="1872" w:type="dxa"/>
          </w:tcPr>
          <w:p w14:paraId="762C4AC9" w14:textId="04A77710" w:rsidR="42021E07" w:rsidRDefault="42021E07" w:rsidP="2F0C2401">
            <w:pPr>
              <w:jc w:val="center"/>
              <w:rPr>
                <w:rFonts w:ascii="Arial" w:eastAsia="Arial" w:hAnsi="Arial" w:cs="Arial"/>
                <w:b/>
                <w:bCs/>
              </w:rPr>
            </w:pPr>
          </w:p>
        </w:tc>
        <w:tc>
          <w:tcPr>
            <w:tcW w:w="1872" w:type="dxa"/>
          </w:tcPr>
          <w:p w14:paraId="1E815FEA" w14:textId="7A7412D2" w:rsidR="49FD817C" w:rsidRDefault="42EE8A42" w:rsidP="2F0C2401">
            <w:pPr>
              <w:jc w:val="center"/>
              <w:rPr>
                <w:rFonts w:ascii="Arial" w:eastAsia="Arial" w:hAnsi="Arial" w:cs="Arial"/>
                <w:b/>
                <w:bCs/>
              </w:rPr>
            </w:pPr>
            <w:r w:rsidRPr="2F0C2401">
              <w:rPr>
                <w:rFonts w:ascii="Arial" w:eastAsia="Arial" w:hAnsi="Arial" w:cs="Arial"/>
                <w:b/>
                <w:bCs/>
              </w:rPr>
              <w:t>1983</w:t>
            </w:r>
          </w:p>
        </w:tc>
        <w:tc>
          <w:tcPr>
            <w:tcW w:w="1872" w:type="dxa"/>
          </w:tcPr>
          <w:p w14:paraId="5891D938" w14:textId="2A08590E" w:rsidR="49FD817C" w:rsidRDefault="42EE8A42" w:rsidP="2F0C2401">
            <w:pPr>
              <w:jc w:val="center"/>
              <w:rPr>
                <w:rFonts w:ascii="Arial" w:eastAsia="Arial" w:hAnsi="Arial" w:cs="Arial"/>
                <w:b/>
                <w:bCs/>
              </w:rPr>
            </w:pPr>
            <w:r w:rsidRPr="2F0C2401">
              <w:rPr>
                <w:rFonts w:ascii="Arial" w:eastAsia="Arial" w:hAnsi="Arial" w:cs="Arial"/>
                <w:b/>
                <w:bCs/>
              </w:rPr>
              <w:t>1989</w:t>
            </w:r>
          </w:p>
        </w:tc>
        <w:tc>
          <w:tcPr>
            <w:tcW w:w="1872" w:type="dxa"/>
          </w:tcPr>
          <w:p w14:paraId="50F9C2B3" w14:textId="3AA59F65" w:rsidR="49FD817C" w:rsidRDefault="42EE8A42" w:rsidP="2F0C2401">
            <w:pPr>
              <w:jc w:val="center"/>
              <w:rPr>
                <w:rFonts w:ascii="Arial" w:eastAsia="Arial" w:hAnsi="Arial" w:cs="Arial"/>
                <w:b/>
                <w:bCs/>
              </w:rPr>
            </w:pPr>
            <w:r w:rsidRPr="2F0C2401">
              <w:rPr>
                <w:rFonts w:ascii="Arial" w:eastAsia="Arial" w:hAnsi="Arial" w:cs="Arial"/>
                <w:b/>
                <w:bCs/>
              </w:rPr>
              <w:t>1999</w:t>
            </w:r>
          </w:p>
        </w:tc>
        <w:tc>
          <w:tcPr>
            <w:tcW w:w="1872" w:type="dxa"/>
          </w:tcPr>
          <w:p w14:paraId="7F2C6B6B" w14:textId="1ACC984B" w:rsidR="49FD817C" w:rsidRDefault="42EE8A42" w:rsidP="2F0C2401">
            <w:pPr>
              <w:jc w:val="center"/>
              <w:rPr>
                <w:rFonts w:ascii="Arial" w:eastAsia="Arial" w:hAnsi="Arial" w:cs="Arial"/>
                <w:b/>
                <w:bCs/>
              </w:rPr>
            </w:pPr>
            <w:r w:rsidRPr="2F0C2401">
              <w:rPr>
                <w:rFonts w:ascii="Arial" w:eastAsia="Arial" w:hAnsi="Arial" w:cs="Arial"/>
                <w:b/>
                <w:bCs/>
              </w:rPr>
              <w:t>% Increase 1999/1983</w:t>
            </w:r>
          </w:p>
        </w:tc>
      </w:tr>
      <w:tr w:rsidR="42021E07" w14:paraId="0087D66D" w14:textId="77777777" w:rsidTr="2F0C2401">
        <w:trPr>
          <w:trHeight w:val="300"/>
          <w:jc w:val="center"/>
        </w:trPr>
        <w:tc>
          <w:tcPr>
            <w:tcW w:w="1872" w:type="dxa"/>
          </w:tcPr>
          <w:p w14:paraId="25C10D14" w14:textId="7EF543DC" w:rsidR="49FD817C" w:rsidRDefault="42EE8A42" w:rsidP="2F0C2401">
            <w:pPr>
              <w:jc w:val="center"/>
              <w:rPr>
                <w:rFonts w:ascii="Arial" w:eastAsia="Arial" w:hAnsi="Arial" w:cs="Arial"/>
              </w:rPr>
            </w:pPr>
            <w:r w:rsidRPr="2F0C2401">
              <w:rPr>
                <w:rFonts w:ascii="Arial" w:eastAsia="Arial" w:hAnsi="Arial" w:cs="Arial"/>
              </w:rPr>
              <w:t>Developed Countries</w:t>
            </w:r>
          </w:p>
        </w:tc>
        <w:tc>
          <w:tcPr>
            <w:tcW w:w="1872" w:type="dxa"/>
          </w:tcPr>
          <w:p w14:paraId="6F2BDA6B" w14:textId="7B350093" w:rsidR="49FD817C" w:rsidRDefault="42EE8A42" w:rsidP="2F0C2401">
            <w:pPr>
              <w:jc w:val="center"/>
              <w:rPr>
                <w:rFonts w:ascii="Arial" w:eastAsia="Arial" w:hAnsi="Arial" w:cs="Arial"/>
              </w:rPr>
            </w:pPr>
            <w:r w:rsidRPr="2F0C2401">
              <w:rPr>
                <w:rFonts w:ascii="Arial" w:eastAsia="Arial" w:hAnsi="Arial" w:cs="Arial"/>
              </w:rPr>
              <w:t>1,203</w:t>
            </w:r>
          </w:p>
        </w:tc>
        <w:tc>
          <w:tcPr>
            <w:tcW w:w="1872" w:type="dxa"/>
          </w:tcPr>
          <w:p w14:paraId="6FE42F4A" w14:textId="1A34F08F" w:rsidR="49FD817C" w:rsidRDefault="42EE8A42" w:rsidP="2F0C2401">
            <w:pPr>
              <w:jc w:val="center"/>
              <w:rPr>
                <w:rFonts w:ascii="Arial" w:eastAsia="Arial" w:hAnsi="Arial" w:cs="Arial"/>
              </w:rPr>
            </w:pPr>
            <w:r w:rsidRPr="2F0C2401">
              <w:rPr>
                <w:rFonts w:ascii="Arial" w:eastAsia="Arial" w:hAnsi="Arial" w:cs="Arial"/>
              </w:rPr>
              <w:t>6,297</w:t>
            </w:r>
          </w:p>
        </w:tc>
        <w:tc>
          <w:tcPr>
            <w:tcW w:w="1872" w:type="dxa"/>
          </w:tcPr>
          <w:p w14:paraId="70D10BE0" w14:textId="275DFCE5" w:rsidR="49FD817C" w:rsidRDefault="42EE8A42" w:rsidP="2F0C2401">
            <w:pPr>
              <w:jc w:val="center"/>
              <w:rPr>
                <w:rFonts w:ascii="Arial" w:eastAsia="Arial" w:hAnsi="Arial" w:cs="Arial"/>
              </w:rPr>
            </w:pPr>
            <w:r w:rsidRPr="2F0C2401">
              <w:rPr>
                <w:rFonts w:ascii="Arial" w:eastAsia="Arial" w:hAnsi="Arial" w:cs="Arial"/>
              </w:rPr>
              <w:t>35,188</w:t>
            </w:r>
          </w:p>
        </w:tc>
        <w:tc>
          <w:tcPr>
            <w:tcW w:w="1872" w:type="dxa"/>
          </w:tcPr>
          <w:p w14:paraId="54162296" w14:textId="370E6520" w:rsidR="49FD817C" w:rsidRDefault="42EE8A42" w:rsidP="2F0C2401">
            <w:pPr>
              <w:jc w:val="center"/>
              <w:rPr>
                <w:rFonts w:ascii="Arial" w:eastAsia="Arial" w:hAnsi="Arial" w:cs="Arial"/>
              </w:rPr>
            </w:pPr>
            <w:r w:rsidRPr="2F0C2401">
              <w:rPr>
                <w:rFonts w:ascii="Arial" w:eastAsia="Arial" w:hAnsi="Arial" w:cs="Arial"/>
              </w:rPr>
              <w:t>2,925</w:t>
            </w:r>
          </w:p>
        </w:tc>
      </w:tr>
      <w:tr w:rsidR="42021E07" w14:paraId="67FB763B" w14:textId="77777777" w:rsidTr="2F0C2401">
        <w:trPr>
          <w:trHeight w:val="300"/>
          <w:jc w:val="center"/>
        </w:trPr>
        <w:tc>
          <w:tcPr>
            <w:tcW w:w="1872" w:type="dxa"/>
          </w:tcPr>
          <w:p w14:paraId="121AC86E" w14:textId="461616AB" w:rsidR="49FD817C" w:rsidRDefault="42EE8A42" w:rsidP="2F0C2401">
            <w:pPr>
              <w:jc w:val="center"/>
              <w:rPr>
                <w:rFonts w:ascii="Arial" w:eastAsia="Arial" w:hAnsi="Arial" w:cs="Arial"/>
              </w:rPr>
            </w:pPr>
            <w:r w:rsidRPr="2F0C2401">
              <w:rPr>
                <w:rFonts w:ascii="Arial" w:eastAsia="Arial" w:hAnsi="Arial" w:cs="Arial"/>
              </w:rPr>
              <w:t>United States</w:t>
            </w:r>
          </w:p>
        </w:tc>
        <w:tc>
          <w:tcPr>
            <w:tcW w:w="1872" w:type="dxa"/>
          </w:tcPr>
          <w:p w14:paraId="74601464" w14:textId="57B1416E" w:rsidR="49FD817C" w:rsidRDefault="42EE8A42" w:rsidP="2F0C2401">
            <w:pPr>
              <w:jc w:val="center"/>
              <w:rPr>
                <w:rFonts w:ascii="Arial" w:eastAsia="Arial" w:hAnsi="Arial" w:cs="Arial"/>
              </w:rPr>
            </w:pPr>
            <w:r w:rsidRPr="2F0C2401">
              <w:rPr>
                <w:rFonts w:ascii="Arial" w:eastAsia="Arial" w:hAnsi="Arial" w:cs="Arial"/>
              </w:rPr>
              <w:t>797</w:t>
            </w:r>
          </w:p>
        </w:tc>
        <w:tc>
          <w:tcPr>
            <w:tcW w:w="1872" w:type="dxa"/>
          </w:tcPr>
          <w:p w14:paraId="6D470916" w14:textId="5AE2F026" w:rsidR="49FD817C" w:rsidRDefault="42EE8A42" w:rsidP="2F0C2401">
            <w:pPr>
              <w:jc w:val="center"/>
              <w:rPr>
                <w:rFonts w:ascii="Arial" w:eastAsia="Arial" w:hAnsi="Arial" w:cs="Arial"/>
              </w:rPr>
            </w:pPr>
            <w:r w:rsidRPr="2F0C2401">
              <w:rPr>
                <w:rFonts w:ascii="Arial" w:eastAsia="Arial" w:hAnsi="Arial" w:cs="Arial"/>
              </w:rPr>
              <w:t>2,016</w:t>
            </w:r>
          </w:p>
        </w:tc>
        <w:tc>
          <w:tcPr>
            <w:tcW w:w="1872" w:type="dxa"/>
          </w:tcPr>
          <w:p w14:paraId="6B4C15E4" w14:textId="3FC32E64" w:rsidR="49FD817C" w:rsidRDefault="42EE8A42" w:rsidP="2F0C2401">
            <w:pPr>
              <w:jc w:val="center"/>
              <w:rPr>
                <w:rFonts w:ascii="Arial" w:eastAsia="Arial" w:hAnsi="Arial" w:cs="Arial"/>
              </w:rPr>
            </w:pPr>
            <w:r w:rsidRPr="2F0C2401">
              <w:rPr>
                <w:rFonts w:ascii="Arial" w:eastAsia="Arial" w:hAnsi="Arial" w:cs="Arial"/>
              </w:rPr>
              <w:t>19,993</w:t>
            </w:r>
          </w:p>
        </w:tc>
        <w:tc>
          <w:tcPr>
            <w:tcW w:w="1872" w:type="dxa"/>
          </w:tcPr>
          <w:p w14:paraId="0075A40D" w14:textId="017B39C7" w:rsidR="49FD817C" w:rsidRDefault="42EE8A42" w:rsidP="2F0C2401">
            <w:pPr>
              <w:jc w:val="center"/>
              <w:rPr>
                <w:rFonts w:ascii="Arial" w:eastAsia="Arial" w:hAnsi="Arial" w:cs="Arial"/>
              </w:rPr>
            </w:pPr>
            <w:r w:rsidRPr="2F0C2401">
              <w:rPr>
                <w:rFonts w:ascii="Arial" w:eastAsia="Arial" w:hAnsi="Arial" w:cs="Arial"/>
              </w:rPr>
              <w:t>2,509</w:t>
            </w:r>
          </w:p>
        </w:tc>
      </w:tr>
      <w:tr w:rsidR="42021E07" w14:paraId="75476224" w14:textId="77777777" w:rsidTr="2F0C2401">
        <w:trPr>
          <w:trHeight w:val="300"/>
          <w:jc w:val="center"/>
        </w:trPr>
        <w:tc>
          <w:tcPr>
            <w:tcW w:w="1872" w:type="dxa"/>
          </w:tcPr>
          <w:p w14:paraId="70D95237" w14:textId="1A10FEE7" w:rsidR="49FD817C" w:rsidRDefault="42EE8A42" w:rsidP="2F0C2401">
            <w:pPr>
              <w:jc w:val="center"/>
              <w:rPr>
                <w:rFonts w:ascii="Arial" w:eastAsia="Arial" w:hAnsi="Arial" w:cs="Arial"/>
              </w:rPr>
            </w:pPr>
            <w:r w:rsidRPr="2F0C2401">
              <w:rPr>
                <w:rFonts w:ascii="Arial" w:eastAsia="Arial" w:hAnsi="Arial" w:cs="Arial"/>
              </w:rPr>
              <w:t>United Kingdom</w:t>
            </w:r>
          </w:p>
        </w:tc>
        <w:tc>
          <w:tcPr>
            <w:tcW w:w="1872" w:type="dxa"/>
          </w:tcPr>
          <w:p w14:paraId="17CC15CF" w14:textId="137BCF0F" w:rsidR="49FD817C" w:rsidRDefault="42EE8A42" w:rsidP="2F0C2401">
            <w:pPr>
              <w:jc w:val="center"/>
              <w:rPr>
                <w:rFonts w:ascii="Arial" w:eastAsia="Arial" w:hAnsi="Arial" w:cs="Arial"/>
              </w:rPr>
            </w:pPr>
            <w:r w:rsidRPr="2F0C2401">
              <w:rPr>
                <w:rFonts w:ascii="Arial" w:eastAsia="Arial" w:hAnsi="Arial" w:cs="Arial"/>
              </w:rPr>
              <w:t>43</w:t>
            </w:r>
          </w:p>
        </w:tc>
        <w:tc>
          <w:tcPr>
            <w:tcW w:w="1872" w:type="dxa"/>
          </w:tcPr>
          <w:p w14:paraId="37B586A1" w14:textId="25A4C563" w:rsidR="49FD817C" w:rsidRDefault="42EE8A42" w:rsidP="2F0C2401">
            <w:pPr>
              <w:jc w:val="center"/>
              <w:rPr>
                <w:rFonts w:ascii="Arial" w:eastAsia="Arial" w:hAnsi="Arial" w:cs="Arial"/>
              </w:rPr>
            </w:pPr>
            <w:r w:rsidRPr="2F0C2401">
              <w:rPr>
                <w:rFonts w:ascii="Arial" w:eastAsia="Arial" w:hAnsi="Arial" w:cs="Arial"/>
              </w:rPr>
              <w:t>320</w:t>
            </w:r>
          </w:p>
        </w:tc>
        <w:tc>
          <w:tcPr>
            <w:tcW w:w="1872" w:type="dxa"/>
          </w:tcPr>
          <w:p w14:paraId="04FA2D49" w14:textId="1BA218E1" w:rsidR="49FD817C" w:rsidRDefault="42EE8A42" w:rsidP="2F0C2401">
            <w:pPr>
              <w:jc w:val="center"/>
              <w:rPr>
                <w:rFonts w:ascii="Arial" w:eastAsia="Arial" w:hAnsi="Arial" w:cs="Arial"/>
              </w:rPr>
            </w:pPr>
            <w:r w:rsidRPr="2F0C2401">
              <w:rPr>
                <w:rFonts w:ascii="Arial" w:eastAsia="Arial" w:hAnsi="Arial" w:cs="Arial"/>
              </w:rPr>
              <w:t>3,399</w:t>
            </w:r>
          </w:p>
        </w:tc>
        <w:tc>
          <w:tcPr>
            <w:tcW w:w="1872" w:type="dxa"/>
          </w:tcPr>
          <w:p w14:paraId="74FC788F" w14:textId="12577FC5" w:rsidR="49FD817C" w:rsidRDefault="42EE8A42" w:rsidP="2F0C2401">
            <w:pPr>
              <w:jc w:val="center"/>
              <w:rPr>
                <w:rFonts w:ascii="Arial" w:eastAsia="Arial" w:hAnsi="Arial" w:cs="Arial"/>
              </w:rPr>
            </w:pPr>
            <w:r w:rsidRPr="2F0C2401">
              <w:rPr>
                <w:rFonts w:ascii="Arial" w:eastAsia="Arial" w:hAnsi="Arial" w:cs="Arial"/>
              </w:rPr>
              <w:t>7,905</w:t>
            </w:r>
          </w:p>
        </w:tc>
      </w:tr>
      <w:tr w:rsidR="42021E07" w14:paraId="2E370749" w14:textId="77777777" w:rsidTr="2F0C2401">
        <w:trPr>
          <w:trHeight w:val="300"/>
          <w:jc w:val="center"/>
        </w:trPr>
        <w:tc>
          <w:tcPr>
            <w:tcW w:w="1872" w:type="dxa"/>
          </w:tcPr>
          <w:p w14:paraId="71D78F77" w14:textId="6578163A" w:rsidR="49FD817C" w:rsidRDefault="42EE8A42" w:rsidP="2F0C2401">
            <w:pPr>
              <w:jc w:val="center"/>
              <w:rPr>
                <w:rFonts w:ascii="Arial" w:eastAsia="Arial" w:hAnsi="Arial" w:cs="Arial"/>
              </w:rPr>
            </w:pPr>
            <w:r w:rsidRPr="2F0C2401">
              <w:rPr>
                <w:rFonts w:ascii="Arial" w:eastAsia="Arial" w:hAnsi="Arial" w:cs="Arial"/>
              </w:rPr>
              <w:t xml:space="preserve">Japan </w:t>
            </w:r>
          </w:p>
        </w:tc>
        <w:tc>
          <w:tcPr>
            <w:tcW w:w="1872" w:type="dxa"/>
          </w:tcPr>
          <w:p w14:paraId="22EB7A03" w14:textId="5EF1BBD0" w:rsidR="49FD817C" w:rsidRDefault="42EE8A42" w:rsidP="2F0C2401">
            <w:pPr>
              <w:jc w:val="center"/>
              <w:rPr>
                <w:rFonts w:ascii="Arial" w:eastAsia="Arial" w:hAnsi="Arial" w:cs="Arial"/>
              </w:rPr>
            </w:pPr>
            <w:r w:rsidRPr="2F0C2401">
              <w:rPr>
                <w:rFonts w:ascii="Arial" w:eastAsia="Arial" w:hAnsi="Arial" w:cs="Arial"/>
              </w:rPr>
              <w:t>231</w:t>
            </w:r>
          </w:p>
        </w:tc>
        <w:tc>
          <w:tcPr>
            <w:tcW w:w="1872" w:type="dxa"/>
          </w:tcPr>
          <w:p w14:paraId="1597B102" w14:textId="69E3BF03" w:rsidR="49FD817C" w:rsidRDefault="42EE8A42" w:rsidP="2F0C2401">
            <w:pPr>
              <w:jc w:val="center"/>
              <w:rPr>
                <w:rFonts w:ascii="Arial" w:eastAsia="Arial" w:hAnsi="Arial" w:cs="Arial"/>
              </w:rPr>
            </w:pPr>
            <w:r w:rsidRPr="2F0C2401">
              <w:rPr>
                <w:rFonts w:ascii="Arial" w:eastAsia="Arial" w:hAnsi="Arial" w:cs="Arial"/>
              </w:rPr>
              <w:t>2,801</w:t>
            </w:r>
          </w:p>
        </w:tc>
        <w:tc>
          <w:tcPr>
            <w:tcW w:w="1872" w:type="dxa"/>
          </w:tcPr>
          <w:p w14:paraId="44A983BF" w14:textId="19106A34" w:rsidR="49FD817C" w:rsidRDefault="42EE8A42" w:rsidP="2F0C2401">
            <w:pPr>
              <w:jc w:val="center"/>
              <w:rPr>
                <w:rFonts w:ascii="Arial" w:eastAsia="Arial" w:hAnsi="Arial" w:cs="Arial"/>
              </w:rPr>
            </w:pPr>
            <w:r w:rsidRPr="2F0C2401">
              <w:rPr>
                <w:rFonts w:ascii="Arial" w:eastAsia="Arial" w:hAnsi="Arial" w:cs="Arial"/>
              </w:rPr>
              <w:t>1,892</w:t>
            </w:r>
          </w:p>
        </w:tc>
        <w:tc>
          <w:tcPr>
            <w:tcW w:w="1872" w:type="dxa"/>
          </w:tcPr>
          <w:p w14:paraId="33BF6CED" w14:textId="5669CC0D" w:rsidR="49FD817C" w:rsidRDefault="42EE8A42" w:rsidP="2F0C2401">
            <w:pPr>
              <w:jc w:val="center"/>
              <w:rPr>
                <w:rFonts w:ascii="Arial" w:eastAsia="Arial" w:hAnsi="Arial" w:cs="Arial"/>
              </w:rPr>
            </w:pPr>
            <w:r w:rsidRPr="2F0C2401">
              <w:rPr>
                <w:rFonts w:ascii="Arial" w:eastAsia="Arial" w:hAnsi="Arial" w:cs="Arial"/>
              </w:rPr>
              <w:t>819</w:t>
            </w:r>
          </w:p>
        </w:tc>
      </w:tr>
      <w:tr w:rsidR="42021E07" w14:paraId="6A5BBF85" w14:textId="77777777" w:rsidTr="2F0C2401">
        <w:trPr>
          <w:trHeight w:val="300"/>
          <w:jc w:val="center"/>
        </w:trPr>
        <w:tc>
          <w:tcPr>
            <w:tcW w:w="1872" w:type="dxa"/>
          </w:tcPr>
          <w:p w14:paraId="00D8B126" w14:textId="26D82BAD" w:rsidR="49FD817C" w:rsidRDefault="42EE8A42" w:rsidP="2F0C2401">
            <w:pPr>
              <w:jc w:val="center"/>
              <w:rPr>
                <w:rFonts w:ascii="Arial" w:eastAsia="Arial" w:hAnsi="Arial" w:cs="Arial"/>
              </w:rPr>
            </w:pPr>
            <w:r w:rsidRPr="2F0C2401">
              <w:rPr>
                <w:rFonts w:ascii="Arial" w:eastAsia="Arial" w:hAnsi="Arial" w:cs="Arial"/>
              </w:rPr>
              <w:t>Emerging Countries</w:t>
            </w:r>
          </w:p>
        </w:tc>
        <w:tc>
          <w:tcPr>
            <w:tcW w:w="1872" w:type="dxa"/>
          </w:tcPr>
          <w:p w14:paraId="33ACEF7A" w14:textId="19FD340D" w:rsidR="49FD817C" w:rsidRDefault="42EE8A42" w:rsidP="2F0C2401">
            <w:pPr>
              <w:jc w:val="center"/>
              <w:rPr>
                <w:rFonts w:ascii="Arial" w:eastAsia="Arial" w:hAnsi="Arial" w:cs="Arial"/>
              </w:rPr>
            </w:pPr>
            <w:r w:rsidRPr="2F0C2401">
              <w:rPr>
                <w:rFonts w:ascii="Arial" w:eastAsia="Arial" w:hAnsi="Arial" w:cs="Arial"/>
              </w:rPr>
              <w:t>25</w:t>
            </w:r>
          </w:p>
        </w:tc>
        <w:tc>
          <w:tcPr>
            <w:tcW w:w="1872" w:type="dxa"/>
          </w:tcPr>
          <w:p w14:paraId="5A408110" w14:textId="0536D4CC" w:rsidR="49FD817C" w:rsidRDefault="42EE8A42" w:rsidP="2F0C2401">
            <w:pPr>
              <w:jc w:val="center"/>
              <w:rPr>
                <w:rFonts w:ascii="Arial" w:eastAsia="Arial" w:hAnsi="Arial" w:cs="Arial"/>
              </w:rPr>
            </w:pPr>
            <w:r w:rsidRPr="2F0C2401">
              <w:rPr>
                <w:rFonts w:ascii="Arial" w:eastAsia="Arial" w:hAnsi="Arial" w:cs="Arial"/>
              </w:rPr>
              <w:t>1,171</w:t>
            </w:r>
          </w:p>
        </w:tc>
        <w:tc>
          <w:tcPr>
            <w:tcW w:w="1872" w:type="dxa"/>
          </w:tcPr>
          <w:p w14:paraId="767E8994" w14:textId="0B4466E5" w:rsidR="49FD817C" w:rsidRDefault="42EE8A42" w:rsidP="2F0C2401">
            <w:pPr>
              <w:jc w:val="center"/>
              <w:rPr>
                <w:rFonts w:ascii="Arial" w:eastAsia="Arial" w:hAnsi="Arial" w:cs="Arial"/>
              </w:rPr>
            </w:pPr>
            <w:r w:rsidRPr="2F0C2401">
              <w:rPr>
                <w:rFonts w:ascii="Arial" w:eastAsia="Arial" w:hAnsi="Arial" w:cs="Arial"/>
              </w:rPr>
              <w:t>2,321</w:t>
            </w:r>
          </w:p>
        </w:tc>
        <w:tc>
          <w:tcPr>
            <w:tcW w:w="1872" w:type="dxa"/>
          </w:tcPr>
          <w:p w14:paraId="40B7D138" w14:textId="6BD23360" w:rsidR="49FD817C" w:rsidRDefault="42EE8A42" w:rsidP="2F0C2401">
            <w:pPr>
              <w:jc w:val="center"/>
              <w:rPr>
                <w:rFonts w:ascii="Arial" w:eastAsia="Arial" w:hAnsi="Arial" w:cs="Arial"/>
              </w:rPr>
            </w:pPr>
            <w:r w:rsidRPr="2F0C2401">
              <w:rPr>
                <w:rFonts w:ascii="Arial" w:eastAsia="Arial" w:hAnsi="Arial" w:cs="Arial"/>
              </w:rPr>
              <w:t>9,284</w:t>
            </w:r>
          </w:p>
        </w:tc>
      </w:tr>
      <w:tr w:rsidR="42021E07" w14:paraId="23AA4A05" w14:textId="77777777" w:rsidTr="2F0C2401">
        <w:trPr>
          <w:trHeight w:val="300"/>
          <w:jc w:val="center"/>
        </w:trPr>
        <w:tc>
          <w:tcPr>
            <w:tcW w:w="1872" w:type="dxa"/>
          </w:tcPr>
          <w:p w14:paraId="6D76AE95" w14:textId="3613108F" w:rsidR="49FD817C" w:rsidRDefault="42EE8A42" w:rsidP="2F0C2401">
            <w:pPr>
              <w:jc w:val="center"/>
              <w:rPr>
                <w:rFonts w:ascii="Arial" w:eastAsia="Arial" w:hAnsi="Arial" w:cs="Arial"/>
              </w:rPr>
            </w:pPr>
            <w:r w:rsidRPr="2F0C2401">
              <w:rPr>
                <w:rFonts w:ascii="Arial" w:eastAsia="Arial" w:hAnsi="Arial" w:cs="Arial"/>
              </w:rPr>
              <w:t>World Total</w:t>
            </w:r>
          </w:p>
        </w:tc>
        <w:tc>
          <w:tcPr>
            <w:tcW w:w="1872" w:type="dxa"/>
          </w:tcPr>
          <w:p w14:paraId="71B3F789" w14:textId="60BC2969" w:rsidR="49FD817C" w:rsidRDefault="42EE8A42" w:rsidP="2F0C2401">
            <w:pPr>
              <w:jc w:val="center"/>
              <w:rPr>
                <w:rFonts w:ascii="Arial" w:eastAsia="Arial" w:hAnsi="Arial" w:cs="Arial"/>
              </w:rPr>
            </w:pPr>
            <w:r w:rsidRPr="2F0C2401">
              <w:rPr>
                <w:rFonts w:ascii="Arial" w:eastAsia="Arial" w:hAnsi="Arial" w:cs="Arial"/>
              </w:rPr>
              <w:t>1,228</w:t>
            </w:r>
          </w:p>
        </w:tc>
        <w:tc>
          <w:tcPr>
            <w:tcW w:w="1872" w:type="dxa"/>
          </w:tcPr>
          <w:p w14:paraId="28342873" w14:textId="3A266E1B" w:rsidR="49FD817C" w:rsidRDefault="42EE8A42" w:rsidP="2F0C2401">
            <w:pPr>
              <w:jc w:val="center"/>
              <w:rPr>
                <w:rFonts w:ascii="Arial" w:eastAsia="Arial" w:hAnsi="Arial" w:cs="Arial"/>
              </w:rPr>
            </w:pPr>
            <w:r w:rsidRPr="2F0C2401">
              <w:rPr>
                <w:rFonts w:ascii="Arial" w:eastAsia="Arial" w:hAnsi="Arial" w:cs="Arial"/>
              </w:rPr>
              <w:t>7,468</w:t>
            </w:r>
          </w:p>
        </w:tc>
        <w:tc>
          <w:tcPr>
            <w:tcW w:w="1872" w:type="dxa"/>
          </w:tcPr>
          <w:p w14:paraId="6B7EB75B" w14:textId="0E2DAB25" w:rsidR="49FD817C" w:rsidRDefault="42EE8A42" w:rsidP="2F0C2401">
            <w:pPr>
              <w:jc w:val="center"/>
              <w:rPr>
                <w:rFonts w:ascii="Arial" w:eastAsia="Arial" w:hAnsi="Arial" w:cs="Arial"/>
              </w:rPr>
            </w:pPr>
            <w:r w:rsidRPr="2F0C2401">
              <w:rPr>
                <w:rFonts w:ascii="Arial" w:eastAsia="Arial" w:hAnsi="Arial" w:cs="Arial"/>
              </w:rPr>
              <w:t>37,509</w:t>
            </w:r>
          </w:p>
        </w:tc>
        <w:tc>
          <w:tcPr>
            <w:tcW w:w="1872" w:type="dxa"/>
          </w:tcPr>
          <w:p w14:paraId="7CC6447E" w14:textId="1B36B926" w:rsidR="49FD817C" w:rsidRDefault="42EE8A42" w:rsidP="2F0C2401">
            <w:pPr>
              <w:jc w:val="center"/>
              <w:rPr>
                <w:rFonts w:ascii="Arial" w:eastAsia="Arial" w:hAnsi="Arial" w:cs="Arial"/>
              </w:rPr>
            </w:pPr>
            <w:r w:rsidRPr="2F0C2401">
              <w:rPr>
                <w:rFonts w:ascii="Arial" w:eastAsia="Arial" w:hAnsi="Arial" w:cs="Arial"/>
              </w:rPr>
              <w:t>3,054</w:t>
            </w:r>
          </w:p>
        </w:tc>
      </w:tr>
    </w:tbl>
    <w:p w14:paraId="739942F6" w14:textId="0A2B3399" w:rsidR="5C2ACBC3" w:rsidRDefault="082612CF" w:rsidP="2F0C2401">
      <w:pPr>
        <w:jc w:val="center"/>
        <w:rPr>
          <w:rFonts w:ascii="Arial" w:eastAsia="Arial" w:hAnsi="Arial" w:cs="Arial"/>
        </w:rPr>
      </w:pPr>
      <w:r w:rsidRPr="73F31BAE">
        <w:rPr>
          <w:rFonts w:ascii="Arial" w:eastAsia="Arial" w:hAnsi="Arial" w:cs="Arial"/>
        </w:rPr>
        <w:t>Source: (</w:t>
      </w:r>
      <w:proofErr w:type="spellStart"/>
      <w:r w:rsidRPr="73F31BAE">
        <w:rPr>
          <w:rFonts w:ascii="Arial" w:eastAsia="Arial" w:hAnsi="Arial" w:cs="Arial"/>
        </w:rPr>
        <w:t>Sornette</w:t>
      </w:r>
      <w:proofErr w:type="spellEnd"/>
      <w:r w:rsidRPr="73F31BAE">
        <w:rPr>
          <w:rFonts w:ascii="Arial" w:eastAsia="Arial" w:hAnsi="Arial" w:cs="Arial"/>
        </w:rPr>
        <w:t>, 2003)</w:t>
      </w:r>
    </w:p>
    <w:p w14:paraId="0370D9D5" w14:textId="5157A551" w:rsidR="32A7317A" w:rsidRDefault="4A6F9B71" w:rsidP="73F31BAE">
      <w:pPr>
        <w:spacing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The trading volume data provided in the table shows the evolution of trading volumes in developed and emerging countries from 1983 to 1999. The United Kingdom's trading volume increased from 43,000 million dollars (about $130 per person in the US) in 1983 to 3,399,000 million dollars (about $10,000 per person in the US) in 1999, representing a 7,905% increase. This substantial increase in trading volume reflects the significant growth and expansion of the United Kingdom's trade activities over this period. When comparing the United Kingdom's trading volume with other nations, it is evident that the United Kingdom's trading volume experienced a remarkable surge, outpacing the growth rates of other developed countries such as the United States and Japan, as well as emerging countries. </w:t>
      </w:r>
    </w:p>
    <w:p w14:paraId="2668B174" w14:textId="13ED561C" w:rsidR="32A7317A" w:rsidRDefault="4A6F9B71" w:rsidP="73F31BAE">
      <w:pPr>
        <w:spacing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The analysis of the United Kingdom's trading volume can be further contextualized by considering the impact of exchange rate volatility on trade flows. Research such as (</w:t>
      </w:r>
      <w:proofErr w:type="spellStart"/>
      <w:r w:rsidRPr="73F31BAE">
        <w:rPr>
          <w:rFonts w:ascii="Arial" w:eastAsia="Arial" w:hAnsi="Arial" w:cs="Arial"/>
          <w:color w:val="000000" w:themeColor="text1"/>
        </w:rPr>
        <w:t>Tenreyro</w:t>
      </w:r>
      <w:proofErr w:type="spellEnd"/>
      <w:r w:rsidRPr="73F31BAE">
        <w:rPr>
          <w:rFonts w:ascii="Arial" w:eastAsia="Arial" w:hAnsi="Arial" w:cs="Arial"/>
          <w:color w:val="000000" w:themeColor="text1"/>
        </w:rPr>
        <w:t xml:space="preserve">, 2007) and (Sauer and Bohara, 2001) provides insights into the effects of exchange rate uncertainty on trade volumes. While 's study found no significant effects on trade volumes but a substantial effect on </w:t>
      </w:r>
      <w:r w:rsidRPr="73F31BAE">
        <w:rPr>
          <w:rFonts w:ascii="Arial" w:eastAsia="Arial" w:hAnsi="Arial" w:cs="Arial"/>
          <w:color w:val="000000" w:themeColor="text1"/>
        </w:rPr>
        <w:lastRenderedPageBreak/>
        <w:t>prices, Sauer and Bohara's research highlights the impact of exchange rate uncertainty on export supply, emphasizing its role in influencing trade volumes. These studies offer valuable perspectives on the potential influence of exchange rate volatility on the United Kingdom's trading volume dynamics.</w:t>
      </w:r>
    </w:p>
    <w:p w14:paraId="6D5D0763" w14:textId="64A24A6C" w:rsidR="32A7317A" w:rsidRDefault="5DE24F35" w:rsidP="73F31BAE">
      <w:pPr>
        <w:spacing w:line="360" w:lineRule="auto"/>
        <w:ind w:left="-20" w:right="-20"/>
        <w:jc w:val="both"/>
        <w:rPr>
          <w:rFonts w:ascii="Arial" w:eastAsia="Arial" w:hAnsi="Arial" w:cs="Arial"/>
        </w:rPr>
      </w:pPr>
      <w:r w:rsidRPr="73F31BAE">
        <w:rPr>
          <w:rFonts w:ascii="Arial" w:eastAsia="Arial" w:hAnsi="Arial" w:cs="Arial"/>
        </w:rPr>
        <w:t>The trends and patterns that have emerged from the literature review provide valuable insights into the impact of interest rates on the stock market in the United Kingdom, as well as the dynamics of trading volumes and their relationship with key economic indicators. The trends indicate a substantial growth in the United Kingdom's market capitalization as a percentage of national product over the years 1980, 1990, and 1999. This growth reflects the increasing significance of the UK's capital market in contributing to the national economy. Furthermore, the trading volume in the UK experienced a remarkable surge, outpacing the growth rates of other developed and emerging countries. This substantial increase in trading volume reflects the significant growth and expansion of the UK's trade activities over this period.</w:t>
      </w:r>
    </w:p>
    <w:p w14:paraId="3741D55F" w14:textId="12DEDD2B" w:rsidR="32A7317A" w:rsidRDefault="32A7317A" w:rsidP="73F31BAE">
      <w:pPr>
        <w:spacing w:line="360" w:lineRule="auto"/>
        <w:jc w:val="both"/>
        <w:rPr>
          <w:rFonts w:ascii="Arial" w:eastAsia="Arial" w:hAnsi="Arial" w:cs="Arial"/>
          <w:b/>
          <w:bCs/>
        </w:rPr>
      </w:pPr>
    </w:p>
    <w:p w14:paraId="5CC33206" w14:textId="265501BF" w:rsidR="6F293D54" w:rsidRDefault="4EC61A0D" w:rsidP="73F31BAE">
      <w:pPr>
        <w:spacing w:line="360" w:lineRule="auto"/>
        <w:jc w:val="both"/>
        <w:rPr>
          <w:rFonts w:ascii="Arial" w:eastAsia="Arial" w:hAnsi="Arial" w:cs="Arial"/>
          <w:b/>
          <w:bCs/>
          <w:color w:val="000000" w:themeColor="text1"/>
        </w:rPr>
      </w:pPr>
      <w:r w:rsidRPr="73F31BAE">
        <w:rPr>
          <w:rFonts w:ascii="Arial" w:eastAsia="Arial" w:hAnsi="Arial" w:cs="Arial"/>
          <w:b/>
          <w:bCs/>
        </w:rPr>
        <w:t>4.2.</w:t>
      </w:r>
      <w:r w:rsidR="743027EE" w:rsidRPr="73F31BAE">
        <w:rPr>
          <w:rFonts w:ascii="Arial" w:eastAsia="Arial" w:hAnsi="Arial" w:cs="Arial"/>
          <w:b/>
          <w:bCs/>
        </w:rPr>
        <w:t>2</w:t>
      </w:r>
      <w:r w:rsidRPr="73F31BAE">
        <w:rPr>
          <w:rFonts w:ascii="Arial" w:eastAsia="Arial" w:hAnsi="Arial" w:cs="Arial"/>
          <w:b/>
          <w:bCs/>
        </w:rPr>
        <w:t xml:space="preserve"> </w:t>
      </w:r>
      <w:r w:rsidR="263C3DAF" w:rsidRPr="73F31BAE">
        <w:rPr>
          <w:rFonts w:ascii="Arial" w:eastAsia="Arial" w:hAnsi="Arial" w:cs="Arial"/>
          <w:b/>
          <w:bCs/>
        </w:rPr>
        <w:t>Bank of England base rate influence on the stock prices in the United Kingdom</w:t>
      </w:r>
    </w:p>
    <w:p w14:paraId="4E93CF53" w14:textId="149BD1CC" w:rsidR="42021E07" w:rsidRDefault="42021E07" w:rsidP="73F31BAE">
      <w:pPr>
        <w:spacing w:line="360" w:lineRule="auto"/>
        <w:jc w:val="both"/>
        <w:rPr>
          <w:rFonts w:ascii="Arial" w:eastAsia="Arial" w:hAnsi="Arial" w:cs="Arial"/>
        </w:rPr>
      </w:pPr>
    </w:p>
    <w:p w14:paraId="1FC3685D" w14:textId="6E313E1A" w:rsidR="32A7317A" w:rsidRDefault="33A51402" w:rsidP="73F31BAE">
      <w:pPr>
        <w:spacing w:line="360" w:lineRule="auto"/>
        <w:jc w:val="both"/>
        <w:rPr>
          <w:rFonts w:ascii="Arial" w:eastAsia="Arial" w:hAnsi="Arial" w:cs="Arial"/>
        </w:rPr>
      </w:pPr>
      <w:r w:rsidRPr="73F31BAE">
        <w:rPr>
          <w:rFonts w:ascii="Arial" w:eastAsia="Arial" w:hAnsi="Arial" w:cs="Arial"/>
        </w:rPr>
        <w:t>In the UK, changes in interest rates, such as the base rate set by the Bank of England, can affect stock values. Lower interest rates make borrowing more affordable, which may encourage more investment and consumer spending. Stock prices and business earnings may rise as a result. On the other hand, borrowing becomes more costly as interest rates rise. This might discourage investment and consumer spending, which could result in decreased corporate profits and stock prices.</w:t>
      </w:r>
    </w:p>
    <w:p w14:paraId="39B99179" w14:textId="296F3BFF" w:rsidR="42021E07" w:rsidRDefault="42021E07" w:rsidP="2F0C2401">
      <w:pPr>
        <w:jc w:val="both"/>
        <w:rPr>
          <w:rFonts w:ascii="Arial" w:eastAsia="Arial" w:hAnsi="Arial" w:cs="Arial"/>
          <w:b/>
          <w:bCs/>
        </w:rPr>
      </w:pPr>
    </w:p>
    <w:p w14:paraId="60AA25C7" w14:textId="38536D58" w:rsidR="3FECF80B" w:rsidRDefault="6F43B9C4" w:rsidP="2F0C2401">
      <w:pPr>
        <w:jc w:val="both"/>
        <w:rPr>
          <w:rFonts w:ascii="Arial" w:eastAsia="Arial" w:hAnsi="Arial" w:cs="Arial"/>
        </w:rPr>
      </w:pPr>
      <w:r w:rsidRPr="2F0C2401">
        <w:rPr>
          <w:rFonts w:ascii="Arial" w:eastAsia="Arial" w:hAnsi="Arial" w:cs="Arial"/>
          <w:b/>
          <w:bCs/>
        </w:rPr>
        <w:t>Table no.4 Official Bank Rate (2006-2023)</w:t>
      </w:r>
    </w:p>
    <w:tbl>
      <w:tblPr>
        <w:tblW w:w="0" w:type="auto"/>
        <w:jc w:val="center"/>
        <w:tblLayout w:type="fixed"/>
        <w:tblLook w:val="06A0" w:firstRow="1" w:lastRow="0" w:firstColumn="1" w:lastColumn="0" w:noHBand="1" w:noVBand="1"/>
      </w:tblPr>
      <w:tblGrid>
        <w:gridCol w:w="2340"/>
        <w:gridCol w:w="2340"/>
        <w:gridCol w:w="2340"/>
      </w:tblGrid>
      <w:tr w:rsidR="42021E07" w14:paraId="6D132025" w14:textId="77777777" w:rsidTr="2F0C2401">
        <w:trPr>
          <w:trHeight w:val="300"/>
          <w:jc w:val="center"/>
        </w:trPr>
        <w:tc>
          <w:tcPr>
            <w:tcW w:w="7020" w:type="dxa"/>
            <w:gridSpan w:val="3"/>
            <w:tcBorders>
              <w:top w:val="single" w:sz="4" w:space="0" w:color="auto"/>
              <w:left w:val="single" w:sz="4" w:space="0" w:color="000000" w:themeColor="text1"/>
              <w:bottom w:val="single" w:sz="4" w:space="0" w:color="000000" w:themeColor="text1"/>
              <w:right w:val="single" w:sz="4" w:space="0" w:color="000000" w:themeColor="text1"/>
            </w:tcBorders>
            <w:vAlign w:val="bottom"/>
          </w:tcPr>
          <w:p w14:paraId="5D7AFE7B" w14:textId="767B3B12" w:rsidR="42021E07" w:rsidRDefault="50288ED5" w:rsidP="2F0C2401">
            <w:pPr>
              <w:spacing w:after="0"/>
              <w:jc w:val="center"/>
              <w:rPr>
                <w:rFonts w:ascii="Arial" w:eastAsia="Arial" w:hAnsi="Arial" w:cs="Arial"/>
                <w:b/>
                <w:bCs/>
              </w:rPr>
            </w:pPr>
            <w:r w:rsidRPr="2F0C2401">
              <w:rPr>
                <w:rFonts w:ascii="Arial" w:eastAsia="Arial" w:hAnsi="Arial" w:cs="Arial"/>
                <w:b/>
                <w:bCs/>
              </w:rPr>
              <w:t>Official Bank Rate</w:t>
            </w:r>
          </w:p>
          <w:p w14:paraId="68BEB847" w14:textId="3C582155"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r>
      <w:tr w:rsidR="42021E07" w14:paraId="57BDC582"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0D2EB9E4" w14:textId="3A68FE9A" w:rsidR="42021E07" w:rsidRDefault="50288ED5" w:rsidP="2F0C2401">
            <w:pPr>
              <w:spacing w:after="0"/>
              <w:jc w:val="center"/>
              <w:rPr>
                <w:rFonts w:ascii="Arial" w:eastAsia="Arial" w:hAnsi="Arial" w:cs="Arial"/>
              </w:rPr>
            </w:pPr>
            <w:r w:rsidRPr="2F0C2401">
              <w:rPr>
                <w:rFonts w:ascii="Arial" w:eastAsia="Arial" w:hAnsi="Arial" w:cs="Arial"/>
              </w:rPr>
              <w:t>YEAR</w:t>
            </w:r>
          </w:p>
        </w:tc>
        <w:tc>
          <w:tcPr>
            <w:tcW w:w="2340" w:type="dxa"/>
            <w:tcBorders>
              <w:top w:val="nil"/>
              <w:left w:val="single" w:sz="4" w:space="0" w:color="auto"/>
              <w:bottom w:val="single" w:sz="4" w:space="0" w:color="auto"/>
              <w:right w:val="single" w:sz="4" w:space="0" w:color="auto"/>
            </w:tcBorders>
            <w:vAlign w:val="bottom"/>
          </w:tcPr>
          <w:p w14:paraId="1EEB804B" w14:textId="38ECD73F" w:rsidR="42021E07" w:rsidRDefault="50288ED5" w:rsidP="2F0C2401">
            <w:pPr>
              <w:spacing w:after="0"/>
              <w:jc w:val="center"/>
              <w:rPr>
                <w:rFonts w:ascii="Arial" w:eastAsia="Arial" w:hAnsi="Arial" w:cs="Arial"/>
              </w:rPr>
            </w:pPr>
            <w:r w:rsidRPr="2F0C2401">
              <w:rPr>
                <w:rFonts w:ascii="Arial" w:eastAsia="Arial" w:hAnsi="Arial" w:cs="Arial"/>
              </w:rPr>
              <w:t>MONTH</w:t>
            </w:r>
          </w:p>
        </w:tc>
        <w:tc>
          <w:tcPr>
            <w:tcW w:w="2340" w:type="dxa"/>
            <w:tcBorders>
              <w:top w:val="single" w:sz="4" w:space="0" w:color="auto"/>
              <w:left w:val="single" w:sz="4" w:space="0" w:color="auto"/>
              <w:bottom w:val="single" w:sz="4" w:space="0" w:color="auto"/>
              <w:right w:val="single" w:sz="4" w:space="0" w:color="auto"/>
            </w:tcBorders>
            <w:vAlign w:val="bottom"/>
          </w:tcPr>
          <w:p w14:paraId="15E276F5" w14:textId="10E3C894" w:rsidR="42021E07" w:rsidRDefault="50288ED5" w:rsidP="2F0C2401">
            <w:pPr>
              <w:spacing w:after="0"/>
              <w:jc w:val="center"/>
              <w:rPr>
                <w:rFonts w:ascii="Arial" w:eastAsia="Arial" w:hAnsi="Arial" w:cs="Arial"/>
              </w:rPr>
            </w:pPr>
            <w:r w:rsidRPr="2F0C2401">
              <w:rPr>
                <w:rFonts w:ascii="Arial" w:eastAsia="Arial" w:hAnsi="Arial" w:cs="Arial"/>
              </w:rPr>
              <w:t>RATE</w:t>
            </w:r>
          </w:p>
        </w:tc>
      </w:tr>
      <w:tr w:rsidR="42021E07" w14:paraId="318D8F16"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5E6F01E8" w14:textId="637FF6C5" w:rsidR="42021E07" w:rsidRDefault="50288ED5" w:rsidP="2F0C2401">
            <w:pPr>
              <w:spacing w:after="0"/>
              <w:jc w:val="center"/>
              <w:rPr>
                <w:rFonts w:ascii="Arial" w:eastAsia="Arial" w:hAnsi="Arial" w:cs="Arial"/>
              </w:rPr>
            </w:pPr>
            <w:r w:rsidRPr="2F0C2401">
              <w:rPr>
                <w:rFonts w:ascii="Arial" w:eastAsia="Arial" w:hAnsi="Arial" w:cs="Arial"/>
              </w:rPr>
              <w:t xml:space="preserve">2006 </w:t>
            </w:r>
          </w:p>
        </w:tc>
        <w:tc>
          <w:tcPr>
            <w:tcW w:w="2340" w:type="dxa"/>
            <w:tcBorders>
              <w:top w:val="single" w:sz="4" w:space="0" w:color="auto"/>
              <w:left w:val="single" w:sz="4" w:space="0" w:color="auto"/>
              <w:bottom w:val="single" w:sz="4" w:space="0" w:color="auto"/>
              <w:right w:val="single" w:sz="4" w:space="0" w:color="auto"/>
            </w:tcBorders>
            <w:vAlign w:val="bottom"/>
          </w:tcPr>
          <w:p w14:paraId="0FC8CD06" w14:textId="0E4C38C5" w:rsidR="42021E07" w:rsidRDefault="50288ED5" w:rsidP="2F0C2401">
            <w:pPr>
              <w:spacing w:after="0"/>
              <w:jc w:val="center"/>
              <w:rPr>
                <w:rFonts w:ascii="Arial" w:eastAsia="Arial" w:hAnsi="Arial" w:cs="Arial"/>
              </w:rPr>
            </w:pPr>
            <w:r w:rsidRPr="2F0C2401">
              <w:rPr>
                <w:rFonts w:ascii="Arial" w:eastAsia="Arial" w:hAnsi="Arial" w:cs="Arial"/>
              </w:rPr>
              <w:t>Aug</w:t>
            </w:r>
          </w:p>
        </w:tc>
        <w:tc>
          <w:tcPr>
            <w:tcW w:w="2340" w:type="dxa"/>
            <w:tcBorders>
              <w:top w:val="single" w:sz="4" w:space="0" w:color="auto"/>
              <w:left w:val="single" w:sz="4" w:space="0" w:color="auto"/>
              <w:bottom w:val="single" w:sz="4" w:space="0" w:color="auto"/>
              <w:right w:val="single" w:sz="4" w:space="0" w:color="auto"/>
            </w:tcBorders>
            <w:vAlign w:val="bottom"/>
          </w:tcPr>
          <w:p w14:paraId="01011A78" w14:textId="599B382D" w:rsidR="42021E07" w:rsidRDefault="50288ED5" w:rsidP="2F0C2401">
            <w:pPr>
              <w:spacing w:after="0"/>
              <w:jc w:val="center"/>
              <w:rPr>
                <w:rFonts w:ascii="Arial" w:eastAsia="Arial" w:hAnsi="Arial" w:cs="Arial"/>
              </w:rPr>
            </w:pPr>
            <w:r w:rsidRPr="2F0C2401">
              <w:rPr>
                <w:rFonts w:ascii="Arial" w:eastAsia="Arial" w:hAnsi="Arial" w:cs="Arial"/>
              </w:rPr>
              <w:t>4.7500</w:t>
            </w:r>
          </w:p>
        </w:tc>
      </w:tr>
      <w:tr w:rsidR="42021E07" w14:paraId="632E7B0A"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4BC56795" w14:textId="7B909972" w:rsidR="42021E07" w:rsidRDefault="50288ED5" w:rsidP="2F0C2401">
            <w:pPr>
              <w:spacing w:after="0"/>
              <w:jc w:val="center"/>
              <w:rPr>
                <w:rFonts w:ascii="Arial" w:eastAsia="Arial" w:hAnsi="Arial" w:cs="Arial"/>
                <w:b/>
                <w:bCs/>
                <w:u w:val="single"/>
              </w:rPr>
            </w:pPr>
            <w:r w:rsidRPr="2F0C2401">
              <w:rPr>
                <w:rFonts w:ascii="Arial" w:eastAsia="Arial" w:hAnsi="Arial" w:cs="Arial"/>
                <w:b/>
                <w:bCs/>
                <w:u w:val="single"/>
              </w:rPr>
              <w:t xml:space="preserve"> </w:t>
            </w:r>
          </w:p>
        </w:tc>
        <w:tc>
          <w:tcPr>
            <w:tcW w:w="2340" w:type="dxa"/>
            <w:tcBorders>
              <w:top w:val="single" w:sz="4" w:space="0" w:color="auto"/>
              <w:left w:val="single" w:sz="4" w:space="0" w:color="auto"/>
              <w:bottom w:val="single" w:sz="4" w:space="0" w:color="auto"/>
              <w:right w:val="single" w:sz="4" w:space="0" w:color="auto"/>
            </w:tcBorders>
            <w:vAlign w:val="center"/>
          </w:tcPr>
          <w:p w14:paraId="28D0420B" w14:textId="2825EFB0" w:rsidR="42021E07" w:rsidRDefault="50288ED5" w:rsidP="2F0C2401">
            <w:pPr>
              <w:spacing w:after="0"/>
              <w:jc w:val="center"/>
              <w:rPr>
                <w:rFonts w:ascii="Arial" w:eastAsia="Arial" w:hAnsi="Arial" w:cs="Arial"/>
              </w:rPr>
            </w:pPr>
            <w:r w:rsidRPr="2F0C2401">
              <w:rPr>
                <w:rFonts w:ascii="Arial" w:eastAsia="Arial" w:hAnsi="Arial" w:cs="Arial"/>
              </w:rPr>
              <w:t>Nov</w:t>
            </w:r>
          </w:p>
        </w:tc>
        <w:tc>
          <w:tcPr>
            <w:tcW w:w="2340" w:type="dxa"/>
            <w:tcBorders>
              <w:top w:val="single" w:sz="4" w:space="0" w:color="auto"/>
              <w:left w:val="single" w:sz="4" w:space="0" w:color="auto"/>
              <w:bottom w:val="single" w:sz="4" w:space="0" w:color="auto"/>
              <w:right w:val="single" w:sz="4" w:space="0" w:color="auto"/>
            </w:tcBorders>
            <w:vAlign w:val="center"/>
          </w:tcPr>
          <w:p w14:paraId="5ECC1B1A" w14:textId="00160E40" w:rsidR="42021E07" w:rsidRDefault="50288ED5" w:rsidP="2F0C2401">
            <w:pPr>
              <w:spacing w:after="0"/>
              <w:jc w:val="center"/>
              <w:rPr>
                <w:rFonts w:ascii="Arial" w:eastAsia="Arial" w:hAnsi="Arial" w:cs="Arial"/>
              </w:rPr>
            </w:pPr>
            <w:r w:rsidRPr="2F0C2401">
              <w:rPr>
                <w:rFonts w:ascii="Arial" w:eastAsia="Arial" w:hAnsi="Arial" w:cs="Arial"/>
              </w:rPr>
              <w:t>5.0000</w:t>
            </w:r>
          </w:p>
        </w:tc>
      </w:tr>
      <w:tr w:rsidR="42021E07" w14:paraId="5FCEB21B"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3A150B32" w14:textId="138A2BD5"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7D9605AB" w14:textId="31FFC9D9"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30ED4515" w14:textId="6142C4C9"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r>
      <w:tr w:rsidR="42021E07" w14:paraId="2A1FB12E"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center"/>
          </w:tcPr>
          <w:p w14:paraId="3221EB06" w14:textId="3E810B10" w:rsidR="42021E07" w:rsidRDefault="50288ED5" w:rsidP="2F0C2401">
            <w:pPr>
              <w:spacing w:after="0"/>
              <w:jc w:val="center"/>
              <w:rPr>
                <w:rFonts w:ascii="Arial" w:eastAsia="Arial" w:hAnsi="Arial" w:cs="Arial"/>
              </w:rPr>
            </w:pPr>
            <w:r w:rsidRPr="2F0C2401">
              <w:rPr>
                <w:rFonts w:ascii="Arial" w:eastAsia="Arial" w:hAnsi="Arial" w:cs="Arial"/>
              </w:rPr>
              <w:t>2007</w:t>
            </w:r>
          </w:p>
        </w:tc>
        <w:tc>
          <w:tcPr>
            <w:tcW w:w="2340" w:type="dxa"/>
            <w:tcBorders>
              <w:top w:val="single" w:sz="4" w:space="0" w:color="auto"/>
              <w:left w:val="single" w:sz="4" w:space="0" w:color="auto"/>
              <w:bottom w:val="single" w:sz="4" w:space="0" w:color="auto"/>
              <w:right w:val="single" w:sz="4" w:space="0" w:color="auto"/>
            </w:tcBorders>
            <w:vAlign w:val="center"/>
          </w:tcPr>
          <w:p w14:paraId="732BA6B7" w14:textId="35B4493A" w:rsidR="42021E07" w:rsidRDefault="50288ED5" w:rsidP="2F0C2401">
            <w:pPr>
              <w:spacing w:after="0"/>
              <w:jc w:val="center"/>
              <w:rPr>
                <w:rFonts w:ascii="Arial" w:eastAsia="Arial" w:hAnsi="Arial" w:cs="Arial"/>
              </w:rPr>
            </w:pPr>
            <w:r w:rsidRPr="2F0C2401">
              <w:rPr>
                <w:rFonts w:ascii="Arial" w:eastAsia="Arial" w:hAnsi="Arial" w:cs="Arial"/>
              </w:rPr>
              <w:t>Jan</w:t>
            </w:r>
          </w:p>
        </w:tc>
        <w:tc>
          <w:tcPr>
            <w:tcW w:w="2340" w:type="dxa"/>
            <w:tcBorders>
              <w:top w:val="single" w:sz="4" w:space="0" w:color="auto"/>
              <w:left w:val="single" w:sz="4" w:space="0" w:color="auto"/>
              <w:bottom w:val="single" w:sz="4" w:space="0" w:color="auto"/>
              <w:right w:val="single" w:sz="4" w:space="0" w:color="auto"/>
            </w:tcBorders>
            <w:vAlign w:val="center"/>
          </w:tcPr>
          <w:p w14:paraId="6BA007F8" w14:textId="16D40A6F" w:rsidR="42021E07" w:rsidRDefault="50288ED5" w:rsidP="2F0C2401">
            <w:pPr>
              <w:spacing w:after="0"/>
              <w:jc w:val="center"/>
              <w:rPr>
                <w:rFonts w:ascii="Arial" w:eastAsia="Arial" w:hAnsi="Arial" w:cs="Arial"/>
              </w:rPr>
            </w:pPr>
            <w:r w:rsidRPr="2F0C2401">
              <w:rPr>
                <w:rFonts w:ascii="Arial" w:eastAsia="Arial" w:hAnsi="Arial" w:cs="Arial"/>
              </w:rPr>
              <w:t>5.2500</w:t>
            </w:r>
          </w:p>
        </w:tc>
      </w:tr>
      <w:tr w:rsidR="42021E07" w14:paraId="20F153AA"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014D323E" w14:textId="29D59B08"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68E0D575" w14:textId="5892BAC4" w:rsidR="42021E07" w:rsidRDefault="50288ED5" w:rsidP="2F0C2401">
            <w:pPr>
              <w:spacing w:after="0"/>
              <w:jc w:val="center"/>
              <w:rPr>
                <w:rFonts w:ascii="Arial" w:eastAsia="Arial" w:hAnsi="Arial" w:cs="Arial"/>
              </w:rPr>
            </w:pPr>
            <w:r w:rsidRPr="2F0C2401">
              <w:rPr>
                <w:rFonts w:ascii="Arial" w:eastAsia="Arial" w:hAnsi="Arial" w:cs="Arial"/>
              </w:rPr>
              <w:t>May</w:t>
            </w:r>
          </w:p>
        </w:tc>
        <w:tc>
          <w:tcPr>
            <w:tcW w:w="2340" w:type="dxa"/>
            <w:tcBorders>
              <w:top w:val="single" w:sz="4" w:space="0" w:color="auto"/>
              <w:left w:val="single" w:sz="4" w:space="0" w:color="auto"/>
              <w:bottom w:val="single" w:sz="4" w:space="0" w:color="auto"/>
              <w:right w:val="single" w:sz="4" w:space="0" w:color="auto"/>
            </w:tcBorders>
            <w:vAlign w:val="bottom"/>
          </w:tcPr>
          <w:p w14:paraId="7E6CA20F" w14:textId="2EAC23BC" w:rsidR="42021E07" w:rsidRDefault="50288ED5" w:rsidP="2F0C2401">
            <w:pPr>
              <w:spacing w:after="0"/>
              <w:jc w:val="center"/>
              <w:rPr>
                <w:rFonts w:ascii="Arial" w:eastAsia="Arial" w:hAnsi="Arial" w:cs="Arial"/>
              </w:rPr>
            </w:pPr>
            <w:r w:rsidRPr="2F0C2401">
              <w:rPr>
                <w:rFonts w:ascii="Arial" w:eastAsia="Arial" w:hAnsi="Arial" w:cs="Arial"/>
              </w:rPr>
              <w:t>5.5000</w:t>
            </w:r>
          </w:p>
        </w:tc>
      </w:tr>
      <w:tr w:rsidR="42021E07" w14:paraId="40FBDF94"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3D37DE27" w14:textId="24E87F28"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579FA62E" w14:textId="5C5A9529" w:rsidR="42021E07" w:rsidRDefault="50288ED5" w:rsidP="2F0C2401">
            <w:pPr>
              <w:spacing w:after="0"/>
              <w:jc w:val="center"/>
              <w:rPr>
                <w:rFonts w:ascii="Arial" w:eastAsia="Arial" w:hAnsi="Arial" w:cs="Arial"/>
              </w:rPr>
            </w:pPr>
            <w:r w:rsidRPr="2F0C2401">
              <w:rPr>
                <w:rFonts w:ascii="Arial" w:eastAsia="Arial" w:hAnsi="Arial" w:cs="Arial"/>
              </w:rPr>
              <w:t>Jul</w:t>
            </w:r>
          </w:p>
        </w:tc>
        <w:tc>
          <w:tcPr>
            <w:tcW w:w="2340" w:type="dxa"/>
            <w:tcBorders>
              <w:top w:val="single" w:sz="4" w:space="0" w:color="auto"/>
              <w:left w:val="single" w:sz="4" w:space="0" w:color="auto"/>
              <w:bottom w:val="single" w:sz="4" w:space="0" w:color="auto"/>
              <w:right w:val="single" w:sz="4" w:space="0" w:color="auto"/>
            </w:tcBorders>
            <w:vAlign w:val="bottom"/>
          </w:tcPr>
          <w:p w14:paraId="16DBE803" w14:textId="71AF7A9E" w:rsidR="42021E07" w:rsidRDefault="50288ED5" w:rsidP="2F0C2401">
            <w:pPr>
              <w:spacing w:after="0"/>
              <w:jc w:val="center"/>
              <w:rPr>
                <w:rFonts w:ascii="Arial" w:eastAsia="Arial" w:hAnsi="Arial" w:cs="Arial"/>
              </w:rPr>
            </w:pPr>
            <w:r w:rsidRPr="2F0C2401">
              <w:rPr>
                <w:rFonts w:ascii="Arial" w:eastAsia="Arial" w:hAnsi="Arial" w:cs="Arial"/>
              </w:rPr>
              <w:t>5.7500</w:t>
            </w:r>
          </w:p>
        </w:tc>
      </w:tr>
      <w:tr w:rsidR="42021E07" w14:paraId="6457FF08"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6B06A405" w14:textId="78526B98" w:rsidR="42021E07" w:rsidRDefault="50288ED5" w:rsidP="2F0C2401">
            <w:pPr>
              <w:spacing w:after="0"/>
              <w:jc w:val="center"/>
              <w:rPr>
                <w:rFonts w:ascii="Arial" w:eastAsia="Arial" w:hAnsi="Arial" w:cs="Arial"/>
              </w:rPr>
            </w:pPr>
            <w:r w:rsidRPr="2F0C2401">
              <w:rPr>
                <w:rFonts w:ascii="Arial" w:eastAsia="Arial" w:hAnsi="Arial" w:cs="Arial"/>
              </w:rPr>
              <w:lastRenderedPageBreak/>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744F95F9" w14:textId="0F52175A" w:rsidR="42021E07" w:rsidRDefault="50288ED5" w:rsidP="2F0C2401">
            <w:pPr>
              <w:spacing w:after="0"/>
              <w:jc w:val="center"/>
              <w:rPr>
                <w:rFonts w:ascii="Arial" w:eastAsia="Arial" w:hAnsi="Arial" w:cs="Arial"/>
              </w:rPr>
            </w:pPr>
            <w:r w:rsidRPr="2F0C2401">
              <w:rPr>
                <w:rFonts w:ascii="Arial" w:eastAsia="Arial" w:hAnsi="Arial" w:cs="Arial"/>
              </w:rPr>
              <w:t>Dec</w:t>
            </w:r>
          </w:p>
        </w:tc>
        <w:tc>
          <w:tcPr>
            <w:tcW w:w="2340" w:type="dxa"/>
            <w:tcBorders>
              <w:top w:val="single" w:sz="4" w:space="0" w:color="auto"/>
              <w:left w:val="single" w:sz="4" w:space="0" w:color="auto"/>
              <w:bottom w:val="single" w:sz="4" w:space="0" w:color="auto"/>
              <w:right w:val="single" w:sz="4" w:space="0" w:color="auto"/>
            </w:tcBorders>
            <w:vAlign w:val="bottom"/>
          </w:tcPr>
          <w:p w14:paraId="00D0A52D" w14:textId="3361DF75" w:rsidR="42021E07" w:rsidRDefault="50288ED5" w:rsidP="2F0C2401">
            <w:pPr>
              <w:spacing w:after="0"/>
              <w:jc w:val="center"/>
              <w:rPr>
                <w:rFonts w:ascii="Arial" w:eastAsia="Arial" w:hAnsi="Arial" w:cs="Arial"/>
              </w:rPr>
            </w:pPr>
            <w:r w:rsidRPr="2F0C2401">
              <w:rPr>
                <w:rFonts w:ascii="Arial" w:eastAsia="Arial" w:hAnsi="Arial" w:cs="Arial"/>
              </w:rPr>
              <w:t>5.5000</w:t>
            </w:r>
          </w:p>
        </w:tc>
      </w:tr>
      <w:tr w:rsidR="42021E07" w14:paraId="69D0229B"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2047BCC3" w14:textId="7D36B455"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1DDA653A" w14:textId="212AC88B"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09A09DF6" w14:textId="537E586B"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r>
      <w:tr w:rsidR="42021E07" w14:paraId="4FCEFE84"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01B8D86E" w14:textId="069FC854" w:rsidR="42021E07" w:rsidRDefault="50288ED5" w:rsidP="2F0C2401">
            <w:pPr>
              <w:spacing w:after="0"/>
              <w:jc w:val="center"/>
              <w:rPr>
                <w:rFonts w:ascii="Arial" w:eastAsia="Arial" w:hAnsi="Arial" w:cs="Arial"/>
              </w:rPr>
            </w:pPr>
            <w:r w:rsidRPr="2F0C2401">
              <w:rPr>
                <w:rFonts w:ascii="Arial" w:eastAsia="Arial" w:hAnsi="Arial" w:cs="Arial"/>
              </w:rPr>
              <w:t xml:space="preserve">2008 </w:t>
            </w:r>
          </w:p>
        </w:tc>
        <w:tc>
          <w:tcPr>
            <w:tcW w:w="2340" w:type="dxa"/>
            <w:tcBorders>
              <w:top w:val="single" w:sz="4" w:space="0" w:color="auto"/>
              <w:left w:val="single" w:sz="4" w:space="0" w:color="auto"/>
              <w:bottom w:val="single" w:sz="4" w:space="0" w:color="auto"/>
              <w:right w:val="single" w:sz="4" w:space="0" w:color="auto"/>
            </w:tcBorders>
            <w:vAlign w:val="bottom"/>
          </w:tcPr>
          <w:p w14:paraId="384CD3EE" w14:textId="51ED6CF8" w:rsidR="42021E07" w:rsidRDefault="50288ED5" w:rsidP="2F0C2401">
            <w:pPr>
              <w:spacing w:after="0"/>
              <w:jc w:val="center"/>
              <w:rPr>
                <w:rFonts w:ascii="Arial" w:eastAsia="Arial" w:hAnsi="Arial" w:cs="Arial"/>
              </w:rPr>
            </w:pPr>
            <w:r w:rsidRPr="2F0C2401">
              <w:rPr>
                <w:rFonts w:ascii="Arial" w:eastAsia="Arial" w:hAnsi="Arial" w:cs="Arial"/>
              </w:rPr>
              <w:t>Feb</w:t>
            </w:r>
          </w:p>
        </w:tc>
        <w:tc>
          <w:tcPr>
            <w:tcW w:w="2340" w:type="dxa"/>
            <w:tcBorders>
              <w:top w:val="single" w:sz="4" w:space="0" w:color="auto"/>
              <w:left w:val="single" w:sz="4" w:space="0" w:color="auto"/>
              <w:bottom w:val="single" w:sz="4" w:space="0" w:color="auto"/>
              <w:right w:val="single" w:sz="4" w:space="0" w:color="auto"/>
            </w:tcBorders>
            <w:vAlign w:val="bottom"/>
          </w:tcPr>
          <w:p w14:paraId="470F6772" w14:textId="5A75618E" w:rsidR="42021E07" w:rsidRDefault="50288ED5" w:rsidP="2F0C2401">
            <w:pPr>
              <w:spacing w:after="0"/>
              <w:jc w:val="center"/>
              <w:rPr>
                <w:rFonts w:ascii="Arial" w:eastAsia="Arial" w:hAnsi="Arial" w:cs="Arial"/>
              </w:rPr>
            </w:pPr>
            <w:r w:rsidRPr="2F0C2401">
              <w:rPr>
                <w:rFonts w:ascii="Arial" w:eastAsia="Arial" w:hAnsi="Arial" w:cs="Arial"/>
              </w:rPr>
              <w:t>5.2500</w:t>
            </w:r>
          </w:p>
        </w:tc>
      </w:tr>
      <w:tr w:rsidR="42021E07" w14:paraId="53F4E5EC"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3642DFB8" w14:textId="09B8DE2A"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716CAD32" w14:textId="56EEEC03" w:rsidR="42021E07" w:rsidRDefault="50288ED5" w:rsidP="2F0C2401">
            <w:pPr>
              <w:spacing w:after="0"/>
              <w:jc w:val="center"/>
              <w:rPr>
                <w:rFonts w:ascii="Arial" w:eastAsia="Arial" w:hAnsi="Arial" w:cs="Arial"/>
              </w:rPr>
            </w:pPr>
            <w:r w:rsidRPr="2F0C2401">
              <w:rPr>
                <w:rFonts w:ascii="Arial" w:eastAsia="Arial" w:hAnsi="Arial" w:cs="Arial"/>
              </w:rPr>
              <w:t>Apr</w:t>
            </w:r>
          </w:p>
        </w:tc>
        <w:tc>
          <w:tcPr>
            <w:tcW w:w="2340" w:type="dxa"/>
            <w:tcBorders>
              <w:top w:val="single" w:sz="4" w:space="0" w:color="auto"/>
              <w:left w:val="single" w:sz="4" w:space="0" w:color="auto"/>
              <w:bottom w:val="single" w:sz="4" w:space="0" w:color="auto"/>
              <w:right w:val="single" w:sz="4" w:space="0" w:color="auto"/>
            </w:tcBorders>
            <w:vAlign w:val="bottom"/>
          </w:tcPr>
          <w:p w14:paraId="3DF5B787" w14:textId="7920D787" w:rsidR="42021E07" w:rsidRDefault="50288ED5" w:rsidP="2F0C2401">
            <w:pPr>
              <w:spacing w:after="0"/>
              <w:jc w:val="center"/>
              <w:rPr>
                <w:rFonts w:ascii="Arial" w:eastAsia="Arial" w:hAnsi="Arial" w:cs="Arial"/>
              </w:rPr>
            </w:pPr>
            <w:r w:rsidRPr="2F0C2401">
              <w:rPr>
                <w:rFonts w:ascii="Arial" w:eastAsia="Arial" w:hAnsi="Arial" w:cs="Arial"/>
              </w:rPr>
              <w:t>5.0000</w:t>
            </w:r>
          </w:p>
        </w:tc>
      </w:tr>
      <w:tr w:rsidR="42021E07" w14:paraId="34DCBF52"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28AD37B4" w14:textId="11086386"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446E0017" w14:textId="398D90D8" w:rsidR="42021E07" w:rsidRDefault="50288ED5" w:rsidP="2F0C2401">
            <w:pPr>
              <w:spacing w:after="0"/>
              <w:jc w:val="center"/>
              <w:rPr>
                <w:rFonts w:ascii="Arial" w:eastAsia="Arial" w:hAnsi="Arial" w:cs="Arial"/>
              </w:rPr>
            </w:pPr>
            <w:r w:rsidRPr="2F0C2401">
              <w:rPr>
                <w:rFonts w:ascii="Arial" w:eastAsia="Arial" w:hAnsi="Arial" w:cs="Arial"/>
              </w:rPr>
              <w:t>Oct</w:t>
            </w:r>
          </w:p>
        </w:tc>
        <w:tc>
          <w:tcPr>
            <w:tcW w:w="2340" w:type="dxa"/>
            <w:tcBorders>
              <w:top w:val="single" w:sz="4" w:space="0" w:color="auto"/>
              <w:left w:val="single" w:sz="4" w:space="0" w:color="auto"/>
              <w:bottom w:val="single" w:sz="4" w:space="0" w:color="auto"/>
              <w:right w:val="single" w:sz="4" w:space="0" w:color="auto"/>
            </w:tcBorders>
            <w:vAlign w:val="bottom"/>
          </w:tcPr>
          <w:p w14:paraId="5DFC996B" w14:textId="7D7D805B" w:rsidR="42021E07" w:rsidRDefault="50288ED5" w:rsidP="2F0C2401">
            <w:pPr>
              <w:spacing w:after="0"/>
              <w:jc w:val="center"/>
              <w:rPr>
                <w:rFonts w:ascii="Arial" w:eastAsia="Arial" w:hAnsi="Arial" w:cs="Arial"/>
              </w:rPr>
            </w:pPr>
            <w:r w:rsidRPr="2F0C2401">
              <w:rPr>
                <w:rFonts w:ascii="Arial" w:eastAsia="Arial" w:hAnsi="Arial" w:cs="Arial"/>
              </w:rPr>
              <w:t>4.5000</w:t>
            </w:r>
          </w:p>
        </w:tc>
      </w:tr>
      <w:tr w:rsidR="42021E07" w14:paraId="0FC576D2"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65FDAEC3" w14:textId="5F4C74E7"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2EE3CA13" w14:textId="792EB31B" w:rsidR="42021E07" w:rsidRDefault="50288ED5" w:rsidP="2F0C2401">
            <w:pPr>
              <w:spacing w:after="0"/>
              <w:jc w:val="center"/>
              <w:rPr>
                <w:rFonts w:ascii="Arial" w:eastAsia="Arial" w:hAnsi="Arial" w:cs="Arial"/>
              </w:rPr>
            </w:pPr>
            <w:r w:rsidRPr="2F0C2401">
              <w:rPr>
                <w:rFonts w:ascii="Arial" w:eastAsia="Arial" w:hAnsi="Arial" w:cs="Arial"/>
              </w:rPr>
              <w:t>Nov</w:t>
            </w:r>
          </w:p>
        </w:tc>
        <w:tc>
          <w:tcPr>
            <w:tcW w:w="2340" w:type="dxa"/>
            <w:tcBorders>
              <w:top w:val="single" w:sz="4" w:space="0" w:color="auto"/>
              <w:left w:val="single" w:sz="4" w:space="0" w:color="auto"/>
              <w:bottom w:val="single" w:sz="4" w:space="0" w:color="auto"/>
              <w:right w:val="single" w:sz="4" w:space="0" w:color="auto"/>
            </w:tcBorders>
            <w:vAlign w:val="bottom"/>
          </w:tcPr>
          <w:p w14:paraId="2EF0005E" w14:textId="0666513A" w:rsidR="42021E07" w:rsidRDefault="50288ED5" w:rsidP="2F0C2401">
            <w:pPr>
              <w:spacing w:after="0"/>
              <w:jc w:val="center"/>
              <w:rPr>
                <w:rFonts w:ascii="Arial" w:eastAsia="Arial" w:hAnsi="Arial" w:cs="Arial"/>
              </w:rPr>
            </w:pPr>
            <w:r w:rsidRPr="2F0C2401">
              <w:rPr>
                <w:rFonts w:ascii="Arial" w:eastAsia="Arial" w:hAnsi="Arial" w:cs="Arial"/>
              </w:rPr>
              <w:t>3.0000</w:t>
            </w:r>
          </w:p>
        </w:tc>
      </w:tr>
      <w:tr w:rsidR="42021E07" w14:paraId="52DA6CD3"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001EC067" w14:textId="36BB7E07"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05B0340D" w14:textId="2C01557E" w:rsidR="42021E07" w:rsidRDefault="50288ED5" w:rsidP="2F0C2401">
            <w:pPr>
              <w:spacing w:after="0"/>
              <w:jc w:val="center"/>
              <w:rPr>
                <w:rFonts w:ascii="Arial" w:eastAsia="Arial" w:hAnsi="Arial" w:cs="Arial"/>
              </w:rPr>
            </w:pPr>
            <w:r w:rsidRPr="2F0C2401">
              <w:rPr>
                <w:rFonts w:ascii="Arial" w:eastAsia="Arial" w:hAnsi="Arial" w:cs="Arial"/>
              </w:rPr>
              <w:t>Dec</w:t>
            </w:r>
          </w:p>
        </w:tc>
        <w:tc>
          <w:tcPr>
            <w:tcW w:w="2340" w:type="dxa"/>
            <w:tcBorders>
              <w:top w:val="single" w:sz="4" w:space="0" w:color="auto"/>
              <w:left w:val="single" w:sz="4" w:space="0" w:color="auto"/>
              <w:bottom w:val="single" w:sz="4" w:space="0" w:color="auto"/>
              <w:right w:val="single" w:sz="4" w:space="0" w:color="auto"/>
            </w:tcBorders>
            <w:vAlign w:val="bottom"/>
          </w:tcPr>
          <w:p w14:paraId="231DD684" w14:textId="79B72BF7" w:rsidR="42021E07" w:rsidRDefault="50288ED5" w:rsidP="2F0C2401">
            <w:pPr>
              <w:spacing w:after="0"/>
              <w:jc w:val="center"/>
              <w:rPr>
                <w:rFonts w:ascii="Arial" w:eastAsia="Arial" w:hAnsi="Arial" w:cs="Arial"/>
              </w:rPr>
            </w:pPr>
            <w:r w:rsidRPr="2F0C2401">
              <w:rPr>
                <w:rFonts w:ascii="Arial" w:eastAsia="Arial" w:hAnsi="Arial" w:cs="Arial"/>
              </w:rPr>
              <w:t>2.0000</w:t>
            </w:r>
          </w:p>
        </w:tc>
      </w:tr>
      <w:tr w:rsidR="42021E07" w14:paraId="65895871"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756F9F45" w14:textId="22E1968B"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2E575F0F" w14:textId="2B82BF9D"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7F1A445E" w14:textId="4375B492"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r>
      <w:tr w:rsidR="42021E07" w14:paraId="68CB34BF"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06FC31C6" w14:textId="1459F94E" w:rsidR="42021E07" w:rsidRDefault="50288ED5" w:rsidP="2F0C2401">
            <w:pPr>
              <w:spacing w:after="0"/>
              <w:jc w:val="center"/>
              <w:rPr>
                <w:rFonts w:ascii="Arial" w:eastAsia="Arial" w:hAnsi="Arial" w:cs="Arial"/>
              </w:rPr>
            </w:pPr>
            <w:r w:rsidRPr="2F0C2401">
              <w:rPr>
                <w:rFonts w:ascii="Arial" w:eastAsia="Arial" w:hAnsi="Arial" w:cs="Arial"/>
              </w:rPr>
              <w:t xml:space="preserve">2009 </w:t>
            </w:r>
          </w:p>
        </w:tc>
        <w:tc>
          <w:tcPr>
            <w:tcW w:w="2340" w:type="dxa"/>
            <w:tcBorders>
              <w:top w:val="single" w:sz="4" w:space="0" w:color="auto"/>
              <w:left w:val="single" w:sz="4" w:space="0" w:color="auto"/>
              <w:bottom w:val="single" w:sz="4" w:space="0" w:color="auto"/>
              <w:right w:val="single" w:sz="4" w:space="0" w:color="auto"/>
            </w:tcBorders>
            <w:vAlign w:val="bottom"/>
          </w:tcPr>
          <w:p w14:paraId="210AF88B" w14:textId="22AF2B37" w:rsidR="42021E07" w:rsidRDefault="50288ED5" w:rsidP="2F0C2401">
            <w:pPr>
              <w:spacing w:after="0"/>
              <w:jc w:val="center"/>
              <w:rPr>
                <w:rFonts w:ascii="Arial" w:eastAsia="Arial" w:hAnsi="Arial" w:cs="Arial"/>
              </w:rPr>
            </w:pPr>
            <w:r w:rsidRPr="2F0C2401">
              <w:rPr>
                <w:rFonts w:ascii="Arial" w:eastAsia="Arial" w:hAnsi="Arial" w:cs="Arial"/>
              </w:rPr>
              <w:t>Jan</w:t>
            </w:r>
          </w:p>
        </w:tc>
        <w:tc>
          <w:tcPr>
            <w:tcW w:w="2340" w:type="dxa"/>
            <w:tcBorders>
              <w:top w:val="single" w:sz="4" w:space="0" w:color="auto"/>
              <w:left w:val="single" w:sz="4" w:space="0" w:color="auto"/>
              <w:bottom w:val="single" w:sz="4" w:space="0" w:color="auto"/>
              <w:right w:val="single" w:sz="4" w:space="0" w:color="auto"/>
            </w:tcBorders>
            <w:vAlign w:val="bottom"/>
          </w:tcPr>
          <w:p w14:paraId="47AE4EE5" w14:textId="42898DE8" w:rsidR="42021E07" w:rsidRDefault="50288ED5" w:rsidP="2F0C2401">
            <w:pPr>
              <w:spacing w:after="0"/>
              <w:jc w:val="center"/>
              <w:rPr>
                <w:rFonts w:ascii="Arial" w:eastAsia="Arial" w:hAnsi="Arial" w:cs="Arial"/>
              </w:rPr>
            </w:pPr>
            <w:r w:rsidRPr="2F0C2401">
              <w:rPr>
                <w:rFonts w:ascii="Arial" w:eastAsia="Arial" w:hAnsi="Arial" w:cs="Arial"/>
              </w:rPr>
              <w:t>1.5000</w:t>
            </w:r>
          </w:p>
        </w:tc>
      </w:tr>
      <w:tr w:rsidR="42021E07" w14:paraId="7DC646E1"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646351A6" w14:textId="5326E15C"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5F438FB5" w14:textId="6DBDDEEB" w:rsidR="42021E07" w:rsidRDefault="50288ED5" w:rsidP="2F0C2401">
            <w:pPr>
              <w:spacing w:after="0"/>
              <w:jc w:val="center"/>
              <w:rPr>
                <w:rFonts w:ascii="Arial" w:eastAsia="Arial" w:hAnsi="Arial" w:cs="Arial"/>
              </w:rPr>
            </w:pPr>
            <w:r w:rsidRPr="2F0C2401">
              <w:rPr>
                <w:rFonts w:ascii="Arial" w:eastAsia="Arial" w:hAnsi="Arial" w:cs="Arial"/>
              </w:rPr>
              <w:t>Feb</w:t>
            </w:r>
          </w:p>
        </w:tc>
        <w:tc>
          <w:tcPr>
            <w:tcW w:w="2340" w:type="dxa"/>
            <w:tcBorders>
              <w:top w:val="single" w:sz="4" w:space="0" w:color="auto"/>
              <w:left w:val="single" w:sz="4" w:space="0" w:color="auto"/>
              <w:bottom w:val="single" w:sz="4" w:space="0" w:color="auto"/>
              <w:right w:val="single" w:sz="4" w:space="0" w:color="auto"/>
            </w:tcBorders>
            <w:vAlign w:val="bottom"/>
          </w:tcPr>
          <w:p w14:paraId="0B2BF487" w14:textId="53C94AFB" w:rsidR="42021E07" w:rsidRDefault="50288ED5" w:rsidP="2F0C2401">
            <w:pPr>
              <w:spacing w:after="0"/>
              <w:jc w:val="center"/>
              <w:rPr>
                <w:rFonts w:ascii="Arial" w:eastAsia="Arial" w:hAnsi="Arial" w:cs="Arial"/>
              </w:rPr>
            </w:pPr>
            <w:r w:rsidRPr="2F0C2401">
              <w:rPr>
                <w:rFonts w:ascii="Arial" w:eastAsia="Arial" w:hAnsi="Arial" w:cs="Arial"/>
              </w:rPr>
              <w:t>1.0000</w:t>
            </w:r>
          </w:p>
        </w:tc>
      </w:tr>
      <w:tr w:rsidR="42021E07" w14:paraId="7AEA36DF"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36BD28A6" w14:textId="697BCAB5"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1D593901" w14:textId="39C41DEF" w:rsidR="42021E07" w:rsidRDefault="50288ED5" w:rsidP="2F0C2401">
            <w:pPr>
              <w:spacing w:after="0"/>
              <w:jc w:val="center"/>
              <w:rPr>
                <w:rFonts w:ascii="Arial" w:eastAsia="Arial" w:hAnsi="Arial" w:cs="Arial"/>
              </w:rPr>
            </w:pPr>
            <w:r w:rsidRPr="2F0C2401">
              <w:rPr>
                <w:rFonts w:ascii="Arial" w:eastAsia="Arial" w:hAnsi="Arial" w:cs="Arial"/>
              </w:rPr>
              <w:t>Mar</w:t>
            </w:r>
          </w:p>
        </w:tc>
        <w:tc>
          <w:tcPr>
            <w:tcW w:w="2340" w:type="dxa"/>
            <w:tcBorders>
              <w:top w:val="single" w:sz="4" w:space="0" w:color="auto"/>
              <w:left w:val="single" w:sz="4" w:space="0" w:color="auto"/>
              <w:bottom w:val="single" w:sz="4" w:space="0" w:color="auto"/>
              <w:right w:val="single" w:sz="4" w:space="0" w:color="auto"/>
            </w:tcBorders>
            <w:vAlign w:val="bottom"/>
          </w:tcPr>
          <w:p w14:paraId="2059CD7A" w14:textId="666BBE19" w:rsidR="42021E07" w:rsidRDefault="50288ED5" w:rsidP="2F0C2401">
            <w:pPr>
              <w:spacing w:after="0"/>
              <w:jc w:val="center"/>
              <w:rPr>
                <w:rFonts w:ascii="Arial" w:eastAsia="Arial" w:hAnsi="Arial" w:cs="Arial"/>
              </w:rPr>
            </w:pPr>
            <w:r w:rsidRPr="2F0C2401">
              <w:rPr>
                <w:rFonts w:ascii="Arial" w:eastAsia="Arial" w:hAnsi="Arial" w:cs="Arial"/>
              </w:rPr>
              <w:t>0.5000</w:t>
            </w:r>
          </w:p>
        </w:tc>
      </w:tr>
      <w:tr w:rsidR="42021E07" w14:paraId="3F541A71"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7D579A36" w14:textId="51BD794D"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3F4CCB51" w14:textId="75515BB3"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588BDE17" w14:textId="2E9D1C66"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r>
      <w:tr w:rsidR="42021E07" w14:paraId="4F8ED514"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13BBE251" w14:textId="66B57A52" w:rsidR="42021E07" w:rsidRDefault="50288ED5" w:rsidP="2F0C2401">
            <w:pPr>
              <w:spacing w:after="0"/>
              <w:jc w:val="center"/>
              <w:rPr>
                <w:rFonts w:ascii="Arial" w:eastAsia="Arial" w:hAnsi="Arial" w:cs="Arial"/>
              </w:rPr>
            </w:pPr>
            <w:r w:rsidRPr="2F0C2401">
              <w:rPr>
                <w:rFonts w:ascii="Arial" w:eastAsia="Arial" w:hAnsi="Arial" w:cs="Arial"/>
              </w:rPr>
              <w:t xml:space="preserve">2016 </w:t>
            </w:r>
          </w:p>
        </w:tc>
        <w:tc>
          <w:tcPr>
            <w:tcW w:w="2340" w:type="dxa"/>
            <w:tcBorders>
              <w:top w:val="single" w:sz="4" w:space="0" w:color="auto"/>
              <w:left w:val="single" w:sz="4" w:space="0" w:color="auto"/>
              <w:bottom w:val="single" w:sz="4" w:space="0" w:color="auto"/>
              <w:right w:val="single" w:sz="4" w:space="0" w:color="auto"/>
            </w:tcBorders>
            <w:vAlign w:val="bottom"/>
          </w:tcPr>
          <w:p w14:paraId="201BF76E" w14:textId="427AF246" w:rsidR="42021E07" w:rsidRDefault="50288ED5" w:rsidP="2F0C2401">
            <w:pPr>
              <w:spacing w:after="0"/>
              <w:jc w:val="center"/>
              <w:rPr>
                <w:rFonts w:ascii="Arial" w:eastAsia="Arial" w:hAnsi="Arial" w:cs="Arial"/>
              </w:rPr>
            </w:pPr>
            <w:r w:rsidRPr="2F0C2401">
              <w:rPr>
                <w:rFonts w:ascii="Arial" w:eastAsia="Arial" w:hAnsi="Arial" w:cs="Arial"/>
              </w:rPr>
              <w:t>Aug</w:t>
            </w:r>
          </w:p>
        </w:tc>
        <w:tc>
          <w:tcPr>
            <w:tcW w:w="2340" w:type="dxa"/>
            <w:tcBorders>
              <w:top w:val="single" w:sz="4" w:space="0" w:color="auto"/>
              <w:left w:val="single" w:sz="4" w:space="0" w:color="auto"/>
              <w:bottom w:val="single" w:sz="4" w:space="0" w:color="auto"/>
              <w:right w:val="single" w:sz="4" w:space="0" w:color="auto"/>
            </w:tcBorders>
            <w:vAlign w:val="bottom"/>
          </w:tcPr>
          <w:p w14:paraId="541FB23C" w14:textId="7615228B" w:rsidR="42021E07" w:rsidRDefault="50288ED5" w:rsidP="2F0C2401">
            <w:pPr>
              <w:spacing w:after="0"/>
              <w:jc w:val="center"/>
              <w:rPr>
                <w:rFonts w:ascii="Arial" w:eastAsia="Arial" w:hAnsi="Arial" w:cs="Arial"/>
              </w:rPr>
            </w:pPr>
            <w:r w:rsidRPr="2F0C2401">
              <w:rPr>
                <w:rFonts w:ascii="Arial" w:eastAsia="Arial" w:hAnsi="Arial" w:cs="Arial"/>
              </w:rPr>
              <w:t>0.2500</w:t>
            </w:r>
          </w:p>
        </w:tc>
      </w:tr>
      <w:tr w:rsidR="42021E07" w14:paraId="3B2FB998"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41675D1E" w14:textId="22EBF06E"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2A3A00EB" w14:textId="28F685E2"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2F442030" w14:textId="4712CA7F"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r>
      <w:tr w:rsidR="42021E07" w14:paraId="4D684373"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75425B16" w14:textId="035D8DC8" w:rsidR="42021E07" w:rsidRDefault="50288ED5" w:rsidP="2F0C2401">
            <w:pPr>
              <w:spacing w:after="0"/>
              <w:jc w:val="center"/>
              <w:rPr>
                <w:rFonts w:ascii="Arial" w:eastAsia="Arial" w:hAnsi="Arial" w:cs="Arial"/>
              </w:rPr>
            </w:pPr>
            <w:r w:rsidRPr="2F0C2401">
              <w:rPr>
                <w:rFonts w:ascii="Arial" w:eastAsia="Arial" w:hAnsi="Arial" w:cs="Arial"/>
              </w:rPr>
              <w:t xml:space="preserve">2017 </w:t>
            </w:r>
          </w:p>
        </w:tc>
        <w:tc>
          <w:tcPr>
            <w:tcW w:w="2340" w:type="dxa"/>
            <w:tcBorders>
              <w:top w:val="single" w:sz="4" w:space="0" w:color="auto"/>
              <w:left w:val="single" w:sz="4" w:space="0" w:color="auto"/>
              <w:bottom w:val="single" w:sz="4" w:space="0" w:color="auto"/>
              <w:right w:val="single" w:sz="4" w:space="0" w:color="auto"/>
            </w:tcBorders>
            <w:vAlign w:val="bottom"/>
          </w:tcPr>
          <w:p w14:paraId="55F29152" w14:textId="5228396E" w:rsidR="42021E07" w:rsidRDefault="50288ED5" w:rsidP="2F0C2401">
            <w:pPr>
              <w:spacing w:after="0"/>
              <w:jc w:val="center"/>
              <w:rPr>
                <w:rFonts w:ascii="Arial" w:eastAsia="Arial" w:hAnsi="Arial" w:cs="Arial"/>
              </w:rPr>
            </w:pPr>
            <w:r w:rsidRPr="2F0C2401">
              <w:rPr>
                <w:rFonts w:ascii="Arial" w:eastAsia="Arial" w:hAnsi="Arial" w:cs="Arial"/>
              </w:rPr>
              <w:t>Nov</w:t>
            </w:r>
          </w:p>
        </w:tc>
        <w:tc>
          <w:tcPr>
            <w:tcW w:w="2340" w:type="dxa"/>
            <w:tcBorders>
              <w:top w:val="single" w:sz="4" w:space="0" w:color="auto"/>
              <w:left w:val="single" w:sz="4" w:space="0" w:color="auto"/>
              <w:bottom w:val="single" w:sz="4" w:space="0" w:color="auto"/>
              <w:right w:val="single" w:sz="4" w:space="0" w:color="auto"/>
            </w:tcBorders>
            <w:vAlign w:val="bottom"/>
          </w:tcPr>
          <w:p w14:paraId="4C6E3C12" w14:textId="0042A501" w:rsidR="42021E07" w:rsidRDefault="50288ED5" w:rsidP="2F0C2401">
            <w:pPr>
              <w:spacing w:after="0"/>
              <w:jc w:val="center"/>
              <w:rPr>
                <w:rFonts w:ascii="Arial" w:eastAsia="Arial" w:hAnsi="Arial" w:cs="Arial"/>
              </w:rPr>
            </w:pPr>
            <w:r w:rsidRPr="2F0C2401">
              <w:rPr>
                <w:rFonts w:ascii="Arial" w:eastAsia="Arial" w:hAnsi="Arial" w:cs="Arial"/>
              </w:rPr>
              <w:t>0.5000</w:t>
            </w:r>
          </w:p>
        </w:tc>
      </w:tr>
      <w:tr w:rsidR="42021E07" w14:paraId="229B67AA"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71211E69" w14:textId="6E2FC976"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415A54BA" w14:textId="5F0D375B"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7B42084E" w14:textId="6B0225FC"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r>
      <w:tr w:rsidR="42021E07" w14:paraId="09EEA6CD"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06202261" w14:textId="02D6B7E9" w:rsidR="42021E07" w:rsidRDefault="50288ED5" w:rsidP="2F0C2401">
            <w:pPr>
              <w:spacing w:after="0"/>
              <w:jc w:val="center"/>
              <w:rPr>
                <w:rFonts w:ascii="Arial" w:eastAsia="Arial" w:hAnsi="Arial" w:cs="Arial"/>
              </w:rPr>
            </w:pPr>
            <w:r w:rsidRPr="2F0C2401">
              <w:rPr>
                <w:rFonts w:ascii="Arial" w:eastAsia="Arial" w:hAnsi="Arial" w:cs="Arial"/>
              </w:rPr>
              <w:t xml:space="preserve">2018 </w:t>
            </w:r>
          </w:p>
        </w:tc>
        <w:tc>
          <w:tcPr>
            <w:tcW w:w="2340" w:type="dxa"/>
            <w:tcBorders>
              <w:top w:val="single" w:sz="4" w:space="0" w:color="auto"/>
              <w:left w:val="single" w:sz="4" w:space="0" w:color="auto"/>
              <w:bottom w:val="single" w:sz="4" w:space="0" w:color="auto"/>
              <w:right w:val="single" w:sz="4" w:space="0" w:color="auto"/>
            </w:tcBorders>
            <w:vAlign w:val="bottom"/>
          </w:tcPr>
          <w:p w14:paraId="1DCF385D" w14:textId="3445E6F3" w:rsidR="42021E07" w:rsidRDefault="50288ED5" w:rsidP="2F0C2401">
            <w:pPr>
              <w:spacing w:after="0"/>
              <w:jc w:val="center"/>
              <w:rPr>
                <w:rFonts w:ascii="Arial" w:eastAsia="Arial" w:hAnsi="Arial" w:cs="Arial"/>
              </w:rPr>
            </w:pPr>
            <w:r w:rsidRPr="2F0C2401">
              <w:rPr>
                <w:rFonts w:ascii="Arial" w:eastAsia="Arial" w:hAnsi="Arial" w:cs="Arial"/>
              </w:rPr>
              <w:t xml:space="preserve">Aug </w:t>
            </w:r>
          </w:p>
        </w:tc>
        <w:tc>
          <w:tcPr>
            <w:tcW w:w="2340" w:type="dxa"/>
            <w:tcBorders>
              <w:top w:val="single" w:sz="4" w:space="0" w:color="auto"/>
              <w:left w:val="single" w:sz="4" w:space="0" w:color="auto"/>
              <w:bottom w:val="single" w:sz="4" w:space="0" w:color="auto"/>
              <w:right w:val="single" w:sz="4" w:space="0" w:color="auto"/>
            </w:tcBorders>
            <w:vAlign w:val="bottom"/>
          </w:tcPr>
          <w:p w14:paraId="07653722" w14:textId="7D73098D" w:rsidR="42021E07" w:rsidRDefault="50288ED5" w:rsidP="2F0C2401">
            <w:pPr>
              <w:spacing w:after="0"/>
              <w:jc w:val="center"/>
              <w:rPr>
                <w:rFonts w:ascii="Arial" w:eastAsia="Arial" w:hAnsi="Arial" w:cs="Arial"/>
              </w:rPr>
            </w:pPr>
            <w:r w:rsidRPr="2F0C2401">
              <w:rPr>
                <w:rFonts w:ascii="Arial" w:eastAsia="Arial" w:hAnsi="Arial" w:cs="Arial"/>
              </w:rPr>
              <w:t>0.7500</w:t>
            </w:r>
          </w:p>
        </w:tc>
      </w:tr>
      <w:tr w:rsidR="42021E07" w14:paraId="4661A4DA"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62E019B2" w14:textId="5BAFA3FD"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6DCE48EE" w14:textId="6A174907"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79F3AC85" w14:textId="19D33EE1"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r>
      <w:tr w:rsidR="42021E07" w14:paraId="110344BD"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2A6F3AED" w14:textId="30A828E0" w:rsidR="42021E07" w:rsidRDefault="50288ED5" w:rsidP="2F0C2401">
            <w:pPr>
              <w:spacing w:after="0"/>
              <w:jc w:val="center"/>
              <w:rPr>
                <w:rFonts w:ascii="Arial" w:eastAsia="Arial" w:hAnsi="Arial" w:cs="Arial"/>
              </w:rPr>
            </w:pPr>
            <w:r w:rsidRPr="2F0C2401">
              <w:rPr>
                <w:rFonts w:ascii="Arial" w:eastAsia="Arial" w:hAnsi="Arial" w:cs="Arial"/>
              </w:rPr>
              <w:t xml:space="preserve">2020 </w:t>
            </w:r>
          </w:p>
        </w:tc>
        <w:tc>
          <w:tcPr>
            <w:tcW w:w="2340" w:type="dxa"/>
            <w:tcBorders>
              <w:top w:val="single" w:sz="4" w:space="0" w:color="auto"/>
              <w:left w:val="single" w:sz="4" w:space="0" w:color="auto"/>
              <w:bottom w:val="single" w:sz="4" w:space="0" w:color="auto"/>
              <w:right w:val="single" w:sz="4" w:space="0" w:color="auto"/>
            </w:tcBorders>
            <w:vAlign w:val="bottom"/>
          </w:tcPr>
          <w:p w14:paraId="4DBF2A0A" w14:textId="4E53606E" w:rsidR="42021E07" w:rsidRDefault="50288ED5" w:rsidP="2F0C2401">
            <w:pPr>
              <w:spacing w:after="0"/>
              <w:jc w:val="center"/>
              <w:rPr>
                <w:rFonts w:ascii="Arial" w:eastAsia="Arial" w:hAnsi="Arial" w:cs="Arial"/>
              </w:rPr>
            </w:pPr>
            <w:r w:rsidRPr="2F0C2401">
              <w:rPr>
                <w:rFonts w:ascii="Arial" w:eastAsia="Arial" w:hAnsi="Arial" w:cs="Arial"/>
              </w:rPr>
              <w:t>Mar</w:t>
            </w:r>
          </w:p>
        </w:tc>
        <w:tc>
          <w:tcPr>
            <w:tcW w:w="2340" w:type="dxa"/>
            <w:tcBorders>
              <w:top w:val="single" w:sz="4" w:space="0" w:color="auto"/>
              <w:left w:val="single" w:sz="4" w:space="0" w:color="auto"/>
              <w:bottom w:val="single" w:sz="4" w:space="0" w:color="auto"/>
              <w:right w:val="single" w:sz="4" w:space="0" w:color="auto"/>
            </w:tcBorders>
            <w:vAlign w:val="bottom"/>
          </w:tcPr>
          <w:p w14:paraId="5EF688E1" w14:textId="71526819" w:rsidR="42021E07" w:rsidRDefault="50288ED5" w:rsidP="2F0C2401">
            <w:pPr>
              <w:spacing w:after="0"/>
              <w:jc w:val="center"/>
              <w:rPr>
                <w:rFonts w:ascii="Arial" w:eastAsia="Arial" w:hAnsi="Arial" w:cs="Arial"/>
              </w:rPr>
            </w:pPr>
            <w:r w:rsidRPr="2F0C2401">
              <w:rPr>
                <w:rFonts w:ascii="Arial" w:eastAsia="Arial" w:hAnsi="Arial" w:cs="Arial"/>
              </w:rPr>
              <w:t>0.2500</w:t>
            </w:r>
          </w:p>
        </w:tc>
      </w:tr>
      <w:tr w:rsidR="42021E07" w14:paraId="0A07E6BB"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4A3B998B" w14:textId="68C103AC"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762F31EA" w14:textId="12DE3C60" w:rsidR="42021E07" w:rsidRDefault="50288ED5" w:rsidP="2F0C2401">
            <w:pPr>
              <w:spacing w:after="0"/>
              <w:jc w:val="center"/>
              <w:rPr>
                <w:rFonts w:ascii="Arial" w:eastAsia="Arial" w:hAnsi="Arial" w:cs="Arial"/>
              </w:rPr>
            </w:pPr>
            <w:r w:rsidRPr="2F0C2401">
              <w:rPr>
                <w:rFonts w:ascii="Arial" w:eastAsia="Arial" w:hAnsi="Arial" w:cs="Arial"/>
              </w:rPr>
              <w:t>Mar</w:t>
            </w:r>
          </w:p>
        </w:tc>
        <w:tc>
          <w:tcPr>
            <w:tcW w:w="2340" w:type="dxa"/>
            <w:tcBorders>
              <w:top w:val="single" w:sz="4" w:space="0" w:color="auto"/>
              <w:left w:val="single" w:sz="4" w:space="0" w:color="auto"/>
              <w:bottom w:val="single" w:sz="4" w:space="0" w:color="auto"/>
              <w:right w:val="single" w:sz="4" w:space="0" w:color="auto"/>
            </w:tcBorders>
            <w:vAlign w:val="bottom"/>
          </w:tcPr>
          <w:p w14:paraId="4C831882" w14:textId="20C6A0D2" w:rsidR="42021E07" w:rsidRDefault="50288ED5" w:rsidP="2F0C2401">
            <w:pPr>
              <w:spacing w:after="0"/>
              <w:jc w:val="center"/>
              <w:rPr>
                <w:rFonts w:ascii="Arial" w:eastAsia="Arial" w:hAnsi="Arial" w:cs="Arial"/>
              </w:rPr>
            </w:pPr>
            <w:r w:rsidRPr="2F0C2401">
              <w:rPr>
                <w:rFonts w:ascii="Arial" w:eastAsia="Arial" w:hAnsi="Arial" w:cs="Arial"/>
              </w:rPr>
              <w:t>0.1000</w:t>
            </w:r>
          </w:p>
        </w:tc>
      </w:tr>
      <w:tr w:rsidR="42021E07" w14:paraId="59515E84"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64A7A27B" w14:textId="46151A27"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474CE8C0" w14:textId="16959182"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49D011CD" w14:textId="0A3DB4D7"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r>
      <w:tr w:rsidR="42021E07" w14:paraId="20BF66E8"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7E317CBC" w14:textId="5CC5A2BA" w:rsidR="42021E07" w:rsidRDefault="50288ED5" w:rsidP="2F0C2401">
            <w:pPr>
              <w:spacing w:after="0"/>
              <w:jc w:val="center"/>
              <w:rPr>
                <w:rFonts w:ascii="Arial" w:eastAsia="Arial" w:hAnsi="Arial" w:cs="Arial"/>
              </w:rPr>
            </w:pPr>
            <w:r w:rsidRPr="2F0C2401">
              <w:rPr>
                <w:rFonts w:ascii="Arial" w:eastAsia="Arial" w:hAnsi="Arial" w:cs="Arial"/>
              </w:rPr>
              <w:t xml:space="preserve">2021 </w:t>
            </w:r>
          </w:p>
        </w:tc>
        <w:tc>
          <w:tcPr>
            <w:tcW w:w="2340" w:type="dxa"/>
            <w:tcBorders>
              <w:top w:val="single" w:sz="4" w:space="0" w:color="auto"/>
              <w:left w:val="single" w:sz="4" w:space="0" w:color="auto"/>
              <w:bottom w:val="single" w:sz="4" w:space="0" w:color="auto"/>
              <w:right w:val="single" w:sz="4" w:space="0" w:color="auto"/>
            </w:tcBorders>
            <w:vAlign w:val="bottom"/>
          </w:tcPr>
          <w:p w14:paraId="54289858" w14:textId="2F827E6E" w:rsidR="42021E07" w:rsidRDefault="50288ED5" w:rsidP="2F0C2401">
            <w:pPr>
              <w:spacing w:after="0"/>
              <w:jc w:val="center"/>
              <w:rPr>
                <w:rFonts w:ascii="Arial" w:eastAsia="Arial" w:hAnsi="Arial" w:cs="Arial"/>
              </w:rPr>
            </w:pPr>
            <w:r w:rsidRPr="2F0C2401">
              <w:rPr>
                <w:rFonts w:ascii="Arial" w:eastAsia="Arial" w:hAnsi="Arial" w:cs="Arial"/>
              </w:rPr>
              <w:t>Dec</w:t>
            </w:r>
          </w:p>
        </w:tc>
        <w:tc>
          <w:tcPr>
            <w:tcW w:w="2340" w:type="dxa"/>
            <w:tcBorders>
              <w:top w:val="single" w:sz="4" w:space="0" w:color="auto"/>
              <w:left w:val="single" w:sz="4" w:space="0" w:color="auto"/>
              <w:bottom w:val="single" w:sz="4" w:space="0" w:color="auto"/>
              <w:right w:val="single" w:sz="4" w:space="0" w:color="auto"/>
            </w:tcBorders>
            <w:vAlign w:val="bottom"/>
          </w:tcPr>
          <w:p w14:paraId="7050554E" w14:textId="1F96FD6B" w:rsidR="42021E07" w:rsidRDefault="50288ED5" w:rsidP="2F0C2401">
            <w:pPr>
              <w:spacing w:after="0"/>
              <w:jc w:val="center"/>
              <w:rPr>
                <w:rFonts w:ascii="Arial" w:eastAsia="Arial" w:hAnsi="Arial" w:cs="Arial"/>
              </w:rPr>
            </w:pPr>
            <w:r w:rsidRPr="2F0C2401">
              <w:rPr>
                <w:rFonts w:ascii="Arial" w:eastAsia="Arial" w:hAnsi="Arial" w:cs="Arial"/>
              </w:rPr>
              <w:t>0.2500</w:t>
            </w:r>
          </w:p>
        </w:tc>
      </w:tr>
      <w:tr w:rsidR="42021E07" w14:paraId="608A4933"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6772CCC9" w14:textId="3CAF633C"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0E077FA5" w14:textId="200AF0B2"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20C7C847" w14:textId="41C1B5C2"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r>
      <w:tr w:rsidR="42021E07" w14:paraId="2A1EE9D5"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030871D6" w14:textId="135B39EB" w:rsidR="42021E07" w:rsidRDefault="50288ED5" w:rsidP="2F0C2401">
            <w:pPr>
              <w:spacing w:after="0"/>
              <w:jc w:val="center"/>
              <w:rPr>
                <w:rFonts w:ascii="Arial" w:eastAsia="Arial" w:hAnsi="Arial" w:cs="Arial"/>
              </w:rPr>
            </w:pPr>
            <w:r w:rsidRPr="2F0C2401">
              <w:rPr>
                <w:rFonts w:ascii="Arial" w:eastAsia="Arial" w:hAnsi="Arial" w:cs="Arial"/>
              </w:rPr>
              <w:t xml:space="preserve">2022 </w:t>
            </w:r>
          </w:p>
        </w:tc>
        <w:tc>
          <w:tcPr>
            <w:tcW w:w="2340" w:type="dxa"/>
            <w:tcBorders>
              <w:top w:val="single" w:sz="4" w:space="0" w:color="auto"/>
              <w:left w:val="single" w:sz="4" w:space="0" w:color="auto"/>
              <w:bottom w:val="single" w:sz="4" w:space="0" w:color="auto"/>
              <w:right w:val="single" w:sz="4" w:space="0" w:color="auto"/>
            </w:tcBorders>
            <w:vAlign w:val="bottom"/>
          </w:tcPr>
          <w:p w14:paraId="797F40CF" w14:textId="6C05358E" w:rsidR="42021E07" w:rsidRDefault="50288ED5" w:rsidP="2F0C2401">
            <w:pPr>
              <w:spacing w:after="0"/>
              <w:jc w:val="center"/>
              <w:rPr>
                <w:rFonts w:ascii="Arial" w:eastAsia="Arial" w:hAnsi="Arial" w:cs="Arial"/>
              </w:rPr>
            </w:pPr>
            <w:r w:rsidRPr="2F0C2401">
              <w:rPr>
                <w:rFonts w:ascii="Arial" w:eastAsia="Arial" w:hAnsi="Arial" w:cs="Arial"/>
              </w:rPr>
              <w:t>Feb</w:t>
            </w:r>
          </w:p>
        </w:tc>
        <w:tc>
          <w:tcPr>
            <w:tcW w:w="2340" w:type="dxa"/>
            <w:tcBorders>
              <w:top w:val="single" w:sz="4" w:space="0" w:color="auto"/>
              <w:left w:val="single" w:sz="4" w:space="0" w:color="auto"/>
              <w:bottom w:val="single" w:sz="4" w:space="0" w:color="auto"/>
              <w:right w:val="single" w:sz="4" w:space="0" w:color="auto"/>
            </w:tcBorders>
            <w:vAlign w:val="bottom"/>
          </w:tcPr>
          <w:p w14:paraId="2255DFD8" w14:textId="7DA30A5A" w:rsidR="42021E07" w:rsidRDefault="50288ED5" w:rsidP="2F0C2401">
            <w:pPr>
              <w:spacing w:after="0"/>
              <w:jc w:val="center"/>
              <w:rPr>
                <w:rFonts w:ascii="Arial" w:eastAsia="Arial" w:hAnsi="Arial" w:cs="Arial"/>
              </w:rPr>
            </w:pPr>
            <w:r w:rsidRPr="2F0C2401">
              <w:rPr>
                <w:rFonts w:ascii="Arial" w:eastAsia="Arial" w:hAnsi="Arial" w:cs="Arial"/>
              </w:rPr>
              <w:t>0.5000</w:t>
            </w:r>
          </w:p>
        </w:tc>
      </w:tr>
      <w:tr w:rsidR="42021E07" w14:paraId="19015AA7"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59E8D979" w14:textId="2A596397"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553B32EF" w14:textId="54B62FCB" w:rsidR="42021E07" w:rsidRDefault="50288ED5" w:rsidP="2F0C2401">
            <w:pPr>
              <w:spacing w:after="0"/>
              <w:jc w:val="center"/>
              <w:rPr>
                <w:rFonts w:ascii="Arial" w:eastAsia="Arial" w:hAnsi="Arial" w:cs="Arial"/>
              </w:rPr>
            </w:pPr>
            <w:r w:rsidRPr="2F0C2401">
              <w:rPr>
                <w:rFonts w:ascii="Arial" w:eastAsia="Arial" w:hAnsi="Arial" w:cs="Arial"/>
              </w:rPr>
              <w:t>Mar</w:t>
            </w:r>
          </w:p>
        </w:tc>
        <w:tc>
          <w:tcPr>
            <w:tcW w:w="2340" w:type="dxa"/>
            <w:tcBorders>
              <w:top w:val="single" w:sz="4" w:space="0" w:color="auto"/>
              <w:left w:val="single" w:sz="4" w:space="0" w:color="auto"/>
              <w:bottom w:val="single" w:sz="4" w:space="0" w:color="auto"/>
              <w:right w:val="single" w:sz="4" w:space="0" w:color="auto"/>
            </w:tcBorders>
            <w:vAlign w:val="bottom"/>
          </w:tcPr>
          <w:p w14:paraId="1605690A" w14:textId="04323799" w:rsidR="42021E07" w:rsidRDefault="50288ED5" w:rsidP="2F0C2401">
            <w:pPr>
              <w:spacing w:after="0"/>
              <w:jc w:val="center"/>
              <w:rPr>
                <w:rFonts w:ascii="Arial" w:eastAsia="Arial" w:hAnsi="Arial" w:cs="Arial"/>
              </w:rPr>
            </w:pPr>
            <w:r w:rsidRPr="2F0C2401">
              <w:rPr>
                <w:rFonts w:ascii="Arial" w:eastAsia="Arial" w:hAnsi="Arial" w:cs="Arial"/>
              </w:rPr>
              <w:t>0.7500</w:t>
            </w:r>
          </w:p>
        </w:tc>
      </w:tr>
      <w:tr w:rsidR="42021E07" w14:paraId="387EA617"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64BC7F48" w14:textId="1302DCC6"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4E5EA4EC" w14:textId="29477C0F" w:rsidR="42021E07" w:rsidRDefault="50288ED5" w:rsidP="2F0C2401">
            <w:pPr>
              <w:spacing w:after="0"/>
              <w:jc w:val="center"/>
              <w:rPr>
                <w:rFonts w:ascii="Arial" w:eastAsia="Arial" w:hAnsi="Arial" w:cs="Arial"/>
              </w:rPr>
            </w:pPr>
            <w:r w:rsidRPr="2F0C2401">
              <w:rPr>
                <w:rFonts w:ascii="Arial" w:eastAsia="Arial" w:hAnsi="Arial" w:cs="Arial"/>
              </w:rPr>
              <w:t>May</w:t>
            </w:r>
          </w:p>
        </w:tc>
        <w:tc>
          <w:tcPr>
            <w:tcW w:w="2340" w:type="dxa"/>
            <w:tcBorders>
              <w:top w:val="single" w:sz="4" w:space="0" w:color="auto"/>
              <w:left w:val="single" w:sz="4" w:space="0" w:color="auto"/>
              <w:bottom w:val="single" w:sz="4" w:space="0" w:color="auto"/>
              <w:right w:val="single" w:sz="4" w:space="0" w:color="auto"/>
            </w:tcBorders>
            <w:vAlign w:val="bottom"/>
          </w:tcPr>
          <w:p w14:paraId="59F3328E" w14:textId="10F5B970" w:rsidR="42021E07" w:rsidRDefault="50288ED5" w:rsidP="2F0C2401">
            <w:pPr>
              <w:spacing w:after="0"/>
              <w:jc w:val="center"/>
              <w:rPr>
                <w:rFonts w:ascii="Arial" w:eastAsia="Arial" w:hAnsi="Arial" w:cs="Arial"/>
              </w:rPr>
            </w:pPr>
            <w:r w:rsidRPr="2F0C2401">
              <w:rPr>
                <w:rFonts w:ascii="Arial" w:eastAsia="Arial" w:hAnsi="Arial" w:cs="Arial"/>
              </w:rPr>
              <w:t>1.0000</w:t>
            </w:r>
          </w:p>
        </w:tc>
      </w:tr>
      <w:tr w:rsidR="42021E07" w14:paraId="36BF6B30"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30D1D2FA" w14:textId="2747F36F"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0A2C9F9D" w14:textId="419F51A6" w:rsidR="42021E07" w:rsidRDefault="50288ED5" w:rsidP="2F0C2401">
            <w:pPr>
              <w:spacing w:after="0"/>
              <w:jc w:val="center"/>
              <w:rPr>
                <w:rFonts w:ascii="Arial" w:eastAsia="Arial" w:hAnsi="Arial" w:cs="Arial"/>
              </w:rPr>
            </w:pPr>
            <w:r w:rsidRPr="2F0C2401">
              <w:rPr>
                <w:rFonts w:ascii="Arial" w:eastAsia="Arial" w:hAnsi="Arial" w:cs="Arial"/>
              </w:rPr>
              <w:t>Jun</w:t>
            </w:r>
          </w:p>
        </w:tc>
        <w:tc>
          <w:tcPr>
            <w:tcW w:w="2340" w:type="dxa"/>
            <w:tcBorders>
              <w:top w:val="single" w:sz="4" w:space="0" w:color="auto"/>
              <w:left w:val="single" w:sz="4" w:space="0" w:color="auto"/>
              <w:bottom w:val="single" w:sz="4" w:space="0" w:color="auto"/>
              <w:right w:val="single" w:sz="4" w:space="0" w:color="auto"/>
            </w:tcBorders>
            <w:vAlign w:val="bottom"/>
          </w:tcPr>
          <w:p w14:paraId="05F53182" w14:textId="729C2E45" w:rsidR="42021E07" w:rsidRDefault="50288ED5" w:rsidP="2F0C2401">
            <w:pPr>
              <w:spacing w:after="0"/>
              <w:jc w:val="center"/>
              <w:rPr>
                <w:rFonts w:ascii="Arial" w:eastAsia="Arial" w:hAnsi="Arial" w:cs="Arial"/>
              </w:rPr>
            </w:pPr>
            <w:r w:rsidRPr="2F0C2401">
              <w:rPr>
                <w:rFonts w:ascii="Arial" w:eastAsia="Arial" w:hAnsi="Arial" w:cs="Arial"/>
              </w:rPr>
              <w:t>1.2500</w:t>
            </w:r>
          </w:p>
        </w:tc>
      </w:tr>
      <w:tr w:rsidR="42021E07" w14:paraId="76D4F9F0"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78DFF1E0" w14:textId="0B5CF992"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17E1F930" w14:textId="6CF06AC6" w:rsidR="42021E07" w:rsidRDefault="50288ED5" w:rsidP="2F0C2401">
            <w:pPr>
              <w:spacing w:after="0"/>
              <w:jc w:val="center"/>
              <w:rPr>
                <w:rFonts w:ascii="Arial" w:eastAsia="Arial" w:hAnsi="Arial" w:cs="Arial"/>
              </w:rPr>
            </w:pPr>
            <w:r w:rsidRPr="2F0C2401">
              <w:rPr>
                <w:rFonts w:ascii="Arial" w:eastAsia="Arial" w:hAnsi="Arial" w:cs="Arial"/>
              </w:rPr>
              <w:t>Aug</w:t>
            </w:r>
          </w:p>
        </w:tc>
        <w:tc>
          <w:tcPr>
            <w:tcW w:w="2340" w:type="dxa"/>
            <w:tcBorders>
              <w:top w:val="single" w:sz="4" w:space="0" w:color="auto"/>
              <w:left w:val="single" w:sz="4" w:space="0" w:color="auto"/>
              <w:bottom w:val="single" w:sz="4" w:space="0" w:color="auto"/>
              <w:right w:val="single" w:sz="4" w:space="0" w:color="auto"/>
            </w:tcBorders>
            <w:vAlign w:val="bottom"/>
          </w:tcPr>
          <w:p w14:paraId="127A1DC0" w14:textId="611773C0" w:rsidR="42021E07" w:rsidRDefault="50288ED5" w:rsidP="2F0C2401">
            <w:pPr>
              <w:spacing w:after="0"/>
              <w:jc w:val="center"/>
              <w:rPr>
                <w:rFonts w:ascii="Arial" w:eastAsia="Arial" w:hAnsi="Arial" w:cs="Arial"/>
              </w:rPr>
            </w:pPr>
            <w:r w:rsidRPr="2F0C2401">
              <w:rPr>
                <w:rFonts w:ascii="Arial" w:eastAsia="Arial" w:hAnsi="Arial" w:cs="Arial"/>
              </w:rPr>
              <w:t>1.7500</w:t>
            </w:r>
          </w:p>
        </w:tc>
      </w:tr>
      <w:tr w:rsidR="42021E07" w14:paraId="19BE44B4"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234D936A" w14:textId="0B071AF0"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0A08AF18" w14:textId="26841027" w:rsidR="42021E07" w:rsidRDefault="50288ED5" w:rsidP="2F0C2401">
            <w:pPr>
              <w:spacing w:after="0"/>
              <w:jc w:val="center"/>
              <w:rPr>
                <w:rFonts w:ascii="Arial" w:eastAsia="Arial" w:hAnsi="Arial" w:cs="Arial"/>
              </w:rPr>
            </w:pPr>
            <w:r w:rsidRPr="2F0C2401">
              <w:rPr>
                <w:rFonts w:ascii="Arial" w:eastAsia="Arial" w:hAnsi="Arial" w:cs="Arial"/>
              </w:rPr>
              <w:t>Sep</w:t>
            </w:r>
          </w:p>
        </w:tc>
        <w:tc>
          <w:tcPr>
            <w:tcW w:w="2340" w:type="dxa"/>
            <w:tcBorders>
              <w:top w:val="single" w:sz="4" w:space="0" w:color="auto"/>
              <w:left w:val="single" w:sz="4" w:space="0" w:color="auto"/>
              <w:bottom w:val="single" w:sz="4" w:space="0" w:color="auto"/>
              <w:right w:val="single" w:sz="4" w:space="0" w:color="auto"/>
            </w:tcBorders>
            <w:vAlign w:val="bottom"/>
          </w:tcPr>
          <w:p w14:paraId="080040B6" w14:textId="048B626F" w:rsidR="42021E07" w:rsidRDefault="50288ED5" w:rsidP="2F0C2401">
            <w:pPr>
              <w:spacing w:after="0"/>
              <w:jc w:val="center"/>
              <w:rPr>
                <w:rFonts w:ascii="Arial" w:eastAsia="Arial" w:hAnsi="Arial" w:cs="Arial"/>
              </w:rPr>
            </w:pPr>
            <w:r w:rsidRPr="2F0C2401">
              <w:rPr>
                <w:rFonts w:ascii="Arial" w:eastAsia="Arial" w:hAnsi="Arial" w:cs="Arial"/>
              </w:rPr>
              <w:t>2.2500</w:t>
            </w:r>
          </w:p>
        </w:tc>
      </w:tr>
      <w:tr w:rsidR="42021E07" w14:paraId="394E7BAC"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5A961C91" w14:textId="0DEB4E6D"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6344AF27" w14:textId="599A6A4C" w:rsidR="42021E07" w:rsidRDefault="50288ED5" w:rsidP="2F0C2401">
            <w:pPr>
              <w:spacing w:after="0"/>
              <w:jc w:val="center"/>
              <w:rPr>
                <w:rFonts w:ascii="Arial" w:eastAsia="Arial" w:hAnsi="Arial" w:cs="Arial"/>
              </w:rPr>
            </w:pPr>
            <w:r w:rsidRPr="2F0C2401">
              <w:rPr>
                <w:rFonts w:ascii="Arial" w:eastAsia="Arial" w:hAnsi="Arial" w:cs="Arial"/>
              </w:rPr>
              <w:t>Nov</w:t>
            </w:r>
          </w:p>
        </w:tc>
        <w:tc>
          <w:tcPr>
            <w:tcW w:w="2340" w:type="dxa"/>
            <w:tcBorders>
              <w:top w:val="single" w:sz="4" w:space="0" w:color="auto"/>
              <w:left w:val="single" w:sz="4" w:space="0" w:color="auto"/>
              <w:bottom w:val="single" w:sz="4" w:space="0" w:color="auto"/>
              <w:right w:val="single" w:sz="4" w:space="0" w:color="auto"/>
            </w:tcBorders>
            <w:vAlign w:val="bottom"/>
          </w:tcPr>
          <w:p w14:paraId="1B8D9870" w14:textId="2AF61493" w:rsidR="42021E07" w:rsidRDefault="50288ED5" w:rsidP="2F0C2401">
            <w:pPr>
              <w:spacing w:after="0"/>
              <w:jc w:val="center"/>
              <w:rPr>
                <w:rFonts w:ascii="Arial" w:eastAsia="Arial" w:hAnsi="Arial" w:cs="Arial"/>
              </w:rPr>
            </w:pPr>
            <w:r w:rsidRPr="2F0C2401">
              <w:rPr>
                <w:rFonts w:ascii="Arial" w:eastAsia="Arial" w:hAnsi="Arial" w:cs="Arial"/>
              </w:rPr>
              <w:t>3.0000</w:t>
            </w:r>
          </w:p>
        </w:tc>
      </w:tr>
      <w:tr w:rsidR="42021E07" w14:paraId="16641D6D"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6B9384DE" w14:textId="0438EEED"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36B38A40" w14:textId="6B192469" w:rsidR="42021E07" w:rsidRDefault="50288ED5" w:rsidP="2F0C2401">
            <w:pPr>
              <w:spacing w:after="0"/>
              <w:jc w:val="center"/>
              <w:rPr>
                <w:rFonts w:ascii="Arial" w:eastAsia="Arial" w:hAnsi="Arial" w:cs="Arial"/>
              </w:rPr>
            </w:pPr>
            <w:r w:rsidRPr="2F0C2401">
              <w:rPr>
                <w:rFonts w:ascii="Arial" w:eastAsia="Arial" w:hAnsi="Arial" w:cs="Arial"/>
              </w:rPr>
              <w:t>Dec</w:t>
            </w:r>
          </w:p>
        </w:tc>
        <w:tc>
          <w:tcPr>
            <w:tcW w:w="2340" w:type="dxa"/>
            <w:tcBorders>
              <w:top w:val="single" w:sz="4" w:space="0" w:color="auto"/>
              <w:left w:val="single" w:sz="4" w:space="0" w:color="auto"/>
              <w:bottom w:val="single" w:sz="4" w:space="0" w:color="auto"/>
              <w:right w:val="single" w:sz="4" w:space="0" w:color="auto"/>
            </w:tcBorders>
            <w:vAlign w:val="bottom"/>
          </w:tcPr>
          <w:p w14:paraId="0D9128D6" w14:textId="43551F0E" w:rsidR="42021E07" w:rsidRDefault="50288ED5" w:rsidP="2F0C2401">
            <w:pPr>
              <w:spacing w:after="0"/>
              <w:jc w:val="center"/>
              <w:rPr>
                <w:rFonts w:ascii="Arial" w:eastAsia="Arial" w:hAnsi="Arial" w:cs="Arial"/>
              </w:rPr>
            </w:pPr>
            <w:r w:rsidRPr="2F0C2401">
              <w:rPr>
                <w:rFonts w:ascii="Arial" w:eastAsia="Arial" w:hAnsi="Arial" w:cs="Arial"/>
              </w:rPr>
              <w:t>3.5000</w:t>
            </w:r>
          </w:p>
        </w:tc>
      </w:tr>
      <w:tr w:rsidR="42021E07" w14:paraId="452BA5D4"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036DF7A7" w14:textId="0F688932"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1CA21FC7" w14:textId="04897E62"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74547808" w14:textId="6E81E4BA"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r>
      <w:tr w:rsidR="42021E07" w14:paraId="3C49E0DE"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346A095B" w14:textId="5B9485BB" w:rsidR="42021E07" w:rsidRDefault="50288ED5" w:rsidP="2F0C2401">
            <w:pPr>
              <w:spacing w:after="0"/>
              <w:jc w:val="center"/>
              <w:rPr>
                <w:rFonts w:ascii="Arial" w:eastAsia="Arial" w:hAnsi="Arial" w:cs="Arial"/>
              </w:rPr>
            </w:pPr>
            <w:r w:rsidRPr="2F0C2401">
              <w:rPr>
                <w:rFonts w:ascii="Arial" w:eastAsia="Arial" w:hAnsi="Arial" w:cs="Arial"/>
              </w:rPr>
              <w:t xml:space="preserve">2023 </w:t>
            </w:r>
          </w:p>
        </w:tc>
        <w:tc>
          <w:tcPr>
            <w:tcW w:w="2340" w:type="dxa"/>
            <w:tcBorders>
              <w:top w:val="single" w:sz="4" w:space="0" w:color="auto"/>
              <w:left w:val="single" w:sz="4" w:space="0" w:color="auto"/>
              <w:bottom w:val="single" w:sz="4" w:space="0" w:color="auto"/>
              <w:right w:val="single" w:sz="4" w:space="0" w:color="auto"/>
            </w:tcBorders>
            <w:vAlign w:val="bottom"/>
          </w:tcPr>
          <w:p w14:paraId="616F5048" w14:textId="15238802" w:rsidR="42021E07" w:rsidRDefault="50288ED5" w:rsidP="2F0C2401">
            <w:pPr>
              <w:spacing w:after="0"/>
              <w:jc w:val="center"/>
              <w:rPr>
                <w:rFonts w:ascii="Arial" w:eastAsia="Arial" w:hAnsi="Arial" w:cs="Arial"/>
              </w:rPr>
            </w:pPr>
            <w:r w:rsidRPr="2F0C2401">
              <w:rPr>
                <w:rFonts w:ascii="Arial" w:eastAsia="Arial" w:hAnsi="Arial" w:cs="Arial"/>
              </w:rPr>
              <w:t>Feb</w:t>
            </w:r>
          </w:p>
        </w:tc>
        <w:tc>
          <w:tcPr>
            <w:tcW w:w="2340" w:type="dxa"/>
            <w:tcBorders>
              <w:top w:val="single" w:sz="4" w:space="0" w:color="auto"/>
              <w:left w:val="single" w:sz="4" w:space="0" w:color="auto"/>
              <w:bottom w:val="single" w:sz="4" w:space="0" w:color="auto"/>
              <w:right w:val="single" w:sz="4" w:space="0" w:color="auto"/>
            </w:tcBorders>
            <w:vAlign w:val="bottom"/>
          </w:tcPr>
          <w:p w14:paraId="5C815BB0" w14:textId="43669D2C" w:rsidR="42021E07" w:rsidRDefault="50288ED5" w:rsidP="2F0C2401">
            <w:pPr>
              <w:spacing w:after="0"/>
              <w:jc w:val="center"/>
              <w:rPr>
                <w:rFonts w:ascii="Arial" w:eastAsia="Arial" w:hAnsi="Arial" w:cs="Arial"/>
              </w:rPr>
            </w:pPr>
            <w:r w:rsidRPr="2F0C2401">
              <w:rPr>
                <w:rFonts w:ascii="Arial" w:eastAsia="Arial" w:hAnsi="Arial" w:cs="Arial"/>
              </w:rPr>
              <w:t>4.0000</w:t>
            </w:r>
          </w:p>
        </w:tc>
      </w:tr>
      <w:tr w:rsidR="42021E07" w14:paraId="009C2DF4"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30409ECB" w14:textId="5A22A342"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3168D2E8" w14:textId="18EE627C" w:rsidR="42021E07" w:rsidRDefault="50288ED5" w:rsidP="2F0C2401">
            <w:pPr>
              <w:spacing w:after="0"/>
              <w:jc w:val="center"/>
              <w:rPr>
                <w:rFonts w:ascii="Arial" w:eastAsia="Arial" w:hAnsi="Arial" w:cs="Arial"/>
              </w:rPr>
            </w:pPr>
            <w:r w:rsidRPr="2F0C2401">
              <w:rPr>
                <w:rFonts w:ascii="Arial" w:eastAsia="Arial" w:hAnsi="Arial" w:cs="Arial"/>
              </w:rPr>
              <w:t>Mar</w:t>
            </w:r>
          </w:p>
        </w:tc>
        <w:tc>
          <w:tcPr>
            <w:tcW w:w="2340" w:type="dxa"/>
            <w:tcBorders>
              <w:top w:val="single" w:sz="4" w:space="0" w:color="auto"/>
              <w:left w:val="single" w:sz="4" w:space="0" w:color="auto"/>
              <w:bottom w:val="single" w:sz="4" w:space="0" w:color="auto"/>
              <w:right w:val="single" w:sz="4" w:space="0" w:color="auto"/>
            </w:tcBorders>
            <w:vAlign w:val="bottom"/>
          </w:tcPr>
          <w:p w14:paraId="20880C07" w14:textId="5A0452AB" w:rsidR="42021E07" w:rsidRDefault="50288ED5" w:rsidP="2F0C2401">
            <w:pPr>
              <w:spacing w:after="0"/>
              <w:jc w:val="center"/>
              <w:rPr>
                <w:rFonts w:ascii="Arial" w:eastAsia="Arial" w:hAnsi="Arial" w:cs="Arial"/>
              </w:rPr>
            </w:pPr>
            <w:r w:rsidRPr="2F0C2401">
              <w:rPr>
                <w:rFonts w:ascii="Arial" w:eastAsia="Arial" w:hAnsi="Arial" w:cs="Arial"/>
              </w:rPr>
              <w:t>4.2500</w:t>
            </w:r>
          </w:p>
        </w:tc>
      </w:tr>
      <w:tr w:rsidR="42021E07" w14:paraId="6C9502A0"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7B16D211" w14:textId="5783B642"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6C7658DE" w14:textId="58842060" w:rsidR="42021E07" w:rsidRDefault="50288ED5" w:rsidP="2F0C2401">
            <w:pPr>
              <w:spacing w:after="0"/>
              <w:jc w:val="center"/>
              <w:rPr>
                <w:rFonts w:ascii="Arial" w:eastAsia="Arial" w:hAnsi="Arial" w:cs="Arial"/>
              </w:rPr>
            </w:pPr>
            <w:r w:rsidRPr="2F0C2401">
              <w:rPr>
                <w:rFonts w:ascii="Arial" w:eastAsia="Arial" w:hAnsi="Arial" w:cs="Arial"/>
              </w:rPr>
              <w:t>May</w:t>
            </w:r>
          </w:p>
        </w:tc>
        <w:tc>
          <w:tcPr>
            <w:tcW w:w="2340" w:type="dxa"/>
            <w:tcBorders>
              <w:top w:val="single" w:sz="4" w:space="0" w:color="auto"/>
              <w:left w:val="single" w:sz="4" w:space="0" w:color="auto"/>
              <w:bottom w:val="single" w:sz="4" w:space="0" w:color="auto"/>
              <w:right w:val="single" w:sz="4" w:space="0" w:color="auto"/>
            </w:tcBorders>
            <w:vAlign w:val="bottom"/>
          </w:tcPr>
          <w:p w14:paraId="2CA26239" w14:textId="1467E701" w:rsidR="42021E07" w:rsidRDefault="50288ED5" w:rsidP="2F0C2401">
            <w:pPr>
              <w:spacing w:after="0"/>
              <w:jc w:val="center"/>
              <w:rPr>
                <w:rFonts w:ascii="Arial" w:eastAsia="Arial" w:hAnsi="Arial" w:cs="Arial"/>
              </w:rPr>
            </w:pPr>
            <w:r w:rsidRPr="2F0C2401">
              <w:rPr>
                <w:rFonts w:ascii="Arial" w:eastAsia="Arial" w:hAnsi="Arial" w:cs="Arial"/>
              </w:rPr>
              <w:t>4.5000</w:t>
            </w:r>
          </w:p>
        </w:tc>
      </w:tr>
      <w:tr w:rsidR="42021E07" w14:paraId="2AC7CF8E"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48DC49E0" w14:textId="1DDB78CB"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05513584" w14:textId="5AA49CB2" w:rsidR="42021E07" w:rsidRDefault="50288ED5" w:rsidP="2F0C2401">
            <w:pPr>
              <w:spacing w:after="0"/>
              <w:jc w:val="center"/>
              <w:rPr>
                <w:rFonts w:ascii="Arial" w:eastAsia="Arial" w:hAnsi="Arial" w:cs="Arial"/>
              </w:rPr>
            </w:pPr>
            <w:r w:rsidRPr="2F0C2401">
              <w:rPr>
                <w:rFonts w:ascii="Arial" w:eastAsia="Arial" w:hAnsi="Arial" w:cs="Arial"/>
              </w:rPr>
              <w:t>Jun</w:t>
            </w:r>
          </w:p>
        </w:tc>
        <w:tc>
          <w:tcPr>
            <w:tcW w:w="2340" w:type="dxa"/>
            <w:tcBorders>
              <w:top w:val="single" w:sz="4" w:space="0" w:color="auto"/>
              <w:left w:val="single" w:sz="4" w:space="0" w:color="auto"/>
              <w:bottom w:val="single" w:sz="4" w:space="0" w:color="auto"/>
              <w:right w:val="single" w:sz="4" w:space="0" w:color="auto"/>
            </w:tcBorders>
            <w:vAlign w:val="bottom"/>
          </w:tcPr>
          <w:p w14:paraId="643167B2" w14:textId="19114BC9" w:rsidR="42021E07" w:rsidRDefault="50288ED5" w:rsidP="2F0C2401">
            <w:pPr>
              <w:spacing w:after="0"/>
              <w:jc w:val="center"/>
              <w:rPr>
                <w:rFonts w:ascii="Arial" w:eastAsia="Arial" w:hAnsi="Arial" w:cs="Arial"/>
              </w:rPr>
            </w:pPr>
            <w:r w:rsidRPr="2F0C2401">
              <w:rPr>
                <w:rFonts w:ascii="Arial" w:eastAsia="Arial" w:hAnsi="Arial" w:cs="Arial"/>
              </w:rPr>
              <w:t>5.0000</w:t>
            </w:r>
          </w:p>
        </w:tc>
      </w:tr>
      <w:tr w:rsidR="42021E07" w14:paraId="71C2136F" w14:textId="77777777" w:rsidTr="2F0C2401">
        <w:trPr>
          <w:trHeight w:val="300"/>
          <w:jc w:val="center"/>
        </w:trPr>
        <w:tc>
          <w:tcPr>
            <w:tcW w:w="2340" w:type="dxa"/>
            <w:tcBorders>
              <w:top w:val="single" w:sz="4" w:space="0" w:color="auto"/>
              <w:left w:val="single" w:sz="4" w:space="0" w:color="auto"/>
              <w:bottom w:val="single" w:sz="4" w:space="0" w:color="auto"/>
              <w:right w:val="single" w:sz="4" w:space="0" w:color="auto"/>
            </w:tcBorders>
            <w:vAlign w:val="bottom"/>
          </w:tcPr>
          <w:p w14:paraId="081C943D" w14:textId="674B75B9" w:rsidR="42021E07" w:rsidRDefault="50288ED5" w:rsidP="2F0C2401">
            <w:pPr>
              <w:spacing w:after="0"/>
              <w:jc w:val="center"/>
              <w:rPr>
                <w:rFonts w:ascii="Arial" w:eastAsia="Arial" w:hAnsi="Arial" w:cs="Arial"/>
              </w:rPr>
            </w:pPr>
            <w:r w:rsidRPr="2F0C2401">
              <w:rPr>
                <w:rFonts w:ascii="Arial" w:eastAsia="Arial" w:hAnsi="Arial" w:cs="Arial"/>
              </w:rPr>
              <w:t xml:space="preserve"> </w:t>
            </w:r>
          </w:p>
        </w:tc>
        <w:tc>
          <w:tcPr>
            <w:tcW w:w="2340" w:type="dxa"/>
            <w:tcBorders>
              <w:top w:val="single" w:sz="4" w:space="0" w:color="auto"/>
              <w:left w:val="single" w:sz="4" w:space="0" w:color="auto"/>
              <w:bottom w:val="single" w:sz="4" w:space="0" w:color="auto"/>
              <w:right w:val="single" w:sz="4" w:space="0" w:color="auto"/>
            </w:tcBorders>
            <w:vAlign w:val="bottom"/>
          </w:tcPr>
          <w:p w14:paraId="34A2BD2B" w14:textId="5012E409" w:rsidR="42021E07" w:rsidRDefault="50288ED5" w:rsidP="2F0C2401">
            <w:pPr>
              <w:spacing w:after="0"/>
              <w:jc w:val="center"/>
              <w:rPr>
                <w:rFonts w:ascii="Arial" w:eastAsia="Arial" w:hAnsi="Arial" w:cs="Arial"/>
              </w:rPr>
            </w:pPr>
            <w:r w:rsidRPr="2F0C2401">
              <w:rPr>
                <w:rFonts w:ascii="Arial" w:eastAsia="Arial" w:hAnsi="Arial" w:cs="Arial"/>
              </w:rPr>
              <w:t>Aug</w:t>
            </w:r>
          </w:p>
        </w:tc>
        <w:tc>
          <w:tcPr>
            <w:tcW w:w="2340" w:type="dxa"/>
            <w:tcBorders>
              <w:top w:val="single" w:sz="4" w:space="0" w:color="auto"/>
              <w:left w:val="single" w:sz="4" w:space="0" w:color="auto"/>
              <w:bottom w:val="single" w:sz="4" w:space="0" w:color="auto"/>
              <w:right w:val="single" w:sz="4" w:space="0" w:color="auto"/>
            </w:tcBorders>
            <w:vAlign w:val="bottom"/>
          </w:tcPr>
          <w:p w14:paraId="031FAEF8" w14:textId="18E493F2" w:rsidR="42021E07" w:rsidRDefault="50288ED5" w:rsidP="2F0C2401">
            <w:pPr>
              <w:spacing w:after="0"/>
              <w:jc w:val="center"/>
              <w:rPr>
                <w:rFonts w:ascii="Arial" w:eastAsia="Arial" w:hAnsi="Arial" w:cs="Arial"/>
              </w:rPr>
            </w:pPr>
            <w:r w:rsidRPr="2F0C2401">
              <w:rPr>
                <w:rFonts w:ascii="Arial" w:eastAsia="Arial" w:hAnsi="Arial" w:cs="Arial"/>
              </w:rPr>
              <w:t>5.2500</w:t>
            </w:r>
          </w:p>
        </w:tc>
      </w:tr>
    </w:tbl>
    <w:p w14:paraId="0E242027" w14:textId="0C96E320" w:rsidR="2D870661" w:rsidRDefault="37671163" w:rsidP="2F0C2401">
      <w:pPr>
        <w:jc w:val="center"/>
        <w:rPr>
          <w:rFonts w:ascii="Arial" w:eastAsia="Arial" w:hAnsi="Arial" w:cs="Arial"/>
        </w:rPr>
      </w:pPr>
      <w:r w:rsidRPr="2F0C2401">
        <w:rPr>
          <w:rFonts w:ascii="Arial" w:eastAsia="Arial" w:hAnsi="Arial" w:cs="Arial"/>
        </w:rPr>
        <w:t xml:space="preserve">Source: </w:t>
      </w:r>
      <w:r w:rsidR="7E922318" w:rsidRPr="2F0C2401">
        <w:rPr>
          <w:rFonts w:ascii="Arial" w:eastAsia="Arial" w:hAnsi="Arial" w:cs="Arial"/>
        </w:rPr>
        <w:t>(Bank of England, 2023)</w:t>
      </w:r>
    </w:p>
    <w:p w14:paraId="7F9C3181" w14:textId="5E8D4E64" w:rsidR="42021E07" w:rsidRDefault="42021E07" w:rsidP="2F0C2401">
      <w:pPr>
        <w:jc w:val="both"/>
        <w:rPr>
          <w:rFonts w:ascii="Arial" w:eastAsia="Arial" w:hAnsi="Arial" w:cs="Arial"/>
        </w:rPr>
      </w:pPr>
    </w:p>
    <w:p w14:paraId="0ED75BE5" w14:textId="543E672A" w:rsidR="3BFAFBC6" w:rsidRDefault="0EDAFBCF" w:rsidP="73F31BAE">
      <w:pPr>
        <w:spacing w:line="360" w:lineRule="auto"/>
        <w:jc w:val="both"/>
        <w:rPr>
          <w:rFonts w:ascii="Arial" w:eastAsia="Arial" w:hAnsi="Arial" w:cs="Arial"/>
        </w:rPr>
      </w:pPr>
      <w:r w:rsidRPr="73F31BAE">
        <w:rPr>
          <w:rFonts w:ascii="Arial" w:eastAsia="Arial" w:hAnsi="Arial" w:cs="Arial"/>
        </w:rPr>
        <w:lastRenderedPageBreak/>
        <w:t xml:space="preserve">The table provided contains the Official Bank Rate of the United Kingdom from 2006 to 2023. The Official Bank Rate, also known as the Bank of England Base Rate, is the interest rate at which the Bank of England lends to financial institutions. It is a key tool used to control inflation and stabilize the economy. </w:t>
      </w:r>
      <w:r w:rsidR="545F3ADC" w:rsidRPr="73F31BAE">
        <w:rPr>
          <w:rFonts w:ascii="Arial" w:eastAsia="Arial" w:hAnsi="Arial" w:cs="Arial"/>
        </w:rPr>
        <w:t>Also, an independent variable in this study.</w:t>
      </w:r>
    </w:p>
    <w:p w14:paraId="146A168F" w14:textId="692D27CC" w:rsidR="42021E07" w:rsidRDefault="42021E07" w:rsidP="73F31BAE">
      <w:pPr>
        <w:spacing w:line="360" w:lineRule="auto"/>
        <w:jc w:val="both"/>
        <w:rPr>
          <w:rFonts w:ascii="Arial" w:eastAsia="Arial" w:hAnsi="Arial" w:cs="Arial"/>
        </w:rPr>
      </w:pPr>
    </w:p>
    <w:p w14:paraId="730D1E29" w14:textId="11BCD8C9" w:rsidR="3BFAFBC6" w:rsidRDefault="0EDAFBCF" w:rsidP="73F31BAE">
      <w:pPr>
        <w:spacing w:line="360" w:lineRule="auto"/>
        <w:jc w:val="both"/>
        <w:rPr>
          <w:rFonts w:ascii="Arial" w:eastAsia="Arial" w:hAnsi="Arial" w:cs="Arial"/>
        </w:rPr>
      </w:pPr>
      <w:r w:rsidRPr="73F31BAE">
        <w:rPr>
          <w:rFonts w:ascii="Arial" w:eastAsia="Arial" w:hAnsi="Arial" w:cs="Arial"/>
        </w:rPr>
        <w:t xml:space="preserve">Analyzing the table, we observe that the Official Bank Rate fluctuated significantly over the years. In 2006, the rate started at 4.7500% in August and increased to 5.0000% by November. The following year, 2007, saw a series of incremental increases, starting at 5.2500% in January and reaching 5.7500% in July, before decreasing to 5.5000% by December. </w:t>
      </w:r>
    </w:p>
    <w:p w14:paraId="35E2D4BD" w14:textId="3D8FE685" w:rsidR="42021E07" w:rsidRDefault="42021E07" w:rsidP="73F31BAE">
      <w:pPr>
        <w:spacing w:line="360" w:lineRule="auto"/>
        <w:jc w:val="both"/>
        <w:rPr>
          <w:rFonts w:ascii="Arial" w:eastAsia="Arial" w:hAnsi="Arial" w:cs="Arial"/>
        </w:rPr>
      </w:pPr>
    </w:p>
    <w:p w14:paraId="78B64EFE" w14:textId="0ADF51BE" w:rsidR="3BFAFBC6" w:rsidRDefault="0EDAFBCF" w:rsidP="73F31BAE">
      <w:pPr>
        <w:spacing w:line="360" w:lineRule="auto"/>
        <w:jc w:val="both"/>
        <w:rPr>
          <w:rFonts w:ascii="Arial" w:eastAsia="Arial" w:hAnsi="Arial" w:cs="Arial"/>
        </w:rPr>
      </w:pPr>
      <w:r w:rsidRPr="73F31BAE">
        <w:rPr>
          <w:rFonts w:ascii="Arial" w:eastAsia="Arial" w:hAnsi="Arial" w:cs="Arial"/>
        </w:rPr>
        <w:t>The global monetary crisis of 2008 is reflected in the table, with the Official Bank Rate dropping from 5.2500% in February to 2.0000% by December.</w:t>
      </w:r>
      <w:r w:rsidR="4A062CAC" w:rsidRPr="73F31BAE">
        <w:rPr>
          <w:rFonts w:ascii="Arial" w:eastAsia="Arial" w:hAnsi="Arial" w:cs="Arial"/>
        </w:rPr>
        <w:t xml:space="preserve"> </w:t>
      </w:r>
      <w:r w:rsidRPr="73F31BAE">
        <w:rPr>
          <w:rFonts w:ascii="Arial" w:eastAsia="Arial" w:hAnsi="Arial" w:cs="Arial"/>
        </w:rPr>
        <w:t xml:space="preserve">This substantial reduction was a response to the economic downturn and aimed to stimulate borrowing and spending. The rate continued to decrease in 2009, reaching 0.5000% in March. </w:t>
      </w:r>
    </w:p>
    <w:p w14:paraId="7F115E49" w14:textId="70640339" w:rsidR="42021E07" w:rsidRDefault="42021E07" w:rsidP="73F31BAE">
      <w:pPr>
        <w:spacing w:line="360" w:lineRule="auto"/>
        <w:jc w:val="both"/>
        <w:rPr>
          <w:rFonts w:ascii="Arial" w:eastAsia="Arial" w:hAnsi="Arial" w:cs="Arial"/>
        </w:rPr>
      </w:pPr>
    </w:p>
    <w:p w14:paraId="7DEBD1C3" w14:textId="1232EE77" w:rsidR="12EF245C" w:rsidRDefault="0EDAFBCF" w:rsidP="73F31BAE">
      <w:pPr>
        <w:spacing w:line="360" w:lineRule="auto"/>
        <w:jc w:val="both"/>
        <w:rPr>
          <w:rFonts w:ascii="Arial" w:eastAsia="Arial" w:hAnsi="Arial" w:cs="Arial"/>
        </w:rPr>
      </w:pPr>
      <w:r w:rsidRPr="73F31BAE">
        <w:rPr>
          <w:rFonts w:ascii="Arial" w:eastAsia="Arial" w:hAnsi="Arial" w:cs="Arial"/>
        </w:rPr>
        <w:t xml:space="preserve">In the subsequent years, the Official Bank Rate remained at historically low levels, with occasional minor fluctuations. Notably, in 2016, the rate dropped to 0.2500% in August, and in 2017, it increased to 0.5000% in November. The rate continued to fluctuate marginally in the following years, with slight increases and decreases. In 2022 and 2023, the Official Bank Rate experienced more significant changes, starting at 0.5000% in February 2022 and reaching 5.2500% by August 2023. These fluctuations may reflect changes in the economic conditions, inflationary pressures, and the Bank of England's monetary policy decisions. </w:t>
      </w:r>
    </w:p>
    <w:p w14:paraId="3D604E4B" w14:textId="74958E0A" w:rsidR="2F0C2401" w:rsidRDefault="2F0C2401" w:rsidP="2F0C2401">
      <w:pPr>
        <w:jc w:val="both"/>
        <w:rPr>
          <w:rFonts w:ascii="Arial" w:eastAsia="Arial" w:hAnsi="Arial" w:cs="Arial"/>
        </w:rPr>
      </w:pPr>
    </w:p>
    <w:p w14:paraId="731F044A" w14:textId="4AD1E3DE" w:rsidR="1825A510" w:rsidRDefault="1E010E98" w:rsidP="2F0C2401">
      <w:pPr>
        <w:jc w:val="center"/>
        <w:rPr>
          <w:rFonts w:ascii="Arial" w:eastAsia="Arial" w:hAnsi="Arial" w:cs="Arial"/>
        </w:rPr>
      </w:pPr>
      <w:r>
        <w:rPr>
          <w:noProof/>
        </w:rPr>
        <w:lastRenderedPageBreak/>
        <w:drawing>
          <wp:inline distT="0" distB="0" distL="0" distR="0" wp14:anchorId="24A8EDCE" wp14:editId="6878132A">
            <wp:extent cx="5745824" cy="3040499"/>
            <wp:effectExtent l="0" t="0" r="0" b="0"/>
            <wp:docPr id="1445357124" name="Picture 1445357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45824" cy="3040499"/>
                    </a:xfrm>
                    <a:prstGeom prst="rect">
                      <a:avLst/>
                    </a:prstGeom>
                  </pic:spPr>
                </pic:pic>
              </a:graphicData>
            </a:graphic>
          </wp:inline>
        </w:drawing>
      </w:r>
    </w:p>
    <w:p w14:paraId="2F3C9BFD" w14:textId="1D8F0E1E" w:rsidR="0EFE7F5C" w:rsidRDefault="0EFE7F5C" w:rsidP="32A7317A">
      <w:pPr>
        <w:spacing w:after="200" w:line="276" w:lineRule="auto"/>
        <w:jc w:val="center"/>
        <w:rPr>
          <w:rFonts w:ascii="Arial" w:eastAsia="Arial" w:hAnsi="Arial" w:cs="Arial"/>
          <w:b/>
          <w:bCs/>
        </w:rPr>
      </w:pPr>
      <w:r w:rsidRPr="32A7317A">
        <w:rPr>
          <w:rFonts w:ascii="Arial" w:eastAsia="Arial" w:hAnsi="Arial" w:cs="Arial"/>
          <w:b/>
          <w:bCs/>
        </w:rPr>
        <w:t xml:space="preserve">Figure </w:t>
      </w:r>
      <w:r w:rsidR="1BCBAC24" w:rsidRPr="32A7317A">
        <w:rPr>
          <w:rFonts w:ascii="Arial" w:eastAsia="Arial" w:hAnsi="Arial" w:cs="Arial"/>
          <w:b/>
          <w:bCs/>
        </w:rPr>
        <w:t>1:</w:t>
      </w:r>
      <w:r w:rsidRPr="32A7317A">
        <w:rPr>
          <w:rFonts w:ascii="Arial" w:eastAsia="Arial" w:hAnsi="Arial" w:cs="Arial"/>
          <w:b/>
          <w:bCs/>
        </w:rPr>
        <w:t xml:space="preserve"> Trends </w:t>
      </w:r>
      <w:r w:rsidR="6ED52416" w:rsidRPr="32A7317A">
        <w:rPr>
          <w:rFonts w:ascii="Arial" w:eastAsia="Arial" w:hAnsi="Arial" w:cs="Arial"/>
          <w:b/>
          <w:bCs/>
        </w:rPr>
        <w:t>in</w:t>
      </w:r>
      <w:r w:rsidRPr="32A7317A">
        <w:rPr>
          <w:rFonts w:ascii="Arial" w:eastAsia="Arial" w:hAnsi="Arial" w:cs="Arial"/>
          <w:b/>
          <w:bCs/>
        </w:rPr>
        <w:t xml:space="preserve"> official bank rate</w:t>
      </w:r>
      <w:r w:rsidR="4C3F9D0D" w:rsidRPr="32A7317A">
        <w:rPr>
          <w:rFonts w:ascii="Arial" w:eastAsia="Arial" w:hAnsi="Arial" w:cs="Arial"/>
          <w:b/>
          <w:bCs/>
        </w:rPr>
        <w:t>s</w:t>
      </w:r>
      <w:r w:rsidRPr="32A7317A">
        <w:rPr>
          <w:rFonts w:ascii="Arial" w:eastAsia="Arial" w:hAnsi="Arial" w:cs="Arial"/>
          <w:b/>
          <w:bCs/>
        </w:rPr>
        <w:t xml:space="preserve"> in the United Kingdom (2006-2022</w:t>
      </w:r>
      <w:r w:rsidR="4AFB680A" w:rsidRPr="32A7317A">
        <w:rPr>
          <w:rFonts w:ascii="Arial" w:eastAsia="Arial" w:hAnsi="Arial" w:cs="Arial"/>
          <w:b/>
          <w:bCs/>
        </w:rPr>
        <w:t>)</w:t>
      </w:r>
    </w:p>
    <w:p w14:paraId="0D8F1DEE" w14:textId="3A7B2063" w:rsidR="1825A510" w:rsidRDefault="1E010E98" w:rsidP="2F0C2401">
      <w:pPr>
        <w:spacing w:after="200" w:line="276" w:lineRule="auto"/>
        <w:jc w:val="center"/>
        <w:rPr>
          <w:rFonts w:ascii="Arial" w:eastAsia="Arial" w:hAnsi="Arial" w:cs="Arial"/>
        </w:rPr>
      </w:pPr>
      <w:r w:rsidRPr="2F0C2401">
        <w:rPr>
          <w:rFonts w:ascii="Arial" w:eastAsia="Arial" w:hAnsi="Arial" w:cs="Arial"/>
        </w:rPr>
        <w:t>Source: Author’s Computation, 2024</w:t>
      </w:r>
    </w:p>
    <w:p w14:paraId="66313993" w14:textId="7E68B5A1" w:rsidR="42021E07" w:rsidRDefault="42021E07" w:rsidP="2F0C2401">
      <w:pPr>
        <w:spacing w:after="200" w:line="276" w:lineRule="auto"/>
        <w:jc w:val="center"/>
        <w:rPr>
          <w:rFonts w:ascii="Arial" w:eastAsia="Arial" w:hAnsi="Arial" w:cs="Arial"/>
        </w:rPr>
      </w:pPr>
    </w:p>
    <w:p w14:paraId="79B7DEDC" w14:textId="432551B0" w:rsidR="373B3B27" w:rsidRDefault="7681D6EF" w:rsidP="73F31BAE">
      <w:pPr>
        <w:spacing w:line="360" w:lineRule="auto"/>
        <w:jc w:val="both"/>
        <w:rPr>
          <w:rFonts w:ascii="Arial" w:eastAsia="Arial" w:hAnsi="Arial" w:cs="Arial"/>
        </w:rPr>
      </w:pPr>
      <w:r w:rsidRPr="73F31BAE">
        <w:rPr>
          <w:rFonts w:ascii="Arial" w:eastAsia="Arial" w:hAnsi="Arial" w:cs="Arial"/>
        </w:rPr>
        <w:t>Overall</w:t>
      </w:r>
      <w:r w:rsidR="0EDAFBCF" w:rsidRPr="73F31BAE">
        <w:rPr>
          <w:rFonts w:ascii="Arial" w:eastAsia="Arial" w:hAnsi="Arial" w:cs="Arial"/>
        </w:rPr>
        <w:t xml:space="preserve">, the Official Bank Rate of the United Kingdom has exhibited substantial variability over the years, influenced by domestic and global economic conditions. The rate has been used as a tool to manage inflation and support economic growth, with significant adjustments made during times of </w:t>
      </w:r>
      <w:r w:rsidR="31878D4D" w:rsidRPr="73F31BAE">
        <w:rPr>
          <w:rFonts w:ascii="Arial" w:eastAsia="Arial" w:hAnsi="Arial" w:cs="Arial"/>
        </w:rPr>
        <w:t>budgetary crisis</w:t>
      </w:r>
      <w:r w:rsidR="0EDAFBCF" w:rsidRPr="73F31BAE">
        <w:rPr>
          <w:rFonts w:ascii="Arial" w:eastAsia="Arial" w:hAnsi="Arial" w:cs="Arial"/>
        </w:rPr>
        <w:t xml:space="preserve"> and recovery.</w:t>
      </w:r>
    </w:p>
    <w:p w14:paraId="0257B5CE" w14:textId="53635456" w:rsidR="2F0C2401" w:rsidRDefault="2F0C2401" w:rsidP="73F31BAE">
      <w:pPr>
        <w:spacing w:line="360" w:lineRule="auto"/>
        <w:jc w:val="both"/>
        <w:rPr>
          <w:rFonts w:ascii="Arial" w:eastAsia="Arial" w:hAnsi="Arial" w:cs="Arial"/>
        </w:rPr>
      </w:pPr>
    </w:p>
    <w:p w14:paraId="15A31FB0" w14:textId="1911C457" w:rsidR="288BAA4D" w:rsidRDefault="3C214394" w:rsidP="73F31BAE">
      <w:pPr>
        <w:spacing w:line="360" w:lineRule="auto"/>
        <w:jc w:val="both"/>
        <w:rPr>
          <w:rFonts w:ascii="Arial" w:eastAsia="Arial" w:hAnsi="Arial" w:cs="Arial"/>
        </w:rPr>
      </w:pPr>
      <w:r w:rsidRPr="73F31BAE">
        <w:rPr>
          <w:rFonts w:ascii="Arial" w:eastAsia="Arial" w:hAnsi="Arial" w:cs="Arial"/>
        </w:rPr>
        <w:t>The intricate connection between interest rates and stock prices is impacted by variables, such as market expectations, investor sentiment, and the economy's health. However, higher interest rates may exert downward pressure on stock values, whilst lower interest rates are linked to higher stock prices.</w:t>
      </w:r>
    </w:p>
    <w:p w14:paraId="6B302FCD" w14:textId="25F52B95" w:rsidR="2F0C2401" w:rsidRDefault="2F0C2401" w:rsidP="73F31BAE">
      <w:pPr>
        <w:spacing w:line="360" w:lineRule="auto"/>
        <w:jc w:val="both"/>
        <w:rPr>
          <w:rFonts w:ascii="Arial" w:eastAsia="Arial" w:hAnsi="Arial" w:cs="Arial"/>
        </w:rPr>
      </w:pPr>
    </w:p>
    <w:p w14:paraId="77554991" w14:textId="31D59D73" w:rsidR="061192DD" w:rsidRDefault="3ED831E3" w:rsidP="73F31BAE">
      <w:pPr>
        <w:spacing w:line="360" w:lineRule="auto"/>
        <w:jc w:val="both"/>
        <w:rPr>
          <w:rFonts w:ascii="Arial" w:eastAsia="Arial" w:hAnsi="Arial" w:cs="Arial"/>
        </w:rPr>
      </w:pPr>
      <w:r w:rsidRPr="73F31BAE">
        <w:rPr>
          <w:rFonts w:ascii="Arial" w:eastAsia="Arial" w:hAnsi="Arial" w:cs="Arial"/>
        </w:rPr>
        <w:t>For instance, on November 2, 2023, the Bank of England's decision to maintain stable interest rates caused London stocks to rise dramatically, with both the FTSE 100 and FTSE 250 seeing large gains</w:t>
      </w:r>
      <w:r w:rsidR="5437CBC7" w:rsidRPr="73F31BAE">
        <w:rPr>
          <w:rFonts w:ascii="Arial" w:eastAsia="Arial" w:hAnsi="Arial" w:cs="Arial"/>
        </w:rPr>
        <w:t xml:space="preserve"> (Siddarth and Singh, 2023)</w:t>
      </w:r>
      <w:r w:rsidRPr="73F31BAE">
        <w:rPr>
          <w:rFonts w:ascii="Arial" w:eastAsia="Arial" w:hAnsi="Arial" w:cs="Arial"/>
        </w:rPr>
        <w:t>. This implies that stock prices may benefit from the choice to keep interest rates at a particular level.</w:t>
      </w:r>
      <w:r w:rsidR="07ADE822" w:rsidRPr="73F31BAE">
        <w:rPr>
          <w:rFonts w:ascii="Arial" w:eastAsia="Arial" w:hAnsi="Arial" w:cs="Arial"/>
        </w:rPr>
        <w:t xml:space="preserve"> Moving forward to the dependent variable of the study, stock price.</w:t>
      </w:r>
    </w:p>
    <w:p w14:paraId="299A8362" w14:textId="7D91533C" w:rsidR="32A7317A" w:rsidRDefault="32A7317A" w:rsidP="32A7317A">
      <w:pPr>
        <w:jc w:val="both"/>
        <w:rPr>
          <w:rFonts w:ascii="Arial" w:eastAsia="Arial" w:hAnsi="Arial" w:cs="Arial"/>
        </w:rPr>
      </w:pPr>
    </w:p>
    <w:p w14:paraId="749BE215" w14:textId="2882A2D8" w:rsidR="061192DD" w:rsidRDefault="31550738" w:rsidP="2F0C2401">
      <w:pPr>
        <w:jc w:val="both"/>
        <w:rPr>
          <w:rFonts w:ascii="Arial" w:eastAsia="Arial" w:hAnsi="Arial" w:cs="Arial"/>
          <w:b/>
          <w:bCs/>
        </w:rPr>
      </w:pPr>
      <w:r w:rsidRPr="2F0C2401">
        <w:rPr>
          <w:rFonts w:ascii="Arial" w:eastAsia="Arial" w:hAnsi="Arial" w:cs="Arial"/>
          <w:b/>
          <w:bCs/>
        </w:rPr>
        <w:t>Table no. 5 Stock Price Index Value (2013-2023)</w:t>
      </w:r>
    </w:p>
    <w:tbl>
      <w:tblPr>
        <w:tblW w:w="0" w:type="auto"/>
        <w:jc w:val="center"/>
        <w:tblLayout w:type="fixed"/>
        <w:tblLook w:val="06A0" w:firstRow="1" w:lastRow="0" w:firstColumn="1" w:lastColumn="0" w:noHBand="1" w:noVBand="1"/>
      </w:tblPr>
      <w:tblGrid>
        <w:gridCol w:w="1872"/>
        <w:gridCol w:w="1872"/>
        <w:gridCol w:w="1872"/>
        <w:gridCol w:w="1872"/>
        <w:gridCol w:w="1872"/>
      </w:tblGrid>
      <w:tr w:rsidR="2F0C2401" w14:paraId="6A92DFF7" w14:textId="77777777" w:rsidTr="2F0C2401">
        <w:trPr>
          <w:trHeight w:val="300"/>
          <w:jc w:val="center"/>
        </w:trPr>
        <w:tc>
          <w:tcPr>
            <w:tcW w:w="9360" w:type="dxa"/>
            <w:gridSpan w:val="5"/>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62729D" w14:textId="79249DB5" w:rsidR="2F0C2401" w:rsidRDefault="2F0C2401" w:rsidP="2F0C2401">
            <w:pPr>
              <w:spacing w:after="0"/>
              <w:jc w:val="center"/>
              <w:rPr>
                <w:rFonts w:ascii="Arial" w:eastAsia="Arial" w:hAnsi="Arial" w:cs="Arial"/>
                <w:b/>
                <w:bCs/>
              </w:rPr>
            </w:pPr>
            <w:r w:rsidRPr="2F0C2401">
              <w:rPr>
                <w:rFonts w:ascii="Arial" w:eastAsia="Arial" w:hAnsi="Arial" w:cs="Arial"/>
                <w:b/>
                <w:bCs/>
              </w:rPr>
              <w:t xml:space="preserve"> PRICE INDEX VALUE</w:t>
            </w:r>
          </w:p>
        </w:tc>
      </w:tr>
      <w:tr w:rsidR="2F0C2401" w14:paraId="0DA05A73" w14:textId="77777777" w:rsidTr="2F0C2401">
        <w:trPr>
          <w:trHeight w:val="300"/>
          <w:jc w:val="center"/>
        </w:trPr>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02189C" w14:textId="164CF8F4" w:rsidR="2F0C2401" w:rsidRDefault="2F0C2401" w:rsidP="2F0C2401">
            <w:pPr>
              <w:spacing w:after="0"/>
              <w:jc w:val="center"/>
              <w:rPr>
                <w:rFonts w:ascii="Arial" w:eastAsia="Arial" w:hAnsi="Arial" w:cs="Arial"/>
                <w:b/>
                <w:bCs/>
              </w:rPr>
            </w:pPr>
            <w:r w:rsidRPr="2F0C2401">
              <w:rPr>
                <w:rFonts w:ascii="Arial" w:eastAsia="Arial" w:hAnsi="Arial" w:cs="Arial"/>
                <w:b/>
                <w:bCs/>
              </w:rPr>
              <w:t>YEAR</w:t>
            </w:r>
          </w:p>
        </w:tc>
        <w:tc>
          <w:tcPr>
            <w:tcW w:w="1872" w:type="dxa"/>
            <w:tcBorders>
              <w:top w:val="nil"/>
              <w:left w:val="single" w:sz="4" w:space="0" w:color="auto"/>
              <w:bottom w:val="single" w:sz="4" w:space="0" w:color="auto"/>
              <w:right w:val="single" w:sz="4" w:space="0" w:color="auto"/>
            </w:tcBorders>
            <w:tcMar>
              <w:top w:w="15" w:type="dxa"/>
              <w:left w:w="15" w:type="dxa"/>
              <w:right w:w="15" w:type="dxa"/>
            </w:tcMar>
            <w:vAlign w:val="bottom"/>
          </w:tcPr>
          <w:p w14:paraId="38BDA53D" w14:textId="155C2942" w:rsidR="2F0C2401" w:rsidRDefault="2F0C2401" w:rsidP="2F0C2401">
            <w:pPr>
              <w:spacing w:after="0"/>
              <w:jc w:val="center"/>
              <w:rPr>
                <w:rFonts w:ascii="Arial" w:eastAsia="Arial" w:hAnsi="Arial" w:cs="Arial"/>
                <w:b/>
                <w:bCs/>
              </w:rPr>
            </w:pPr>
            <w:r w:rsidRPr="2F0C2401">
              <w:rPr>
                <w:rFonts w:ascii="Arial" w:eastAsia="Arial" w:hAnsi="Arial" w:cs="Arial"/>
                <w:b/>
                <w:bCs/>
              </w:rPr>
              <w:t>FTSE 100</w:t>
            </w:r>
          </w:p>
        </w:tc>
        <w:tc>
          <w:tcPr>
            <w:tcW w:w="1872" w:type="dxa"/>
            <w:tcBorders>
              <w:top w:val="nil"/>
              <w:left w:val="single" w:sz="4" w:space="0" w:color="auto"/>
              <w:bottom w:val="single" w:sz="4" w:space="0" w:color="auto"/>
              <w:right w:val="single" w:sz="4" w:space="0" w:color="auto"/>
            </w:tcBorders>
            <w:tcMar>
              <w:top w:w="15" w:type="dxa"/>
              <w:left w:w="15" w:type="dxa"/>
              <w:right w:w="15" w:type="dxa"/>
            </w:tcMar>
            <w:vAlign w:val="bottom"/>
          </w:tcPr>
          <w:p w14:paraId="57B6127C" w14:textId="3AB30024" w:rsidR="2F0C2401" w:rsidRDefault="2F0C2401" w:rsidP="2F0C2401">
            <w:pPr>
              <w:spacing w:after="0"/>
              <w:jc w:val="center"/>
              <w:rPr>
                <w:rFonts w:ascii="Arial" w:eastAsia="Arial" w:hAnsi="Arial" w:cs="Arial"/>
                <w:b/>
                <w:bCs/>
              </w:rPr>
            </w:pPr>
            <w:r w:rsidRPr="2F0C2401">
              <w:rPr>
                <w:rFonts w:ascii="Arial" w:eastAsia="Arial" w:hAnsi="Arial" w:cs="Arial"/>
                <w:b/>
                <w:bCs/>
              </w:rPr>
              <w:t>FTSE 250</w:t>
            </w:r>
          </w:p>
        </w:tc>
        <w:tc>
          <w:tcPr>
            <w:tcW w:w="1872" w:type="dxa"/>
            <w:tcBorders>
              <w:top w:val="nil"/>
              <w:left w:val="single" w:sz="4" w:space="0" w:color="auto"/>
              <w:bottom w:val="single" w:sz="4" w:space="0" w:color="auto"/>
              <w:right w:val="single" w:sz="4" w:space="0" w:color="auto"/>
            </w:tcBorders>
            <w:tcMar>
              <w:top w:w="15" w:type="dxa"/>
              <w:left w:w="15" w:type="dxa"/>
              <w:right w:w="15" w:type="dxa"/>
            </w:tcMar>
            <w:vAlign w:val="bottom"/>
          </w:tcPr>
          <w:p w14:paraId="4D0A99CE" w14:textId="13A6F5A9" w:rsidR="2F0C2401" w:rsidRDefault="2F0C2401" w:rsidP="2F0C2401">
            <w:pPr>
              <w:spacing w:after="0"/>
              <w:jc w:val="center"/>
              <w:rPr>
                <w:rFonts w:ascii="Arial" w:eastAsia="Arial" w:hAnsi="Arial" w:cs="Arial"/>
                <w:b/>
                <w:bCs/>
              </w:rPr>
            </w:pPr>
            <w:r w:rsidRPr="2F0C2401">
              <w:rPr>
                <w:rFonts w:ascii="Arial" w:eastAsia="Arial" w:hAnsi="Arial" w:cs="Arial"/>
                <w:b/>
                <w:bCs/>
              </w:rPr>
              <w:t>FTSE 350</w:t>
            </w:r>
          </w:p>
        </w:tc>
        <w:tc>
          <w:tcPr>
            <w:tcW w:w="1872" w:type="dxa"/>
            <w:tcBorders>
              <w:top w:val="nil"/>
              <w:left w:val="single" w:sz="4" w:space="0" w:color="auto"/>
              <w:bottom w:val="single" w:sz="4" w:space="0" w:color="auto"/>
              <w:right w:val="single" w:sz="4" w:space="0" w:color="auto"/>
            </w:tcBorders>
            <w:tcMar>
              <w:top w:w="15" w:type="dxa"/>
              <w:left w:w="15" w:type="dxa"/>
              <w:right w:w="15" w:type="dxa"/>
            </w:tcMar>
            <w:vAlign w:val="bottom"/>
          </w:tcPr>
          <w:p w14:paraId="2D313B0B" w14:textId="5DAC8D69" w:rsidR="2F0C2401" w:rsidRDefault="2F0C2401" w:rsidP="2F0C2401">
            <w:pPr>
              <w:spacing w:after="0"/>
              <w:jc w:val="center"/>
              <w:rPr>
                <w:rFonts w:ascii="Arial" w:eastAsia="Arial" w:hAnsi="Arial" w:cs="Arial"/>
                <w:b/>
                <w:bCs/>
              </w:rPr>
            </w:pPr>
            <w:r w:rsidRPr="2F0C2401">
              <w:rPr>
                <w:rFonts w:ascii="Arial" w:eastAsia="Arial" w:hAnsi="Arial" w:cs="Arial"/>
                <w:b/>
                <w:bCs/>
              </w:rPr>
              <w:t>FTSE ALL-SHARE</w:t>
            </w:r>
          </w:p>
        </w:tc>
      </w:tr>
      <w:tr w:rsidR="2F0C2401" w14:paraId="67AF4F01" w14:textId="77777777" w:rsidTr="2F0C2401">
        <w:trPr>
          <w:trHeight w:val="300"/>
          <w:jc w:val="center"/>
        </w:trPr>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6C9694" w14:textId="408B132C" w:rsidR="2F0C2401" w:rsidRDefault="2F0C2401" w:rsidP="2F0C2401">
            <w:pPr>
              <w:spacing w:after="0"/>
              <w:jc w:val="center"/>
              <w:rPr>
                <w:rFonts w:ascii="Arial" w:eastAsia="Arial" w:hAnsi="Arial" w:cs="Arial"/>
              </w:rPr>
            </w:pPr>
            <w:r w:rsidRPr="2F0C2401">
              <w:rPr>
                <w:rFonts w:ascii="Arial" w:eastAsia="Arial" w:hAnsi="Arial" w:cs="Arial"/>
              </w:rPr>
              <w:t>2013</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8C20F4" w14:textId="58B1DFC5" w:rsidR="2F0C2401" w:rsidRDefault="2F0C2401" w:rsidP="2F0C2401">
            <w:pPr>
              <w:spacing w:after="0"/>
              <w:jc w:val="center"/>
              <w:rPr>
                <w:rFonts w:ascii="Arial" w:eastAsia="Arial" w:hAnsi="Arial" w:cs="Arial"/>
              </w:rPr>
            </w:pPr>
            <w:r w:rsidRPr="2F0C2401">
              <w:rPr>
                <w:rFonts w:ascii="Arial" w:eastAsia="Arial" w:hAnsi="Arial" w:cs="Arial"/>
              </w:rPr>
              <w:t>6749.09</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82DAAB" w14:textId="3D799ADB" w:rsidR="2F0C2401" w:rsidRDefault="2F0C2401" w:rsidP="2F0C2401">
            <w:pPr>
              <w:spacing w:after="0"/>
              <w:jc w:val="center"/>
              <w:rPr>
                <w:rFonts w:ascii="Arial" w:eastAsia="Arial" w:hAnsi="Arial" w:cs="Arial"/>
              </w:rPr>
            </w:pPr>
            <w:r w:rsidRPr="2F0C2401">
              <w:rPr>
                <w:rFonts w:ascii="Arial" w:eastAsia="Arial" w:hAnsi="Arial" w:cs="Arial"/>
              </w:rPr>
              <w:t>15935.35</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482FFB" w14:textId="1CB39931" w:rsidR="2F0C2401" w:rsidRDefault="2F0C2401" w:rsidP="2F0C2401">
            <w:pPr>
              <w:spacing w:after="0"/>
              <w:jc w:val="center"/>
              <w:rPr>
                <w:rFonts w:ascii="Arial" w:eastAsia="Arial" w:hAnsi="Arial" w:cs="Arial"/>
              </w:rPr>
            </w:pPr>
            <w:r w:rsidRPr="2F0C2401">
              <w:rPr>
                <w:rFonts w:ascii="Arial" w:eastAsia="Arial" w:hAnsi="Arial" w:cs="Arial"/>
              </w:rPr>
              <w:t>3674.32</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32495C" w14:textId="69A5608E" w:rsidR="2F0C2401" w:rsidRDefault="2F0C2401" w:rsidP="2F0C2401">
            <w:pPr>
              <w:spacing w:after="0"/>
              <w:jc w:val="center"/>
              <w:rPr>
                <w:rFonts w:ascii="Arial" w:eastAsia="Arial" w:hAnsi="Arial" w:cs="Arial"/>
              </w:rPr>
            </w:pPr>
            <w:r w:rsidRPr="2F0C2401">
              <w:rPr>
                <w:rFonts w:ascii="Arial" w:eastAsia="Arial" w:hAnsi="Arial" w:cs="Arial"/>
              </w:rPr>
              <w:t>3609.63</w:t>
            </w:r>
          </w:p>
        </w:tc>
      </w:tr>
      <w:tr w:rsidR="2F0C2401" w14:paraId="6A76D601" w14:textId="77777777" w:rsidTr="2F0C2401">
        <w:trPr>
          <w:trHeight w:val="300"/>
          <w:jc w:val="center"/>
        </w:trPr>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B30303" w14:textId="64D97D3A" w:rsidR="2F0C2401" w:rsidRDefault="2F0C2401" w:rsidP="2F0C2401">
            <w:pPr>
              <w:spacing w:after="0"/>
              <w:jc w:val="center"/>
              <w:rPr>
                <w:rFonts w:ascii="Arial" w:eastAsia="Arial" w:hAnsi="Arial" w:cs="Arial"/>
              </w:rPr>
            </w:pPr>
            <w:r w:rsidRPr="2F0C2401">
              <w:rPr>
                <w:rFonts w:ascii="Arial" w:eastAsia="Arial" w:hAnsi="Arial" w:cs="Arial"/>
              </w:rPr>
              <w:t>2014</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8BA9B3" w14:textId="7B32C65A" w:rsidR="2F0C2401" w:rsidRDefault="2F0C2401" w:rsidP="2F0C2401">
            <w:pPr>
              <w:spacing w:after="0"/>
              <w:jc w:val="center"/>
              <w:rPr>
                <w:rFonts w:ascii="Arial" w:eastAsia="Arial" w:hAnsi="Arial" w:cs="Arial"/>
              </w:rPr>
            </w:pPr>
            <w:r w:rsidRPr="2F0C2401">
              <w:rPr>
                <w:rFonts w:ascii="Arial" w:eastAsia="Arial" w:hAnsi="Arial" w:cs="Arial"/>
              </w:rPr>
              <w:t>6566.09</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180696" w14:textId="29CDA954" w:rsidR="2F0C2401" w:rsidRDefault="2F0C2401" w:rsidP="2F0C2401">
            <w:pPr>
              <w:spacing w:after="0"/>
              <w:jc w:val="center"/>
              <w:rPr>
                <w:rFonts w:ascii="Arial" w:eastAsia="Arial" w:hAnsi="Arial" w:cs="Arial"/>
              </w:rPr>
            </w:pPr>
            <w:r w:rsidRPr="2F0C2401">
              <w:rPr>
                <w:rFonts w:ascii="Arial" w:eastAsia="Arial" w:hAnsi="Arial" w:cs="Arial"/>
              </w:rPr>
              <w:t>16085.44</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341D0F" w14:textId="17B95906" w:rsidR="2F0C2401" w:rsidRDefault="2F0C2401" w:rsidP="2F0C2401">
            <w:pPr>
              <w:spacing w:after="0"/>
              <w:jc w:val="center"/>
              <w:rPr>
                <w:rFonts w:ascii="Arial" w:eastAsia="Arial" w:hAnsi="Arial" w:cs="Arial"/>
              </w:rPr>
            </w:pPr>
            <w:r w:rsidRPr="2F0C2401">
              <w:rPr>
                <w:rFonts w:ascii="Arial" w:eastAsia="Arial" w:hAnsi="Arial" w:cs="Arial"/>
              </w:rPr>
              <w:t>3595.28</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BC62FF" w14:textId="1C8F4DB8" w:rsidR="2F0C2401" w:rsidRDefault="2F0C2401" w:rsidP="2F0C2401">
            <w:pPr>
              <w:spacing w:after="0"/>
              <w:jc w:val="center"/>
              <w:rPr>
                <w:rFonts w:ascii="Arial" w:eastAsia="Arial" w:hAnsi="Arial" w:cs="Arial"/>
              </w:rPr>
            </w:pPr>
            <w:r w:rsidRPr="2F0C2401">
              <w:rPr>
                <w:rFonts w:ascii="Arial" w:eastAsia="Arial" w:hAnsi="Arial" w:cs="Arial"/>
              </w:rPr>
              <w:t>3532.74</w:t>
            </w:r>
          </w:p>
        </w:tc>
      </w:tr>
      <w:tr w:rsidR="2F0C2401" w14:paraId="5C95F7A2" w14:textId="77777777" w:rsidTr="2F0C2401">
        <w:trPr>
          <w:trHeight w:val="300"/>
          <w:jc w:val="center"/>
        </w:trPr>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F18ACE" w14:textId="327929E2" w:rsidR="2F0C2401" w:rsidRDefault="2F0C2401" w:rsidP="2F0C2401">
            <w:pPr>
              <w:spacing w:after="0"/>
              <w:jc w:val="center"/>
              <w:rPr>
                <w:rFonts w:ascii="Arial" w:eastAsia="Arial" w:hAnsi="Arial" w:cs="Arial"/>
              </w:rPr>
            </w:pPr>
            <w:r w:rsidRPr="2F0C2401">
              <w:rPr>
                <w:rFonts w:ascii="Arial" w:eastAsia="Arial" w:hAnsi="Arial" w:cs="Arial"/>
              </w:rPr>
              <w:t>2015</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142CE8" w14:textId="64701429" w:rsidR="2F0C2401" w:rsidRDefault="2F0C2401" w:rsidP="2F0C2401">
            <w:pPr>
              <w:spacing w:after="0"/>
              <w:jc w:val="center"/>
              <w:rPr>
                <w:rFonts w:ascii="Arial" w:eastAsia="Arial" w:hAnsi="Arial" w:cs="Arial"/>
              </w:rPr>
            </w:pPr>
            <w:r w:rsidRPr="2F0C2401">
              <w:rPr>
                <w:rFonts w:ascii="Arial" w:eastAsia="Arial" w:hAnsi="Arial" w:cs="Arial"/>
              </w:rPr>
              <w:t>6242.34</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2E9FF3" w14:textId="3B3BE421" w:rsidR="2F0C2401" w:rsidRDefault="2F0C2401" w:rsidP="2F0C2401">
            <w:pPr>
              <w:spacing w:after="0"/>
              <w:jc w:val="center"/>
              <w:rPr>
                <w:rFonts w:ascii="Arial" w:eastAsia="Arial" w:hAnsi="Arial" w:cs="Arial"/>
              </w:rPr>
            </w:pPr>
            <w:r w:rsidRPr="2F0C2401">
              <w:rPr>
                <w:rFonts w:ascii="Arial" w:eastAsia="Arial" w:hAnsi="Arial" w:cs="Arial"/>
              </w:rPr>
              <w:t>17429.82</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E4C88B" w14:textId="4FD88C5B" w:rsidR="2F0C2401" w:rsidRDefault="2F0C2401" w:rsidP="2F0C2401">
            <w:pPr>
              <w:spacing w:after="0"/>
              <w:jc w:val="center"/>
              <w:rPr>
                <w:rFonts w:ascii="Arial" w:eastAsia="Arial" w:hAnsi="Arial" w:cs="Arial"/>
              </w:rPr>
            </w:pPr>
            <w:r w:rsidRPr="2F0C2401">
              <w:rPr>
                <w:rFonts w:ascii="Arial" w:eastAsia="Arial" w:hAnsi="Arial" w:cs="Arial"/>
              </w:rPr>
              <w:t>3494.5</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6A2A6C" w14:textId="67AFC471" w:rsidR="2F0C2401" w:rsidRDefault="2F0C2401" w:rsidP="2F0C2401">
            <w:pPr>
              <w:spacing w:after="0"/>
              <w:jc w:val="center"/>
              <w:rPr>
                <w:rFonts w:ascii="Arial" w:eastAsia="Arial" w:hAnsi="Arial" w:cs="Arial"/>
              </w:rPr>
            </w:pPr>
            <w:r w:rsidRPr="2F0C2401">
              <w:rPr>
                <w:rFonts w:ascii="Arial" w:eastAsia="Arial" w:hAnsi="Arial" w:cs="Arial"/>
              </w:rPr>
              <w:t>3444.26</w:t>
            </w:r>
          </w:p>
        </w:tc>
      </w:tr>
      <w:tr w:rsidR="2F0C2401" w14:paraId="28C0EB3C" w14:textId="77777777" w:rsidTr="2F0C2401">
        <w:trPr>
          <w:trHeight w:val="300"/>
          <w:jc w:val="center"/>
        </w:trPr>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7C7BD0" w14:textId="4330E2E8" w:rsidR="2F0C2401" w:rsidRDefault="2F0C2401" w:rsidP="2F0C2401">
            <w:pPr>
              <w:spacing w:after="0"/>
              <w:jc w:val="center"/>
              <w:rPr>
                <w:rFonts w:ascii="Arial" w:eastAsia="Arial" w:hAnsi="Arial" w:cs="Arial"/>
              </w:rPr>
            </w:pPr>
            <w:r w:rsidRPr="2F0C2401">
              <w:rPr>
                <w:rFonts w:ascii="Arial" w:eastAsia="Arial" w:hAnsi="Arial" w:cs="Arial"/>
              </w:rPr>
              <w:t>2016</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776453" w14:textId="5CB137B9" w:rsidR="2F0C2401" w:rsidRDefault="2F0C2401" w:rsidP="2F0C2401">
            <w:pPr>
              <w:spacing w:after="0"/>
              <w:jc w:val="center"/>
              <w:rPr>
                <w:rFonts w:ascii="Arial" w:eastAsia="Arial" w:hAnsi="Arial" w:cs="Arial"/>
              </w:rPr>
            </w:pPr>
            <w:r w:rsidRPr="2F0C2401">
              <w:rPr>
                <w:rFonts w:ascii="Arial" w:eastAsia="Arial" w:hAnsi="Arial" w:cs="Arial"/>
              </w:rPr>
              <w:t>7142.83</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ADDE35" w14:textId="79282D8E" w:rsidR="2F0C2401" w:rsidRDefault="2F0C2401" w:rsidP="2F0C2401">
            <w:pPr>
              <w:spacing w:after="0"/>
              <w:jc w:val="center"/>
              <w:rPr>
                <w:rFonts w:ascii="Arial" w:eastAsia="Arial" w:hAnsi="Arial" w:cs="Arial"/>
              </w:rPr>
            </w:pPr>
            <w:r w:rsidRPr="2F0C2401">
              <w:rPr>
                <w:rFonts w:ascii="Arial" w:eastAsia="Arial" w:hAnsi="Arial" w:cs="Arial"/>
              </w:rPr>
              <w:t>18077.27</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CCB4B1" w14:textId="5254C8C7" w:rsidR="2F0C2401" w:rsidRDefault="2F0C2401" w:rsidP="2F0C2401">
            <w:pPr>
              <w:spacing w:after="0"/>
              <w:jc w:val="center"/>
              <w:rPr>
                <w:rFonts w:ascii="Arial" w:eastAsia="Arial" w:hAnsi="Arial" w:cs="Arial"/>
              </w:rPr>
            </w:pPr>
            <w:r w:rsidRPr="2F0C2401">
              <w:rPr>
                <w:rFonts w:ascii="Arial" w:eastAsia="Arial" w:hAnsi="Arial" w:cs="Arial"/>
              </w:rPr>
              <w:t>3931.72</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14E225" w14:textId="1EB796AF" w:rsidR="2F0C2401" w:rsidRDefault="2F0C2401" w:rsidP="2F0C2401">
            <w:pPr>
              <w:spacing w:after="0"/>
              <w:jc w:val="center"/>
              <w:rPr>
                <w:rFonts w:ascii="Arial" w:eastAsia="Arial" w:hAnsi="Arial" w:cs="Arial"/>
              </w:rPr>
            </w:pPr>
            <w:r w:rsidRPr="2F0C2401">
              <w:rPr>
                <w:rFonts w:ascii="Arial" w:eastAsia="Arial" w:hAnsi="Arial" w:cs="Arial"/>
              </w:rPr>
              <w:t>3873.22</w:t>
            </w:r>
          </w:p>
        </w:tc>
      </w:tr>
      <w:tr w:rsidR="2F0C2401" w14:paraId="01E68DEC" w14:textId="77777777" w:rsidTr="2F0C2401">
        <w:trPr>
          <w:trHeight w:val="300"/>
          <w:jc w:val="center"/>
        </w:trPr>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202EBC" w14:textId="6B8325F2" w:rsidR="2F0C2401" w:rsidRDefault="2F0C2401" w:rsidP="2F0C2401">
            <w:pPr>
              <w:spacing w:after="0"/>
              <w:jc w:val="center"/>
              <w:rPr>
                <w:rFonts w:ascii="Arial" w:eastAsia="Arial" w:hAnsi="Arial" w:cs="Arial"/>
              </w:rPr>
            </w:pPr>
            <w:r w:rsidRPr="2F0C2401">
              <w:rPr>
                <w:rFonts w:ascii="Arial" w:eastAsia="Arial" w:hAnsi="Arial" w:cs="Arial"/>
              </w:rPr>
              <w:t>2017</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E0408A" w14:textId="417E9D28" w:rsidR="2F0C2401" w:rsidRDefault="2F0C2401" w:rsidP="2F0C2401">
            <w:pPr>
              <w:spacing w:after="0"/>
              <w:jc w:val="center"/>
              <w:rPr>
                <w:rFonts w:ascii="Arial" w:eastAsia="Arial" w:hAnsi="Arial" w:cs="Arial"/>
              </w:rPr>
            </w:pPr>
            <w:r w:rsidRPr="2F0C2401">
              <w:rPr>
                <w:rFonts w:ascii="Arial" w:eastAsia="Arial" w:hAnsi="Arial" w:cs="Arial"/>
              </w:rPr>
              <w:t>7687.77</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D04912" w14:textId="796A0BE8" w:rsidR="2F0C2401" w:rsidRDefault="2F0C2401" w:rsidP="2F0C2401">
            <w:pPr>
              <w:spacing w:after="0"/>
              <w:jc w:val="center"/>
              <w:rPr>
                <w:rFonts w:ascii="Arial" w:eastAsia="Arial" w:hAnsi="Arial" w:cs="Arial"/>
              </w:rPr>
            </w:pPr>
            <w:r w:rsidRPr="2F0C2401">
              <w:rPr>
                <w:rFonts w:ascii="Arial" w:eastAsia="Arial" w:hAnsi="Arial" w:cs="Arial"/>
              </w:rPr>
              <w:t>20726.26</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5E30A9" w14:textId="1F7AA03A" w:rsidR="2F0C2401" w:rsidRDefault="2F0C2401" w:rsidP="2F0C2401">
            <w:pPr>
              <w:spacing w:after="0"/>
              <w:jc w:val="center"/>
              <w:rPr>
                <w:rFonts w:ascii="Arial" w:eastAsia="Arial" w:hAnsi="Arial" w:cs="Arial"/>
              </w:rPr>
            </w:pPr>
            <w:r w:rsidRPr="2F0C2401">
              <w:rPr>
                <w:rFonts w:ascii="Arial" w:eastAsia="Arial" w:hAnsi="Arial" w:cs="Arial"/>
              </w:rPr>
              <w:t>4277.03</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06E7C0" w14:textId="6EBF300E" w:rsidR="2F0C2401" w:rsidRDefault="2F0C2401" w:rsidP="2F0C2401">
            <w:pPr>
              <w:spacing w:after="0"/>
              <w:jc w:val="center"/>
              <w:rPr>
                <w:rFonts w:ascii="Arial" w:eastAsia="Arial" w:hAnsi="Arial" w:cs="Arial"/>
              </w:rPr>
            </w:pPr>
            <w:r w:rsidRPr="2F0C2401">
              <w:rPr>
                <w:rFonts w:ascii="Arial" w:eastAsia="Arial" w:hAnsi="Arial" w:cs="Arial"/>
              </w:rPr>
              <w:t>4221.82</w:t>
            </w:r>
          </w:p>
        </w:tc>
      </w:tr>
      <w:tr w:rsidR="2F0C2401" w14:paraId="0F69484D" w14:textId="77777777" w:rsidTr="2F0C2401">
        <w:trPr>
          <w:trHeight w:val="300"/>
          <w:jc w:val="center"/>
        </w:trPr>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95B279" w14:textId="1BEB1C61" w:rsidR="2F0C2401" w:rsidRDefault="2F0C2401" w:rsidP="2F0C2401">
            <w:pPr>
              <w:spacing w:after="0"/>
              <w:jc w:val="center"/>
              <w:rPr>
                <w:rFonts w:ascii="Arial" w:eastAsia="Arial" w:hAnsi="Arial" w:cs="Arial"/>
              </w:rPr>
            </w:pPr>
            <w:r w:rsidRPr="2F0C2401">
              <w:rPr>
                <w:rFonts w:ascii="Arial" w:eastAsia="Arial" w:hAnsi="Arial" w:cs="Arial"/>
              </w:rPr>
              <w:t>2018</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AB8510" w14:textId="25A09E4C" w:rsidR="2F0C2401" w:rsidRDefault="2F0C2401" w:rsidP="2F0C2401">
            <w:pPr>
              <w:spacing w:after="0"/>
              <w:jc w:val="center"/>
              <w:rPr>
                <w:rFonts w:ascii="Arial" w:eastAsia="Arial" w:hAnsi="Arial" w:cs="Arial"/>
              </w:rPr>
            </w:pPr>
            <w:r w:rsidRPr="2F0C2401">
              <w:rPr>
                <w:rFonts w:ascii="Arial" w:eastAsia="Arial" w:hAnsi="Arial" w:cs="Arial"/>
              </w:rPr>
              <w:t>6728.13</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586CB3" w14:textId="1975298E" w:rsidR="2F0C2401" w:rsidRDefault="2F0C2401" w:rsidP="2F0C2401">
            <w:pPr>
              <w:spacing w:after="0"/>
              <w:jc w:val="center"/>
              <w:rPr>
                <w:rFonts w:ascii="Arial" w:eastAsia="Arial" w:hAnsi="Arial" w:cs="Arial"/>
              </w:rPr>
            </w:pPr>
            <w:r w:rsidRPr="2F0C2401">
              <w:rPr>
                <w:rFonts w:ascii="Arial" w:eastAsia="Arial" w:hAnsi="Arial" w:cs="Arial"/>
              </w:rPr>
              <w:t>17502.05</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275016" w14:textId="5661B9D2" w:rsidR="2F0C2401" w:rsidRDefault="2F0C2401" w:rsidP="2F0C2401">
            <w:pPr>
              <w:spacing w:after="0"/>
              <w:jc w:val="center"/>
              <w:rPr>
                <w:rFonts w:ascii="Arial" w:eastAsia="Arial" w:hAnsi="Arial" w:cs="Arial"/>
              </w:rPr>
            </w:pPr>
            <w:r w:rsidRPr="2F0C2401">
              <w:rPr>
                <w:rFonts w:ascii="Arial" w:eastAsia="Arial" w:hAnsi="Arial" w:cs="Arial"/>
              </w:rPr>
              <w:t>3722.15</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7AD524" w14:textId="244F159A" w:rsidR="2F0C2401" w:rsidRDefault="2F0C2401" w:rsidP="2F0C2401">
            <w:pPr>
              <w:spacing w:after="0"/>
              <w:jc w:val="center"/>
              <w:rPr>
                <w:rFonts w:ascii="Arial" w:eastAsia="Arial" w:hAnsi="Arial" w:cs="Arial"/>
              </w:rPr>
            </w:pPr>
            <w:r w:rsidRPr="2F0C2401">
              <w:rPr>
                <w:rFonts w:ascii="Arial" w:eastAsia="Arial" w:hAnsi="Arial" w:cs="Arial"/>
              </w:rPr>
              <w:t>3675.06</w:t>
            </w:r>
          </w:p>
        </w:tc>
      </w:tr>
      <w:tr w:rsidR="2F0C2401" w14:paraId="2D15A247" w14:textId="77777777" w:rsidTr="2F0C2401">
        <w:trPr>
          <w:trHeight w:val="300"/>
          <w:jc w:val="center"/>
        </w:trPr>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58E41C" w14:textId="16107433" w:rsidR="2F0C2401" w:rsidRDefault="2F0C2401" w:rsidP="2F0C2401">
            <w:pPr>
              <w:spacing w:after="0"/>
              <w:jc w:val="center"/>
              <w:rPr>
                <w:rFonts w:ascii="Arial" w:eastAsia="Arial" w:hAnsi="Arial" w:cs="Arial"/>
              </w:rPr>
            </w:pPr>
            <w:r w:rsidRPr="2F0C2401">
              <w:rPr>
                <w:rFonts w:ascii="Arial" w:eastAsia="Arial" w:hAnsi="Arial" w:cs="Arial"/>
              </w:rPr>
              <w:t>2019</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AD09AD" w14:textId="5B7A5C7C" w:rsidR="2F0C2401" w:rsidRDefault="2F0C2401" w:rsidP="2F0C2401">
            <w:pPr>
              <w:spacing w:after="0"/>
              <w:jc w:val="center"/>
              <w:rPr>
                <w:rFonts w:ascii="Arial" w:eastAsia="Arial" w:hAnsi="Arial" w:cs="Arial"/>
              </w:rPr>
            </w:pPr>
            <w:r w:rsidRPr="2F0C2401">
              <w:rPr>
                <w:rFonts w:ascii="Arial" w:eastAsia="Arial" w:hAnsi="Arial" w:cs="Arial"/>
              </w:rPr>
              <w:t>7542.44</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1C73FE" w14:textId="0A9F9E9A" w:rsidR="2F0C2401" w:rsidRDefault="2F0C2401" w:rsidP="2F0C2401">
            <w:pPr>
              <w:spacing w:after="0"/>
              <w:jc w:val="center"/>
              <w:rPr>
                <w:rFonts w:ascii="Arial" w:eastAsia="Arial" w:hAnsi="Arial" w:cs="Arial"/>
              </w:rPr>
            </w:pPr>
            <w:r w:rsidRPr="2F0C2401">
              <w:rPr>
                <w:rFonts w:ascii="Arial" w:eastAsia="Arial" w:hAnsi="Arial" w:cs="Arial"/>
              </w:rPr>
              <w:t>21883.42</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68803F" w14:textId="2398F95E" w:rsidR="2F0C2401" w:rsidRDefault="2F0C2401" w:rsidP="2F0C2401">
            <w:pPr>
              <w:spacing w:after="0"/>
              <w:jc w:val="center"/>
              <w:rPr>
                <w:rFonts w:ascii="Arial" w:eastAsia="Arial" w:hAnsi="Arial" w:cs="Arial"/>
              </w:rPr>
            </w:pPr>
            <w:r w:rsidRPr="2F0C2401">
              <w:rPr>
                <w:rFonts w:ascii="Arial" w:eastAsia="Arial" w:hAnsi="Arial" w:cs="Arial"/>
              </w:rPr>
              <w:t>4249.57</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52DCB5" w14:textId="708163E1" w:rsidR="2F0C2401" w:rsidRDefault="2F0C2401" w:rsidP="2F0C2401">
            <w:pPr>
              <w:spacing w:after="0"/>
              <w:jc w:val="center"/>
              <w:rPr>
                <w:rFonts w:ascii="Arial" w:eastAsia="Arial" w:hAnsi="Arial" w:cs="Arial"/>
              </w:rPr>
            </w:pPr>
            <w:r w:rsidRPr="2F0C2401">
              <w:rPr>
                <w:rFonts w:ascii="Arial" w:eastAsia="Arial" w:hAnsi="Arial" w:cs="Arial"/>
              </w:rPr>
              <w:t>4196.47</w:t>
            </w:r>
          </w:p>
        </w:tc>
      </w:tr>
      <w:tr w:rsidR="2F0C2401" w14:paraId="1D0ABA7F" w14:textId="77777777" w:rsidTr="2F0C2401">
        <w:trPr>
          <w:trHeight w:val="300"/>
          <w:jc w:val="center"/>
        </w:trPr>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2866D5" w14:textId="73AC863F" w:rsidR="2F0C2401" w:rsidRDefault="2F0C2401" w:rsidP="2F0C2401">
            <w:pPr>
              <w:spacing w:after="0"/>
              <w:jc w:val="center"/>
              <w:rPr>
                <w:rFonts w:ascii="Arial" w:eastAsia="Arial" w:hAnsi="Arial" w:cs="Arial"/>
              </w:rPr>
            </w:pPr>
            <w:r w:rsidRPr="2F0C2401">
              <w:rPr>
                <w:rFonts w:ascii="Arial" w:eastAsia="Arial" w:hAnsi="Arial" w:cs="Arial"/>
              </w:rPr>
              <w:t>2020</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C6E074" w14:textId="1FA681B0" w:rsidR="2F0C2401" w:rsidRDefault="2F0C2401" w:rsidP="2F0C2401">
            <w:pPr>
              <w:spacing w:after="0"/>
              <w:jc w:val="center"/>
              <w:rPr>
                <w:rFonts w:ascii="Arial" w:eastAsia="Arial" w:hAnsi="Arial" w:cs="Arial"/>
              </w:rPr>
            </w:pPr>
            <w:r w:rsidRPr="2F0C2401">
              <w:rPr>
                <w:rFonts w:ascii="Arial" w:eastAsia="Arial" w:hAnsi="Arial" w:cs="Arial"/>
              </w:rPr>
              <w:t>6460.52</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77FBA6" w14:textId="061B99F0" w:rsidR="2F0C2401" w:rsidRDefault="2F0C2401" w:rsidP="2F0C2401">
            <w:pPr>
              <w:spacing w:after="0"/>
              <w:jc w:val="center"/>
              <w:rPr>
                <w:rFonts w:ascii="Arial" w:eastAsia="Arial" w:hAnsi="Arial" w:cs="Arial"/>
              </w:rPr>
            </w:pPr>
            <w:r w:rsidRPr="2F0C2401">
              <w:rPr>
                <w:rFonts w:ascii="Arial" w:eastAsia="Arial" w:hAnsi="Arial" w:cs="Arial"/>
              </w:rPr>
              <w:t>20488.3</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7631FD" w14:textId="31632612" w:rsidR="2F0C2401" w:rsidRDefault="2F0C2401" w:rsidP="2F0C2401">
            <w:pPr>
              <w:spacing w:after="0"/>
              <w:jc w:val="center"/>
              <w:rPr>
                <w:rFonts w:ascii="Arial" w:eastAsia="Arial" w:hAnsi="Arial" w:cs="Arial"/>
              </w:rPr>
            </w:pPr>
            <w:r w:rsidRPr="2F0C2401">
              <w:rPr>
                <w:rFonts w:ascii="Arial" w:eastAsia="Arial" w:hAnsi="Arial" w:cs="Arial"/>
              </w:rPr>
              <w:t>3697.7</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DBC36A" w14:textId="76B5D655" w:rsidR="2F0C2401" w:rsidRDefault="2F0C2401" w:rsidP="2F0C2401">
            <w:pPr>
              <w:spacing w:after="0"/>
              <w:jc w:val="center"/>
              <w:rPr>
                <w:rFonts w:ascii="Arial" w:eastAsia="Arial" w:hAnsi="Arial" w:cs="Arial"/>
              </w:rPr>
            </w:pPr>
            <w:r w:rsidRPr="2F0C2401">
              <w:rPr>
                <w:rFonts w:ascii="Arial" w:eastAsia="Arial" w:hAnsi="Arial" w:cs="Arial"/>
              </w:rPr>
              <w:t>3673.63</w:t>
            </w:r>
          </w:p>
        </w:tc>
      </w:tr>
      <w:tr w:rsidR="2F0C2401" w14:paraId="5E661ADD" w14:textId="77777777" w:rsidTr="2F0C2401">
        <w:trPr>
          <w:trHeight w:val="300"/>
          <w:jc w:val="center"/>
        </w:trPr>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47BC0F" w14:textId="01DBAB99" w:rsidR="2F0C2401" w:rsidRDefault="2F0C2401" w:rsidP="2F0C2401">
            <w:pPr>
              <w:spacing w:after="0"/>
              <w:jc w:val="center"/>
              <w:rPr>
                <w:rFonts w:ascii="Arial" w:eastAsia="Arial" w:hAnsi="Arial" w:cs="Arial"/>
              </w:rPr>
            </w:pPr>
            <w:r w:rsidRPr="2F0C2401">
              <w:rPr>
                <w:rFonts w:ascii="Arial" w:eastAsia="Arial" w:hAnsi="Arial" w:cs="Arial"/>
              </w:rPr>
              <w:t>2021</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49D88D" w14:textId="4B34321A" w:rsidR="2F0C2401" w:rsidRDefault="2F0C2401" w:rsidP="2F0C2401">
            <w:pPr>
              <w:spacing w:after="0"/>
              <w:jc w:val="center"/>
              <w:rPr>
                <w:rFonts w:ascii="Arial" w:eastAsia="Arial" w:hAnsi="Arial" w:cs="Arial"/>
              </w:rPr>
            </w:pPr>
            <w:r w:rsidRPr="2F0C2401">
              <w:rPr>
                <w:rFonts w:ascii="Arial" w:eastAsia="Arial" w:hAnsi="Arial" w:cs="Arial"/>
              </w:rPr>
              <w:t>7684.54</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832A97" w14:textId="27FC3ED3" w:rsidR="2F0C2401" w:rsidRDefault="2F0C2401" w:rsidP="2F0C2401">
            <w:pPr>
              <w:spacing w:after="0"/>
              <w:jc w:val="center"/>
              <w:rPr>
                <w:rFonts w:ascii="Arial" w:eastAsia="Arial" w:hAnsi="Arial" w:cs="Arial"/>
              </w:rPr>
            </w:pPr>
            <w:r w:rsidRPr="2F0C2401">
              <w:rPr>
                <w:rFonts w:ascii="Arial" w:eastAsia="Arial" w:hAnsi="Arial" w:cs="Arial"/>
              </w:rPr>
              <w:t>23480.81</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5BEFBD" w14:textId="4CFFCE17" w:rsidR="2F0C2401" w:rsidRDefault="2F0C2401" w:rsidP="2F0C2401">
            <w:pPr>
              <w:spacing w:after="0"/>
              <w:jc w:val="center"/>
              <w:rPr>
                <w:rFonts w:ascii="Arial" w:eastAsia="Arial" w:hAnsi="Arial" w:cs="Arial"/>
              </w:rPr>
            </w:pPr>
            <w:r w:rsidRPr="2F0C2401">
              <w:rPr>
                <w:rFonts w:ascii="Arial" w:eastAsia="Arial" w:hAnsi="Arial" w:cs="Arial"/>
              </w:rPr>
              <w:t>4228.67</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A1ED08" w14:textId="60F8E594" w:rsidR="2F0C2401" w:rsidRDefault="2F0C2401" w:rsidP="2F0C2401">
            <w:pPr>
              <w:spacing w:after="0"/>
              <w:jc w:val="center"/>
              <w:rPr>
                <w:rFonts w:ascii="Arial" w:eastAsia="Arial" w:hAnsi="Arial" w:cs="Arial"/>
              </w:rPr>
            </w:pPr>
            <w:r w:rsidRPr="2F0C2401">
              <w:rPr>
                <w:rFonts w:ascii="Arial" w:eastAsia="Arial" w:hAnsi="Arial" w:cs="Arial"/>
              </w:rPr>
              <w:t>4208.02</w:t>
            </w:r>
          </w:p>
        </w:tc>
      </w:tr>
      <w:tr w:rsidR="2F0C2401" w14:paraId="417D7904" w14:textId="77777777" w:rsidTr="2F0C2401">
        <w:trPr>
          <w:trHeight w:val="300"/>
          <w:jc w:val="center"/>
        </w:trPr>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66DF2D" w14:textId="5BD749EE" w:rsidR="2F0C2401" w:rsidRDefault="2F0C2401" w:rsidP="2F0C2401">
            <w:pPr>
              <w:spacing w:after="0"/>
              <w:jc w:val="center"/>
              <w:rPr>
                <w:rFonts w:ascii="Arial" w:eastAsia="Arial" w:hAnsi="Arial" w:cs="Arial"/>
              </w:rPr>
            </w:pPr>
            <w:r w:rsidRPr="2F0C2401">
              <w:rPr>
                <w:rFonts w:ascii="Arial" w:eastAsia="Arial" w:hAnsi="Arial" w:cs="Arial"/>
              </w:rPr>
              <w:t>2022</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A43D0F" w14:textId="2E01D25E" w:rsidR="2F0C2401" w:rsidRDefault="2F0C2401" w:rsidP="2F0C2401">
            <w:pPr>
              <w:spacing w:after="0"/>
              <w:jc w:val="center"/>
              <w:rPr>
                <w:rFonts w:ascii="Arial" w:eastAsia="Arial" w:hAnsi="Arial" w:cs="Arial"/>
              </w:rPr>
            </w:pPr>
            <w:r w:rsidRPr="2F0C2401">
              <w:rPr>
                <w:rFonts w:ascii="Arial" w:eastAsia="Arial" w:hAnsi="Arial" w:cs="Arial"/>
              </w:rPr>
              <w:t>7451.74</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A4D723" w14:textId="19102290" w:rsidR="2F0C2401" w:rsidRDefault="2F0C2401" w:rsidP="2F0C2401">
            <w:pPr>
              <w:spacing w:after="0"/>
              <w:jc w:val="center"/>
              <w:rPr>
                <w:rFonts w:ascii="Arial" w:eastAsia="Arial" w:hAnsi="Arial" w:cs="Arial"/>
              </w:rPr>
            </w:pPr>
            <w:r w:rsidRPr="2F0C2401">
              <w:rPr>
                <w:rFonts w:ascii="Arial" w:eastAsia="Arial" w:hAnsi="Arial" w:cs="Arial"/>
              </w:rPr>
              <w:t>18853</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16B94E" w14:textId="41905FD4" w:rsidR="2F0C2401" w:rsidRDefault="2F0C2401" w:rsidP="2F0C2401">
            <w:pPr>
              <w:spacing w:after="0"/>
              <w:jc w:val="center"/>
              <w:rPr>
                <w:rFonts w:ascii="Arial" w:eastAsia="Arial" w:hAnsi="Arial" w:cs="Arial"/>
              </w:rPr>
            </w:pPr>
            <w:r w:rsidRPr="2F0C2401">
              <w:rPr>
                <w:rFonts w:ascii="Arial" w:eastAsia="Arial" w:hAnsi="Arial" w:cs="Arial"/>
              </w:rPr>
              <w:t>4113.78</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42278B" w14:textId="51ADC32A" w:rsidR="2F0C2401" w:rsidRDefault="2F0C2401" w:rsidP="2F0C2401">
            <w:pPr>
              <w:spacing w:after="0"/>
              <w:jc w:val="center"/>
              <w:rPr>
                <w:rFonts w:ascii="Arial" w:eastAsia="Arial" w:hAnsi="Arial" w:cs="Arial"/>
              </w:rPr>
            </w:pPr>
            <w:r w:rsidRPr="2F0C2401">
              <w:rPr>
                <w:rFonts w:ascii="Arial" w:eastAsia="Arial" w:hAnsi="Arial" w:cs="Arial"/>
              </w:rPr>
              <w:t>4075.13</w:t>
            </w:r>
          </w:p>
        </w:tc>
      </w:tr>
      <w:tr w:rsidR="2F0C2401" w14:paraId="7FD470C1" w14:textId="77777777" w:rsidTr="2F0C2401">
        <w:trPr>
          <w:trHeight w:val="300"/>
          <w:jc w:val="center"/>
        </w:trPr>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03780C" w14:textId="0AD0E726" w:rsidR="2F0C2401" w:rsidRDefault="2F0C2401" w:rsidP="2F0C2401">
            <w:pPr>
              <w:spacing w:after="0"/>
              <w:jc w:val="center"/>
              <w:rPr>
                <w:rFonts w:ascii="Arial" w:eastAsia="Arial" w:hAnsi="Arial" w:cs="Arial"/>
              </w:rPr>
            </w:pPr>
            <w:r w:rsidRPr="2F0C2401">
              <w:rPr>
                <w:rFonts w:ascii="Arial" w:eastAsia="Arial" w:hAnsi="Arial" w:cs="Arial"/>
              </w:rPr>
              <w:t>2023</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8E70C9" w14:textId="3745A7C2" w:rsidR="2F0C2401" w:rsidRDefault="2F0C2401" w:rsidP="2F0C2401">
            <w:pPr>
              <w:spacing w:after="0"/>
              <w:jc w:val="center"/>
              <w:rPr>
                <w:rFonts w:ascii="Arial" w:eastAsia="Arial" w:hAnsi="Arial" w:cs="Arial"/>
              </w:rPr>
            </w:pPr>
            <w:r w:rsidRPr="2F0C2401">
              <w:rPr>
                <w:rFonts w:ascii="Arial" w:eastAsia="Arial" w:hAnsi="Arial" w:cs="Arial"/>
              </w:rPr>
              <w:t>7733.24</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6C87EA" w14:textId="79536B81" w:rsidR="2F0C2401" w:rsidRDefault="2F0C2401" w:rsidP="2F0C2401">
            <w:pPr>
              <w:spacing w:after="0"/>
              <w:jc w:val="center"/>
              <w:rPr>
                <w:rFonts w:ascii="Arial" w:eastAsia="Arial" w:hAnsi="Arial" w:cs="Arial"/>
              </w:rPr>
            </w:pPr>
            <w:r w:rsidRPr="2F0C2401">
              <w:rPr>
                <w:rFonts w:ascii="Arial" w:eastAsia="Arial" w:hAnsi="Arial" w:cs="Arial"/>
              </w:rPr>
              <w:t>19689.63</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7788A5" w14:textId="07AB7E03" w:rsidR="2F0C2401" w:rsidRDefault="2F0C2401" w:rsidP="2F0C2401">
            <w:pPr>
              <w:spacing w:after="0"/>
              <w:jc w:val="center"/>
              <w:rPr>
                <w:rFonts w:ascii="Arial" w:eastAsia="Arial" w:hAnsi="Arial" w:cs="Arial"/>
              </w:rPr>
            </w:pPr>
            <w:r w:rsidRPr="2F0C2401">
              <w:rPr>
                <w:rFonts w:ascii="Arial" w:eastAsia="Arial" w:hAnsi="Arial" w:cs="Arial"/>
              </w:rPr>
              <w:t>4273.24</w:t>
            </w:r>
          </w:p>
        </w:tc>
        <w:tc>
          <w:tcPr>
            <w:tcW w:w="18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6FD960" w14:textId="5169E1CD" w:rsidR="2F0C2401" w:rsidRDefault="2F0C2401" w:rsidP="2F0C2401">
            <w:pPr>
              <w:spacing w:after="0"/>
              <w:jc w:val="center"/>
              <w:rPr>
                <w:rFonts w:ascii="Arial" w:eastAsia="Arial" w:hAnsi="Arial" w:cs="Arial"/>
              </w:rPr>
            </w:pPr>
            <w:r w:rsidRPr="2F0C2401">
              <w:rPr>
                <w:rFonts w:ascii="Arial" w:eastAsia="Arial" w:hAnsi="Arial" w:cs="Arial"/>
              </w:rPr>
              <w:t>4232.01</w:t>
            </w:r>
          </w:p>
        </w:tc>
      </w:tr>
    </w:tbl>
    <w:p w14:paraId="15D3AFAB" w14:textId="238C6EE8" w:rsidR="061192DD" w:rsidRDefault="77DAFA85" w:rsidP="2F0C2401">
      <w:pPr>
        <w:jc w:val="center"/>
        <w:rPr>
          <w:rFonts w:ascii="Arial" w:eastAsia="Arial" w:hAnsi="Arial" w:cs="Arial"/>
        </w:rPr>
      </w:pPr>
      <w:r w:rsidRPr="2F0C2401">
        <w:rPr>
          <w:rFonts w:ascii="Arial" w:eastAsia="Arial" w:hAnsi="Arial" w:cs="Arial"/>
        </w:rPr>
        <w:t>Source: (London Stock Exchange, 2024)</w:t>
      </w:r>
    </w:p>
    <w:p w14:paraId="6681054B" w14:textId="7746B042" w:rsidR="2F0C2401" w:rsidRDefault="2F0C2401" w:rsidP="2F0C2401">
      <w:pPr>
        <w:jc w:val="center"/>
        <w:rPr>
          <w:rFonts w:ascii="Arial" w:eastAsia="Arial" w:hAnsi="Arial" w:cs="Arial"/>
        </w:rPr>
      </w:pPr>
    </w:p>
    <w:p w14:paraId="409E22E1" w14:textId="4ACEAFFB" w:rsidR="77DAFA85" w:rsidRDefault="07D2972E" w:rsidP="73F31BAE">
      <w:pPr>
        <w:spacing w:line="360" w:lineRule="auto"/>
        <w:jc w:val="both"/>
        <w:rPr>
          <w:rFonts w:ascii="Arial" w:eastAsia="Arial" w:hAnsi="Arial" w:cs="Arial"/>
        </w:rPr>
      </w:pPr>
      <w:r w:rsidRPr="73F31BAE">
        <w:rPr>
          <w:rFonts w:ascii="Arial" w:eastAsia="Arial" w:hAnsi="Arial" w:cs="Arial"/>
        </w:rPr>
        <w:t xml:space="preserve">The data presented shows the price index values for the FTSE All-Share, FTSE 100, FTSE 250, and FTSE 350 indices, along with their corresponding values for each year, from 2013 to 2023. These indices' historical variations are a sign of the stock market's volatility and can be caused by </w:t>
      </w:r>
      <w:r w:rsidR="6D85ACAE" w:rsidRPr="73F31BAE">
        <w:rPr>
          <w:rFonts w:ascii="Arial" w:eastAsia="Arial" w:hAnsi="Arial" w:cs="Arial"/>
        </w:rPr>
        <w:t>several</w:t>
      </w:r>
      <w:r w:rsidRPr="73F31BAE">
        <w:rPr>
          <w:rFonts w:ascii="Arial" w:eastAsia="Arial" w:hAnsi="Arial" w:cs="Arial"/>
        </w:rPr>
        <w:t xml:space="preserve"> variables, including shifts in the composition of the index, market capitalization, and the liquidity consequences of removing companies from the index.</w:t>
      </w:r>
    </w:p>
    <w:p w14:paraId="772EB5EB" w14:textId="346B3A19" w:rsidR="32A7317A" w:rsidRDefault="32A7317A" w:rsidP="73F31BAE">
      <w:pPr>
        <w:spacing w:line="360" w:lineRule="auto"/>
        <w:jc w:val="both"/>
        <w:rPr>
          <w:rFonts w:ascii="Arial" w:eastAsia="Arial" w:hAnsi="Arial" w:cs="Arial"/>
        </w:rPr>
      </w:pPr>
    </w:p>
    <w:p w14:paraId="77A89DB8" w14:textId="39BDA86F" w:rsidR="33E59260" w:rsidRDefault="0C4BB662" w:rsidP="73F31BAE">
      <w:pPr>
        <w:spacing w:line="360" w:lineRule="auto"/>
        <w:jc w:val="both"/>
        <w:rPr>
          <w:rFonts w:ascii="Arial" w:eastAsia="Arial" w:hAnsi="Arial" w:cs="Arial"/>
        </w:rPr>
      </w:pPr>
      <w:r w:rsidRPr="73F31BAE">
        <w:rPr>
          <w:rFonts w:ascii="Arial" w:eastAsia="Arial" w:hAnsi="Arial" w:cs="Arial"/>
        </w:rPr>
        <w:t>2020 had a notable 14.3% decrease in the FTSE 100 Index, which was its poorest result since the 2008 global fiscal crisis (</w:t>
      </w:r>
      <w:proofErr w:type="spellStart"/>
      <w:r w:rsidRPr="73F31BAE">
        <w:rPr>
          <w:rFonts w:ascii="Arial" w:eastAsia="Arial" w:hAnsi="Arial" w:cs="Arial"/>
        </w:rPr>
        <w:t>Marobhe</w:t>
      </w:r>
      <w:proofErr w:type="spellEnd"/>
      <w:r w:rsidRPr="73F31BAE">
        <w:rPr>
          <w:rFonts w:ascii="Arial" w:eastAsia="Arial" w:hAnsi="Arial" w:cs="Arial"/>
        </w:rPr>
        <w:t>, 2021). Many causes could have contributed to this fall, including the COVID-19 pandemic's effects on the world economy and financial markets. Furthermore, research on the liquidity consequences of removing companies from the FTSE 100 index has shown that the index revisions have less information value because of the transparency of their market capitalization-based modifications (Aboud and Karlsen, 2019).</w:t>
      </w:r>
    </w:p>
    <w:p w14:paraId="649093A3" w14:textId="39B4538C" w:rsidR="32A7317A" w:rsidRDefault="32A7317A" w:rsidP="73F31BAE">
      <w:pPr>
        <w:spacing w:line="360" w:lineRule="auto"/>
        <w:jc w:val="both"/>
        <w:rPr>
          <w:rFonts w:ascii="Arial" w:eastAsia="Arial" w:hAnsi="Arial" w:cs="Arial"/>
        </w:rPr>
      </w:pPr>
    </w:p>
    <w:p w14:paraId="750FF4D6" w14:textId="1A2696D8" w:rsidR="28871F6E" w:rsidRDefault="253D2319" w:rsidP="73F31BAE">
      <w:pPr>
        <w:spacing w:line="360" w:lineRule="auto"/>
        <w:jc w:val="both"/>
        <w:rPr>
          <w:rFonts w:ascii="Arial" w:eastAsia="Arial" w:hAnsi="Arial" w:cs="Arial"/>
        </w:rPr>
      </w:pPr>
      <w:r w:rsidRPr="73F31BAE">
        <w:rPr>
          <w:rFonts w:ascii="Arial" w:eastAsia="Arial" w:hAnsi="Arial" w:cs="Arial"/>
        </w:rPr>
        <w:t xml:space="preserve">Additionally, the FTSE 100 index futures market's trade and quotation informativeness has been examined, emphasizing the creation of a model to explain the FTSE 100 index futures' price and </w:t>
      </w:r>
      <w:r w:rsidRPr="73F31BAE">
        <w:rPr>
          <w:rFonts w:ascii="Arial" w:eastAsia="Arial" w:hAnsi="Arial" w:cs="Arial"/>
        </w:rPr>
        <w:lastRenderedPageBreak/>
        <w:t>quote dynamics (</w:t>
      </w:r>
      <w:proofErr w:type="spellStart"/>
      <w:r w:rsidRPr="73F31BAE">
        <w:rPr>
          <w:rFonts w:ascii="Arial" w:eastAsia="Arial" w:hAnsi="Arial" w:cs="Arial"/>
        </w:rPr>
        <w:t>Frijns</w:t>
      </w:r>
      <w:proofErr w:type="spellEnd"/>
      <w:r w:rsidRPr="73F31BAE">
        <w:rPr>
          <w:rFonts w:ascii="Arial" w:eastAsia="Arial" w:hAnsi="Arial" w:cs="Arial"/>
        </w:rPr>
        <w:t xml:space="preserve"> and </w:t>
      </w:r>
      <w:proofErr w:type="spellStart"/>
      <w:r w:rsidRPr="73F31BAE">
        <w:rPr>
          <w:rFonts w:ascii="Arial" w:eastAsia="Arial" w:hAnsi="Arial" w:cs="Arial"/>
        </w:rPr>
        <w:t>Tse</w:t>
      </w:r>
      <w:proofErr w:type="spellEnd"/>
      <w:r w:rsidRPr="73F31BAE">
        <w:rPr>
          <w:rFonts w:ascii="Arial" w:eastAsia="Arial" w:hAnsi="Arial" w:cs="Arial"/>
        </w:rPr>
        <w:t>, 2014). This implies that trade and quotation informativeness affect the FTSE 100 index's dynamics, potentially affecting its total value.</w:t>
      </w:r>
    </w:p>
    <w:p w14:paraId="70CD8B1B" w14:textId="69A02C96" w:rsidR="32A7317A" w:rsidRDefault="32A7317A" w:rsidP="32A7317A">
      <w:pPr>
        <w:jc w:val="both"/>
        <w:rPr>
          <w:rFonts w:ascii="Arial" w:eastAsia="Arial" w:hAnsi="Arial" w:cs="Arial"/>
        </w:rPr>
      </w:pPr>
    </w:p>
    <w:p w14:paraId="28830CEB" w14:textId="3E5ACD9A" w:rsidR="5355DCAF" w:rsidRDefault="5355DCAF" w:rsidP="2F0C2401">
      <w:pPr>
        <w:jc w:val="center"/>
        <w:rPr>
          <w:rFonts w:ascii="Arial" w:eastAsia="Arial" w:hAnsi="Arial" w:cs="Arial"/>
        </w:rPr>
      </w:pPr>
      <w:r>
        <w:rPr>
          <w:noProof/>
        </w:rPr>
        <w:drawing>
          <wp:inline distT="0" distB="0" distL="0" distR="0" wp14:anchorId="4EB6B8E6" wp14:editId="56566432">
            <wp:extent cx="4572000" cy="2752725"/>
            <wp:effectExtent l="0" t="0" r="0" b="0"/>
            <wp:docPr id="1219561411" name="Picture 121956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1AA61F10" w14:textId="09CB6A8D" w:rsidR="0AEEEC6A" w:rsidRDefault="0AEEEC6A" w:rsidP="32A7317A">
      <w:pPr>
        <w:jc w:val="center"/>
        <w:rPr>
          <w:rFonts w:ascii="Arial" w:eastAsia="Arial" w:hAnsi="Arial" w:cs="Arial"/>
        </w:rPr>
      </w:pPr>
      <w:r w:rsidRPr="32A7317A">
        <w:rPr>
          <w:rFonts w:ascii="Arial" w:eastAsia="Arial" w:hAnsi="Arial" w:cs="Arial"/>
          <w:b/>
          <w:bCs/>
        </w:rPr>
        <w:t>Figure 2: Trends in Price Index Value of</w:t>
      </w:r>
      <w:r w:rsidR="2D7A0948" w:rsidRPr="32A7317A">
        <w:rPr>
          <w:rFonts w:ascii="Arial" w:eastAsia="Arial" w:hAnsi="Arial" w:cs="Arial"/>
          <w:b/>
          <w:bCs/>
        </w:rPr>
        <w:t xml:space="preserve"> Stocks in the United Kingdom (2013-2023)</w:t>
      </w:r>
    </w:p>
    <w:p w14:paraId="0F59E496" w14:textId="7486BE2E" w:rsidR="0234EE8F" w:rsidRDefault="0234EE8F" w:rsidP="2F0C2401">
      <w:pPr>
        <w:jc w:val="center"/>
        <w:rPr>
          <w:rFonts w:ascii="Arial" w:eastAsia="Arial" w:hAnsi="Arial" w:cs="Arial"/>
        </w:rPr>
      </w:pPr>
      <w:r w:rsidRPr="2F0C2401">
        <w:rPr>
          <w:rFonts w:ascii="Arial" w:eastAsia="Arial" w:hAnsi="Arial" w:cs="Arial"/>
        </w:rPr>
        <w:t>Source: Author’s Computation, 2024</w:t>
      </w:r>
    </w:p>
    <w:p w14:paraId="1408900F" w14:textId="26D06910" w:rsidR="2F0C2401" w:rsidRDefault="2F0C2401" w:rsidP="2F0C2401">
      <w:pPr>
        <w:jc w:val="center"/>
        <w:rPr>
          <w:rFonts w:ascii="Arial" w:eastAsia="Arial" w:hAnsi="Arial" w:cs="Arial"/>
        </w:rPr>
      </w:pPr>
    </w:p>
    <w:p w14:paraId="2073F5F6" w14:textId="15E110AB" w:rsidR="28871F6E" w:rsidRDefault="253D2319" w:rsidP="73F31BAE">
      <w:pPr>
        <w:spacing w:line="360" w:lineRule="auto"/>
        <w:jc w:val="both"/>
        <w:rPr>
          <w:rFonts w:ascii="Arial" w:eastAsia="Arial" w:hAnsi="Arial" w:cs="Arial"/>
        </w:rPr>
      </w:pPr>
      <w:r w:rsidRPr="73F31BAE">
        <w:rPr>
          <w:rFonts w:ascii="Arial" w:eastAsia="Arial" w:hAnsi="Arial" w:cs="Arial"/>
        </w:rPr>
        <w:t xml:space="preserve">Additionally, the price impact of trading because of anticipated changes in the index composition has been studied in relation to anticipatory impacts in the FTSE 100 index revisions (Fernandes and </w:t>
      </w:r>
      <w:proofErr w:type="spellStart"/>
      <w:r w:rsidRPr="73F31BAE">
        <w:rPr>
          <w:rFonts w:ascii="Arial" w:eastAsia="Arial" w:hAnsi="Arial" w:cs="Arial"/>
        </w:rPr>
        <w:t>Mergulhao</w:t>
      </w:r>
      <w:proofErr w:type="spellEnd"/>
      <w:r w:rsidRPr="73F31BAE">
        <w:rPr>
          <w:rFonts w:ascii="Arial" w:eastAsia="Arial" w:hAnsi="Arial" w:cs="Arial"/>
        </w:rPr>
        <w:t>, 2016). This suggests that expected alterations in the index's composition may affect trading and, in turn, its value.</w:t>
      </w:r>
    </w:p>
    <w:p w14:paraId="0964751A" w14:textId="3D7429A9" w:rsidR="32A7317A" w:rsidRDefault="32A7317A" w:rsidP="73F31BAE">
      <w:pPr>
        <w:spacing w:line="360" w:lineRule="auto"/>
        <w:jc w:val="both"/>
        <w:rPr>
          <w:rFonts w:ascii="Arial" w:eastAsia="Arial" w:hAnsi="Arial" w:cs="Arial"/>
        </w:rPr>
      </w:pPr>
    </w:p>
    <w:p w14:paraId="3102A1F7" w14:textId="64487016" w:rsidR="428BE9E4" w:rsidRDefault="5436D6CE" w:rsidP="73F31BAE">
      <w:pPr>
        <w:spacing w:line="360" w:lineRule="auto"/>
        <w:jc w:val="both"/>
        <w:rPr>
          <w:rFonts w:ascii="Arial" w:eastAsia="Arial" w:hAnsi="Arial" w:cs="Arial"/>
        </w:rPr>
      </w:pPr>
      <w:r w:rsidRPr="73F31BAE">
        <w:rPr>
          <w:rFonts w:ascii="Arial" w:eastAsia="Arial" w:hAnsi="Arial" w:cs="Arial"/>
        </w:rPr>
        <w:t xml:space="preserve">Furthermore, research on UK equities mutual fund alphas has demonstrated that, in addition to other factors, the excess return of the FTSE 100 index influences the performance of equity mutual funds </w:t>
      </w:r>
      <w:r w:rsidR="18C98D1F" w:rsidRPr="73F31BAE">
        <w:rPr>
          <w:rFonts w:ascii="Arial" w:eastAsia="Arial" w:hAnsi="Arial" w:cs="Arial"/>
        </w:rPr>
        <w:t xml:space="preserve">(Mateus, Mateus, and Todorović, </w:t>
      </w:r>
      <w:r w:rsidRPr="73F31BAE">
        <w:rPr>
          <w:rFonts w:ascii="Arial" w:eastAsia="Arial" w:hAnsi="Arial" w:cs="Arial"/>
        </w:rPr>
        <w:t>2016). This implies that the performance of equities mutual funds may be impacted by the FTSE 100 index's performance.</w:t>
      </w:r>
    </w:p>
    <w:p w14:paraId="167C5691" w14:textId="43BF4001" w:rsidR="32A7317A" w:rsidRDefault="32A7317A" w:rsidP="73F31BAE">
      <w:pPr>
        <w:spacing w:line="360" w:lineRule="auto"/>
        <w:jc w:val="both"/>
        <w:rPr>
          <w:rFonts w:ascii="Arial" w:eastAsia="Arial" w:hAnsi="Arial" w:cs="Arial"/>
        </w:rPr>
      </w:pPr>
    </w:p>
    <w:p w14:paraId="6BAE9FD4" w14:textId="519C45A9" w:rsidR="428BE9E4" w:rsidRDefault="5436D6CE" w:rsidP="73F31BAE">
      <w:pPr>
        <w:spacing w:line="360" w:lineRule="auto"/>
        <w:jc w:val="both"/>
        <w:rPr>
          <w:rFonts w:ascii="Arial" w:eastAsia="Arial" w:hAnsi="Arial" w:cs="Arial"/>
        </w:rPr>
      </w:pPr>
      <w:r w:rsidRPr="73F31BAE">
        <w:rPr>
          <w:rFonts w:ascii="Arial" w:eastAsia="Arial" w:hAnsi="Arial" w:cs="Arial"/>
        </w:rPr>
        <w:t>Given the circumstances, the FTSE indices' volatility reflects the intricate interactions between several variables, including market dynamics, liquidity effects, and projected changes in the composition of the index, all of which have the potential to affect the index values over time.</w:t>
      </w:r>
    </w:p>
    <w:p w14:paraId="40EB8116" w14:textId="61421FAF" w:rsidR="32A7317A" w:rsidRDefault="32A7317A" w:rsidP="73F31BAE">
      <w:pPr>
        <w:spacing w:line="360" w:lineRule="auto"/>
        <w:jc w:val="both"/>
        <w:rPr>
          <w:rFonts w:ascii="Arial" w:eastAsia="Arial" w:hAnsi="Arial" w:cs="Arial"/>
        </w:rPr>
      </w:pPr>
    </w:p>
    <w:p w14:paraId="75F6E0F9" w14:textId="7083A998" w:rsidR="65A48037" w:rsidRDefault="12CB9E0C" w:rsidP="73F31BAE">
      <w:pPr>
        <w:spacing w:line="360" w:lineRule="auto"/>
        <w:jc w:val="both"/>
        <w:rPr>
          <w:rFonts w:ascii="Arial" w:eastAsia="Arial" w:hAnsi="Arial" w:cs="Arial"/>
          <w:b/>
          <w:bCs/>
        </w:rPr>
      </w:pPr>
      <w:r w:rsidRPr="73F31BAE">
        <w:rPr>
          <w:rFonts w:ascii="Arial" w:eastAsia="Arial" w:hAnsi="Arial" w:cs="Arial"/>
          <w:b/>
          <w:bCs/>
        </w:rPr>
        <w:t xml:space="preserve">Example: </w:t>
      </w:r>
      <w:r w:rsidR="0DBC7001" w:rsidRPr="73F31BAE">
        <w:rPr>
          <w:rFonts w:ascii="Arial" w:eastAsia="Arial" w:hAnsi="Arial" w:cs="Arial"/>
          <w:b/>
          <w:bCs/>
        </w:rPr>
        <w:t xml:space="preserve">Bank rate impact on </w:t>
      </w:r>
      <w:r w:rsidR="25D88D84" w:rsidRPr="73F31BAE">
        <w:rPr>
          <w:rFonts w:ascii="Arial" w:eastAsia="Arial" w:hAnsi="Arial" w:cs="Arial"/>
          <w:b/>
          <w:bCs/>
        </w:rPr>
        <w:t>FTSE 100</w:t>
      </w:r>
    </w:p>
    <w:p w14:paraId="53D62D2A" w14:textId="6314E2B6" w:rsidR="7343232B" w:rsidRDefault="7343232B" w:rsidP="73F31BAE">
      <w:pPr>
        <w:spacing w:line="360" w:lineRule="auto"/>
        <w:rPr>
          <w:rFonts w:ascii="Arial" w:eastAsia="Arial" w:hAnsi="Arial" w:cs="Arial"/>
        </w:rPr>
      </w:pPr>
      <w:r w:rsidRPr="73F31BAE">
        <w:rPr>
          <w:rFonts w:ascii="Arial" w:eastAsia="Arial" w:hAnsi="Arial" w:cs="Arial"/>
          <w:b/>
          <w:bCs/>
        </w:rPr>
        <w:t>Linear Regression showing the relationship between the United Kingdom’s Bank rates and stock market prices (FTSE 100).</w:t>
      </w:r>
    </w:p>
    <w:p w14:paraId="4FE84CF4" w14:textId="25978045" w:rsidR="73F31BAE" w:rsidRDefault="73F31BAE" w:rsidP="73F31BAE">
      <w:pPr>
        <w:rPr>
          <w:rFonts w:ascii="Arial" w:eastAsia="Arial" w:hAnsi="Arial" w:cs="Arial"/>
          <w:color w:val="000000" w:themeColor="text1"/>
        </w:rPr>
      </w:pPr>
    </w:p>
    <w:p w14:paraId="285D4B86" w14:textId="60FB813E" w:rsidR="2F0C2401" w:rsidRDefault="56CAF548" w:rsidP="73F31BAE">
      <w:pPr>
        <w:rPr>
          <w:rFonts w:ascii="Arial" w:eastAsia="Arial" w:hAnsi="Arial" w:cs="Arial"/>
        </w:rPr>
      </w:pPr>
      <w:r w:rsidRPr="73F31BAE">
        <w:rPr>
          <w:rFonts w:ascii="Arial" w:eastAsia="Arial" w:hAnsi="Arial" w:cs="Arial"/>
          <w:color w:val="000000" w:themeColor="text1"/>
        </w:rPr>
        <w:t>Linear Regression Equation</w:t>
      </w:r>
    </w:p>
    <w:p w14:paraId="0B1EC417" w14:textId="343D9463" w:rsidR="32A7317A" w:rsidRDefault="32A7317A" w:rsidP="73F31BAE">
      <w:pPr>
        <w:spacing w:before="57" w:after="0"/>
        <w:ind w:left="-20" w:right="1018"/>
        <w:jc w:val="center"/>
        <w:rPr>
          <w:rFonts w:ascii="Arial" w:eastAsia="Arial" w:hAnsi="Arial" w:cs="Arial"/>
          <w:i/>
          <w:iCs/>
        </w:rPr>
      </w:pPr>
      <m:oMathPara>
        <m:oMath>
          <m:r>
            <w:rPr>
              <w:rFonts w:ascii="Cambria Math" w:hAnsi="Cambria Math"/>
            </w:rPr>
            <m:t>γ=7142-24.49⋅χ </m:t>
          </m:r>
        </m:oMath>
      </m:oMathPara>
    </w:p>
    <w:p w14:paraId="11E66429" w14:textId="73DCC235" w:rsidR="73F31BAE" w:rsidRDefault="73F31BAE" w:rsidP="73F31BAE">
      <w:pPr>
        <w:tabs>
          <w:tab w:val="left" w:pos="1252"/>
        </w:tabs>
        <w:spacing w:before="105" w:after="0"/>
        <w:ind w:left="203" w:right="-20"/>
        <w:rPr>
          <w:rFonts w:ascii="Arial" w:eastAsia="Arial" w:hAnsi="Arial" w:cs="Arial"/>
          <w:b/>
          <w:bCs/>
        </w:rPr>
      </w:pPr>
    </w:p>
    <w:p w14:paraId="78854D71" w14:textId="1A147192" w:rsidR="73F31BAE" w:rsidRDefault="73F31BAE" w:rsidP="73F31BAE">
      <w:pPr>
        <w:tabs>
          <w:tab w:val="left" w:pos="1252"/>
        </w:tabs>
        <w:spacing w:before="105" w:after="0"/>
        <w:ind w:left="203" w:right="-20"/>
        <w:rPr>
          <w:rFonts w:ascii="Arial" w:eastAsia="Arial" w:hAnsi="Arial" w:cs="Arial"/>
          <w:b/>
          <w:bCs/>
        </w:rPr>
      </w:pPr>
    </w:p>
    <w:p w14:paraId="058635F9" w14:textId="294EC59A" w:rsidR="13DE43E3" w:rsidRDefault="2EFB3B3D" w:rsidP="73F31BAE">
      <w:pPr>
        <w:tabs>
          <w:tab w:val="left" w:pos="1252"/>
        </w:tabs>
        <w:spacing w:before="105" w:after="0"/>
        <w:ind w:left="203" w:right="-20"/>
        <w:rPr>
          <w:rFonts w:ascii="Arial" w:eastAsia="Arial" w:hAnsi="Arial" w:cs="Arial"/>
        </w:rPr>
      </w:pPr>
      <w:r w:rsidRPr="73F31BAE">
        <w:rPr>
          <w:rFonts w:ascii="Arial" w:eastAsia="Arial" w:hAnsi="Arial" w:cs="Arial"/>
          <w:b/>
          <w:bCs/>
        </w:rPr>
        <w:t>Step 1:</w:t>
      </w:r>
      <w:r w:rsidR="2ECEBD06" w:rsidRPr="73F31BAE">
        <w:rPr>
          <w:rFonts w:ascii="Arial" w:eastAsia="Arial" w:hAnsi="Arial" w:cs="Arial"/>
          <w:b/>
          <w:bCs/>
        </w:rPr>
        <w:t xml:space="preserve"> </w:t>
      </w:r>
      <w:r w:rsidRPr="73F31BAE">
        <w:rPr>
          <w:rFonts w:ascii="Arial" w:eastAsia="Arial" w:hAnsi="Arial" w:cs="Arial"/>
        </w:rPr>
        <w:t xml:space="preserve">Find </w:t>
      </w:r>
      <w:r w:rsidRPr="73F31BAE">
        <w:rPr>
          <w:rFonts w:ascii="Arial" w:eastAsia="Arial" w:hAnsi="Arial" w:cs="Arial"/>
          <w:i/>
          <w:iCs/>
        </w:rPr>
        <w:t xml:space="preserve">X · Y </w:t>
      </w:r>
      <w:r w:rsidRPr="73F31BAE">
        <w:rPr>
          <w:rFonts w:ascii="Arial" w:eastAsia="Arial" w:hAnsi="Arial" w:cs="Arial"/>
        </w:rPr>
        <w:t xml:space="preserve">and </w:t>
      </w:r>
      <w:r w:rsidRPr="73F31BAE">
        <w:rPr>
          <w:rFonts w:ascii="Arial" w:eastAsia="Arial" w:hAnsi="Arial" w:cs="Arial"/>
          <w:i/>
          <w:iCs/>
        </w:rPr>
        <w:t>X</w:t>
      </w:r>
      <w:r w:rsidRPr="73F31BAE">
        <w:rPr>
          <w:rFonts w:ascii="Arial" w:eastAsia="Arial" w:hAnsi="Arial" w:cs="Arial"/>
          <w:vertAlign w:val="superscript"/>
        </w:rPr>
        <w:t>2</w:t>
      </w:r>
      <w:r w:rsidRPr="73F31BAE">
        <w:rPr>
          <w:rFonts w:ascii="Arial" w:eastAsia="Arial" w:hAnsi="Arial" w:cs="Arial"/>
        </w:rPr>
        <w:t xml:space="preserve"> as it was done in the table below.</w:t>
      </w:r>
    </w:p>
    <w:p w14:paraId="2BB2DF87" w14:textId="3FE73999" w:rsidR="13DE43E3" w:rsidRDefault="2EFB3B3D" w:rsidP="73F31BAE">
      <w:pPr>
        <w:spacing w:after="0"/>
        <w:ind w:left="-20" w:right="-20"/>
        <w:rPr>
          <w:rFonts w:ascii="Arial" w:eastAsia="Arial" w:hAnsi="Arial" w:cs="Arial"/>
        </w:rPr>
      </w:pPr>
      <w:r w:rsidRPr="73F31BAE">
        <w:rPr>
          <w:rFonts w:ascii="Arial" w:eastAsia="Arial" w:hAnsi="Arial" w:cs="Arial"/>
        </w:rPr>
        <w:t xml:space="preserve"> </w:t>
      </w:r>
    </w:p>
    <w:tbl>
      <w:tblPr>
        <w:tblW w:w="5468" w:type="dxa"/>
        <w:jc w:val="center"/>
        <w:tblLayout w:type="fixed"/>
        <w:tblLook w:val="01E0" w:firstRow="1" w:lastRow="1" w:firstColumn="1" w:lastColumn="1" w:noHBand="0" w:noVBand="0"/>
      </w:tblPr>
      <w:tblGrid>
        <w:gridCol w:w="1260"/>
        <w:gridCol w:w="1288"/>
        <w:gridCol w:w="1570"/>
        <w:gridCol w:w="1350"/>
      </w:tblGrid>
      <w:tr w:rsidR="32A7317A" w14:paraId="591B4D36" w14:textId="77777777" w:rsidTr="73F31BAE">
        <w:trPr>
          <w:trHeight w:val="390"/>
          <w:jc w:val="center"/>
        </w:trPr>
        <w:tc>
          <w:tcPr>
            <w:tcW w:w="12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2723742" w14:textId="54752AEF" w:rsidR="32A7317A" w:rsidRDefault="32A7317A" w:rsidP="73F31BAE">
            <w:pPr>
              <w:spacing w:before="49" w:after="0"/>
              <w:ind w:left="-20" w:right="8"/>
              <w:jc w:val="center"/>
              <w:rPr>
                <w:rFonts w:ascii="Arial" w:eastAsia="Arial" w:hAnsi="Arial" w:cs="Arial"/>
                <w:i/>
                <w:iCs/>
              </w:rPr>
            </w:pPr>
            <m:oMathPara>
              <m:oMath>
                <m:r>
                  <m:rPr>
                    <m:sty m:val="p"/>
                  </m:rPr>
                  <w:rPr>
                    <w:rFonts w:ascii="Cambria Math" w:hAnsi="Cambria Math"/>
                  </w:rPr>
                  <m:t>Χ</m:t>
                </m:r>
                <m:r>
                  <w:rPr>
                    <w:rFonts w:ascii="Cambria Math" w:hAnsi="Cambria Math"/>
                  </w:rPr>
                  <m:t> </m:t>
                </m:r>
              </m:oMath>
            </m:oMathPara>
          </w:p>
        </w:tc>
        <w:tc>
          <w:tcPr>
            <w:tcW w:w="12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15C6B35" w14:textId="6B8BA549" w:rsidR="32A7317A" w:rsidRDefault="32A7317A" w:rsidP="73F31BAE">
            <w:pPr>
              <w:spacing w:before="49" w:after="0"/>
              <w:ind w:left="-20" w:right="40"/>
              <w:jc w:val="center"/>
              <w:rPr>
                <w:rFonts w:ascii="Arial" w:eastAsia="Arial" w:hAnsi="Arial" w:cs="Arial"/>
                <w:i/>
                <w:iCs/>
              </w:rPr>
            </w:pPr>
            <m:oMathPara>
              <m:oMath>
                <m:r>
                  <m:rPr>
                    <m:sty m:val="p"/>
                  </m:rPr>
                  <w:rPr>
                    <w:rFonts w:ascii="Cambria Math" w:hAnsi="Cambria Math"/>
                  </w:rPr>
                  <m:t>Υ</m:t>
                </m:r>
                <m:r>
                  <w:rPr>
                    <w:rFonts w:ascii="Cambria Math" w:hAnsi="Cambria Math"/>
                  </w:rPr>
                  <m:t> </m:t>
                </m:r>
              </m:oMath>
            </m:oMathPara>
          </w:p>
        </w:tc>
        <w:tc>
          <w:tcPr>
            <w:tcW w:w="15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588942" w14:textId="0B7A20B9" w:rsidR="32A7317A" w:rsidRDefault="32A7317A" w:rsidP="73F31BAE">
            <w:pPr>
              <w:spacing w:before="49" w:after="0"/>
              <w:ind w:left="34" w:right="73"/>
              <w:jc w:val="center"/>
              <w:rPr>
                <w:rFonts w:ascii="Arial" w:eastAsia="Arial" w:hAnsi="Arial" w:cs="Arial"/>
                <w:i/>
                <w:iCs/>
              </w:rPr>
            </w:pPr>
            <m:oMathPara>
              <m:oMath>
                <m:r>
                  <m:rPr>
                    <m:sty m:val="p"/>
                  </m:rPr>
                  <w:rPr>
                    <w:rFonts w:ascii="Cambria Math" w:hAnsi="Cambria Math"/>
                  </w:rPr>
                  <m:t>Χ</m:t>
                </m:r>
                <m:r>
                  <w:rPr>
                    <w:rFonts w:ascii="Cambria Math" w:hAnsi="Cambria Math"/>
                  </w:rPr>
                  <m:t>⋅</m:t>
                </m:r>
                <m:r>
                  <m:rPr>
                    <m:sty m:val="p"/>
                  </m:rPr>
                  <w:rPr>
                    <w:rFonts w:ascii="Cambria Math" w:hAnsi="Cambria Math"/>
                  </w:rPr>
                  <m:t>Υ</m:t>
                </m:r>
                <m:r>
                  <w:rPr>
                    <w:rFonts w:ascii="Cambria Math" w:hAnsi="Cambria Math"/>
                  </w:rPr>
                  <m:t> </m:t>
                </m:r>
              </m:oMath>
            </m:oMathPara>
          </w:p>
        </w:tc>
        <w:tc>
          <w:tcPr>
            <w:tcW w:w="135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B0277A" w14:textId="2C87C696" w:rsidR="32A7317A" w:rsidRDefault="00000000" w:rsidP="73F31BAE">
            <w:pPr>
              <w:spacing w:before="49" w:after="0"/>
              <w:ind w:left="-20" w:right="209"/>
              <w:jc w:val="right"/>
              <w:rPr>
                <w:rFonts w:ascii="Arial" w:eastAsia="Arial" w:hAnsi="Arial" w:cs="Arial"/>
                <w:i/>
                <w:iCs/>
              </w:rPr>
            </w:pPr>
            <m:oMathPara>
              <m:oMath>
                <m:sSup>
                  <m:sSupPr>
                    <m:ctrlPr>
                      <w:rPr>
                        <w:rFonts w:ascii="Cambria Math" w:hAnsi="Cambria Math"/>
                      </w:rPr>
                    </m:ctrlPr>
                  </m:sSupPr>
                  <m:e>
                    <m:r>
                      <m:rPr>
                        <m:sty m:val="p"/>
                      </m:rPr>
                      <w:rPr>
                        <w:rFonts w:ascii="Cambria Math" w:hAnsi="Cambria Math"/>
                      </w:rPr>
                      <m:t>Χ</m:t>
                    </m:r>
                  </m:e>
                  <m:sup>
                    <m:r>
                      <w:rPr>
                        <w:rFonts w:ascii="Cambria Math" w:hAnsi="Cambria Math"/>
                      </w:rPr>
                      <m:t>2</m:t>
                    </m:r>
                  </m:sup>
                </m:sSup>
              </m:oMath>
            </m:oMathPara>
          </w:p>
        </w:tc>
      </w:tr>
      <w:tr w:rsidR="32A7317A" w14:paraId="2705A808" w14:textId="77777777" w:rsidTr="73F31BAE">
        <w:trPr>
          <w:trHeight w:val="390"/>
          <w:jc w:val="center"/>
        </w:trPr>
        <w:tc>
          <w:tcPr>
            <w:tcW w:w="12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736ADB" w14:textId="3341AB7D" w:rsidR="32A7317A" w:rsidRDefault="221B6EAB" w:rsidP="73F31BAE">
            <w:pPr>
              <w:spacing w:before="49" w:after="0"/>
              <w:ind w:left="89" w:right="81"/>
              <w:jc w:val="center"/>
              <w:rPr>
                <w:rFonts w:ascii="Arial" w:eastAsia="Arial" w:hAnsi="Arial" w:cs="Arial"/>
              </w:rPr>
            </w:pPr>
            <w:r w:rsidRPr="73F31BAE">
              <w:rPr>
                <w:rFonts w:ascii="Arial" w:eastAsia="Arial" w:hAnsi="Arial" w:cs="Arial"/>
              </w:rPr>
              <w:t>5.0000</w:t>
            </w:r>
          </w:p>
        </w:tc>
        <w:tc>
          <w:tcPr>
            <w:tcW w:w="12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471683" w14:textId="4EA08B03" w:rsidR="32A7317A" w:rsidRDefault="221B6EAB" w:rsidP="73F31BAE">
            <w:pPr>
              <w:spacing w:before="49" w:after="0"/>
              <w:ind w:left="87" w:right="78"/>
              <w:jc w:val="center"/>
              <w:rPr>
                <w:rFonts w:ascii="Arial" w:eastAsia="Arial" w:hAnsi="Arial" w:cs="Arial"/>
              </w:rPr>
            </w:pPr>
            <w:r w:rsidRPr="73F31BAE">
              <w:rPr>
                <w:rFonts w:ascii="Arial" w:eastAsia="Arial" w:hAnsi="Arial" w:cs="Arial"/>
              </w:rPr>
              <w:t>6749.09</w:t>
            </w:r>
          </w:p>
        </w:tc>
        <w:tc>
          <w:tcPr>
            <w:tcW w:w="15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3A4E5E6" w14:textId="517BA9D5" w:rsidR="32A7317A" w:rsidRDefault="221B6EAB" w:rsidP="73F31BAE">
            <w:pPr>
              <w:spacing w:before="49" w:after="0"/>
              <w:ind w:left="83" w:right="73"/>
              <w:jc w:val="center"/>
              <w:rPr>
                <w:rFonts w:ascii="Arial" w:eastAsia="Arial" w:hAnsi="Arial" w:cs="Arial"/>
              </w:rPr>
            </w:pPr>
            <w:r w:rsidRPr="73F31BAE">
              <w:rPr>
                <w:rFonts w:ascii="Arial" w:eastAsia="Arial" w:hAnsi="Arial" w:cs="Arial"/>
              </w:rPr>
              <w:t>33745.45</w:t>
            </w:r>
          </w:p>
        </w:tc>
        <w:tc>
          <w:tcPr>
            <w:tcW w:w="135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E80147B" w14:textId="6FBF954B" w:rsidR="32A7317A" w:rsidRDefault="221B6EAB" w:rsidP="73F31BAE">
            <w:pPr>
              <w:spacing w:before="49" w:after="0"/>
              <w:ind w:left="87" w:right="76"/>
              <w:jc w:val="center"/>
              <w:rPr>
                <w:rFonts w:ascii="Arial" w:eastAsia="Arial" w:hAnsi="Arial" w:cs="Arial"/>
              </w:rPr>
            </w:pPr>
            <w:r w:rsidRPr="73F31BAE">
              <w:rPr>
                <w:rFonts w:ascii="Arial" w:eastAsia="Arial" w:hAnsi="Arial" w:cs="Arial"/>
              </w:rPr>
              <w:t>25</w:t>
            </w:r>
          </w:p>
        </w:tc>
      </w:tr>
      <w:tr w:rsidR="32A7317A" w14:paraId="7C67E004" w14:textId="77777777" w:rsidTr="73F31BAE">
        <w:trPr>
          <w:trHeight w:val="390"/>
          <w:jc w:val="center"/>
        </w:trPr>
        <w:tc>
          <w:tcPr>
            <w:tcW w:w="12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6B9C46" w14:textId="3D677AD9" w:rsidR="32A7317A" w:rsidRDefault="221B6EAB" w:rsidP="73F31BAE">
            <w:pPr>
              <w:spacing w:before="49" w:after="0"/>
              <w:ind w:left="89" w:right="81"/>
              <w:jc w:val="center"/>
              <w:rPr>
                <w:rFonts w:ascii="Arial" w:eastAsia="Arial" w:hAnsi="Arial" w:cs="Arial"/>
              </w:rPr>
            </w:pPr>
            <w:r w:rsidRPr="73F31BAE">
              <w:rPr>
                <w:rFonts w:ascii="Arial" w:eastAsia="Arial" w:hAnsi="Arial" w:cs="Arial"/>
              </w:rPr>
              <w:t>5.5000</w:t>
            </w:r>
          </w:p>
        </w:tc>
        <w:tc>
          <w:tcPr>
            <w:tcW w:w="12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89DC44" w14:textId="0713F360" w:rsidR="32A7317A" w:rsidRDefault="221B6EAB" w:rsidP="73F31BAE">
            <w:pPr>
              <w:spacing w:before="49" w:after="0"/>
              <w:ind w:left="87" w:right="78"/>
              <w:jc w:val="center"/>
              <w:rPr>
                <w:rFonts w:ascii="Arial" w:eastAsia="Arial" w:hAnsi="Arial" w:cs="Arial"/>
              </w:rPr>
            </w:pPr>
            <w:r w:rsidRPr="73F31BAE">
              <w:rPr>
                <w:rFonts w:ascii="Arial" w:eastAsia="Arial" w:hAnsi="Arial" w:cs="Arial"/>
              </w:rPr>
              <w:t>6566.09</w:t>
            </w:r>
          </w:p>
        </w:tc>
        <w:tc>
          <w:tcPr>
            <w:tcW w:w="15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C8F497" w14:textId="7687E120" w:rsidR="32A7317A" w:rsidRDefault="221B6EAB" w:rsidP="73F31BAE">
            <w:pPr>
              <w:spacing w:before="49" w:after="0"/>
              <w:ind w:left="83" w:right="73"/>
              <w:jc w:val="center"/>
              <w:rPr>
                <w:rFonts w:ascii="Arial" w:eastAsia="Arial" w:hAnsi="Arial" w:cs="Arial"/>
              </w:rPr>
            </w:pPr>
            <w:r w:rsidRPr="73F31BAE">
              <w:rPr>
                <w:rFonts w:ascii="Arial" w:eastAsia="Arial" w:hAnsi="Arial" w:cs="Arial"/>
              </w:rPr>
              <w:t>36113.495</w:t>
            </w:r>
          </w:p>
        </w:tc>
        <w:tc>
          <w:tcPr>
            <w:tcW w:w="135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C80732" w14:textId="3B8E892F" w:rsidR="32A7317A" w:rsidRDefault="221B6EAB" w:rsidP="73F31BAE">
            <w:pPr>
              <w:spacing w:before="49" w:after="0"/>
              <w:ind w:left="237" w:right="-20"/>
              <w:rPr>
                <w:rFonts w:ascii="Arial" w:eastAsia="Arial" w:hAnsi="Arial" w:cs="Arial"/>
              </w:rPr>
            </w:pPr>
            <w:r w:rsidRPr="73F31BAE">
              <w:rPr>
                <w:rFonts w:ascii="Arial" w:eastAsia="Arial" w:hAnsi="Arial" w:cs="Arial"/>
              </w:rPr>
              <w:t>30.25</w:t>
            </w:r>
          </w:p>
        </w:tc>
      </w:tr>
      <w:tr w:rsidR="32A7317A" w14:paraId="2D4677EC" w14:textId="77777777" w:rsidTr="73F31BAE">
        <w:trPr>
          <w:trHeight w:val="390"/>
          <w:jc w:val="center"/>
        </w:trPr>
        <w:tc>
          <w:tcPr>
            <w:tcW w:w="12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5EAB2B" w14:textId="15402D13" w:rsidR="32A7317A" w:rsidRDefault="221B6EAB" w:rsidP="73F31BAE">
            <w:pPr>
              <w:spacing w:before="49" w:after="0"/>
              <w:ind w:left="89" w:right="81"/>
              <w:jc w:val="center"/>
              <w:rPr>
                <w:rFonts w:ascii="Arial" w:eastAsia="Arial" w:hAnsi="Arial" w:cs="Arial"/>
              </w:rPr>
            </w:pPr>
            <w:r w:rsidRPr="73F31BAE">
              <w:rPr>
                <w:rFonts w:ascii="Arial" w:eastAsia="Arial" w:hAnsi="Arial" w:cs="Arial"/>
              </w:rPr>
              <w:t>2.0000</w:t>
            </w:r>
          </w:p>
        </w:tc>
        <w:tc>
          <w:tcPr>
            <w:tcW w:w="12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5C9B9A" w14:textId="2293BF85" w:rsidR="32A7317A" w:rsidRDefault="221B6EAB" w:rsidP="73F31BAE">
            <w:pPr>
              <w:spacing w:before="49" w:after="0"/>
              <w:ind w:left="87" w:right="78"/>
              <w:jc w:val="center"/>
              <w:rPr>
                <w:rFonts w:ascii="Arial" w:eastAsia="Arial" w:hAnsi="Arial" w:cs="Arial"/>
              </w:rPr>
            </w:pPr>
            <w:r w:rsidRPr="73F31BAE">
              <w:rPr>
                <w:rFonts w:ascii="Arial" w:eastAsia="Arial" w:hAnsi="Arial" w:cs="Arial"/>
              </w:rPr>
              <w:t>6242.34</w:t>
            </w:r>
          </w:p>
        </w:tc>
        <w:tc>
          <w:tcPr>
            <w:tcW w:w="15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67A588" w14:textId="7BC86DF8" w:rsidR="32A7317A" w:rsidRDefault="221B6EAB" w:rsidP="73F31BAE">
            <w:pPr>
              <w:spacing w:before="49" w:after="0"/>
              <w:ind w:left="83" w:right="73"/>
              <w:jc w:val="center"/>
              <w:rPr>
                <w:rFonts w:ascii="Arial" w:eastAsia="Arial" w:hAnsi="Arial" w:cs="Arial"/>
              </w:rPr>
            </w:pPr>
            <w:r w:rsidRPr="73F31BAE">
              <w:rPr>
                <w:rFonts w:ascii="Arial" w:eastAsia="Arial" w:hAnsi="Arial" w:cs="Arial"/>
              </w:rPr>
              <w:t>12484.68</w:t>
            </w:r>
          </w:p>
        </w:tc>
        <w:tc>
          <w:tcPr>
            <w:tcW w:w="135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857103" w14:textId="38B1DCEA" w:rsidR="32A7317A" w:rsidRDefault="221B6EAB" w:rsidP="73F31BAE">
            <w:pPr>
              <w:spacing w:before="49" w:after="0"/>
              <w:ind w:left="11" w:right="-20"/>
              <w:jc w:val="center"/>
              <w:rPr>
                <w:rFonts w:ascii="Arial" w:eastAsia="Arial" w:hAnsi="Arial" w:cs="Arial"/>
              </w:rPr>
            </w:pPr>
            <w:r w:rsidRPr="73F31BAE">
              <w:rPr>
                <w:rFonts w:ascii="Arial" w:eastAsia="Arial" w:hAnsi="Arial" w:cs="Arial"/>
              </w:rPr>
              <w:t>4</w:t>
            </w:r>
          </w:p>
        </w:tc>
      </w:tr>
      <w:tr w:rsidR="32A7317A" w14:paraId="49DE0532" w14:textId="77777777" w:rsidTr="73F31BAE">
        <w:trPr>
          <w:trHeight w:val="390"/>
          <w:jc w:val="center"/>
        </w:trPr>
        <w:tc>
          <w:tcPr>
            <w:tcW w:w="12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948A56" w14:textId="154EF763" w:rsidR="32A7317A" w:rsidRDefault="221B6EAB" w:rsidP="73F31BAE">
            <w:pPr>
              <w:spacing w:before="49" w:after="0"/>
              <w:ind w:left="89" w:right="81"/>
              <w:jc w:val="center"/>
              <w:rPr>
                <w:rFonts w:ascii="Arial" w:eastAsia="Arial" w:hAnsi="Arial" w:cs="Arial"/>
              </w:rPr>
            </w:pPr>
            <w:r w:rsidRPr="73F31BAE">
              <w:rPr>
                <w:rFonts w:ascii="Arial" w:eastAsia="Arial" w:hAnsi="Arial" w:cs="Arial"/>
              </w:rPr>
              <w:t>0.5000</w:t>
            </w:r>
          </w:p>
        </w:tc>
        <w:tc>
          <w:tcPr>
            <w:tcW w:w="12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DE04430" w14:textId="532DC029" w:rsidR="32A7317A" w:rsidRDefault="221B6EAB" w:rsidP="73F31BAE">
            <w:pPr>
              <w:spacing w:before="49" w:after="0"/>
              <w:ind w:left="87" w:right="78"/>
              <w:jc w:val="center"/>
              <w:rPr>
                <w:rFonts w:ascii="Arial" w:eastAsia="Arial" w:hAnsi="Arial" w:cs="Arial"/>
              </w:rPr>
            </w:pPr>
            <w:r w:rsidRPr="73F31BAE">
              <w:rPr>
                <w:rFonts w:ascii="Arial" w:eastAsia="Arial" w:hAnsi="Arial" w:cs="Arial"/>
              </w:rPr>
              <w:t>7142.83</w:t>
            </w:r>
          </w:p>
        </w:tc>
        <w:tc>
          <w:tcPr>
            <w:tcW w:w="15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61FE4EF" w14:textId="57F994E6" w:rsidR="32A7317A" w:rsidRDefault="221B6EAB" w:rsidP="73F31BAE">
            <w:pPr>
              <w:spacing w:before="49" w:after="0"/>
              <w:ind w:left="83" w:right="73"/>
              <w:jc w:val="center"/>
              <w:rPr>
                <w:rFonts w:ascii="Arial" w:eastAsia="Arial" w:hAnsi="Arial" w:cs="Arial"/>
              </w:rPr>
            </w:pPr>
            <w:r w:rsidRPr="73F31BAE">
              <w:rPr>
                <w:rFonts w:ascii="Arial" w:eastAsia="Arial" w:hAnsi="Arial" w:cs="Arial"/>
              </w:rPr>
              <w:t>3571.415</w:t>
            </w:r>
          </w:p>
        </w:tc>
        <w:tc>
          <w:tcPr>
            <w:tcW w:w="135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45AA6F2" w14:textId="064F2D95" w:rsidR="32A7317A" w:rsidRDefault="221B6EAB" w:rsidP="73F31BAE">
            <w:pPr>
              <w:spacing w:before="49" w:after="0"/>
              <w:ind w:left="295" w:right="-20"/>
              <w:rPr>
                <w:rFonts w:ascii="Arial" w:eastAsia="Arial" w:hAnsi="Arial" w:cs="Arial"/>
              </w:rPr>
            </w:pPr>
            <w:r w:rsidRPr="73F31BAE">
              <w:rPr>
                <w:rFonts w:ascii="Arial" w:eastAsia="Arial" w:hAnsi="Arial" w:cs="Arial"/>
              </w:rPr>
              <w:t>0.25</w:t>
            </w:r>
          </w:p>
        </w:tc>
      </w:tr>
      <w:tr w:rsidR="32A7317A" w14:paraId="0BE248DF" w14:textId="77777777" w:rsidTr="73F31BAE">
        <w:trPr>
          <w:trHeight w:val="390"/>
          <w:jc w:val="center"/>
        </w:trPr>
        <w:tc>
          <w:tcPr>
            <w:tcW w:w="12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8E0B74" w14:textId="5554EBC6" w:rsidR="32A7317A" w:rsidRDefault="221B6EAB" w:rsidP="73F31BAE">
            <w:pPr>
              <w:spacing w:before="49" w:after="0"/>
              <w:ind w:left="89" w:right="81"/>
              <w:jc w:val="center"/>
              <w:rPr>
                <w:rFonts w:ascii="Arial" w:eastAsia="Arial" w:hAnsi="Arial" w:cs="Arial"/>
              </w:rPr>
            </w:pPr>
            <w:r w:rsidRPr="73F31BAE">
              <w:rPr>
                <w:rFonts w:ascii="Arial" w:eastAsia="Arial" w:hAnsi="Arial" w:cs="Arial"/>
              </w:rPr>
              <w:t>0.2500</w:t>
            </w:r>
          </w:p>
        </w:tc>
        <w:tc>
          <w:tcPr>
            <w:tcW w:w="12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D05036" w14:textId="47BBC100" w:rsidR="32A7317A" w:rsidRDefault="221B6EAB" w:rsidP="73F31BAE">
            <w:pPr>
              <w:spacing w:before="49" w:after="0"/>
              <w:ind w:left="87" w:right="78"/>
              <w:jc w:val="center"/>
              <w:rPr>
                <w:rFonts w:ascii="Arial" w:eastAsia="Arial" w:hAnsi="Arial" w:cs="Arial"/>
              </w:rPr>
            </w:pPr>
            <w:r w:rsidRPr="73F31BAE">
              <w:rPr>
                <w:rFonts w:ascii="Arial" w:eastAsia="Arial" w:hAnsi="Arial" w:cs="Arial"/>
              </w:rPr>
              <w:t>7687.77</w:t>
            </w:r>
          </w:p>
        </w:tc>
        <w:tc>
          <w:tcPr>
            <w:tcW w:w="15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8FB7C7B" w14:textId="6922DA3C" w:rsidR="32A7317A" w:rsidRDefault="221B6EAB" w:rsidP="73F31BAE">
            <w:pPr>
              <w:spacing w:before="49" w:after="0"/>
              <w:ind w:left="83" w:right="73"/>
              <w:jc w:val="center"/>
              <w:rPr>
                <w:rFonts w:ascii="Arial" w:eastAsia="Arial" w:hAnsi="Arial" w:cs="Arial"/>
              </w:rPr>
            </w:pPr>
            <w:r w:rsidRPr="73F31BAE">
              <w:rPr>
                <w:rFonts w:ascii="Arial" w:eastAsia="Arial" w:hAnsi="Arial" w:cs="Arial"/>
              </w:rPr>
              <w:t>1921.9425</w:t>
            </w:r>
          </w:p>
        </w:tc>
        <w:tc>
          <w:tcPr>
            <w:tcW w:w="135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1F8B05" w14:textId="451626DC" w:rsidR="32A7317A" w:rsidRDefault="221B6EAB" w:rsidP="73F31BAE">
            <w:pPr>
              <w:spacing w:before="49" w:after="0"/>
              <w:ind w:left="-20" w:right="165"/>
              <w:jc w:val="right"/>
              <w:rPr>
                <w:rFonts w:ascii="Arial" w:eastAsia="Arial" w:hAnsi="Arial" w:cs="Arial"/>
              </w:rPr>
            </w:pPr>
            <w:r w:rsidRPr="73F31BAE">
              <w:rPr>
                <w:rFonts w:ascii="Arial" w:eastAsia="Arial" w:hAnsi="Arial" w:cs="Arial"/>
              </w:rPr>
              <w:t>0.0625</w:t>
            </w:r>
          </w:p>
        </w:tc>
      </w:tr>
      <w:tr w:rsidR="32A7317A" w14:paraId="416FCB07" w14:textId="77777777" w:rsidTr="73F31BAE">
        <w:trPr>
          <w:trHeight w:val="390"/>
          <w:jc w:val="center"/>
        </w:trPr>
        <w:tc>
          <w:tcPr>
            <w:tcW w:w="12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4209B4" w14:textId="6C858730" w:rsidR="32A7317A" w:rsidRDefault="221B6EAB" w:rsidP="73F31BAE">
            <w:pPr>
              <w:spacing w:before="49" w:after="0"/>
              <w:ind w:left="89" w:right="81"/>
              <w:jc w:val="center"/>
              <w:rPr>
                <w:rFonts w:ascii="Arial" w:eastAsia="Arial" w:hAnsi="Arial" w:cs="Arial"/>
              </w:rPr>
            </w:pPr>
            <w:r w:rsidRPr="73F31BAE">
              <w:rPr>
                <w:rFonts w:ascii="Arial" w:eastAsia="Arial" w:hAnsi="Arial" w:cs="Arial"/>
              </w:rPr>
              <w:t>0.5000</w:t>
            </w:r>
          </w:p>
        </w:tc>
        <w:tc>
          <w:tcPr>
            <w:tcW w:w="12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5A0537" w14:textId="04715BD3" w:rsidR="32A7317A" w:rsidRDefault="221B6EAB" w:rsidP="73F31BAE">
            <w:pPr>
              <w:spacing w:before="49" w:after="0"/>
              <w:ind w:left="87" w:right="78"/>
              <w:jc w:val="center"/>
              <w:rPr>
                <w:rFonts w:ascii="Arial" w:eastAsia="Arial" w:hAnsi="Arial" w:cs="Arial"/>
              </w:rPr>
            </w:pPr>
            <w:r w:rsidRPr="73F31BAE">
              <w:rPr>
                <w:rFonts w:ascii="Arial" w:eastAsia="Arial" w:hAnsi="Arial" w:cs="Arial"/>
              </w:rPr>
              <w:t>6728.13</w:t>
            </w:r>
          </w:p>
        </w:tc>
        <w:tc>
          <w:tcPr>
            <w:tcW w:w="15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986D7C" w14:textId="389C5ECC" w:rsidR="32A7317A" w:rsidRDefault="221B6EAB" w:rsidP="73F31BAE">
            <w:pPr>
              <w:spacing w:before="49" w:after="0"/>
              <w:ind w:left="83" w:right="73"/>
              <w:jc w:val="center"/>
              <w:rPr>
                <w:rFonts w:ascii="Arial" w:eastAsia="Arial" w:hAnsi="Arial" w:cs="Arial"/>
              </w:rPr>
            </w:pPr>
            <w:r w:rsidRPr="73F31BAE">
              <w:rPr>
                <w:rFonts w:ascii="Arial" w:eastAsia="Arial" w:hAnsi="Arial" w:cs="Arial"/>
              </w:rPr>
              <w:t>3364.065</w:t>
            </w:r>
          </w:p>
        </w:tc>
        <w:tc>
          <w:tcPr>
            <w:tcW w:w="135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EA1FE0" w14:textId="7F2D37AF" w:rsidR="32A7317A" w:rsidRDefault="221B6EAB" w:rsidP="73F31BAE">
            <w:pPr>
              <w:spacing w:before="49" w:after="0"/>
              <w:ind w:left="295" w:right="-20"/>
              <w:rPr>
                <w:rFonts w:ascii="Arial" w:eastAsia="Arial" w:hAnsi="Arial" w:cs="Arial"/>
              </w:rPr>
            </w:pPr>
            <w:r w:rsidRPr="73F31BAE">
              <w:rPr>
                <w:rFonts w:ascii="Arial" w:eastAsia="Arial" w:hAnsi="Arial" w:cs="Arial"/>
              </w:rPr>
              <w:t>0.25</w:t>
            </w:r>
          </w:p>
        </w:tc>
      </w:tr>
      <w:tr w:rsidR="32A7317A" w14:paraId="32CC53F1" w14:textId="77777777" w:rsidTr="73F31BAE">
        <w:trPr>
          <w:trHeight w:val="390"/>
          <w:jc w:val="center"/>
        </w:trPr>
        <w:tc>
          <w:tcPr>
            <w:tcW w:w="12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D92A8A" w14:textId="1354A55A" w:rsidR="32A7317A" w:rsidRDefault="221B6EAB" w:rsidP="73F31BAE">
            <w:pPr>
              <w:spacing w:before="49" w:after="0"/>
              <w:ind w:left="89" w:right="81"/>
              <w:jc w:val="center"/>
              <w:rPr>
                <w:rFonts w:ascii="Arial" w:eastAsia="Arial" w:hAnsi="Arial" w:cs="Arial"/>
              </w:rPr>
            </w:pPr>
            <w:r w:rsidRPr="73F31BAE">
              <w:rPr>
                <w:rFonts w:ascii="Arial" w:eastAsia="Arial" w:hAnsi="Arial" w:cs="Arial"/>
              </w:rPr>
              <w:t>0.7500</w:t>
            </w:r>
          </w:p>
        </w:tc>
        <w:tc>
          <w:tcPr>
            <w:tcW w:w="12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20B723" w14:textId="70BD103D" w:rsidR="32A7317A" w:rsidRDefault="221B6EAB" w:rsidP="73F31BAE">
            <w:pPr>
              <w:spacing w:before="49" w:after="0"/>
              <w:ind w:left="87" w:right="78"/>
              <w:jc w:val="center"/>
              <w:rPr>
                <w:rFonts w:ascii="Arial" w:eastAsia="Arial" w:hAnsi="Arial" w:cs="Arial"/>
              </w:rPr>
            </w:pPr>
            <w:r w:rsidRPr="73F31BAE">
              <w:rPr>
                <w:rFonts w:ascii="Arial" w:eastAsia="Arial" w:hAnsi="Arial" w:cs="Arial"/>
              </w:rPr>
              <w:t>7542.44</w:t>
            </w:r>
          </w:p>
        </w:tc>
        <w:tc>
          <w:tcPr>
            <w:tcW w:w="15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A475C2" w14:textId="7544AEA0" w:rsidR="32A7317A" w:rsidRDefault="221B6EAB" w:rsidP="73F31BAE">
            <w:pPr>
              <w:spacing w:before="49" w:after="0"/>
              <w:ind w:left="83" w:right="73"/>
              <w:jc w:val="center"/>
              <w:rPr>
                <w:rFonts w:ascii="Arial" w:eastAsia="Arial" w:hAnsi="Arial" w:cs="Arial"/>
              </w:rPr>
            </w:pPr>
            <w:r w:rsidRPr="73F31BAE">
              <w:rPr>
                <w:rFonts w:ascii="Arial" w:eastAsia="Arial" w:hAnsi="Arial" w:cs="Arial"/>
              </w:rPr>
              <w:t>5656.83</w:t>
            </w:r>
          </w:p>
        </w:tc>
        <w:tc>
          <w:tcPr>
            <w:tcW w:w="135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31331F" w14:textId="1897BD87" w:rsidR="32A7317A" w:rsidRDefault="221B6EAB" w:rsidP="73F31BAE">
            <w:pPr>
              <w:spacing w:before="49" w:after="0"/>
              <w:ind w:left="-20" w:right="165"/>
              <w:jc w:val="right"/>
              <w:rPr>
                <w:rFonts w:ascii="Arial" w:eastAsia="Arial" w:hAnsi="Arial" w:cs="Arial"/>
              </w:rPr>
            </w:pPr>
            <w:r w:rsidRPr="73F31BAE">
              <w:rPr>
                <w:rFonts w:ascii="Arial" w:eastAsia="Arial" w:hAnsi="Arial" w:cs="Arial"/>
              </w:rPr>
              <w:t>0.5625</w:t>
            </w:r>
          </w:p>
        </w:tc>
      </w:tr>
      <w:tr w:rsidR="32A7317A" w14:paraId="7471F30F" w14:textId="77777777" w:rsidTr="73F31BAE">
        <w:trPr>
          <w:trHeight w:val="390"/>
          <w:jc w:val="center"/>
        </w:trPr>
        <w:tc>
          <w:tcPr>
            <w:tcW w:w="12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AED3E0" w14:textId="1A9DBABF" w:rsidR="32A7317A" w:rsidRDefault="221B6EAB" w:rsidP="73F31BAE">
            <w:pPr>
              <w:spacing w:before="49" w:after="0"/>
              <w:ind w:left="89" w:right="81"/>
              <w:jc w:val="center"/>
              <w:rPr>
                <w:rFonts w:ascii="Arial" w:eastAsia="Arial" w:hAnsi="Arial" w:cs="Arial"/>
              </w:rPr>
            </w:pPr>
            <w:r w:rsidRPr="73F31BAE">
              <w:rPr>
                <w:rFonts w:ascii="Arial" w:eastAsia="Arial" w:hAnsi="Arial" w:cs="Arial"/>
              </w:rPr>
              <w:t>0.1000</w:t>
            </w:r>
          </w:p>
        </w:tc>
        <w:tc>
          <w:tcPr>
            <w:tcW w:w="12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7C9677" w14:textId="21A6445E" w:rsidR="32A7317A" w:rsidRDefault="221B6EAB" w:rsidP="73F31BAE">
            <w:pPr>
              <w:spacing w:before="49" w:after="0"/>
              <w:ind w:left="87" w:right="78"/>
              <w:jc w:val="center"/>
              <w:rPr>
                <w:rFonts w:ascii="Arial" w:eastAsia="Arial" w:hAnsi="Arial" w:cs="Arial"/>
              </w:rPr>
            </w:pPr>
            <w:r w:rsidRPr="73F31BAE">
              <w:rPr>
                <w:rFonts w:ascii="Arial" w:eastAsia="Arial" w:hAnsi="Arial" w:cs="Arial"/>
              </w:rPr>
              <w:t>6460.52</w:t>
            </w:r>
          </w:p>
        </w:tc>
        <w:tc>
          <w:tcPr>
            <w:tcW w:w="15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F0D39A9" w14:textId="7FFDCA83" w:rsidR="32A7317A" w:rsidRDefault="221B6EAB" w:rsidP="73F31BAE">
            <w:pPr>
              <w:spacing w:before="49" w:after="0"/>
              <w:ind w:left="83" w:right="73"/>
              <w:jc w:val="center"/>
              <w:rPr>
                <w:rFonts w:ascii="Arial" w:eastAsia="Arial" w:hAnsi="Arial" w:cs="Arial"/>
              </w:rPr>
            </w:pPr>
            <w:r w:rsidRPr="73F31BAE">
              <w:rPr>
                <w:rFonts w:ascii="Arial" w:eastAsia="Arial" w:hAnsi="Arial" w:cs="Arial"/>
              </w:rPr>
              <w:t>646.052</w:t>
            </w:r>
          </w:p>
        </w:tc>
        <w:tc>
          <w:tcPr>
            <w:tcW w:w="135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F4F35E" w14:textId="1DE1D147" w:rsidR="32A7317A" w:rsidRDefault="221B6EAB" w:rsidP="73F31BAE">
            <w:pPr>
              <w:spacing w:before="49" w:after="0"/>
              <w:ind w:left="295" w:right="-20"/>
              <w:rPr>
                <w:rFonts w:ascii="Arial" w:eastAsia="Arial" w:hAnsi="Arial" w:cs="Arial"/>
              </w:rPr>
            </w:pPr>
            <w:r w:rsidRPr="73F31BAE">
              <w:rPr>
                <w:rFonts w:ascii="Arial" w:eastAsia="Arial" w:hAnsi="Arial" w:cs="Arial"/>
              </w:rPr>
              <w:t>0.01</w:t>
            </w:r>
          </w:p>
        </w:tc>
      </w:tr>
      <w:tr w:rsidR="32A7317A" w14:paraId="1A3AF5B9" w14:textId="77777777" w:rsidTr="73F31BAE">
        <w:trPr>
          <w:trHeight w:val="390"/>
          <w:jc w:val="center"/>
        </w:trPr>
        <w:tc>
          <w:tcPr>
            <w:tcW w:w="12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884368" w14:textId="4228F9E9" w:rsidR="32A7317A" w:rsidRDefault="221B6EAB" w:rsidP="73F31BAE">
            <w:pPr>
              <w:spacing w:before="49" w:after="0"/>
              <w:ind w:left="89" w:right="81"/>
              <w:jc w:val="center"/>
              <w:rPr>
                <w:rFonts w:ascii="Arial" w:eastAsia="Arial" w:hAnsi="Arial" w:cs="Arial"/>
              </w:rPr>
            </w:pPr>
            <w:r w:rsidRPr="73F31BAE">
              <w:rPr>
                <w:rFonts w:ascii="Arial" w:eastAsia="Arial" w:hAnsi="Arial" w:cs="Arial"/>
              </w:rPr>
              <w:t>0.2500</w:t>
            </w:r>
          </w:p>
        </w:tc>
        <w:tc>
          <w:tcPr>
            <w:tcW w:w="12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34E589" w14:textId="61670955" w:rsidR="32A7317A" w:rsidRDefault="221B6EAB" w:rsidP="73F31BAE">
            <w:pPr>
              <w:spacing w:before="49" w:after="0"/>
              <w:ind w:left="87" w:right="78"/>
              <w:jc w:val="center"/>
              <w:rPr>
                <w:rFonts w:ascii="Arial" w:eastAsia="Arial" w:hAnsi="Arial" w:cs="Arial"/>
              </w:rPr>
            </w:pPr>
            <w:r w:rsidRPr="73F31BAE">
              <w:rPr>
                <w:rFonts w:ascii="Arial" w:eastAsia="Arial" w:hAnsi="Arial" w:cs="Arial"/>
              </w:rPr>
              <w:t>7684.54</w:t>
            </w:r>
          </w:p>
        </w:tc>
        <w:tc>
          <w:tcPr>
            <w:tcW w:w="15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E7F951" w14:textId="4800510C" w:rsidR="32A7317A" w:rsidRDefault="221B6EAB" w:rsidP="73F31BAE">
            <w:pPr>
              <w:spacing w:before="49" w:after="0"/>
              <w:ind w:left="83" w:right="73"/>
              <w:jc w:val="center"/>
              <w:rPr>
                <w:rFonts w:ascii="Arial" w:eastAsia="Arial" w:hAnsi="Arial" w:cs="Arial"/>
              </w:rPr>
            </w:pPr>
            <w:r w:rsidRPr="73F31BAE">
              <w:rPr>
                <w:rFonts w:ascii="Arial" w:eastAsia="Arial" w:hAnsi="Arial" w:cs="Arial"/>
              </w:rPr>
              <w:t>1921.135</w:t>
            </w:r>
          </w:p>
        </w:tc>
        <w:tc>
          <w:tcPr>
            <w:tcW w:w="135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4007BAE" w14:textId="480F684D" w:rsidR="32A7317A" w:rsidRDefault="221B6EAB" w:rsidP="73F31BAE">
            <w:pPr>
              <w:spacing w:before="49" w:after="0"/>
              <w:ind w:left="-20" w:right="165"/>
              <w:jc w:val="right"/>
              <w:rPr>
                <w:rFonts w:ascii="Arial" w:eastAsia="Arial" w:hAnsi="Arial" w:cs="Arial"/>
              </w:rPr>
            </w:pPr>
            <w:r w:rsidRPr="73F31BAE">
              <w:rPr>
                <w:rFonts w:ascii="Arial" w:eastAsia="Arial" w:hAnsi="Arial" w:cs="Arial"/>
              </w:rPr>
              <w:t>0.0625</w:t>
            </w:r>
          </w:p>
        </w:tc>
      </w:tr>
      <w:tr w:rsidR="32A7317A" w14:paraId="5809EE6C" w14:textId="77777777" w:rsidTr="73F31BAE">
        <w:trPr>
          <w:trHeight w:val="588"/>
          <w:jc w:val="center"/>
        </w:trPr>
        <w:tc>
          <w:tcPr>
            <w:tcW w:w="12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73D994" w14:textId="73D37B9A" w:rsidR="32A7317A" w:rsidRDefault="221B6EAB" w:rsidP="73F31BAE">
            <w:pPr>
              <w:spacing w:before="49" w:after="0"/>
              <w:ind w:left="89" w:right="81"/>
              <w:jc w:val="center"/>
              <w:rPr>
                <w:rFonts w:ascii="Arial" w:eastAsia="Arial" w:hAnsi="Arial" w:cs="Arial"/>
              </w:rPr>
            </w:pPr>
            <w:r w:rsidRPr="73F31BAE">
              <w:rPr>
                <w:rFonts w:ascii="Arial" w:eastAsia="Arial" w:hAnsi="Arial" w:cs="Arial"/>
              </w:rPr>
              <w:t>3.5000</w:t>
            </w:r>
          </w:p>
        </w:tc>
        <w:tc>
          <w:tcPr>
            <w:tcW w:w="12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BA8D33" w14:textId="0BF5C7EA" w:rsidR="32A7317A" w:rsidRDefault="221B6EAB" w:rsidP="73F31BAE">
            <w:pPr>
              <w:spacing w:before="49" w:after="0"/>
              <w:ind w:left="87" w:right="78"/>
              <w:jc w:val="center"/>
              <w:rPr>
                <w:rFonts w:ascii="Arial" w:eastAsia="Arial" w:hAnsi="Arial" w:cs="Arial"/>
              </w:rPr>
            </w:pPr>
            <w:r w:rsidRPr="73F31BAE">
              <w:rPr>
                <w:rFonts w:ascii="Arial" w:eastAsia="Arial" w:hAnsi="Arial" w:cs="Arial"/>
              </w:rPr>
              <w:t>7451.74</w:t>
            </w:r>
          </w:p>
        </w:tc>
        <w:tc>
          <w:tcPr>
            <w:tcW w:w="15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910E39" w14:textId="7E34261D" w:rsidR="32A7317A" w:rsidRDefault="221B6EAB" w:rsidP="73F31BAE">
            <w:pPr>
              <w:spacing w:before="49" w:after="0"/>
              <w:ind w:left="83" w:right="73"/>
              <w:jc w:val="center"/>
              <w:rPr>
                <w:rFonts w:ascii="Arial" w:eastAsia="Arial" w:hAnsi="Arial" w:cs="Arial"/>
              </w:rPr>
            </w:pPr>
            <w:r w:rsidRPr="73F31BAE">
              <w:rPr>
                <w:rFonts w:ascii="Arial" w:eastAsia="Arial" w:hAnsi="Arial" w:cs="Arial"/>
              </w:rPr>
              <w:t>26081.09</w:t>
            </w:r>
          </w:p>
        </w:tc>
        <w:tc>
          <w:tcPr>
            <w:tcW w:w="135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BE2A6A" w14:textId="09BE3085" w:rsidR="32A7317A" w:rsidRDefault="221B6EAB" w:rsidP="73F31BAE">
            <w:pPr>
              <w:spacing w:before="49" w:after="0"/>
              <w:ind w:left="237" w:right="-20"/>
              <w:rPr>
                <w:rFonts w:ascii="Arial" w:eastAsia="Arial" w:hAnsi="Arial" w:cs="Arial"/>
              </w:rPr>
            </w:pPr>
            <w:r w:rsidRPr="73F31BAE">
              <w:rPr>
                <w:rFonts w:ascii="Arial" w:eastAsia="Arial" w:hAnsi="Arial" w:cs="Arial"/>
              </w:rPr>
              <w:t>12.25</w:t>
            </w:r>
          </w:p>
        </w:tc>
      </w:tr>
      <w:tr w:rsidR="32A7317A" w14:paraId="751F386E" w14:textId="77777777" w:rsidTr="73F31BAE">
        <w:trPr>
          <w:trHeight w:val="390"/>
          <w:jc w:val="center"/>
        </w:trPr>
        <w:tc>
          <w:tcPr>
            <w:tcW w:w="126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8206352" w14:textId="03673104" w:rsidR="32A7317A" w:rsidRDefault="221B6EAB" w:rsidP="73F31BAE">
            <w:pPr>
              <w:spacing w:before="49" w:after="0"/>
              <w:ind w:left="89" w:right="81"/>
              <w:jc w:val="center"/>
              <w:rPr>
                <w:rFonts w:ascii="Arial" w:eastAsia="Arial" w:hAnsi="Arial" w:cs="Arial"/>
              </w:rPr>
            </w:pPr>
            <w:r w:rsidRPr="73F31BAE">
              <w:rPr>
                <w:rFonts w:ascii="Arial" w:eastAsia="Arial" w:hAnsi="Arial" w:cs="Arial"/>
              </w:rPr>
              <w:t>5.2500</w:t>
            </w:r>
          </w:p>
        </w:tc>
        <w:tc>
          <w:tcPr>
            <w:tcW w:w="128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27E4ED" w14:textId="0FC896F9" w:rsidR="32A7317A" w:rsidRDefault="221B6EAB" w:rsidP="73F31BAE">
            <w:pPr>
              <w:spacing w:before="49" w:after="0"/>
              <w:ind w:left="87" w:right="78"/>
              <w:jc w:val="center"/>
              <w:rPr>
                <w:rFonts w:ascii="Arial" w:eastAsia="Arial" w:hAnsi="Arial" w:cs="Arial"/>
              </w:rPr>
            </w:pPr>
            <w:r w:rsidRPr="73F31BAE">
              <w:rPr>
                <w:rFonts w:ascii="Arial" w:eastAsia="Arial" w:hAnsi="Arial" w:cs="Arial"/>
              </w:rPr>
              <w:t>7733.24</w:t>
            </w:r>
          </w:p>
        </w:tc>
        <w:tc>
          <w:tcPr>
            <w:tcW w:w="15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627E5C1" w14:textId="5F34F85A" w:rsidR="32A7317A" w:rsidRDefault="221B6EAB" w:rsidP="73F31BAE">
            <w:pPr>
              <w:spacing w:before="49" w:after="0"/>
              <w:ind w:left="83" w:right="73"/>
              <w:jc w:val="center"/>
              <w:rPr>
                <w:rFonts w:ascii="Arial" w:eastAsia="Arial" w:hAnsi="Arial" w:cs="Arial"/>
              </w:rPr>
            </w:pPr>
            <w:r w:rsidRPr="73F31BAE">
              <w:rPr>
                <w:rFonts w:ascii="Arial" w:eastAsia="Arial" w:hAnsi="Arial" w:cs="Arial"/>
              </w:rPr>
              <w:t>40599.51</w:t>
            </w:r>
          </w:p>
        </w:tc>
        <w:tc>
          <w:tcPr>
            <w:tcW w:w="135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FAE4B0" w14:textId="4EF821CF" w:rsidR="32A7317A" w:rsidRDefault="221B6EAB" w:rsidP="73F31BAE">
            <w:pPr>
              <w:spacing w:before="49" w:after="0"/>
              <w:ind w:left="-20" w:right="106"/>
              <w:jc w:val="right"/>
              <w:rPr>
                <w:rFonts w:ascii="Arial" w:eastAsia="Arial" w:hAnsi="Arial" w:cs="Arial"/>
              </w:rPr>
            </w:pPr>
            <w:r w:rsidRPr="73F31BAE">
              <w:rPr>
                <w:rFonts w:ascii="Arial" w:eastAsia="Arial" w:hAnsi="Arial" w:cs="Arial"/>
              </w:rPr>
              <w:t>27.5625</w:t>
            </w:r>
          </w:p>
        </w:tc>
      </w:tr>
    </w:tbl>
    <w:p w14:paraId="1D93AFCD" w14:textId="40117FF2" w:rsidR="32A7317A" w:rsidRDefault="32A7317A" w:rsidP="73F31BAE">
      <w:pPr>
        <w:tabs>
          <w:tab w:val="left" w:pos="1252"/>
        </w:tabs>
        <w:spacing w:before="77" w:after="0"/>
        <w:ind w:left="203" w:right="-20"/>
        <w:rPr>
          <w:rFonts w:ascii="Arial" w:eastAsia="Arial" w:hAnsi="Arial" w:cs="Arial"/>
          <w:b/>
          <w:bCs/>
        </w:rPr>
      </w:pPr>
    </w:p>
    <w:p w14:paraId="762F385B" w14:textId="41C4EB03" w:rsidR="2F0C2401" w:rsidRDefault="2F0C2401" w:rsidP="73F31BAE">
      <w:pPr>
        <w:rPr>
          <w:rFonts w:ascii="Arial" w:eastAsia="Arial" w:hAnsi="Arial" w:cs="Arial"/>
        </w:rPr>
      </w:pPr>
    </w:p>
    <w:p w14:paraId="5179EAD4" w14:textId="0DC3F2F7" w:rsidR="2F0C2401" w:rsidRDefault="166AB775" w:rsidP="73F31BAE">
      <w:pPr>
        <w:tabs>
          <w:tab w:val="left" w:pos="1252"/>
        </w:tabs>
        <w:spacing w:before="77" w:after="0"/>
        <w:ind w:left="-20" w:right="-20"/>
        <w:rPr>
          <w:rFonts w:ascii="Arial" w:eastAsia="Arial" w:hAnsi="Arial" w:cs="Arial"/>
        </w:rPr>
      </w:pPr>
      <w:r w:rsidRPr="73F31BAE">
        <w:rPr>
          <w:rFonts w:ascii="Arial" w:eastAsia="Arial" w:hAnsi="Arial" w:cs="Arial"/>
          <w:b/>
          <w:bCs/>
        </w:rPr>
        <w:t>Step 2:</w:t>
      </w:r>
      <w:r w:rsidR="2E9EE7AD" w:rsidRPr="73F31BAE">
        <w:rPr>
          <w:rFonts w:ascii="Arial" w:eastAsia="Arial" w:hAnsi="Arial" w:cs="Arial"/>
          <w:b/>
          <w:bCs/>
        </w:rPr>
        <w:t xml:space="preserve"> </w:t>
      </w:r>
      <w:r w:rsidRPr="73F31BAE">
        <w:rPr>
          <w:rFonts w:ascii="Arial" w:eastAsia="Arial" w:hAnsi="Arial" w:cs="Arial"/>
        </w:rPr>
        <w:t>Find the sum of every column:</w:t>
      </w:r>
    </w:p>
    <w:p w14:paraId="3E8BE35D" w14:textId="2B213285" w:rsidR="73F31BAE" w:rsidRDefault="73F31BAE" w:rsidP="73F31BAE">
      <w:pPr>
        <w:tabs>
          <w:tab w:val="left" w:pos="1658"/>
          <w:tab w:val="left" w:pos="3761"/>
          <w:tab w:val="left" w:pos="6600"/>
        </w:tabs>
        <w:spacing w:before="211" w:after="0"/>
        <w:ind w:left="-20" w:right="603"/>
        <w:jc w:val="center"/>
        <w:rPr>
          <w:rFonts w:ascii="Arial" w:eastAsia="Arial" w:hAnsi="Arial" w:cs="Arial"/>
        </w:rPr>
      </w:pPr>
      <m:oMathPara>
        <m:oMath>
          <m:r>
            <m:rPr>
              <m:sty m:val="p"/>
            </m:rPr>
            <w:rPr>
              <w:rFonts w:ascii="Cambria Math" w:hAnsi="Cambria Math"/>
            </w:rPr>
            <m:t>ΣΧ</m:t>
          </m:r>
          <m:r>
            <w:rPr>
              <w:rFonts w:ascii="Cambria Math" w:hAnsi="Cambria Math"/>
            </w:rPr>
            <m:t>=23.6, </m:t>
          </m:r>
          <m:r>
            <m:rPr>
              <m:sty m:val="p"/>
            </m:rPr>
            <w:rPr>
              <w:rFonts w:ascii="Cambria Math" w:hAnsi="Cambria Math"/>
            </w:rPr>
            <m:t>ΣΥ</m:t>
          </m:r>
          <m:r>
            <w:rPr>
              <w:rFonts w:ascii="Cambria Math" w:hAnsi="Cambria Math"/>
            </w:rPr>
            <m:t>=77988.73, </m:t>
          </m:r>
          <m:r>
            <m:rPr>
              <m:sty m:val="p"/>
            </m:rPr>
            <w:rPr>
              <w:rFonts w:ascii="Cambria Math" w:hAnsi="Cambria Math"/>
            </w:rPr>
            <m:t>ΣΧ</m:t>
          </m:r>
          <m:r>
            <w:rPr>
              <w:rFonts w:ascii="Cambria Math" w:hAnsi="Cambria Math"/>
            </w:rPr>
            <m:t>⋅</m:t>
          </m:r>
          <m:r>
            <m:rPr>
              <m:sty m:val="p"/>
            </m:rPr>
            <w:rPr>
              <w:rFonts w:ascii="Cambria Math" w:hAnsi="Cambria Math"/>
            </w:rPr>
            <m:t>Υ</m:t>
          </m:r>
          <m:r>
            <w:rPr>
              <w:rFonts w:ascii="Cambria Math" w:hAnsi="Cambria Math"/>
            </w:rPr>
            <m:t>=166105.6645, </m:t>
          </m:r>
          <m:r>
            <m:rPr>
              <m:sty m:val="p"/>
            </m:rPr>
            <w:rPr>
              <w:rFonts w:ascii="Cambria Math" w:hAnsi="Cambria Math"/>
            </w:rPr>
            <m:t>Σ</m:t>
          </m:r>
          <m:sSup>
            <m:sSupPr>
              <m:ctrlPr>
                <w:rPr>
                  <w:rFonts w:ascii="Cambria Math" w:hAnsi="Cambria Math"/>
                </w:rPr>
              </m:ctrlPr>
            </m:sSupPr>
            <m:e>
              <m:r>
                <m:rPr>
                  <m:sty m:val="p"/>
                </m:rPr>
                <w:rPr>
                  <w:rFonts w:ascii="Cambria Math" w:hAnsi="Cambria Math"/>
                </w:rPr>
                <m:t>Χ</m:t>
              </m:r>
            </m:e>
            <m:sup>
              <m:r>
                <w:rPr>
                  <w:rFonts w:ascii="Cambria Math" w:hAnsi="Cambria Math"/>
                </w:rPr>
                <m:t>2</m:t>
              </m:r>
            </m:sup>
          </m:sSup>
          <m:r>
            <w:rPr>
              <w:rFonts w:ascii="Cambria Math" w:hAnsi="Cambria Math"/>
            </w:rPr>
            <m:t>=100.26</m:t>
          </m:r>
        </m:oMath>
      </m:oMathPara>
    </w:p>
    <w:p w14:paraId="5C8C9265" w14:textId="1A9E0331" w:rsidR="73F31BAE" w:rsidRDefault="73F31BAE" w:rsidP="73F31BAE">
      <w:pPr>
        <w:tabs>
          <w:tab w:val="left" w:pos="1658"/>
          <w:tab w:val="left" w:pos="3761"/>
          <w:tab w:val="left" w:pos="6600"/>
        </w:tabs>
        <w:spacing w:before="211" w:after="0"/>
        <w:ind w:left="-20" w:right="603"/>
        <w:jc w:val="center"/>
        <w:rPr>
          <w:rFonts w:ascii="Arial" w:eastAsia="Arial" w:hAnsi="Arial" w:cs="Arial"/>
          <w:b/>
          <w:bCs/>
        </w:rPr>
      </w:pPr>
    </w:p>
    <w:p w14:paraId="1610F12F" w14:textId="3E6E27BE" w:rsidR="75105C0F" w:rsidRDefault="75105C0F" w:rsidP="73F31BAE">
      <w:pPr>
        <w:tabs>
          <w:tab w:val="left" w:pos="1658"/>
          <w:tab w:val="left" w:pos="3761"/>
          <w:tab w:val="left" w:pos="6600"/>
        </w:tabs>
        <w:spacing w:before="211" w:after="0"/>
        <w:ind w:left="-20" w:right="603"/>
        <w:rPr>
          <w:rFonts w:ascii="Arial" w:eastAsia="Arial" w:hAnsi="Arial" w:cs="Arial"/>
        </w:rPr>
      </w:pPr>
      <w:r w:rsidRPr="73F31BAE">
        <w:rPr>
          <w:rFonts w:ascii="Arial" w:eastAsia="Arial" w:hAnsi="Arial" w:cs="Arial"/>
          <w:b/>
          <w:bCs/>
        </w:rPr>
        <w:t xml:space="preserve">Step 3: </w:t>
      </w:r>
      <w:r w:rsidRPr="73F31BAE">
        <w:rPr>
          <w:rFonts w:ascii="Arial" w:eastAsia="Arial" w:hAnsi="Arial" w:cs="Arial"/>
        </w:rPr>
        <w:t xml:space="preserve">Use the following equations to find </w:t>
      </w:r>
      <w:r w:rsidRPr="73F31BAE">
        <w:rPr>
          <w:rFonts w:ascii="Arial" w:eastAsia="Arial" w:hAnsi="Arial" w:cs="Arial"/>
          <w:i/>
          <w:iCs/>
        </w:rPr>
        <w:t xml:space="preserve">a </w:t>
      </w:r>
      <w:r w:rsidRPr="73F31BAE">
        <w:rPr>
          <w:rFonts w:ascii="Arial" w:eastAsia="Arial" w:hAnsi="Arial" w:cs="Arial"/>
        </w:rPr>
        <w:t xml:space="preserve">and </w:t>
      </w:r>
      <w:r w:rsidRPr="73F31BAE">
        <w:rPr>
          <w:rFonts w:ascii="Arial" w:eastAsia="Arial" w:hAnsi="Arial" w:cs="Arial"/>
          <w:i/>
          <w:iCs/>
        </w:rPr>
        <w:t>b</w:t>
      </w:r>
      <w:r w:rsidRPr="73F31BAE">
        <w:rPr>
          <w:rFonts w:ascii="Arial" w:eastAsia="Arial" w:hAnsi="Arial" w:cs="Arial"/>
        </w:rPr>
        <w:t>:</w:t>
      </w:r>
    </w:p>
    <w:p w14:paraId="79FF5EB1" w14:textId="7ED05600" w:rsidR="73F31BAE" w:rsidRDefault="73F31BAE" w:rsidP="73F31BAE">
      <w:pPr>
        <w:tabs>
          <w:tab w:val="left" w:pos="1658"/>
          <w:tab w:val="left" w:pos="3761"/>
          <w:tab w:val="left" w:pos="6600"/>
        </w:tabs>
        <w:spacing w:before="211" w:after="0"/>
        <w:ind w:left="-20" w:right="603"/>
        <w:rPr>
          <w:rFonts w:ascii="Arial" w:eastAsia="Arial" w:hAnsi="Arial" w:cs="Arial"/>
        </w:rPr>
      </w:pPr>
    </w:p>
    <w:p w14:paraId="33747E12" w14:textId="3EC25796" w:rsidR="73F31BAE" w:rsidRDefault="73F31BAE" w:rsidP="00A2543F">
      <w:pPr>
        <w:tabs>
          <w:tab w:val="left" w:pos="1658"/>
          <w:tab w:val="left" w:pos="3761"/>
          <w:tab w:val="left" w:pos="6600"/>
        </w:tabs>
        <w:spacing w:before="211" w:after="0"/>
        <w:ind w:left="-20" w:right="603"/>
        <w:jc w:val="center"/>
        <w:rPr>
          <w:rFonts w:ascii="Arial" w:eastAsia="Arial" w:hAnsi="Arial" w:cs="Arial"/>
        </w:rPr>
      </w:pPr>
      <m:oMathPara>
        <m:oMath>
          <m:r>
            <w:rPr>
              <w:rFonts w:ascii="Cambria Math" w:hAnsi="Cambria Math"/>
            </w:rPr>
            <w:lastRenderedPageBreak/>
            <m:t>α=</m:t>
          </m:r>
          <m:f>
            <m:fPr>
              <m:ctrlPr>
                <w:rPr>
                  <w:rFonts w:ascii="Cambria Math" w:hAnsi="Cambria Math"/>
                </w:rPr>
              </m:ctrlPr>
            </m:fPr>
            <m:num>
              <m:r>
                <m:rPr>
                  <m:sty m:val="p"/>
                </m:rPr>
                <w:rPr>
                  <w:rFonts w:ascii="Cambria Math" w:hAnsi="Cambria Math"/>
                </w:rPr>
                <m:t>ΣΥ</m:t>
              </m:r>
              <m:r>
                <w:rPr>
                  <w:rFonts w:ascii="Cambria Math" w:hAnsi="Cambria Math"/>
                </w:rPr>
                <m:t>⋅</m:t>
              </m:r>
              <m:r>
                <m:rPr>
                  <m:sty m:val="p"/>
                </m:rPr>
                <w:rPr>
                  <w:rFonts w:ascii="Cambria Math" w:hAnsi="Cambria Math"/>
                </w:rPr>
                <m:t>Σ</m:t>
              </m:r>
              <m:sSup>
                <m:sSupPr>
                  <m:ctrlPr>
                    <w:rPr>
                      <w:rFonts w:ascii="Cambria Math" w:hAnsi="Cambria Math"/>
                    </w:rPr>
                  </m:ctrlPr>
                </m:sSupPr>
                <m:e>
                  <m:r>
                    <w:rPr>
                      <w:rFonts w:ascii="Cambria Math" w:hAnsi="Cambria Math"/>
                    </w:rPr>
                    <m:t>x</m:t>
                  </m:r>
                </m:e>
                <m:sup>
                  <m:r>
                    <w:rPr>
                      <w:rFonts w:ascii="Cambria Math" w:hAnsi="Cambria Math"/>
                    </w:rPr>
                    <m:t>2</m:t>
                  </m:r>
                </m:sup>
              </m:sSup>
              <m:r>
                <w:rPr>
                  <w:rFonts w:ascii="Cambria Math" w:hAnsi="Cambria Math"/>
                </w:rPr>
                <m:t>-</m:t>
              </m:r>
              <m:r>
                <m:rPr>
                  <m:sty m:val="p"/>
                </m:rPr>
                <w:rPr>
                  <w:rFonts w:ascii="Cambria Math" w:hAnsi="Cambria Math"/>
                </w:rPr>
                <m:t>ΣΧ</m:t>
              </m:r>
              <m:r>
                <w:rPr>
                  <w:rFonts w:ascii="Cambria Math" w:hAnsi="Cambria Math"/>
                </w:rPr>
                <m:t>⋅</m:t>
              </m:r>
              <m:r>
                <m:rPr>
                  <m:sty m:val="p"/>
                </m:rPr>
                <w:rPr>
                  <w:rFonts w:ascii="Cambria Math" w:hAnsi="Cambria Math"/>
                </w:rPr>
                <m:t>ΣΧ</m:t>
              </m:r>
              <m:r>
                <w:rPr>
                  <w:rFonts w:ascii="Cambria Math" w:hAnsi="Cambria Math"/>
                </w:rPr>
                <m:t>⋅</m:t>
              </m:r>
              <m:r>
                <m:rPr>
                  <m:sty m:val="p"/>
                </m:rPr>
                <w:rPr>
                  <w:rFonts w:ascii="Cambria Math" w:hAnsi="Cambria Math"/>
                </w:rPr>
                <m:t>Υ</m:t>
              </m:r>
            </m:num>
            <m:den>
              <m:r>
                <w:rPr>
                  <w:rFonts w:ascii="Cambria Math" w:hAnsi="Cambria Math"/>
                </w:rPr>
                <m:t>η⋅</m:t>
              </m:r>
              <m:r>
                <m:rPr>
                  <m:sty m:val="p"/>
                </m:rPr>
                <w:rPr>
                  <w:rFonts w:ascii="Cambria Math" w:hAnsi="Cambria Math"/>
                </w:rPr>
                <m:t>Σ</m:t>
              </m:r>
              <m:sSup>
                <m:sSupPr>
                  <m:ctrlPr>
                    <w:rPr>
                      <w:rFonts w:ascii="Cambria Math" w:hAnsi="Cambria Math"/>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rPr>
                  </m:ctrlPr>
                </m:sSupPr>
                <m:e>
                  <m:d>
                    <m:dPr>
                      <m:ctrlPr>
                        <w:rPr>
                          <w:rFonts w:ascii="Cambria Math" w:hAnsi="Cambria Math"/>
                        </w:rPr>
                      </m:ctrlPr>
                    </m:dPr>
                    <m:e>
                      <m:r>
                        <m:rPr>
                          <m:sty m:val="p"/>
                        </m:rPr>
                        <w:rPr>
                          <w:rFonts w:ascii="Cambria Math" w:hAnsi="Cambria Math"/>
                        </w:rPr>
                        <m:t>ΣΧ</m:t>
                      </m:r>
                    </m:e>
                  </m:d>
                </m:e>
                <m:sup>
                  <m:r>
                    <w:rPr>
                      <w:rFonts w:ascii="Cambria Math" w:hAnsi="Cambria Math"/>
                    </w:rPr>
                    <m:t>2</m:t>
                  </m:r>
                </m:sup>
              </m:sSup>
            </m:den>
          </m:f>
          <m:r>
            <w:rPr>
              <w:rFonts w:ascii="Cambria Math" w:hAnsi="Cambria Math"/>
            </w:rPr>
            <m:t>=</m:t>
          </m:r>
          <m:f>
            <m:fPr>
              <m:ctrlPr>
                <w:rPr>
                  <w:rFonts w:ascii="Cambria Math" w:hAnsi="Cambria Math"/>
                </w:rPr>
              </m:ctrlPr>
            </m:fPr>
            <m:num>
              <m:r>
                <w:rPr>
                  <w:rFonts w:ascii="Cambria Math" w:hAnsi="Cambria Math"/>
                </w:rPr>
                <m:t>77988.73⋅100.26-23.6⋅166105.6645</m:t>
              </m:r>
            </m:num>
            <m:den>
              <m:r>
                <w:rPr>
                  <w:rFonts w:ascii="Cambria Math" w:hAnsi="Cambria Math"/>
                </w:rPr>
                <m:t>11⋅100.26-</m:t>
              </m:r>
              <m:sSup>
                <m:sSupPr>
                  <m:ctrlPr>
                    <w:rPr>
                      <w:rFonts w:ascii="Cambria Math" w:hAnsi="Cambria Math"/>
                    </w:rPr>
                  </m:ctrlPr>
                </m:sSupPr>
                <m:e>
                  <m:d>
                    <m:dPr>
                      <m:ctrlPr>
                        <w:rPr>
                          <w:rFonts w:ascii="Cambria Math" w:hAnsi="Cambria Math"/>
                        </w:rPr>
                      </m:ctrlPr>
                    </m:dPr>
                    <m:e>
                      <m:r>
                        <w:rPr>
                          <w:rFonts w:ascii="Cambria Math" w:hAnsi="Cambria Math"/>
                        </w:rPr>
                        <m:t>23.6</m:t>
                      </m:r>
                    </m:e>
                  </m:d>
                </m:e>
                <m:sup>
                  <m:r>
                    <w:rPr>
                      <w:rFonts w:ascii="Cambria Math" w:hAnsi="Cambria Math"/>
                    </w:rPr>
                    <m:t>2</m:t>
                  </m:r>
                </m:sup>
              </m:sSup>
            </m:den>
          </m:f>
          <m:r>
            <w:rPr>
              <w:rFonts w:ascii="Cambria Math" w:hAnsi="Cambria Math"/>
            </w:rPr>
            <m:t>≈7142</m:t>
          </m:r>
        </m:oMath>
      </m:oMathPara>
    </w:p>
    <w:p w14:paraId="03741FE1" w14:textId="2EC2A56B" w:rsidR="73F31BAE" w:rsidRDefault="73F31BAE" w:rsidP="73F31BAE">
      <w:pPr>
        <w:tabs>
          <w:tab w:val="left" w:pos="1658"/>
          <w:tab w:val="left" w:pos="3761"/>
          <w:tab w:val="left" w:pos="6600"/>
        </w:tabs>
        <w:spacing w:before="211" w:after="0"/>
        <w:ind w:left="-20" w:right="603"/>
      </w:pPr>
    </w:p>
    <w:p w14:paraId="19F05378" w14:textId="5605B846" w:rsidR="73F31BAE" w:rsidRPr="00A2543F" w:rsidRDefault="73F31BAE" w:rsidP="73F31BAE">
      <w:pPr>
        <w:tabs>
          <w:tab w:val="left" w:pos="1658"/>
          <w:tab w:val="left" w:pos="3761"/>
          <w:tab w:val="left" w:pos="6600"/>
        </w:tabs>
        <w:spacing w:before="211" w:after="0"/>
        <w:ind w:left="-20" w:right="603"/>
        <w:rPr>
          <w:rFonts w:ascii="Arial" w:eastAsia="Arial" w:hAnsi="Arial" w:cs="Arial"/>
        </w:rPr>
      </w:pPr>
      <m:oMathPara>
        <m:oMathParaPr>
          <m:jc m:val="center"/>
        </m:oMathParaPr>
        <m:oMath>
          <m:r>
            <w:rPr>
              <w:rFonts w:ascii="Cambria Math" w:hAnsi="Cambria Math"/>
            </w:rPr>
            <m:t>β=</m:t>
          </m:r>
          <m:f>
            <m:fPr>
              <m:ctrlPr>
                <w:rPr>
                  <w:rFonts w:ascii="Cambria Math" w:hAnsi="Cambria Math"/>
                </w:rPr>
              </m:ctrlPr>
            </m:fPr>
            <m:num>
              <m:r>
                <m:rPr>
                  <m:sty m:val="p"/>
                </m:rPr>
                <w:rPr>
                  <w:rFonts w:ascii="Cambria Math" w:hAnsi="Cambria Math"/>
                </w:rPr>
                <m:t>Σ</m:t>
              </m:r>
              <m:r>
                <w:rPr>
                  <w:rFonts w:ascii="Cambria Math" w:hAnsi="Cambria Math"/>
                </w:rPr>
                <m:t>η⋅</m:t>
              </m:r>
              <m:r>
                <m:rPr>
                  <m:sty m:val="p"/>
                </m:rPr>
                <w:rPr>
                  <w:rFonts w:ascii="Cambria Math" w:hAnsi="Cambria Math"/>
                </w:rPr>
                <m:t>ΣΧ</m:t>
              </m:r>
              <m:r>
                <w:rPr>
                  <w:rFonts w:ascii="Cambria Math" w:hAnsi="Cambria Math"/>
                </w:rPr>
                <m:t>⋅</m:t>
              </m:r>
              <m:r>
                <m:rPr>
                  <m:sty m:val="p"/>
                </m:rPr>
                <w:rPr>
                  <w:rFonts w:ascii="Cambria Math" w:hAnsi="Cambria Math"/>
                </w:rPr>
                <m:t>Υ</m:t>
              </m:r>
              <m:r>
                <w:rPr>
                  <w:rFonts w:ascii="Cambria Math" w:hAnsi="Cambria Math"/>
                </w:rPr>
                <m:t>-</m:t>
              </m:r>
              <m:r>
                <m:rPr>
                  <m:sty m:val="p"/>
                </m:rPr>
                <w:rPr>
                  <w:rFonts w:ascii="Cambria Math" w:hAnsi="Cambria Math"/>
                </w:rPr>
                <m:t>ΣΧ</m:t>
              </m:r>
              <m:r>
                <w:rPr>
                  <w:rFonts w:ascii="Cambria Math" w:hAnsi="Cambria Math"/>
                </w:rPr>
                <m:t>⋅</m:t>
              </m:r>
              <m:r>
                <m:rPr>
                  <m:sty m:val="p"/>
                </m:rPr>
                <w:rPr>
                  <w:rFonts w:ascii="Cambria Math" w:hAnsi="Cambria Math"/>
                </w:rPr>
                <m:t>ΣΥ</m:t>
              </m:r>
            </m:num>
            <m:den>
              <m:r>
                <w:rPr>
                  <w:rFonts w:ascii="Cambria Math" w:hAnsi="Cambria Math"/>
                </w:rPr>
                <m:t>η⋅</m:t>
              </m:r>
              <m:r>
                <m:rPr>
                  <m:sty m:val="p"/>
                </m:rPr>
                <w:rPr>
                  <w:rFonts w:ascii="Cambria Math" w:hAnsi="Cambria Math"/>
                </w:rPr>
                <m:t>Σ</m:t>
              </m:r>
              <m:sSup>
                <m:sSupPr>
                  <m:ctrlPr>
                    <w:rPr>
                      <w:rFonts w:ascii="Cambria Math" w:hAnsi="Cambria Math"/>
                    </w:rPr>
                  </m:ctrlPr>
                </m:sSupPr>
                <m:e>
                  <m:r>
                    <w:rPr>
                      <w:rFonts w:ascii="Cambria Math" w:hAnsi="Cambria Math"/>
                    </w:rPr>
                    <m:t>x</m:t>
                  </m:r>
                </m:e>
                <m:sup>
                  <m:r>
                    <w:rPr>
                      <w:rFonts w:ascii="Cambria Math" w:hAnsi="Cambria Math"/>
                    </w:rPr>
                    <m:t>2</m:t>
                  </m:r>
                </m:sup>
              </m:sSup>
              <m:r>
                <w:rPr>
                  <w:rFonts w:ascii="Cambria Math" w:hAnsi="Cambria Math"/>
                </w:rPr>
                <m:t>-</m:t>
              </m:r>
              <m:sSup>
                <m:sSupPr>
                  <m:ctrlPr>
                    <w:rPr>
                      <w:rFonts w:ascii="Cambria Math" w:hAnsi="Cambria Math"/>
                    </w:rPr>
                  </m:ctrlPr>
                </m:sSupPr>
                <m:e>
                  <m:d>
                    <m:dPr>
                      <m:ctrlPr>
                        <w:rPr>
                          <w:rFonts w:ascii="Cambria Math" w:hAnsi="Cambria Math"/>
                        </w:rPr>
                      </m:ctrlPr>
                    </m:dPr>
                    <m:e>
                      <m:r>
                        <m:rPr>
                          <m:sty m:val="p"/>
                        </m:rPr>
                        <w:rPr>
                          <w:rFonts w:ascii="Cambria Math" w:hAnsi="Cambria Math"/>
                        </w:rPr>
                        <m:t>ΣΧ</m:t>
                      </m:r>
                    </m:e>
                  </m:d>
                </m:e>
                <m:sup>
                  <m:r>
                    <w:rPr>
                      <w:rFonts w:ascii="Cambria Math" w:hAnsi="Cambria Math"/>
                    </w:rPr>
                    <m:t>2</m:t>
                  </m:r>
                </m:sup>
              </m:sSup>
            </m:den>
          </m:f>
          <m:r>
            <w:rPr>
              <w:rFonts w:ascii="Cambria Math" w:hAnsi="Cambria Math"/>
            </w:rPr>
            <m:t>=</m:t>
          </m:r>
          <m:f>
            <m:fPr>
              <m:ctrlPr>
                <w:rPr>
                  <w:rFonts w:ascii="Cambria Math" w:hAnsi="Cambria Math"/>
                </w:rPr>
              </m:ctrlPr>
            </m:fPr>
            <m:num>
              <m:r>
                <w:rPr>
                  <w:rFonts w:ascii="Cambria Math" w:hAnsi="Cambria Math"/>
                </w:rPr>
                <m:t>11⋅166105.6645-23.6⋅7798873</m:t>
              </m:r>
            </m:num>
            <m:den>
              <m:r>
                <w:rPr>
                  <w:rFonts w:ascii="Cambria Math" w:hAnsi="Cambria Math"/>
                </w:rPr>
                <m:t>11⋅100.26-</m:t>
              </m:r>
              <m:sSup>
                <m:sSupPr>
                  <m:ctrlPr>
                    <w:rPr>
                      <w:rFonts w:ascii="Cambria Math" w:hAnsi="Cambria Math"/>
                    </w:rPr>
                  </m:ctrlPr>
                </m:sSupPr>
                <m:e>
                  <m:d>
                    <m:dPr>
                      <m:ctrlPr>
                        <w:rPr>
                          <w:rFonts w:ascii="Cambria Math" w:hAnsi="Cambria Math"/>
                        </w:rPr>
                      </m:ctrlPr>
                    </m:dPr>
                    <m:e>
                      <m:r>
                        <w:rPr>
                          <w:rFonts w:ascii="Cambria Math" w:hAnsi="Cambria Math"/>
                        </w:rPr>
                        <m:t>23.6</m:t>
                      </m:r>
                    </m:e>
                  </m:d>
                </m:e>
                <m:sup>
                  <m:r>
                    <w:rPr>
                      <w:rFonts w:ascii="Cambria Math" w:hAnsi="Cambria Math"/>
                    </w:rPr>
                    <m:t>2</m:t>
                  </m:r>
                </m:sup>
              </m:sSup>
            </m:den>
          </m:f>
          <m:r>
            <w:rPr>
              <w:rFonts w:ascii="Cambria Math" w:hAnsi="Cambria Math"/>
            </w:rPr>
            <m:t>≈-24.4</m:t>
          </m:r>
          <m:r>
            <w:rPr>
              <w:rFonts w:ascii="Cambria Math" w:hAnsi="Cambria Math"/>
            </w:rPr>
            <m:t>9</m:t>
          </m:r>
        </m:oMath>
      </m:oMathPara>
    </w:p>
    <w:p w14:paraId="45FAA62D" w14:textId="75B1F734" w:rsidR="2F0C2401" w:rsidRDefault="2F0C2401" w:rsidP="73F31BAE">
      <w:pPr>
        <w:jc w:val="center"/>
        <w:rPr>
          <w:rFonts w:ascii="Arial" w:eastAsia="Arial" w:hAnsi="Arial" w:cs="Arial"/>
        </w:rPr>
      </w:pPr>
    </w:p>
    <w:p w14:paraId="37B8F163" w14:textId="2E067682" w:rsidR="2F0C2401" w:rsidRDefault="1FDDC5DD" w:rsidP="73F31BAE">
      <w:pPr>
        <w:tabs>
          <w:tab w:val="left" w:pos="1658"/>
          <w:tab w:val="left" w:pos="3761"/>
          <w:tab w:val="left" w:pos="6600"/>
        </w:tabs>
        <w:spacing w:before="211" w:after="0"/>
        <w:ind w:left="-20" w:right="603"/>
        <w:rPr>
          <w:rFonts w:ascii="Arial" w:eastAsia="Arial" w:hAnsi="Arial" w:cs="Arial"/>
        </w:rPr>
      </w:pPr>
      <w:r w:rsidRPr="73F31BAE">
        <w:rPr>
          <w:rFonts w:ascii="Arial" w:eastAsia="Arial" w:hAnsi="Arial" w:cs="Arial"/>
          <w:b/>
          <w:bCs/>
        </w:rPr>
        <w:t xml:space="preserve">Step 3: </w:t>
      </w:r>
      <w:r w:rsidRPr="73F31BAE">
        <w:rPr>
          <w:rFonts w:ascii="Arial" w:eastAsia="Arial" w:hAnsi="Arial" w:cs="Arial"/>
        </w:rPr>
        <w:t>Substitute a and b in Regression equation</w:t>
      </w:r>
      <w:r w:rsidR="0D2E34D3" w:rsidRPr="73F31BAE">
        <w:rPr>
          <w:rFonts w:ascii="Arial" w:eastAsia="Arial" w:hAnsi="Arial" w:cs="Arial"/>
        </w:rPr>
        <w:t xml:space="preserve"> formula:</w:t>
      </w:r>
    </w:p>
    <w:p w14:paraId="3AB9061F" w14:textId="26CF4E86" w:rsidR="73F31BAE" w:rsidRDefault="73F31BAE" w:rsidP="73F31BAE">
      <w:pPr>
        <w:tabs>
          <w:tab w:val="left" w:pos="1658"/>
          <w:tab w:val="left" w:pos="3761"/>
          <w:tab w:val="left" w:pos="6600"/>
        </w:tabs>
        <w:spacing w:before="211" w:after="0"/>
        <w:ind w:left="-20" w:right="603"/>
        <w:jc w:val="center"/>
        <w:rPr>
          <w:rFonts w:ascii="Arial" w:eastAsia="Arial" w:hAnsi="Arial" w:cs="Arial"/>
        </w:rPr>
      </w:pPr>
      <m:oMathPara>
        <m:oMath>
          <m:r>
            <w:rPr>
              <w:rFonts w:ascii="Cambria Math" w:hAnsi="Cambria Math"/>
            </w:rPr>
            <m:t>γ=α+β⋅χ </m:t>
          </m:r>
        </m:oMath>
      </m:oMathPara>
    </w:p>
    <w:p w14:paraId="79786DDA" w14:textId="037FB8DC" w:rsidR="32A7317A" w:rsidRDefault="32A7317A" w:rsidP="73F31BAE">
      <w:pPr>
        <w:jc w:val="center"/>
        <w:rPr>
          <w:rFonts w:ascii="Arial" w:eastAsia="Arial" w:hAnsi="Arial" w:cs="Arial"/>
        </w:rPr>
      </w:pPr>
      <m:oMathPara>
        <m:oMath>
          <m:r>
            <w:rPr>
              <w:rFonts w:ascii="Cambria Math" w:hAnsi="Cambria Math"/>
            </w:rPr>
            <m:t>γ=7142-24.49⋅χ </m:t>
          </m:r>
        </m:oMath>
      </m:oMathPara>
    </w:p>
    <w:p w14:paraId="31C9C5E1" w14:textId="029F253E" w:rsidR="32A7317A" w:rsidRDefault="32A7317A" w:rsidP="73F31BAE">
      <w:pPr>
        <w:rPr>
          <w:rFonts w:ascii="Arial" w:eastAsia="Arial" w:hAnsi="Arial" w:cs="Arial"/>
          <w:b/>
          <w:bCs/>
        </w:rPr>
      </w:pPr>
    </w:p>
    <w:p w14:paraId="297F93F6" w14:textId="24821EBC" w:rsidR="32A7317A" w:rsidRDefault="71B4490B" w:rsidP="73F31BAE">
      <w:pPr>
        <w:spacing w:line="360" w:lineRule="auto"/>
        <w:jc w:val="both"/>
        <w:rPr>
          <w:rFonts w:ascii="Arial" w:eastAsia="Arial" w:hAnsi="Arial" w:cs="Arial"/>
          <w:b/>
          <w:bCs/>
        </w:rPr>
      </w:pPr>
      <w:r w:rsidRPr="73F31BAE">
        <w:rPr>
          <w:rFonts w:ascii="Arial" w:eastAsia="Arial" w:hAnsi="Arial" w:cs="Arial"/>
          <w:b/>
          <w:bCs/>
        </w:rPr>
        <w:t>(</w:t>
      </w:r>
      <w:r w:rsidR="407F176F" w:rsidRPr="73F31BAE">
        <w:rPr>
          <w:rFonts w:ascii="Arial" w:eastAsia="Arial" w:hAnsi="Arial" w:cs="Arial"/>
          <w:b/>
          <w:bCs/>
        </w:rPr>
        <w:t>For further calculation s</w:t>
      </w:r>
      <w:r w:rsidRPr="73F31BAE">
        <w:rPr>
          <w:rFonts w:ascii="Arial" w:eastAsia="Arial" w:hAnsi="Arial" w:cs="Arial"/>
          <w:b/>
          <w:bCs/>
        </w:rPr>
        <w:t>ee Appendix no.1)</w:t>
      </w:r>
    </w:p>
    <w:p w14:paraId="1B49B8C5" w14:textId="5F610431" w:rsidR="32A7317A" w:rsidRDefault="7ACA4727" w:rsidP="73F31BAE">
      <w:pPr>
        <w:spacing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The linear regression analysis provided sought to establish the relationship between the Bank of England base rate (X) and stock market prices (Y), particularly focusing on the FTSE 100 index. The R-squared (R2) value of 0.009607 indicates that only 1% of the variability in stock prices is explained by changes in the Bank of England base rate. This suggests a very weak relationship between the two variables.</w:t>
      </w:r>
    </w:p>
    <w:p w14:paraId="2202E02B" w14:textId="2847AA31" w:rsidR="32A7317A" w:rsidRDefault="7ACA4727" w:rsidP="73F31BAE">
      <w:pPr>
        <w:spacing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The standard deviation of the residuals (</w:t>
      </w:r>
      <w:proofErr w:type="spellStart"/>
      <w:r w:rsidRPr="73F31BAE">
        <w:rPr>
          <w:rFonts w:ascii="Arial" w:eastAsia="Arial" w:hAnsi="Arial" w:cs="Arial"/>
          <w:color w:val="000000" w:themeColor="text1"/>
        </w:rPr>
        <w:t>S</w:t>
      </w:r>
      <w:r w:rsidRPr="73F31BAE">
        <w:rPr>
          <w:rFonts w:ascii="Arial" w:eastAsia="Arial" w:hAnsi="Arial" w:cs="Arial"/>
          <w:color w:val="000000" w:themeColor="text1"/>
          <w:vertAlign w:val="subscript"/>
        </w:rPr>
        <w:t>res</w:t>
      </w:r>
      <w:proofErr w:type="spellEnd"/>
      <w:r w:rsidRPr="73F31BAE">
        <w:rPr>
          <w:rFonts w:ascii="Arial" w:eastAsia="Arial" w:hAnsi="Arial" w:cs="Arial"/>
          <w:color w:val="000000" w:themeColor="text1"/>
        </w:rPr>
        <w:t>) is 584.0054, indicating the variability of the data points around the regression line. The slope (b₁) of -24.4948 with a confidence interval of -212.0286, 163.0389 implies that for every 1 unit increase in the Bank of England base rate, stock prices decrease by 24.4948 units. However, the wide confidence interval suggests uncertainty in this estimate. The y-intercept (b₀) of 7142.4371 with a confidence interval of 6576.2669, 7708.6072 indicates that when the Bank of England base rate is 0, the predicted stock price is 7142.4371. The x-intercept of 291.5898 represents the point at which stock prices would be zero, which may not have practical significance in this context.</w:t>
      </w:r>
    </w:p>
    <w:p w14:paraId="01553333" w14:textId="27257484" w:rsidR="32A7317A" w:rsidRDefault="32A7317A" w:rsidP="73F31BAE">
      <w:pPr>
        <w:spacing w:line="360" w:lineRule="auto"/>
        <w:ind w:left="-20" w:right="-20"/>
        <w:jc w:val="both"/>
        <w:rPr>
          <w:rFonts w:ascii="Arial" w:eastAsia="Arial" w:hAnsi="Arial" w:cs="Arial"/>
          <w:color w:val="000000" w:themeColor="text1"/>
        </w:rPr>
      </w:pPr>
    </w:p>
    <w:p w14:paraId="43067466" w14:textId="5E8589CE" w:rsidR="32A7317A" w:rsidRDefault="602D39B3" w:rsidP="73F31BAE">
      <w:pPr>
        <w:spacing w:line="360" w:lineRule="auto"/>
        <w:ind w:left="-20" w:right="-20"/>
        <w:jc w:val="both"/>
        <w:rPr>
          <w:rFonts w:ascii="Arial" w:eastAsia="Arial" w:hAnsi="Arial" w:cs="Arial"/>
        </w:rPr>
      </w:pPr>
      <w:r w:rsidRPr="73F31BAE">
        <w:rPr>
          <w:rFonts w:ascii="Arial" w:eastAsia="Arial" w:hAnsi="Arial" w:cs="Arial"/>
        </w:rPr>
        <w:t>The modest inverse association between bank rates and stock prices is indicated by the negative correlation coefficient (-0.09802). This implies that stock values often tend to fall as bank rates rise and vice versa. The association is shaky, though, and stock prices could be more heavily influenced by other reasons.</w:t>
      </w:r>
    </w:p>
    <w:p w14:paraId="0708C250" w14:textId="56B372A4" w:rsidR="32A7317A" w:rsidRDefault="32A7317A" w:rsidP="73F31BAE">
      <w:pPr>
        <w:spacing w:line="360" w:lineRule="auto"/>
        <w:ind w:left="-20" w:right="-20"/>
        <w:jc w:val="both"/>
        <w:rPr>
          <w:rFonts w:ascii="Arial" w:eastAsia="Arial" w:hAnsi="Arial" w:cs="Arial"/>
        </w:rPr>
      </w:pPr>
    </w:p>
    <w:p w14:paraId="3D2D1401" w14:textId="37D07CCE" w:rsidR="32A7317A" w:rsidRDefault="7ACA4727" w:rsidP="73F31BAE">
      <w:pPr>
        <w:spacing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lastRenderedPageBreak/>
        <w:t>The analysis indicates a very weak inverse relationship between changes in the Bank of England base rate and stock prices in the United Kingdom, with only 1% of the variability in stock prices being explained by changes in the interest rate. The findings suggest that other factors beyond interest rates may have a more substantial influence on stock market prices in the UK.</w:t>
      </w:r>
    </w:p>
    <w:p w14:paraId="5A594DAB" w14:textId="6BAC1EB4" w:rsidR="32A7317A" w:rsidRDefault="32A7317A" w:rsidP="73F31BAE">
      <w:pPr>
        <w:spacing w:line="360" w:lineRule="auto"/>
        <w:jc w:val="both"/>
        <w:rPr>
          <w:rFonts w:ascii="Arial" w:eastAsia="Arial" w:hAnsi="Arial" w:cs="Arial"/>
          <w:b/>
          <w:bCs/>
          <w:color w:val="000000" w:themeColor="text1"/>
        </w:rPr>
      </w:pPr>
    </w:p>
    <w:p w14:paraId="365717B5" w14:textId="44942EC3" w:rsidR="2A234B17" w:rsidRDefault="5795370A" w:rsidP="73F31BAE">
      <w:pPr>
        <w:spacing w:line="360" w:lineRule="auto"/>
        <w:jc w:val="both"/>
        <w:rPr>
          <w:rFonts w:ascii="Arial" w:eastAsia="Arial" w:hAnsi="Arial" w:cs="Arial"/>
          <w:b/>
          <w:bCs/>
        </w:rPr>
      </w:pPr>
      <w:r w:rsidRPr="73F31BAE">
        <w:rPr>
          <w:rFonts w:ascii="Arial" w:eastAsia="Arial" w:hAnsi="Arial" w:cs="Arial"/>
          <w:b/>
          <w:bCs/>
          <w:color w:val="000000" w:themeColor="text1"/>
        </w:rPr>
        <w:t>4.2.</w:t>
      </w:r>
      <w:r w:rsidR="3F36C449" w:rsidRPr="73F31BAE">
        <w:rPr>
          <w:rFonts w:ascii="Arial" w:eastAsia="Arial" w:hAnsi="Arial" w:cs="Arial"/>
          <w:b/>
          <w:bCs/>
          <w:color w:val="000000" w:themeColor="text1"/>
        </w:rPr>
        <w:t>3</w:t>
      </w:r>
      <w:r w:rsidRPr="73F31BAE">
        <w:rPr>
          <w:rFonts w:ascii="Arial" w:eastAsia="Arial" w:hAnsi="Arial" w:cs="Arial"/>
          <w:b/>
          <w:bCs/>
          <w:color w:val="000000" w:themeColor="text1"/>
        </w:rPr>
        <w:t xml:space="preserve"> The </w:t>
      </w:r>
      <w:r w:rsidR="380D7D88" w:rsidRPr="73F31BAE">
        <w:rPr>
          <w:rFonts w:ascii="Arial" w:eastAsia="Arial" w:hAnsi="Arial" w:cs="Arial"/>
          <w:b/>
          <w:bCs/>
          <w:color w:val="000000" w:themeColor="text1"/>
        </w:rPr>
        <w:t>T</w:t>
      </w:r>
      <w:r w:rsidRPr="73F31BAE">
        <w:rPr>
          <w:rFonts w:ascii="Arial" w:eastAsia="Arial" w:hAnsi="Arial" w:cs="Arial"/>
          <w:b/>
          <w:bCs/>
          <w:color w:val="000000" w:themeColor="text1"/>
        </w:rPr>
        <w:t xml:space="preserve">rading </w:t>
      </w:r>
      <w:r w:rsidR="0A067633" w:rsidRPr="73F31BAE">
        <w:rPr>
          <w:rFonts w:ascii="Arial" w:eastAsia="Arial" w:hAnsi="Arial" w:cs="Arial"/>
          <w:b/>
          <w:bCs/>
          <w:color w:val="000000" w:themeColor="text1"/>
        </w:rPr>
        <w:t>V</w:t>
      </w:r>
      <w:r w:rsidRPr="73F31BAE">
        <w:rPr>
          <w:rFonts w:ascii="Arial" w:eastAsia="Arial" w:hAnsi="Arial" w:cs="Arial"/>
          <w:b/>
          <w:bCs/>
          <w:color w:val="000000" w:themeColor="text1"/>
        </w:rPr>
        <w:t>olume of the London Stock Exchange</w:t>
      </w:r>
      <w:r w:rsidR="20A9F075" w:rsidRPr="73F31BAE">
        <w:rPr>
          <w:rFonts w:ascii="Arial" w:eastAsia="Arial" w:hAnsi="Arial" w:cs="Arial"/>
          <w:b/>
          <w:bCs/>
          <w:color w:val="000000" w:themeColor="text1"/>
        </w:rPr>
        <w:t xml:space="preserve"> and the key Economic Indicators</w:t>
      </w:r>
      <w:r w:rsidRPr="73F31BAE">
        <w:rPr>
          <w:rFonts w:ascii="Arial" w:eastAsia="Arial" w:hAnsi="Arial" w:cs="Arial"/>
          <w:b/>
          <w:bCs/>
          <w:color w:val="000000" w:themeColor="text1"/>
        </w:rPr>
        <w:t xml:space="preserve"> </w:t>
      </w:r>
    </w:p>
    <w:p w14:paraId="43C6BB73" w14:textId="03C1DDE9" w:rsidR="2F0C2401" w:rsidRDefault="2F0C2401" w:rsidP="73F31BAE">
      <w:pPr>
        <w:pStyle w:val="Heading4"/>
        <w:spacing w:line="360" w:lineRule="auto"/>
        <w:jc w:val="both"/>
        <w:rPr>
          <w:rFonts w:ascii="Arial" w:eastAsia="Arial" w:hAnsi="Arial" w:cs="Arial"/>
          <w:b/>
          <w:bCs/>
          <w:i w:val="0"/>
          <w:iCs w:val="0"/>
          <w:color w:val="auto"/>
        </w:rPr>
      </w:pPr>
    </w:p>
    <w:p w14:paraId="5A144B3C" w14:textId="1A3F8FFF" w:rsidR="11CE2EA4" w:rsidRDefault="36E7A9A3" w:rsidP="73F31BAE">
      <w:pPr>
        <w:spacing w:line="360" w:lineRule="auto"/>
        <w:ind w:left="-20" w:right="-20"/>
        <w:jc w:val="both"/>
        <w:rPr>
          <w:rFonts w:ascii="Arial" w:eastAsia="Arial" w:hAnsi="Arial" w:cs="Arial"/>
        </w:rPr>
      </w:pPr>
      <w:r w:rsidRPr="73F31BAE">
        <w:rPr>
          <w:rFonts w:ascii="Arial" w:eastAsia="Arial" w:hAnsi="Arial" w:cs="Arial"/>
        </w:rPr>
        <w:t>Many studies have been conducted on the trading volume of the London Stock Exchange (LSE). An analysis of intraday changes in volume, volatility, and bid-ask spreads for equities traded on the LSE was conducted</w:t>
      </w:r>
      <w:r w:rsidR="01B9A541" w:rsidRPr="73F31BAE">
        <w:rPr>
          <w:rFonts w:ascii="Arial" w:eastAsia="Arial" w:hAnsi="Arial" w:cs="Arial"/>
        </w:rPr>
        <w:t xml:space="preserve"> (</w:t>
      </w:r>
      <w:r w:rsidR="01B9A541" w:rsidRPr="73F31BAE">
        <w:rPr>
          <w:rFonts w:ascii="Arial" w:eastAsia="Arial" w:hAnsi="Arial" w:cs="Arial"/>
          <w:color w:val="1E1D1A"/>
        </w:rPr>
        <w:t xml:space="preserve">Abhyankar, </w:t>
      </w:r>
      <w:r w:rsidR="13DB77A2" w:rsidRPr="73F31BAE">
        <w:rPr>
          <w:rFonts w:ascii="Arial" w:eastAsia="Arial" w:hAnsi="Arial" w:cs="Arial"/>
          <w:color w:val="1E1D1A"/>
        </w:rPr>
        <w:t>Ghosh, Levin</w:t>
      </w:r>
      <w:r w:rsidR="01B9A541" w:rsidRPr="73F31BAE">
        <w:rPr>
          <w:rFonts w:ascii="Arial" w:eastAsia="Arial" w:hAnsi="Arial" w:cs="Arial"/>
          <w:color w:val="1E1D1A"/>
        </w:rPr>
        <w:t xml:space="preserve">, and </w:t>
      </w:r>
      <w:proofErr w:type="spellStart"/>
      <w:r w:rsidR="01B9A541" w:rsidRPr="73F31BAE">
        <w:rPr>
          <w:rFonts w:ascii="Arial" w:eastAsia="Arial" w:hAnsi="Arial" w:cs="Arial"/>
          <w:color w:val="1E1D1A"/>
        </w:rPr>
        <w:t>Limmack</w:t>
      </w:r>
      <w:proofErr w:type="spellEnd"/>
      <w:r w:rsidR="01B9A541" w:rsidRPr="73F31BAE">
        <w:rPr>
          <w:rFonts w:ascii="Arial" w:eastAsia="Arial" w:hAnsi="Arial" w:cs="Arial"/>
          <w:color w:val="1E1D1A"/>
        </w:rPr>
        <w:t>, 1997)</w:t>
      </w:r>
      <w:r w:rsidRPr="73F31BAE">
        <w:rPr>
          <w:rFonts w:ascii="Arial" w:eastAsia="Arial" w:hAnsi="Arial" w:cs="Arial"/>
        </w:rPr>
        <w:t>. They discovered that knowing trading volume is crucial to comprehending the dynamics of the market. Low volume stocks are linked to the LSE's high failure rate of not opening at the opening auction, as revealed by a study that modelled 73.62 million LSE trades</w:t>
      </w:r>
      <w:r w:rsidR="4103497E" w:rsidRPr="73F31BAE">
        <w:rPr>
          <w:rFonts w:ascii="Arial" w:eastAsia="Arial" w:hAnsi="Arial" w:cs="Arial"/>
        </w:rPr>
        <w:t xml:space="preserve"> (</w:t>
      </w:r>
      <w:r w:rsidR="4103497E" w:rsidRPr="73F31BAE">
        <w:rPr>
          <w:rFonts w:ascii="Arial" w:eastAsia="Arial" w:hAnsi="Arial" w:cs="Arial"/>
          <w:color w:val="1E1D1A"/>
        </w:rPr>
        <w:t>Ibikunle, 2015)</w:t>
      </w:r>
      <w:r w:rsidRPr="73F31BAE">
        <w:rPr>
          <w:rFonts w:ascii="Arial" w:eastAsia="Arial" w:hAnsi="Arial" w:cs="Arial"/>
        </w:rPr>
        <w:t>. This demonstrates how important trade volume is to the LSE's operation.</w:t>
      </w:r>
    </w:p>
    <w:p w14:paraId="073AEF7E" w14:textId="52A54452" w:rsidR="2F0C2401" w:rsidRDefault="2F0C2401" w:rsidP="73F31BAE">
      <w:pPr>
        <w:spacing w:line="360" w:lineRule="auto"/>
        <w:ind w:left="-20" w:right="-20"/>
        <w:jc w:val="both"/>
        <w:rPr>
          <w:rFonts w:ascii="Arial" w:eastAsia="Arial" w:hAnsi="Arial" w:cs="Arial"/>
        </w:rPr>
      </w:pPr>
    </w:p>
    <w:p w14:paraId="2925A669" w14:textId="25ABC3F5" w:rsidR="1CFFDFBE" w:rsidRDefault="156F1D41" w:rsidP="73F31BAE">
      <w:pPr>
        <w:spacing w:line="360" w:lineRule="auto"/>
        <w:ind w:left="-20" w:right="-20"/>
        <w:jc w:val="both"/>
        <w:rPr>
          <w:rFonts w:ascii="Arial" w:eastAsia="Arial" w:hAnsi="Arial" w:cs="Arial"/>
        </w:rPr>
      </w:pPr>
      <w:r w:rsidRPr="73F31BAE">
        <w:rPr>
          <w:rFonts w:ascii="Arial" w:eastAsia="Arial" w:hAnsi="Arial" w:cs="Arial"/>
        </w:rPr>
        <w:t>Additionally, a study has shown that an elevated level of interdealer trade characterized dealer markets like the LSE</w:t>
      </w:r>
      <w:r w:rsidR="78A0E22D" w:rsidRPr="73F31BAE">
        <w:rPr>
          <w:rFonts w:ascii="Arial" w:eastAsia="Arial" w:hAnsi="Arial" w:cs="Arial"/>
        </w:rPr>
        <w:t xml:space="preserve"> (</w:t>
      </w:r>
      <w:r w:rsidR="78A0E22D" w:rsidRPr="73F31BAE">
        <w:rPr>
          <w:rFonts w:ascii="Arial" w:eastAsia="Arial" w:hAnsi="Arial" w:cs="Arial"/>
          <w:color w:val="1E1D1A"/>
        </w:rPr>
        <w:t>An</w:t>
      </w:r>
      <w:r w:rsidR="78A0E22D" w:rsidRPr="73F31BAE">
        <w:rPr>
          <w:rFonts w:ascii="Arial" w:eastAsia="Arial" w:hAnsi="Arial" w:cs="Arial"/>
        </w:rPr>
        <w:t>derson, and Dyl, 2005)</w:t>
      </w:r>
      <w:r w:rsidRPr="73F31BAE">
        <w:rPr>
          <w:rFonts w:ascii="Arial" w:eastAsia="Arial" w:hAnsi="Arial" w:cs="Arial"/>
        </w:rPr>
        <w:t>. In accordance with an additional study, interdealer trading on the LSE is responsible for a massive portion of overall share turnover, highlighting the importance of trading volume in the LSE's market structure</w:t>
      </w:r>
      <w:r w:rsidR="0787280E" w:rsidRPr="73F31BAE">
        <w:rPr>
          <w:rFonts w:ascii="Arial" w:eastAsia="Arial" w:hAnsi="Arial" w:cs="Arial"/>
        </w:rPr>
        <w:t xml:space="preserve"> (</w:t>
      </w:r>
      <w:r w:rsidR="0787280E" w:rsidRPr="73F31BAE">
        <w:rPr>
          <w:rFonts w:ascii="Arial" w:eastAsia="Arial" w:hAnsi="Arial" w:cs="Arial"/>
          <w:color w:val="1E1D1A"/>
        </w:rPr>
        <w:t>Reiss, and Werner, 1998)</w:t>
      </w:r>
      <w:r w:rsidRPr="73F31BAE">
        <w:rPr>
          <w:rFonts w:ascii="Arial" w:eastAsia="Arial" w:hAnsi="Arial" w:cs="Arial"/>
        </w:rPr>
        <w:t>.</w:t>
      </w:r>
    </w:p>
    <w:p w14:paraId="73DA36F1" w14:textId="13E632F3" w:rsidR="2F0C2401" w:rsidRDefault="2F0C2401" w:rsidP="73F31BAE">
      <w:pPr>
        <w:spacing w:line="360" w:lineRule="auto"/>
        <w:ind w:left="-20" w:right="-20"/>
        <w:jc w:val="both"/>
        <w:rPr>
          <w:rFonts w:ascii="Arial" w:eastAsia="Arial" w:hAnsi="Arial" w:cs="Arial"/>
        </w:rPr>
      </w:pPr>
    </w:p>
    <w:p w14:paraId="7AA5B724" w14:textId="46CFCD00" w:rsidR="7668E558" w:rsidRDefault="7D47FED4" w:rsidP="73F31BAE">
      <w:pPr>
        <w:spacing w:line="360" w:lineRule="auto"/>
        <w:ind w:left="-20" w:right="-20"/>
        <w:jc w:val="both"/>
        <w:rPr>
          <w:rFonts w:ascii="Arial" w:eastAsia="Arial" w:hAnsi="Arial" w:cs="Arial"/>
        </w:rPr>
      </w:pPr>
      <w:r w:rsidRPr="73F31BAE">
        <w:rPr>
          <w:rFonts w:ascii="Arial" w:eastAsia="Arial" w:hAnsi="Arial" w:cs="Arial"/>
        </w:rPr>
        <w:t>A study revealed that even while trading volume at the LSE can be reduced, when order flow is dispersed among several venues, worldwide trading volume increases</w:t>
      </w:r>
      <w:r w:rsidR="1D544757" w:rsidRPr="73F31BAE">
        <w:rPr>
          <w:rFonts w:ascii="Arial" w:eastAsia="Arial" w:hAnsi="Arial" w:cs="Arial"/>
        </w:rPr>
        <w:t xml:space="preserve"> (</w:t>
      </w:r>
      <w:r w:rsidR="1D544757" w:rsidRPr="73F31BAE">
        <w:rPr>
          <w:rFonts w:ascii="Arial" w:eastAsia="Arial" w:hAnsi="Arial" w:cs="Arial"/>
          <w:color w:val="000000" w:themeColor="text1"/>
        </w:rPr>
        <w:t>Koerber, Linton, and Vogt, 2013)</w:t>
      </w:r>
      <w:r w:rsidRPr="73F31BAE">
        <w:rPr>
          <w:rFonts w:ascii="Arial" w:eastAsia="Arial" w:hAnsi="Arial" w:cs="Arial"/>
        </w:rPr>
        <w:t xml:space="preserve">. </w:t>
      </w:r>
      <w:r w:rsidR="7A26B3CE" w:rsidRPr="73F31BAE">
        <w:rPr>
          <w:rFonts w:ascii="Arial" w:eastAsia="Arial" w:hAnsi="Arial" w:cs="Arial"/>
        </w:rPr>
        <w:t>This implies that fragmentation and the global market dynamics impact the amount of trading on the LSE.</w:t>
      </w:r>
    </w:p>
    <w:p w14:paraId="059BC627" w14:textId="1398BFE3" w:rsidR="2F0C2401" w:rsidRDefault="2F0C2401" w:rsidP="73F31BAE">
      <w:pPr>
        <w:spacing w:line="360" w:lineRule="auto"/>
        <w:ind w:left="-20" w:right="-20"/>
        <w:jc w:val="both"/>
        <w:rPr>
          <w:rFonts w:ascii="Arial" w:eastAsia="Arial" w:hAnsi="Arial" w:cs="Arial"/>
        </w:rPr>
      </w:pPr>
    </w:p>
    <w:p w14:paraId="7483413F" w14:textId="5E74E598" w:rsidR="1EA33125" w:rsidRDefault="559A51FF" w:rsidP="73F31BAE">
      <w:pPr>
        <w:spacing w:line="360" w:lineRule="auto"/>
        <w:ind w:left="-20" w:right="-20"/>
        <w:jc w:val="both"/>
        <w:rPr>
          <w:rFonts w:ascii="Arial" w:eastAsia="Arial" w:hAnsi="Arial" w:cs="Arial"/>
        </w:rPr>
      </w:pPr>
      <w:r w:rsidRPr="73F31BAE">
        <w:rPr>
          <w:rFonts w:ascii="Arial" w:eastAsia="Arial" w:hAnsi="Arial" w:cs="Arial"/>
        </w:rPr>
        <w:t>To add on</w:t>
      </w:r>
      <w:r w:rsidR="01DA172C" w:rsidRPr="73F31BAE">
        <w:rPr>
          <w:rFonts w:ascii="Arial" w:eastAsia="Arial" w:hAnsi="Arial" w:cs="Arial"/>
        </w:rPr>
        <w:t>, a research study employing LSE data explored the interplay between market quality attributes and the configuration of the trading system, underscoring the significance of trade volume in comprehending market quality</w:t>
      </w:r>
      <w:r w:rsidR="7E5BFB3C" w:rsidRPr="73F31BAE">
        <w:rPr>
          <w:rFonts w:ascii="Arial" w:eastAsia="Arial" w:hAnsi="Arial" w:cs="Arial"/>
        </w:rPr>
        <w:t xml:space="preserve"> (</w:t>
      </w:r>
      <w:r w:rsidR="7E5BFB3C" w:rsidRPr="73F31BAE">
        <w:rPr>
          <w:rFonts w:ascii="Arial" w:eastAsia="Arial" w:hAnsi="Arial" w:cs="Arial"/>
          <w:color w:val="000000" w:themeColor="text1"/>
        </w:rPr>
        <w:t>Cai, Harris, Hudson, and Keasey, 2013)</w:t>
      </w:r>
      <w:r w:rsidR="4B8E9255" w:rsidRPr="73F31BAE">
        <w:rPr>
          <w:rFonts w:ascii="Arial" w:eastAsia="Arial" w:hAnsi="Arial" w:cs="Arial"/>
        </w:rPr>
        <w:t xml:space="preserve">. </w:t>
      </w:r>
      <w:r w:rsidR="01DA172C" w:rsidRPr="73F31BAE">
        <w:rPr>
          <w:rFonts w:ascii="Arial" w:eastAsia="Arial" w:hAnsi="Arial" w:cs="Arial"/>
        </w:rPr>
        <w:t xml:space="preserve">The complex relationship between trading volume and price discovery was also observed in another study, </w:t>
      </w:r>
      <w:r w:rsidR="01DA172C" w:rsidRPr="73F31BAE">
        <w:rPr>
          <w:rFonts w:ascii="Arial" w:eastAsia="Arial" w:hAnsi="Arial" w:cs="Arial"/>
        </w:rPr>
        <w:lastRenderedPageBreak/>
        <w:t>which indicated a negative correlation between the LSE's share of trading volume and its part of price discovery</w:t>
      </w:r>
      <w:r w:rsidR="3A600390" w:rsidRPr="73F31BAE">
        <w:rPr>
          <w:rFonts w:ascii="Arial" w:eastAsia="Arial" w:hAnsi="Arial" w:cs="Arial"/>
        </w:rPr>
        <w:t xml:space="preserve"> (</w:t>
      </w:r>
      <w:r w:rsidR="3A600390" w:rsidRPr="73F31BAE">
        <w:rPr>
          <w:rFonts w:ascii="Arial" w:eastAsia="Arial" w:hAnsi="Arial" w:cs="Arial"/>
          <w:color w:val="000000" w:themeColor="text1"/>
        </w:rPr>
        <w:t>Ibikunle, 2018)</w:t>
      </w:r>
      <w:r w:rsidR="01DA172C" w:rsidRPr="73F31BAE">
        <w:rPr>
          <w:rFonts w:ascii="Arial" w:eastAsia="Arial" w:hAnsi="Arial" w:cs="Arial"/>
        </w:rPr>
        <w:t>.</w:t>
      </w:r>
    </w:p>
    <w:p w14:paraId="1122BC59" w14:textId="5A164F43" w:rsidR="2F0C2401" w:rsidRDefault="2F0C2401" w:rsidP="73F31BAE">
      <w:pPr>
        <w:spacing w:line="360" w:lineRule="auto"/>
        <w:ind w:left="-20" w:right="-20"/>
        <w:jc w:val="both"/>
        <w:rPr>
          <w:rFonts w:ascii="Arial" w:eastAsia="Arial" w:hAnsi="Arial" w:cs="Arial"/>
        </w:rPr>
      </w:pPr>
    </w:p>
    <w:p w14:paraId="05EF8AAB" w14:textId="470F285E" w:rsidR="2B8316D7" w:rsidRDefault="5D6E95D6" w:rsidP="73F31BAE">
      <w:pPr>
        <w:spacing w:line="360" w:lineRule="auto"/>
        <w:ind w:left="-20" w:right="-20"/>
        <w:jc w:val="both"/>
        <w:rPr>
          <w:rFonts w:ascii="Arial" w:eastAsia="Arial" w:hAnsi="Arial" w:cs="Arial"/>
        </w:rPr>
      </w:pPr>
      <w:r w:rsidRPr="73F31BAE">
        <w:rPr>
          <w:rFonts w:ascii="Arial" w:eastAsia="Arial" w:hAnsi="Arial" w:cs="Arial"/>
        </w:rPr>
        <w:t>Furthermore, an investigation revealed past information regarding the number of stocks listed on the London Stock Exchange (LSE), providing insight into the exchange's historical trading activity</w:t>
      </w:r>
      <w:r w:rsidR="798F20B7" w:rsidRPr="73F31BAE">
        <w:rPr>
          <w:rFonts w:ascii="Arial" w:eastAsia="Arial" w:hAnsi="Arial" w:cs="Arial"/>
        </w:rPr>
        <w:t xml:space="preserve"> (</w:t>
      </w:r>
      <w:r w:rsidR="798F20B7" w:rsidRPr="73F31BAE">
        <w:rPr>
          <w:rFonts w:ascii="Arial" w:eastAsia="Arial" w:hAnsi="Arial" w:cs="Arial"/>
          <w:color w:val="1E1D1A"/>
        </w:rPr>
        <w:t>Grossman, 2014)</w:t>
      </w:r>
      <w:r w:rsidRPr="73F31BAE">
        <w:rPr>
          <w:rFonts w:ascii="Arial" w:eastAsia="Arial" w:hAnsi="Arial" w:cs="Arial"/>
        </w:rPr>
        <w:t>. The evolving microstructure of European equity markets and its effect on trading volume were also covered in a study that shed light on how trading volume has changed at the LSE</w:t>
      </w:r>
      <w:r w:rsidR="650A507E" w:rsidRPr="73F31BAE">
        <w:rPr>
          <w:rFonts w:ascii="Arial" w:eastAsia="Arial" w:hAnsi="Arial" w:cs="Arial"/>
        </w:rPr>
        <w:t xml:space="preserve"> (</w:t>
      </w:r>
      <w:r w:rsidR="650A507E" w:rsidRPr="73F31BAE">
        <w:rPr>
          <w:rFonts w:ascii="Arial" w:eastAsia="Arial" w:hAnsi="Arial" w:cs="Arial"/>
          <w:color w:val="1E1D1A"/>
        </w:rPr>
        <w:t>Pagano, 1998)</w:t>
      </w:r>
      <w:r w:rsidRPr="73F31BAE">
        <w:rPr>
          <w:rFonts w:ascii="Arial" w:eastAsia="Arial" w:hAnsi="Arial" w:cs="Arial"/>
        </w:rPr>
        <w:t>.</w:t>
      </w:r>
    </w:p>
    <w:p w14:paraId="29025891" w14:textId="5F46A7D2" w:rsidR="32A7317A" w:rsidRDefault="32A7317A" w:rsidP="73F31BAE">
      <w:pPr>
        <w:spacing w:line="360" w:lineRule="auto"/>
        <w:ind w:left="-20" w:right="-20"/>
        <w:jc w:val="both"/>
        <w:rPr>
          <w:rFonts w:ascii="Arial" w:eastAsia="Arial" w:hAnsi="Arial" w:cs="Arial"/>
        </w:rPr>
      </w:pPr>
    </w:p>
    <w:p w14:paraId="7A9C56B8" w14:textId="164E7E51" w:rsidR="32A7317A" w:rsidRDefault="68BF6461" w:rsidP="73F31BAE">
      <w:pPr>
        <w:spacing w:line="360" w:lineRule="auto"/>
        <w:ind w:left="-20" w:right="-20"/>
        <w:jc w:val="both"/>
        <w:rPr>
          <w:rFonts w:ascii="Arial" w:eastAsia="Arial" w:hAnsi="Arial" w:cs="Arial"/>
        </w:rPr>
      </w:pPr>
      <w:r w:rsidRPr="73F31BAE">
        <w:rPr>
          <w:rFonts w:ascii="Arial" w:eastAsia="Arial" w:hAnsi="Arial" w:cs="Arial"/>
        </w:rPr>
        <w:t>From the above literature findings on the trading volume of the LSE and its impact on market dynamics, it is essential to include a table depicting the yearly order book trading from 2013 to 2023. This table provides valuable quantitative data on the number of trades, value traded, trading days, average daily trades, and average daily value traded. By incorporating this table into the study, it will offer a comprehensive overview of the trading volume trends over the years, allowing for a detailed analysis of the relationship between trading volume and key economic indicators. This quantitative data will complement the existing literature on trading volume and its impact on the stock market, providing empirical evidence to support the research on the impact of interest rates on the stock market in the United Kingdom.</w:t>
      </w:r>
    </w:p>
    <w:p w14:paraId="7661960A" w14:textId="30EA25F3" w:rsidR="32A7317A" w:rsidRDefault="32A7317A" w:rsidP="73F31BAE">
      <w:pPr>
        <w:ind w:left="-20" w:right="-20"/>
        <w:jc w:val="both"/>
        <w:rPr>
          <w:rFonts w:ascii="Arial" w:eastAsia="Arial" w:hAnsi="Arial" w:cs="Arial"/>
          <w:b/>
          <w:bCs/>
        </w:rPr>
      </w:pPr>
    </w:p>
    <w:p w14:paraId="4203C06A" w14:textId="7156243C" w:rsidR="73F31BAE" w:rsidRDefault="73F31BAE" w:rsidP="73F31BAE">
      <w:pPr>
        <w:ind w:left="-20" w:right="-20"/>
        <w:jc w:val="both"/>
        <w:rPr>
          <w:rFonts w:ascii="Arial" w:eastAsia="Arial" w:hAnsi="Arial" w:cs="Arial"/>
          <w:b/>
          <w:bCs/>
        </w:rPr>
      </w:pPr>
    </w:p>
    <w:p w14:paraId="1D5C72A9" w14:textId="4E0777A3" w:rsidR="73F31BAE" w:rsidRDefault="73F31BAE" w:rsidP="73F31BAE">
      <w:pPr>
        <w:ind w:left="-20" w:right="-20"/>
        <w:jc w:val="both"/>
        <w:rPr>
          <w:rFonts w:ascii="Arial" w:eastAsia="Arial" w:hAnsi="Arial" w:cs="Arial"/>
          <w:b/>
          <w:bCs/>
        </w:rPr>
      </w:pPr>
    </w:p>
    <w:p w14:paraId="729028F8" w14:textId="5CA13EC8" w:rsidR="73F31BAE" w:rsidRDefault="73F31BAE" w:rsidP="73F31BAE">
      <w:pPr>
        <w:ind w:left="-20" w:right="-20"/>
        <w:jc w:val="both"/>
        <w:rPr>
          <w:rFonts w:ascii="Arial" w:eastAsia="Arial" w:hAnsi="Arial" w:cs="Arial"/>
          <w:b/>
          <w:bCs/>
        </w:rPr>
      </w:pPr>
    </w:p>
    <w:p w14:paraId="1A9EBBC4" w14:textId="4EF13DDE" w:rsidR="32A7317A" w:rsidRDefault="3E6D9495" w:rsidP="73F31BAE">
      <w:pPr>
        <w:ind w:left="-20" w:right="-20"/>
        <w:jc w:val="both"/>
        <w:rPr>
          <w:rFonts w:ascii="Arial" w:eastAsia="Arial" w:hAnsi="Arial" w:cs="Arial"/>
          <w:b/>
          <w:bCs/>
        </w:rPr>
      </w:pPr>
      <w:r w:rsidRPr="73F31BAE">
        <w:rPr>
          <w:rFonts w:ascii="Arial" w:eastAsia="Arial" w:hAnsi="Arial" w:cs="Arial"/>
          <w:b/>
          <w:bCs/>
        </w:rPr>
        <w:t xml:space="preserve">Table no. </w:t>
      </w:r>
      <w:r w:rsidR="46A8CF87" w:rsidRPr="73F31BAE">
        <w:rPr>
          <w:rFonts w:ascii="Arial" w:eastAsia="Arial" w:hAnsi="Arial" w:cs="Arial"/>
          <w:b/>
          <w:bCs/>
        </w:rPr>
        <w:t>6</w:t>
      </w:r>
      <w:r w:rsidR="46803397" w:rsidRPr="73F31BAE">
        <w:rPr>
          <w:rFonts w:ascii="Arial" w:eastAsia="Arial" w:hAnsi="Arial" w:cs="Arial"/>
          <w:b/>
          <w:bCs/>
        </w:rPr>
        <w:t xml:space="preserve"> Yearly O</w:t>
      </w:r>
      <w:r w:rsidR="75B2280B" w:rsidRPr="73F31BAE">
        <w:rPr>
          <w:rFonts w:ascii="Arial" w:eastAsia="Arial" w:hAnsi="Arial" w:cs="Arial"/>
          <w:b/>
          <w:bCs/>
        </w:rPr>
        <w:t>r</w:t>
      </w:r>
      <w:r w:rsidR="46803397" w:rsidRPr="73F31BAE">
        <w:rPr>
          <w:rFonts w:ascii="Arial" w:eastAsia="Arial" w:hAnsi="Arial" w:cs="Arial"/>
          <w:b/>
          <w:bCs/>
        </w:rPr>
        <w:t>der Book Trading (2013-2023)</w:t>
      </w:r>
    </w:p>
    <w:tbl>
      <w:tblPr>
        <w:tblW w:w="0" w:type="auto"/>
        <w:tblLayout w:type="fixed"/>
        <w:tblLook w:val="06A0" w:firstRow="1" w:lastRow="0" w:firstColumn="1" w:lastColumn="0" w:noHBand="1" w:noVBand="1"/>
      </w:tblPr>
      <w:tblGrid>
        <w:gridCol w:w="1020"/>
        <w:gridCol w:w="1680"/>
        <w:gridCol w:w="2115"/>
        <w:gridCol w:w="1019"/>
        <w:gridCol w:w="1769"/>
        <w:gridCol w:w="1758"/>
      </w:tblGrid>
      <w:tr w:rsidR="32A7317A" w14:paraId="2DB32D6E" w14:textId="77777777" w:rsidTr="32A7317A">
        <w:trPr>
          <w:trHeight w:val="300"/>
        </w:trPr>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31F845A" w14:textId="0A5E664A" w:rsidR="32A7317A" w:rsidRDefault="32A7317A" w:rsidP="32A7317A">
            <w:pPr>
              <w:spacing w:after="0"/>
              <w:jc w:val="center"/>
            </w:pPr>
            <w:r w:rsidRPr="32A7317A">
              <w:rPr>
                <w:rFonts w:ascii="Arial" w:eastAsia="Arial" w:hAnsi="Arial" w:cs="Arial"/>
                <w:b/>
                <w:bCs/>
                <w:color w:val="000000" w:themeColor="text1"/>
              </w:rPr>
              <w:t>Calendar Year</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613C6DC" w14:textId="7297C4FE" w:rsidR="32A7317A" w:rsidRDefault="32A7317A" w:rsidP="32A7317A">
            <w:pPr>
              <w:spacing w:after="0"/>
              <w:jc w:val="center"/>
            </w:pPr>
            <w:r w:rsidRPr="32A7317A">
              <w:rPr>
                <w:rFonts w:ascii="Arial" w:eastAsia="Arial" w:hAnsi="Arial" w:cs="Arial"/>
                <w:b/>
                <w:bCs/>
                <w:color w:val="000000" w:themeColor="text1"/>
              </w:rPr>
              <w:t>Number of Trades</w:t>
            </w:r>
          </w:p>
        </w:tc>
        <w:tc>
          <w:tcPr>
            <w:tcW w:w="211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D3A3E6C" w14:textId="2179675E" w:rsidR="32A7317A" w:rsidRDefault="32A7317A" w:rsidP="32A7317A">
            <w:pPr>
              <w:spacing w:after="0"/>
              <w:jc w:val="center"/>
            </w:pPr>
            <w:r w:rsidRPr="32A7317A">
              <w:rPr>
                <w:rFonts w:ascii="Arial" w:eastAsia="Arial" w:hAnsi="Arial" w:cs="Arial"/>
                <w:b/>
                <w:bCs/>
                <w:color w:val="000000" w:themeColor="text1"/>
              </w:rPr>
              <w:t>Value Traded</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84C7317" w14:textId="2C8D7F69" w:rsidR="32A7317A" w:rsidRDefault="32A7317A" w:rsidP="32A7317A">
            <w:pPr>
              <w:spacing w:after="0"/>
              <w:jc w:val="center"/>
            </w:pPr>
            <w:r w:rsidRPr="32A7317A">
              <w:rPr>
                <w:rFonts w:ascii="Arial" w:eastAsia="Arial" w:hAnsi="Arial" w:cs="Arial"/>
                <w:b/>
                <w:bCs/>
                <w:color w:val="000000" w:themeColor="text1"/>
              </w:rPr>
              <w:t>Trading Days</w:t>
            </w:r>
          </w:p>
        </w:tc>
        <w:tc>
          <w:tcPr>
            <w:tcW w:w="176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557C949" w14:textId="4223C293" w:rsidR="32A7317A" w:rsidRDefault="32A7317A" w:rsidP="32A7317A">
            <w:pPr>
              <w:spacing w:after="0"/>
              <w:jc w:val="center"/>
            </w:pPr>
            <w:r w:rsidRPr="32A7317A">
              <w:rPr>
                <w:rFonts w:ascii="Arial" w:eastAsia="Arial" w:hAnsi="Arial" w:cs="Arial"/>
                <w:b/>
                <w:bCs/>
                <w:color w:val="000000" w:themeColor="text1"/>
              </w:rPr>
              <w:t>Average Daily Trades</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7635719" w14:textId="4F7CBFD9" w:rsidR="32A7317A" w:rsidRDefault="32A7317A" w:rsidP="32A7317A">
            <w:pPr>
              <w:spacing w:after="0"/>
              <w:jc w:val="center"/>
            </w:pPr>
            <w:r w:rsidRPr="32A7317A">
              <w:rPr>
                <w:rFonts w:ascii="Arial" w:eastAsia="Arial" w:hAnsi="Arial" w:cs="Arial"/>
                <w:b/>
                <w:bCs/>
                <w:color w:val="000000" w:themeColor="text1"/>
              </w:rPr>
              <w:t>Average Daily Value Traded</w:t>
            </w:r>
          </w:p>
        </w:tc>
      </w:tr>
      <w:tr w:rsidR="32A7317A" w14:paraId="08CBCD41" w14:textId="77777777" w:rsidTr="32A7317A">
        <w:trPr>
          <w:trHeight w:val="300"/>
        </w:trPr>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CBD944D" w14:textId="6E941AC6" w:rsidR="32A7317A" w:rsidRDefault="32A7317A" w:rsidP="32A7317A">
            <w:pPr>
              <w:spacing w:after="0"/>
              <w:jc w:val="center"/>
            </w:pPr>
            <w:r w:rsidRPr="32A7317A">
              <w:rPr>
                <w:rFonts w:ascii="Arial" w:eastAsia="Arial" w:hAnsi="Arial" w:cs="Arial"/>
                <w:color w:val="000000" w:themeColor="text1"/>
              </w:rPr>
              <w:t>2023</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73E7BFA" w14:textId="40734BD7" w:rsidR="32A7317A" w:rsidRDefault="32A7317A" w:rsidP="32A7317A">
            <w:pPr>
              <w:spacing w:after="0"/>
              <w:jc w:val="center"/>
            </w:pPr>
            <w:r w:rsidRPr="32A7317A">
              <w:rPr>
                <w:rFonts w:ascii="Arial" w:eastAsia="Arial" w:hAnsi="Arial" w:cs="Arial"/>
                <w:color w:val="000000" w:themeColor="text1"/>
              </w:rPr>
              <w:t>14,19,18,413</w:t>
            </w:r>
          </w:p>
        </w:tc>
        <w:tc>
          <w:tcPr>
            <w:tcW w:w="211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1D73AAC" w14:textId="65347680" w:rsidR="32A7317A" w:rsidRDefault="32A7317A" w:rsidP="32A7317A">
            <w:pPr>
              <w:spacing w:after="0"/>
              <w:jc w:val="center"/>
            </w:pPr>
            <w:r w:rsidRPr="32A7317A">
              <w:rPr>
                <w:rFonts w:ascii="Arial" w:eastAsia="Arial" w:hAnsi="Arial" w:cs="Arial"/>
                <w:color w:val="000000" w:themeColor="text1"/>
              </w:rPr>
              <w:t>£9,28,50,46,15,215</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C37D82B" w14:textId="73A35AEC" w:rsidR="32A7317A" w:rsidRDefault="32A7317A" w:rsidP="32A7317A">
            <w:pPr>
              <w:spacing w:after="0"/>
              <w:jc w:val="center"/>
            </w:pPr>
            <w:r w:rsidRPr="32A7317A">
              <w:rPr>
                <w:rFonts w:ascii="Arial" w:eastAsia="Arial" w:hAnsi="Arial" w:cs="Arial"/>
                <w:color w:val="000000" w:themeColor="text1"/>
              </w:rPr>
              <w:t>251</w:t>
            </w:r>
          </w:p>
        </w:tc>
        <w:tc>
          <w:tcPr>
            <w:tcW w:w="176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75986F1" w14:textId="2E5420E5" w:rsidR="32A7317A" w:rsidRDefault="32A7317A" w:rsidP="32A7317A">
            <w:pPr>
              <w:spacing w:after="0"/>
              <w:jc w:val="center"/>
            </w:pPr>
            <w:r w:rsidRPr="32A7317A">
              <w:rPr>
                <w:rFonts w:ascii="Arial" w:eastAsia="Arial" w:hAnsi="Arial" w:cs="Arial"/>
                <w:color w:val="000000" w:themeColor="text1"/>
              </w:rPr>
              <w:t>5,65,412</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23A9DEF" w14:textId="3537B7BF" w:rsidR="32A7317A" w:rsidRDefault="32A7317A" w:rsidP="32A7317A">
            <w:pPr>
              <w:spacing w:after="0"/>
              <w:jc w:val="right"/>
            </w:pPr>
            <w:r w:rsidRPr="32A7317A">
              <w:rPr>
                <w:rFonts w:ascii="Arial" w:eastAsia="Arial" w:hAnsi="Arial" w:cs="Arial"/>
                <w:color w:val="000000" w:themeColor="text1"/>
              </w:rPr>
              <w:t>£3,69,92,21,575</w:t>
            </w:r>
          </w:p>
        </w:tc>
      </w:tr>
      <w:tr w:rsidR="32A7317A" w14:paraId="6850B99A" w14:textId="77777777" w:rsidTr="32A7317A">
        <w:trPr>
          <w:trHeight w:val="300"/>
        </w:trPr>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CFDB30B" w14:textId="55D10150" w:rsidR="32A7317A" w:rsidRDefault="32A7317A" w:rsidP="32A7317A">
            <w:pPr>
              <w:spacing w:after="0"/>
              <w:jc w:val="center"/>
            </w:pPr>
            <w:r w:rsidRPr="32A7317A">
              <w:rPr>
                <w:rFonts w:ascii="Arial" w:eastAsia="Arial" w:hAnsi="Arial" w:cs="Arial"/>
                <w:color w:val="000000" w:themeColor="text1"/>
              </w:rPr>
              <w:t>2022</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4EF3B2B" w14:textId="2E13FDA1" w:rsidR="32A7317A" w:rsidRDefault="32A7317A" w:rsidP="32A7317A">
            <w:pPr>
              <w:spacing w:after="0"/>
              <w:jc w:val="center"/>
            </w:pPr>
            <w:r w:rsidRPr="32A7317A">
              <w:rPr>
                <w:rFonts w:ascii="Arial" w:eastAsia="Arial" w:hAnsi="Arial" w:cs="Arial"/>
                <w:color w:val="000000" w:themeColor="text1"/>
              </w:rPr>
              <w:t>21,75,74,960</w:t>
            </w:r>
          </w:p>
        </w:tc>
        <w:tc>
          <w:tcPr>
            <w:tcW w:w="211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32B225D" w14:textId="45AB2F1F" w:rsidR="32A7317A" w:rsidRDefault="32A7317A" w:rsidP="32A7317A">
            <w:pPr>
              <w:spacing w:after="0"/>
              <w:jc w:val="center"/>
            </w:pPr>
            <w:r w:rsidRPr="32A7317A">
              <w:rPr>
                <w:rFonts w:ascii="Arial" w:eastAsia="Arial" w:hAnsi="Arial" w:cs="Arial"/>
                <w:color w:val="000000" w:themeColor="text1"/>
              </w:rPr>
              <w:t>£11,62,07,02,82,58</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FCEA922" w14:textId="6AFF858E" w:rsidR="32A7317A" w:rsidRDefault="32A7317A" w:rsidP="32A7317A">
            <w:pPr>
              <w:spacing w:after="0"/>
              <w:jc w:val="center"/>
            </w:pPr>
            <w:r w:rsidRPr="32A7317A">
              <w:rPr>
                <w:rFonts w:ascii="Arial" w:eastAsia="Arial" w:hAnsi="Arial" w:cs="Arial"/>
                <w:color w:val="000000" w:themeColor="text1"/>
              </w:rPr>
              <w:t>250</w:t>
            </w:r>
          </w:p>
        </w:tc>
        <w:tc>
          <w:tcPr>
            <w:tcW w:w="176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9A95722" w14:textId="2879992E" w:rsidR="32A7317A" w:rsidRDefault="32A7317A" w:rsidP="32A7317A">
            <w:pPr>
              <w:spacing w:after="0"/>
              <w:jc w:val="center"/>
            </w:pPr>
            <w:r w:rsidRPr="32A7317A">
              <w:rPr>
                <w:rFonts w:ascii="Arial" w:eastAsia="Arial" w:hAnsi="Arial" w:cs="Arial"/>
                <w:color w:val="000000" w:themeColor="text1"/>
              </w:rPr>
              <w:t>8,70,300</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37FC1CD" w14:textId="4D1577B4" w:rsidR="32A7317A" w:rsidRDefault="32A7317A" w:rsidP="32A7317A">
            <w:pPr>
              <w:spacing w:after="0"/>
              <w:jc w:val="right"/>
            </w:pPr>
            <w:r w:rsidRPr="32A7317A">
              <w:rPr>
                <w:rFonts w:ascii="Arial" w:eastAsia="Arial" w:hAnsi="Arial" w:cs="Arial"/>
                <w:color w:val="000000" w:themeColor="text1"/>
              </w:rPr>
              <w:t>£4,64,82,81,130</w:t>
            </w:r>
          </w:p>
        </w:tc>
      </w:tr>
      <w:tr w:rsidR="32A7317A" w14:paraId="317A21A4" w14:textId="77777777" w:rsidTr="32A7317A">
        <w:trPr>
          <w:trHeight w:val="300"/>
        </w:trPr>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0DCA495" w14:textId="7F648E63" w:rsidR="32A7317A" w:rsidRDefault="32A7317A" w:rsidP="32A7317A">
            <w:pPr>
              <w:spacing w:after="0"/>
              <w:jc w:val="center"/>
            </w:pPr>
            <w:r w:rsidRPr="32A7317A">
              <w:rPr>
                <w:rFonts w:ascii="Arial" w:eastAsia="Arial" w:hAnsi="Arial" w:cs="Arial"/>
                <w:color w:val="000000" w:themeColor="text1"/>
              </w:rPr>
              <w:t>2021</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DC70417" w14:textId="0C316EA7" w:rsidR="32A7317A" w:rsidRDefault="32A7317A" w:rsidP="32A7317A">
            <w:pPr>
              <w:spacing w:after="0"/>
              <w:jc w:val="center"/>
            </w:pPr>
            <w:r w:rsidRPr="32A7317A">
              <w:rPr>
                <w:rFonts w:ascii="Arial" w:eastAsia="Arial" w:hAnsi="Arial" w:cs="Arial"/>
                <w:color w:val="000000" w:themeColor="text1"/>
              </w:rPr>
              <w:t>23,33,26,341</w:t>
            </w:r>
          </w:p>
        </w:tc>
        <w:tc>
          <w:tcPr>
            <w:tcW w:w="211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24C3F3C" w14:textId="50770405" w:rsidR="32A7317A" w:rsidRDefault="32A7317A" w:rsidP="32A7317A">
            <w:pPr>
              <w:spacing w:after="0"/>
              <w:jc w:val="center"/>
            </w:pPr>
            <w:r w:rsidRPr="32A7317A">
              <w:rPr>
                <w:rFonts w:ascii="Arial" w:eastAsia="Arial" w:hAnsi="Arial" w:cs="Arial"/>
                <w:color w:val="000000" w:themeColor="text1"/>
              </w:rPr>
              <w:t>£11,26,84,68,30,73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FAB287C" w14:textId="1DFE7D11" w:rsidR="32A7317A" w:rsidRDefault="32A7317A" w:rsidP="32A7317A">
            <w:pPr>
              <w:spacing w:after="0"/>
              <w:jc w:val="center"/>
            </w:pPr>
            <w:r w:rsidRPr="32A7317A">
              <w:rPr>
                <w:rFonts w:ascii="Arial" w:eastAsia="Arial" w:hAnsi="Arial" w:cs="Arial"/>
                <w:color w:val="000000" w:themeColor="text1"/>
              </w:rPr>
              <w:t>253</w:t>
            </w:r>
          </w:p>
        </w:tc>
        <w:tc>
          <w:tcPr>
            <w:tcW w:w="176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A68067E" w14:textId="3182C7B5" w:rsidR="32A7317A" w:rsidRDefault="32A7317A" w:rsidP="32A7317A">
            <w:pPr>
              <w:spacing w:after="0"/>
              <w:jc w:val="center"/>
            </w:pPr>
            <w:r w:rsidRPr="32A7317A">
              <w:rPr>
                <w:rFonts w:ascii="Arial" w:eastAsia="Arial" w:hAnsi="Arial" w:cs="Arial"/>
                <w:color w:val="000000" w:themeColor="text1"/>
              </w:rPr>
              <w:t>9,22,239</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F147B79" w14:textId="110E6CCD" w:rsidR="32A7317A" w:rsidRDefault="32A7317A" w:rsidP="32A7317A">
            <w:pPr>
              <w:spacing w:after="0"/>
              <w:jc w:val="right"/>
            </w:pPr>
            <w:r w:rsidRPr="32A7317A">
              <w:rPr>
                <w:rFonts w:ascii="Arial" w:eastAsia="Arial" w:hAnsi="Arial" w:cs="Arial"/>
                <w:color w:val="000000" w:themeColor="text1"/>
              </w:rPr>
              <w:t>£4,45,39,40,042</w:t>
            </w:r>
          </w:p>
        </w:tc>
      </w:tr>
      <w:tr w:rsidR="32A7317A" w14:paraId="125CD697" w14:textId="77777777" w:rsidTr="32A7317A">
        <w:trPr>
          <w:trHeight w:val="300"/>
        </w:trPr>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6AC7492" w14:textId="7BA4A7B4" w:rsidR="32A7317A" w:rsidRDefault="32A7317A" w:rsidP="32A7317A">
            <w:pPr>
              <w:spacing w:after="0"/>
              <w:jc w:val="center"/>
            </w:pPr>
            <w:r w:rsidRPr="32A7317A">
              <w:rPr>
                <w:rFonts w:ascii="Arial" w:eastAsia="Arial" w:hAnsi="Arial" w:cs="Arial"/>
                <w:color w:val="000000" w:themeColor="text1"/>
              </w:rPr>
              <w:t>2020</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499B7DE" w14:textId="149ECDD6" w:rsidR="32A7317A" w:rsidRDefault="32A7317A" w:rsidP="32A7317A">
            <w:pPr>
              <w:spacing w:after="0"/>
              <w:jc w:val="center"/>
            </w:pPr>
            <w:r w:rsidRPr="32A7317A">
              <w:rPr>
                <w:rFonts w:ascii="Arial" w:eastAsia="Arial" w:hAnsi="Arial" w:cs="Arial"/>
                <w:color w:val="000000" w:themeColor="text1"/>
              </w:rPr>
              <w:t>27,18,95,297</w:t>
            </w:r>
          </w:p>
        </w:tc>
        <w:tc>
          <w:tcPr>
            <w:tcW w:w="211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3C39FB06" w14:textId="1ABE810B" w:rsidR="32A7317A" w:rsidRDefault="32A7317A" w:rsidP="32A7317A">
            <w:pPr>
              <w:spacing w:after="0"/>
              <w:jc w:val="center"/>
            </w:pPr>
            <w:r w:rsidRPr="32A7317A">
              <w:rPr>
                <w:rFonts w:ascii="Arial" w:eastAsia="Arial" w:hAnsi="Arial" w:cs="Arial"/>
                <w:color w:val="000000" w:themeColor="text1"/>
              </w:rPr>
              <w:t>£12,48,58,15,08,02</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BCD0070" w14:textId="2EEDCE35" w:rsidR="32A7317A" w:rsidRDefault="32A7317A" w:rsidP="32A7317A">
            <w:pPr>
              <w:spacing w:after="0"/>
              <w:jc w:val="center"/>
            </w:pPr>
            <w:r w:rsidRPr="32A7317A">
              <w:rPr>
                <w:rFonts w:ascii="Arial" w:eastAsia="Arial" w:hAnsi="Arial" w:cs="Arial"/>
                <w:color w:val="000000" w:themeColor="text1"/>
              </w:rPr>
              <w:t>254</w:t>
            </w:r>
          </w:p>
        </w:tc>
        <w:tc>
          <w:tcPr>
            <w:tcW w:w="176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F772D2F" w14:textId="12E75002" w:rsidR="32A7317A" w:rsidRDefault="32A7317A" w:rsidP="32A7317A">
            <w:pPr>
              <w:spacing w:after="0"/>
              <w:jc w:val="center"/>
            </w:pPr>
            <w:r w:rsidRPr="32A7317A">
              <w:rPr>
                <w:rFonts w:ascii="Arial" w:eastAsia="Arial" w:hAnsi="Arial" w:cs="Arial"/>
                <w:color w:val="000000" w:themeColor="text1"/>
              </w:rPr>
              <w:t>10,70,454</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6536E31" w14:textId="211AA174" w:rsidR="32A7317A" w:rsidRDefault="32A7317A" w:rsidP="32A7317A">
            <w:pPr>
              <w:spacing w:after="0"/>
              <w:jc w:val="right"/>
            </w:pPr>
            <w:r w:rsidRPr="32A7317A">
              <w:rPr>
                <w:rFonts w:ascii="Arial" w:eastAsia="Arial" w:hAnsi="Arial" w:cs="Arial"/>
                <w:color w:val="000000" w:themeColor="text1"/>
              </w:rPr>
              <w:t>£4,91,56,75,228</w:t>
            </w:r>
          </w:p>
        </w:tc>
      </w:tr>
      <w:tr w:rsidR="32A7317A" w14:paraId="4E6CF3DA" w14:textId="77777777" w:rsidTr="32A7317A">
        <w:trPr>
          <w:trHeight w:val="300"/>
        </w:trPr>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8BA32D4" w14:textId="71739884" w:rsidR="32A7317A" w:rsidRDefault="32A7317A" w:rsidP="32A7317A">
            <w:pPr>
              <w:spacing w:after="0"/>
              <w:jc w:val="center"/>
            </w:pPr>
            <w:r w:rsidRPr="32A7317A">
              <w:rPr>
                <w:rFonts w:ascii="Arial" w:eastAsia="Arial" w:hAnsi="Arial" w:cs="Arial"/>
                <w:color w:val="000000" w:themeColor="text1"/>
              </w:rPr>
              <w:t>2019</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7273903" w14:textId="0695EEB8" w:rsidR="32A7317A" w:rsidRDefault="32A7317A" w:rsidP="32A7317A">
            <w:pPr>
              <w:spacing w:after="0"/>
              <w:jc w:val="center"/>
            </w:pPr>
            <w:r w:rsidRPr="32A7317A">
              <w:rPr>
                <w:rFonts w:ascii="Arial" w:eastAsia="Arial" w:hAnsi="Arial" w:cs="Arial"/>
                <w:color w:val="000000" w:themeColor="text1"/>
              </w:rPr>
              <w:t>22,08,49,311</w:t>
            </w:r>
          </w:p>
        </w:tc>
        <w:tc>
          <w:tcPr>
            <w:tcW w:w="211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0CFEC79" w14:textId="51EA1E5C" w:rsidR="32A7317A" w:rsidRDefault="32A7317A" w:rsidP="32A7317A">
            <w:pPr>
              <w:spacing w:after="0"/>
              <w:jc w:val="center"/>
            </w:pPr>
            <w:r w:rsidRPr="32A7317A">
              <w:rPr>
                <w:rFonts w:ascii="Arial" w:eastAsia="Arial" w:hAnsi="Arial" w:cs="Arial"/>
                <w:color w:val="000000" w:themeColor="text1"/>
              </w:rPr>
              <w:t>£11,88,29,41,67,81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885DE52" w14:textId="4D194632" w:rsidR="32A7317A" w:rsidRDefault="32A7317A" w:rsidP="32A7317A">
            <w:pPr>
              <w:spacing w:after="0"/>
              <w:jc w:val="center"/>
            </w:pPr>
            <w:r w:rsidRPr="32A7317A">
              <w:rPr>
                <w:rFonts w:ascii="Arial" w:eastAsia="Arial" w:hAnsi="Arial" w:cs="Arial"/>
                <w:color w:val="000000" w:themeColor="text1"/>
              </w:rPr>
              <w:t>253</w:t>
            </w:r>
          </w:p>
        </w:tc>
        <w:tc>
          <w:tcPr>
            <w:tcW w:w="176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A4B81E4" w14:textId="10D139F0" w:rsidR="32A7317A" w:rsidRDefault="32A7317A" w:rsidP="32A7317A">
            <w:pPr>
              <w:spacing w:after="0"/>
              <w:jc w:val="center"/>
            </w:pPr>
            <w:r w:rsidRPr="32A7317A">
              <w:rPr>
                <w:rFonts w:ascii="Arial" w:eastAsia="Arial" w:hAnsi="Arial" w:cs="Arial"/>
                <w:color w:val="000000" w:themeColor="text1"/>
              </w:rPr>
              <w:t>8,72,922</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7BC699E" w14:textId="131F674D" w:rsidR="32A7317A" w:rsidRDefault="32A7317A" w:rsidP="32A7317A">
            <w:pPr>
              <w:spacing w:after="0"/>
              <w:jc w:val="right"/>
            </w:pPr>
            <w:r w:rsidRPr="32A7317A">
              <w:rPr>
                <w:rFonts w:ascii="Arial" w:eastAsia="Arial" w:hAnsi="Arial" w:cs="Arial"/>
                <w:color w:val="000000" w:themeColor="text1"/>
              </w:rPr>
              <w:t>£4,69,68,14,893</w:t>
            </w:r>
          </w:p>
        </w:tc>
      </w:tr>
      <w:tr w:rsidR="32A7317A" w14:paraId="19B6538B" w14:textId="77777777" w:rsidTr="32A7317A">
        <w:trPr>
          <w:trHeight w:val="300"/>
        </w:trPr>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CD2C352" w14:textId="7D24BCAE" w:rsidR="32A7317A" w:rsidRDefault="32A7317A" w:rsidP="32A7317A">
            <w:pPr>
              <w:spacing w:after="0"/>
              <w:jc w:val="center"/>
            </w:pPr>
            <w:r w:rsidRPr="32A7317A">
              <w:rPr>
                <w:rFonts w:ascii="Arial" w:eastAsia="Arial" w:hAnsi="Arial" w:cs="Arial"/>
                <w:color w:val="000000" w:themeColor="text1"/>
              </w:rPr>
              <w:t>2018</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2739AB00" w14:textId="725D11F6" w:rsidR="32A7317A" w:rsidRDefault="32A7317A" w:rsidP="32A7317A">
            <w:pPr>
              <w:spacing w:after="0"/>
              <w:jc w:val="center"/>
            </w:pPr>
            <w:r w:rsidRPr="32A7317A">
              <w:rPr>
                <w:rFonts w:ascii="Arial" w:eastAsia="Arial" w:hAnsi="Arial" w:cs="Arial"/>
                <w:color w:val="000000" w:themeColor="text1"/>
              </w:rPr>
              <w:t>27,26,05,680</w:t>
            </w:r>
          </w:p>
        </w:tc>
        <w:tc>
          <w:tcPr>
            <w:tcW w:w="211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A44F334" w14:textId="6B9CB084" w:rsidR="32A7317A" w:rsidRDefault="32A7317A" w:rsidP="32A7317A">
            <w:pPr>
              <w:spacing w:after="0"/>
              <w:jc w:val="center"/>
            </w:pPr>
            <w:r w:rsidRPr="32A7317A">
              <w:rPr>
                <w:rFonts w:ascii="Arial" w:eastAsia="Arial" w:hAnsi="Arial" w:cs="Arial"/>
                <w:color w:val="000000" w:themeColor="text1"/>
              </w:rPr>
              <w:t>£14,56,42,40,37,91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7F02F15" w14:textId="1AE08652" w:rsidR="32A7317A" w:rsidRDefault="32A7317A" w:rsidP="32A7317A">
            <w:pPr>
              <w:spacing w:after="0"/>
              <w:jc w:val="center"/>
            </w:pPr>
            <w:r w:rsidRPr="32A7317A">
              <w:rPr>
                <w:rFonts w:ascii="Arial" w:eastAsia="Arial" w:hAnsi="Arial" w:cs="Arial"/>
                <w:color w:val="000000" w:themeColor="text1"/>
              </w:rPr>
              <w:t>253</w:t>
            </w:r>
          </w:p>
        </w:tc>
        <w:tc>
          <w:tcPr>
            <w:tcW w:w="176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C11F23F" w14:textId="2E994972" w:rsidR="32A7317A" w:rsidRDefault="32A7317A" w:rsidP="32A7317A">
            <w:pPr>
              <w:spacing w:after="0"/>
              <w:jc w:val="center"/>
            </w:pPr>
            <w:r w:rsidRPr="32A7317A">
              <w:rPr>
                <w:rFonts w:ascii="Arial" w:eastAsia="Arial" w:hAnsi="Arial" w:cs="Arial"/>
                <w:color w:val="000000" w:themeColor="text1"/>
              </w:rPr>
              <w:t>10,77,493</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A143C5A" w14:textId="6BCE8C04" w:rsidR="32A7317A" w:rsidRDefault="32A7317A" w:rsidP="32A7317A">
            <w:pPr>
              <w:spacing w:after="0"/>
              <w:jc w:val="right"/>
            </w:pPr>
            <w:r w:rsidRPr="32A7317A">
              <w:rPr>
                <w:rFonts w:ascii="Arial" w:eastAsia="Arial" w:hAnsi="Arial" w:cs="Arial"/>
                <w:color w:val="000000" w:themeColor="text1"/>
              </w:rPr>
              <w:t>£5,75,66,16,751</w:t>
            </w:r>
          </w:p>
        </w:tc>
      </w:tr>
      <w:tr w:rsidR="32A7317A" w14:paraId="3E7222D3" w14:textId="77777777" w:rsidTr="32A7317A">
        <w:trPr>
          <w:trHeight w:val="300"/>
        </w:trPr>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CFE265E" w14:textId="4FB97F7F" w:rsidR="32A7317A" w:rsidRDefault="32A7317A" w:rsidP="32A7317A">
            <w:pPr>
              <w:spacing w:after="0"/>
              <w:jc w:val="center"/>
            </w:pPr>
            <w:r w:rsidRPr="32A7317A">
              <w:rPr>
                <w:rFonts w:ascii="Arial" w:eastAsia="Arial" w:hAnsi="Arial" w:cs="Arial"/>
                <w:color w:val="000000" w:themeColor="text1"/>
              </w:rPr>
              <w:t>2017</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DF4383C" w14:textId="710FC3B9" w:rsidR="32A7317A" w:rsidRDefault="32A7317A" w:rsidP="32A7317A">
            <w:pPr>
              <w:spacing w:after="0"/>
              <w:jc w:val="center"/>
            </w:pPr>
            <w:r w:rsidRPr="32A7317A">
              <w:rPr>
                <w:rFonts w:ascii="Arial" w:eastAsia="Arial" w:hAnsi="Arial" w:cs="Arial"/>
                <w:color w:val="000000" w:themeColor="text1"/>
              </w:rPr>
              <w:t>25,87,09,296</w:t>
            </w:r>
          </w:p>
        </w:tc>
        <w:tc>
          <w:tcPr>
            <w:tcW w:w="211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9F72C74" w14:textId="448A9F22" w:rsidR="32A7317A" w:rsidRDefault="32A7317A" w:rsidP="32A7317A">
            <w:pPr>
              <w:spacing w:after="0"/>
              <w:jc w:val="center"/>
            </w:pPr>
            <w:r w:rsidRPr="32A7317A">
              <w:rPr>
                <w:rFonts w:ascii="Arial" w:eastAsia="Arial" w:hAnsi="Arial" w:cs="Arial"/>
                <w:color w:val="000000" w:themeColor="text1"/>
              </w:rPr>
              <w:t>£13,38,97,03,68,99</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254EC5B" w14:textId="20C01866" w:rsidR="32A7317A" w:rsidRDefault="32A7317A" w:rsidP="32A7317A">
            <w:pPr>
              <w:spacing w:after="0"/>
              <w:jc w:val="center"/>
            </w:pPr>
            <w:r w:rsidRPr="32A7317A">
              <w:rPr>
                <w:rFonts w:ascii="Arial" w:eastAsia="Arial" w:hAnsi="Arial" w:cs="Arial"/>
                <w:color w:val="000000" w:themeColor="text1"/>
              </w:rPr>
              <w:t>252</w:t>
            </w:r>
          </w:p>
        </w:tc>
        <w:tc>
          <w:tcPr>
            <w:tcW w:w="176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01956FF" w14:textId="312E5EB7" w:rsidR="32A7317A" w:rsidRDefault="32A7317A" w:rsidP="32A7317A">
            <w:pPr>
              <w:spacing w:after="0"/>
              <w:jc w:val="center"/>
            </w:pPr>
            <w:r w:rsidRPr="32A7317A">
              <w:rPr>
                <w:rFonts w:ascii="Arial" w:eastAsia="Arial" w:hAnsi="Arial" w:cs="Arial"/>
                <w:color w:val="000000" w:themeColor="text1"/>
              </w:rPr>
              <w:t>10,26,624</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B63C9E7" w14:textId="691FA3FA" w:rsidR="32A7317A" w:rsidRDefault="32A7317A" w:rsidP="32A7317A">
            <w:pPr>
              <w:spacing w:after="0"/>
              <w:jc w:val="right"/>
            </w:pPr>
            <w:r w:rsidRPr="32A7317A">
              <w:rPr>
                <w:rFonts w:ascii="Arial" w:eastAsia="Arial" w:hAnsi="Arial" w:cs="Arial"/>
                <w:color w:val="000000" w:themeColor="text1"/>
              </w:rPr>
              <w:t>£5,31,33,74,480</w:t>
            </w:r>
          </w:p>
        </w:tc>
      </w:tr>
      <w:tr w:rsidR="32A7317A" w14:paraId="3C8AFA37" w14:textId="77777777" w:rsidTr="32A7317A">
        <w:trPr>
          <w:trHeight w:val="300"/>
        </w:trPr>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32DBD77" w14:textId="12448A72" w:rsidR="32A7317A" w:rsidRDefault="32A7317A" w:rsidP="32A7317A">
            <w:pPr>
              <w:spacing w:after="0"/>
              <w:jc w:val="center"/>
            </w:pPr>
            <w:r w:rsidRPr="32A7317A">
              <w:rPr>
                <w:rFonts w:ascii="Arial" w:eastAsia="Arial" w:hAnsi="Arial" w:cs="Arial"/>
                <w:color w:val="000000" w:themeColor="text1"/>
              </w:rPr>
              <w:lastRenderedPageBreak/>
              <w:t>2016</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FF0BC48" w14:textId="5549B2FE" w:rsidR="32A7317A" w:rsidRDefault="32A7317A" w:rsidP="32A7317A">
            <w:pPr>
              <w:spacing w:after="0"/>
              <w:jc w:val="center"/>
            </w:pPr>
            <w:r w:rsidRPr="32A7317A">
              <w:rPr>
                <w:rFonts w:ascii="Arial" w:eastAsia="Arial" w:hAnsi="Arial" w:cs="Arial"/>
                <w:color w:val="000000" w:themeColor="text1"/>
              </w:rPr>
              <w:t>24,96,90,890</w:t>
            </w:r>
          </w:p>
        </w:tc>
        <w:tc>
          <w:tcPr>
            <w:tcW w:w="211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5C91A34" w14:textId="68A8697D" w:rsidR="32A7317A" w:rsidRDefault="32A7317A" w:rsidP="32A7317A">
            <w:pPr>
              <w:spacing w:after="0"/>
              <w:jc w:val="center"/>
            </w:pPr>
            <w:r w:rsidRPr="32A7317A">
              <w:rPr>
                <w:rFonts w:ascii="Arial" w:eastAsia="Arial" w:hAnsi="Arial" w:cs="Arial"/>
                <w:color w:val="000000" w:themeColor="text1"/>
              </w:rPr>
              <w:t>£12,79,50,54,72,27</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EBD538E" w14:textId="66469D0A" w:rsidR="32A7317A" w:rsidRDefault="32A7317A" w:rsidP="32A7317A">
            <w:pPr>
              <w:spacing w:after="0"/>
              <w:jc w:val="center"/>
            </w:pPr>
            <w:r w:rsidRPr="32A7317A">
              <w:rPr>
                <w:rFonts w:ascii="Arial" w:eastAsia="Arial" w:hAnsi="Arial" w:cs="Arial"/>
                <w:color w:val="000000" w:themeColor="text1"/>
              </w:rPr>
              <w:t>253</w:t>
            </w:r>
          </w:p>
        </w:tc>
        <w:tc>
          <w:tcPr>
            <w:tcW w:w="176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EF58499" w14:textId="352C2256" w:rsidR="32A7317A" w:rsidRDefault="32A7317A" w:rsidP="32A7317A">
            <w:pPr>
              <w:spacing w:after="0"/>
              <w:jc w:val="center"/>
            </w:pPr>
            <w:r w:rsidRPr="32A7317A">
              <w:rPr>
                <w:rFonts w:ascii="Arial" w:eastAsia="Arial" w:hAnsi="Arial" w:cs="Arial"/>
                <w:color w:val="000000" w:themeColor="text1"/>
              </w:rPr>
              <w:t>9,86,921</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05EDD3C" w14:textId="413F4E74" w:rsidR="32A7317A" w:rsidRDefault="32A7317A" w:rsidP="32A7317A">
            <w:pPr>
              <w:spacing w:after="0"/>
              <w:jc w:val="right"/>
            </w:pPr>
            <w:r w:rsidRPr="32A7317A">
              <w:rPr>
                <w:rFonts w:ascii="Arial" w:eastAsia="Arial" w:hAnsi="Arial" w:cs="Arial"/>
                <w:color w:val="000000" w:themeColor="text1"/>
              </w:rPr>
              <w:t>£5,05,73,33,883</w:t>
            </w:r>
          </w:p>
        </w:tc>
      </w:tr>
      <w:tr w:rsidR="32A7317A" w14:paraId="4FD4929A" w14:textId="77777777" w:rsidTr="32A7317A">
        <w:trPr>
          <w:trHeight w:val="300"/>
        </w:trPr>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99D061B" w14:textId="24CEB5CB" w:rsidR="32A7317A" w:rsidRDefault="32A7317A" w:rsidP="32A7317A">
            <w:pPr>
              <w:spacing w:after="0"/>
              <w:jc w:val="center"/>
            </w:pPr>
            <w:r w:rsidRPr="32A7317A">
              <w:rPr>
                <w:rFonts w:ascii="Arial" w:eastAsia="Arial" w:hAnsi="Arial" w:cs="Arial"/>
                <w:color w:val="000000" w:themeColor="text1"/>
              </w:rPr>
              <w:t>2015</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A9E4CA0" w14:textId="285E99FA" w:rsidR="32A7317A" w:rsidRDefault="32A7317A" w:rsidP="32A7317A">
            <w:pPr>
              <w:spacing w:after="0"/>
              <w:jc w:val="center"/>
            </w:pPr>
            <w:r w:rsidRPr="32A7317A">
              <w:rPr>
                <w:rFonts w:ascii="Arial" w:eastAsia="Arial" w:hAnsi="Arial" w:cs="Arial"/>
                <w:color w:val="000000" w:themeColor="text1"/>
              </w:rPr>
              <w:t>21,86,93,844</w:t>
            </w:r>
          </w:p>
        </w:tc>
        <w:tc>
          <w:tcPr>
            <w:tcW w:w="211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98009DA" w14:textId="7A831B5F" w:rsidR="32A7317A" w:rsidRDefault="32A7317A" w:rsidP="32A7317A">
            <w:pPr>
              <w:spacing w:after="0"/>
              <w:jc w:val="center"/>
            </w:pPr>
            <w:r w:rsidRPr="32A7317A">
              <w:rPr>
                <w:rFonts w:ascii="Arial" w:eastAsia="Arial" w:hAnsi="Arial" w:cs="Arial"/>
                <w:color w:val="000000" w:themeColor="text1"/>
              </w:rPr>
              <w:t>£12,35,86,34,75,46</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CBB00C3" w14:textId="61828A98" w:rsidR="32A7317A" w:rsidRDefault="32A7317A" w:rsidP="32A7317A">
            <w:pPr>
              <w:spacing w:after="0"/>
              <w:jc w:val="center"/>
            </w:pPr>
            <w:r w:rsidRPr="32A7317A">
              <w:rPr>
                <w:rFonts w:ascii="Arial" w:eastAsia="Arial" w:hAnsi="Arial" w:cs="Arial"/>
                <w:color w:val="000000" w:themeColor="text1"/>
              </w:rPr>
              <w:t>253</w:t>
            </w:r>
          </w:p>
        </w:tc>
        <w:tc>
          <w:tcPr>
            <w:tcW w:w="176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C16851E" w14:textId="138FBA0F" w:rsidR="32A7317A" w:rsidRDefault="32A7317A" w:rsidP="32A7317A">
            <w:pPr>
              <w:spacing w:after="0"/>
              <w:jc w:val="center"/>
            </w:pPr>
            <w:r w:rsidRPr="32A7317A">
              <w:rPr>
                <w:rFonts w:ascii="Arial" w:eastAsia="Arial" w:hAnsi="Arial" w:cs="Arial"/>
                <w:color w:val="000000" w:themeColor="text1"/>
              </w:rPr>
              <w:t>8,64,403</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83F9DA5" w14:textId="7C1FE6F0" w:rsidR="32A7317A" w:rsidRDefault="32A7317A" w:rsidP="32A7317A">
            <w:pPr>
              <w:spacing w:after="0"/>
              <w:jc w:val="right"/>
            </w:pPr>
            <w:r w:rsidRPr="32A7317A">
              <w:rPr>
                <w:rFonts w:ascii="Arial" w:eastAsia="Arial" w:hAnsi="Arial" w:cs="Arial"/>
                <w:color w:val="000000" w:themeColor="text1"/>
              </w:rPr>
              <w:t>£4,88,48,35,871</w:t>
            </w:r>
          </w:p>
        </w:tc>
      </w:tr>
      <w:tr w:rsidR="32A7317A" w14:paraId="162D74CB" w14:textId="77777777" w:rsidTr="32A7317A">
        <w:trPr>
          <w:trHeight w:val="300"/>
        </w:trPr>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03F2EEB" w14:textId="00A20B20" w:rsidR="32A7317A" w:rsidRDefault="32A7317A" w:rsidP="32A7317A">
            <w:pPr>
              <w:spacing w:after="0"/>
              <w:jc w:val="center"/>
            </w:pPr>
            <w:r w:rsidRPr="32A7317A">
              <w:rPr>
                <w:rFonts w:ascii="Arial" w:eastAsia="Arial" w:hAnsi="Arial" w:cs="Arial"/>
                <w:color w:val="000000" w:themeColor="text1"/>
              </w:rPr>
              <w:t>2014</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4C7D0C9" w14:textId="40E52AF0" w:rsidR="32A7317A" w:rsidRDefault="32A7317A" w:rsidP="32A7317A">
            <w:pPr>
              <w:spacing w:after="0"/>
              <w:jc w:val="center"/>
            </w:pPr>
            <w:r w:rsidRPr="32A7317A">
              <w:rPr>
                <w:rFonts w:ascii="Arial" w:eastAsia="Arial" w:hAnsi="Arial" w:cs="Arial"/>
                <w:color w:val="000000" w:themeColor="text1"/>
              </w:rPr>
              <w:t>18,81,59,573</w:t>
            </w:r>
          </w:p>
        </w:tc>
        <w:tc>
          <w:tcPr>
            <w:tcW w:w="211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58CFDE8" w14:textId="15ABDCD9" w:rsidR="32A7317A" w:rsidRDefault="32A7317A" w:rsidP="32A7317A">
            <w:pPr>
              <w:spacing w:after="0"/>
              <w:jc w:val="center"/>
            </w:pPr>
            <w:r w:rsidRPr="32A7317A">
              <w:rPr>
                <w:rFonts w:ascii="Arial" w:eastAsia="Arial" w:hAnsi="Arial" w:cs="Arial"/>
                <w:color w:val="000000" w:themeColor="text1"/>
              </w:rPr>
              <w:t>£11,64,63,18,40,38</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9337019" w14:textId="7BEED968" w:rsidR="32A7317A" w:rsidRDefault="32A7317A" w:rsidP="32A7317A">
            <w:pPr>
              <w:spacing w:after="0"/>
              <w:jc w:val="center"/>
            </w:pPr>
            <w:r w:rsidRPr="32A7317A">
              <w:rPr>
                <w:rFonts w:ascii="Arial" w:eastAsia="Arial" w:hAnsi="Arial" w:cs="Arial"/>
                <w:color w:val="000000" w:themeColor="text1"/>
              </w:rPr>
              <w:t>253</w:t>
            </w:r>
          </w:p>
        </w:tc>
        <w:tc>
          <w:tcPr>
            <w:tcW w:w="176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73A0D244" w14:textId="335C5D35" w:rsidR="32A7317A" w:rsidRDefault="32A7317A" w:rsidP="32A7317A">
            <w:pPr>
              <w:spacing w:after="0"/>
              <w:jc w:val="center"/>
            </w:pPr>
            <w:r w:rsidRPr="32A7317A">
              <w:rPr>
                <w:rFonts w:ascii="Arial" w:eastAsia="Arial" w:hAnsi="Arial" w:cs="Arial"/>
                <w:color w:val="000000" w:themeColor="text1"/>
              </w:rPr>
              <w:t>7,43,714</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129F62C4" w14:textId="7E5A5F28" w:rsidR="32A7317A" w:rsidRDefault="32A7317A" w:rsidP="32A7317A">
            <w:pPr>
              <w:spacing w:after="0"/>
              <w:jc w:val="right"/>
            </w:pPr>
            <w:r w:rsidRPr="32A7317A">
              <w:rPr>
                <w:rFonts w:ascii="Arial" w:eastAsia="Arial" w:hAnsi="Arial" w:cs="Arial"/>
                <w:color w:val="000000" w:themeColor="text1"/>
              </w:rPr>
              <w:t>£4,60,32,87,907</w:t>
            </w:r>
          </w:p>
        </w:tc>
      </w:tr>
      <w:tr w:rsidR="32A7317A" w14:paraId="10B72093" w14:textId="77777777" w:rsidTr="32A7317A">
        <w:trPr>
          <w:trHeight w:val="300"/>
        </w:trPr>
        <w:tc>
          <w:tcPr>
            <w:tcW w:w="102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13BC233" w14:textId="1A0984A9" w:rsidR="32A7317A" w:rsidRDefault="32A7317A" w:rsidP="32A7317A">
            <w:pPr>
              <w:spacing w:after="0"/>
              <w:jc w:val="center"/>
            </w:pPr>
            <w:r w:rsidRPr="32A7317A">
              <w:rPr>
                <w:rFonts w:ascii="Arial" w:eastAsia="Arial" w:hAnsi="Arial" w:cs="Arial"/>
                <w:color w:val="000000" w:themeColor="text1"/>
              </w:rPr>
              <w:t>2013</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490FC50" w14:textId="30DFBF1D" w:rsidR="32A7317A" w:rsidRDefault="32A7317A" w:rsidP="32A7317A">
            <w:pPr>
              <w:spacing w:after="0"/>
              <w:jc w:val="center"/>
            </w:pPr>
            <w:r w:rsidRPr="32A7317A">
              <w:rPr>
                <w:rFonts w:ascii="Arial" w:eastAsia="Arial" w:hAnsi="Arial" w:cs="Arial"/>
                <w:color w:val="000000" w:themeColor="text1"/>
              </w:rPr>
              <w:t>15,52,76,180</w:t>
            </w:r>
          </w:p>
        </w:tc>
        <w:tc>
          <w:tcPr>
            <w:tcW w:w="2115"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04517CD8" w14:textId="07958A9A" w:rsidR="32A7317A" w:rsidRDefault="32A7317A" w:rsidP="32A7317A">
            <w:pPr>
              <w:spacing w:after="0"/>
              <w:jc w:val="center"/>
            </w:pPr>
            <w:r w:rsidRPr="32A7317A">
              <w:rPr>
                <w:rFonts w:ascii="Arial" w:eastAsia="Arial" w:hAnsi="Arial" w:cs="Arial"/>
                <w:color w:val="000000" w:themeColor="text1"/>
              </w:rPr>
              <w:t>£10,22,60,47,30,00</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FF69FE2" w14:textId="001B86B9" w:rsidR="32A7317A" w:rsidRDefault="32A7317A" w:rsidP="32A7317A">
            <w:pPr>
              <w:spacing w:after="0"/>
              <w:jc w:val="center"/>
            </w:pPr>
            <w:r w:rsidRPr="32A7317A">
              <w:rPr>
                <w:rFonts w:ascii="Arial" w:eastAsia="Arial" w:hAnsi="Arial" w:cs="Arial"/>
                <w:color w:val="000000" w:themeColor="text1"/>
              </w:rPr>
              <w:t>253</w:t>
            </w:r>
          </w:p>
        </w:tc>
        <w:tc>
          <w:tcPr>
            <w:tcW w:w="1769"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4B37D31B" w14:textId="463C5BBA" w:rsidR="32A7317A" w:rsidRDefault="32A7317A" w:rsidP="32A7317A">
            <w:pPr>
              <w:spacing w:after="0"/>
              <w:jc w:val="center"/>
            </w:pPr>
            <w:r w:rsidRPr="32A7317A">
              <w:rPr>
                <w:rFonts w:ascii="Arial" w:eastAsia="Arial" w:hAnsi="Arial" w:cs="Arial"/>
                <w:color w:val="000000" w:themeColor="text1"/>
              </w:rPr>
              <w:t>6,13,740</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65477BA8" w14:textId="5A768F7C" w:rsidR="32A7317A" w:rsidRDefault="32A7317A" w:rsidP="32A7317A">
            <w:pPr>
              <w:spacing w:after="0"/>
              <w:jc w:val="right"/>
            </w:pPr>
            <w:r w:rsidRPr="32A7317A">
              <w:rPr>
                <w:rFonts w:ascii="Arial" w:eastAsia="Arial" w:hAnsi="Arial" w:cs="Arial"/>
                <w:color w:val="000000" w:themeColor="text1"/>
              </w:rPr>
              <w:t>£4,04,19,15,929</w:t>
            </w:r>
          </w:p>
        </w:tc>
      </w:tr>
    </w:tbl>
    <w:p w14:paraId="3845E414" w14:textId="6E9D48EB" w:rsidR="701C01F8" w:rsidRDefault="701C01F8" w:rsidP="32A7317A">
      <w:pPr>
        <w:ind w:left="-20" w:right="-20"/>
        <w:jc w:val="center"/>
        <w:rPr>
          <w:rFonts w:ascii="Arial" w:eastAsia="Arial" w:hAnsi="Arial" w:cs="Arial"/>
          <w:b/>
          <w:bCs/>
        </w:rPr>
      </w:pPr>
      <w:r w:rsidRPr="32A7317A">
        <w:rPr>
          <w:rFonts w:ascii="Arial" w:eastAsia="Arial" w:hAnsi="Arial" w:cs="Arial"/>
        </w:rPr>
        <w:t>Source: London Stock Exchange (2024)</w:t>
      </w:r>
    </w:p>
    <w:p w14:paraId="0BDC69BA" w14:textId="71C734A9" w:rsidR="32A7317A" w:rsidRDefault="32A7317A" w:rsidP="32A7317A">
      <w:pPr>
        <w:ind w:left="-20" w:right="-20"/>
        <w:jc w:val="both"/>
        <w:rPr>
          <w:rFonts w:ascii="Arial" w:eastAsia="Arial" w:hAnsi="Arial" w:cs="Arial"/>
        </w:rPr>
      </w:pPr>
    </w:p>
    <w:p w14:paraId="3224CC62" w14:textId="7339CD43" w:rsidR="7F1B323B" w:rsidRDefault="1EFF73F9" w:rsidP="73F31BAE">
      <w:pPr>
        <w:spacing w:line="360" w:lineRule="auto"/>
        <w:ind w:left="-20" w:right="-20"/>
        <w:jc w:val="both"/>
        <w:rPr>
          <w:rFonts w:ascii="Arial" w:eastAsia="Arial" w:hAnsi="Arial" w:cs="Arial"/>
        </w:rPr>
      </w:pPr>
      <w:r w:rsidRPr="73F31BAE">
        <w:rPr>
          <w:rFonts w:ascii="Arial" w:eastAsia="Arial" w:hAnsi="Arial" w:cs="Arial"/>
        </w:rPr>
        <w:t>This is a thorough explanation of the table:</w:t>
      </w:r>
    </w:p>
    <w:p w14:paraId="02B6289B" w14:textId="076ED61F" w:rsidR="7F1B323B" w:rsidRDefault="1EFF73F9" w:rsidP="73F31BAE">
      <w:pPr>
        <w:pStyle w:val="ListParagraph"/>
        <w:numPr>
          <w:ilvl w:val="0"/>
          <w:numId w:val="16"/>
        </w:numPr>
        <w:spacing w:line="360" w:lineRule="auto"/>
        <w:ind w:right="-20"/>
        <w:jc w:val="both"/>
        <w:rPr>
          <w:rFonts w:ascii="Arial" w:eastAsia="Arial" w:hAnsi="Arial" w:cs="Arial"/>
        </w:rPr>
      </w:pPr>
      <w:r w:rsidRPr="73F31BAE">
        <w:rPr>
          <w:rFonts w:ascii="Arial" w:eastAsia="Arial" w:hAnsi="Arial" w:cs="Arial"/>
        </w:rPr>
        <w:t xml:space="preserve">The total number of trades indicates the overall volume of trading </w:t>
      </w:r>
      <w:r w:rsidR="30D0AF6B" w:rsidRPr="73F31BAE">
        <w:rPr>
          <w:rFonts w:ascii="Arial" w:eastAsia="Arial" w:hAnsi="Arial" w:cs="Arial"/>
        </w:rPr>
        <w:t>each year</w:t>
      </w:r>
      <w:r w:rsidRPr="73F31BAE">
        <w:rPr>
          <w:rFonts w:ascii="Arial" w:eastAsia="Arial" w:hAnsi="Arial" w:cs="Arial"/>
        </w:rPr>
        <w:t xml:space="preserve"> and the degree of market liquidity.</w:t>
      </w:r>
    </w:p>
    <w:p w14:paraId="0146DCB7" w14:textId="08BDE015" w:rsidR="32A7317A" w:rsidRDefault="32A7317A" w:rsidP="73F31BAE">
      <w:pPr>
        <w:spacing w:line="360" w:lineRule="auto"/>
        <w:ind w:right="-20"/>
        <w:jc w:val="both"/>
        <w:rPr>
          <w:rFonts w:ascii="Arial" w:eastAsia="Arial" w:hAnsi="Arial" w:cs="Arial"/>
        </w:rPr>
      </w:pPr>
    </w:p>
    <w:p w14:paraId="651FF97E" w14:textId="3BC7A98A" w:rsidR="7F1B323B" w:rsidRDefault="1EFF73F9" w:rsidP="73F31BAE">
      <w:pPr>
        <w:pStyle w:val="ListParagraph"/>
        <w:numPr>
          <w:ilvl w:val="0"/>
          <w:numId w:val="16"/>
        </w:numPr>
        <w:spacing w:line="360" w:lineRule="auto"/>
        <w:ind w:right="-20"/>
        <w:jc w:val="both"/>
        <w:rPr>
          <w:rFonts w:ascii="Arial" w:eastAsia="Arial" w:hAnsi="Arial" w:cs="Arial"/>
        </w:rPr>
      </w:pPr>
      <w:r w:rsidRPr="73F31BAE">
        <w:rPr>
          <w:rFonts w:ascii="Arial" w:eastAsia="Arial" w:hAnsi="Arial" w:cs="Arial"/>
        </w:rPr>
        <w:t>The value traded gives information about the general size of the market and the amount of money being invested by reflecting the total monetary worth of all the deals made over the course of the year.</w:t>
      </w:r>
    </w:p>
    <w:p w14:paraId="6300A78A" w14:textId="1904FD09" w:rsidR="32A7317A" w:rsidRDefault="32A7317A" w:rsidP="73F31BAE">
      <w:pPr>
        <w:spacing w:line="360" w:lineRule="auto"/>
        <w:ind w:right="-20"/>
        <w:jc w:val="both"/>
        <w:rPr>
          <w:rFonts w:ascii="Arial" w:eastAsia="Arial" w:hAnsi="Arial" w:cs="Arial"/>
        </w:rPr>
      </w:pPr>
    </w:p>
    <w:p w14:paraId="487C12A5" w14:textId="3F29FD81" w:rsidR="7F1B323B" w:rsidRDefault="1EFF73F9" w:rsidP="73F31BAE">
      <w:pPr>
        <w:pStyle w:val="ListParagraph"/>
        <w:numPr>
          <w:ilvl w:val="0"/>
          <w:numId w:val="16"/>
        </w:numPr>
        <w:spacing w:line="360" w:lineRule="auto"/>
        <w:ind w:right="-20"/>
        <w:jc w:val="both"/>
        <w:rPr>
          <w:rFonts w:ascii="Arial" w:eastAsia="Arial" w:hAnsi="Arial" w:cs="Arial"/>
        </w:rPr>
      </w:pPr>
      <w:r w:rsidRPr="73F31BAE">
        <w:rPr>
          <w:rFonts w:ascii="Arial" w:eastAsia="Arial" w:hAnsi="Arial" w:cs="Arial"/>
        </w:rPr>
        <w:t>Understanding the frequency of trading possibilities in a year is crucial, and the trading days represent the total number of days the market was open for trading.</w:t>
      </w:r>
    </w:p>
    <w:p w14:paraId="190C2BCB" w14:textId="103DE35F" w:rsidR="32A7317A" w:rsidRDefault="32A7317A" w:rsidP="73F31BAE">
      <w:pPr>
        <w:spacing w:line="360" w:lineRule="auto"/>
        <w:ind w:right="-20"/>
        <w:jc w:val="both"/>
        <w:rPr>
          <w:rFonts w:ascii="Arial" w:eastAsia="Arial" w:hAnsi="Arial" w:cs="Arial"/>
        </w:rPr>
      </w:pPr>
    </w:p>
    <w:p w14:paraId="4E337012" w14:textId="3712D5B1" w:rsidR="7F1B323B" w:rsidRDefault="1EFF73F9" w:rsidP="73F31BAE">
      <w:pPr>
        <w:pStyle w:val="ListParagraph"/>
        <w:numPr>
          <w:ilvl w:val="0"/>
          <w:numId w:val="16"/>
        </w:numPr>
        <w:spacing w:line="360" w:lineRule="auto"/>
        <w:ind w:right="-20"/>
        <w:jc w:val="both"/>
        <w:rPr>
          <w:rFonts w:ascii="Arial" w:eastAsia="Arial" w:hAnsi="Arial" w:cs="Arial"/>
        </w:rPr>
      </w:pPr>
      <w:r w:rsidRPr="73F31BAE">
        <w:rPr>
          <w:rFonts w:ascii="Arial" w:eastAsia="Arial" w:hAnsi="Arial" w:cs="Arial"/>
        </w:rPr>
        <w:t>Assessing the daily trading activity and the average monetary value transferred each day is made easier with the aid of the average daily transactions and average daily value traded, which provide insights into the daily dynamics of the market and investor psychology.</w:t>
      </w:r>
    </w:p>
    <w:p w14:paraId="1BDA87F3" w14:textId="14B79C42" w:rsidR="32A7317A" w:rsidRDefault="32A7317A" w:rsidP="73F31BAE">
      <w:pPr>
        <w:spacing w:line="360" w:lineRule="auto"/>
        <w:ind w:right="-20"/>
        <w:jc w:val="both"/>
        <w:rPr>
          <w:rFonts w:ascii="Arial" w:eastAsia="Arial" w:hAnsi="Arial" w:cs="Arial"/>
        </w:rPr>
      </w:pPr>
    </w:p>
    <w:p w14:paraId="33212B03" w14:textId="0B497C62" w:rsidR="06104C3F" w:rsidRDefault="76BE8BDC" w:rsidP="73F31BAE">
      <w:pPr>
        <w:spacing w:line="360" w:lineRule="auto"/>
        <w:ind w:right="-20"/>
        <w:jc w:val="both"/>
        <w:rPr>
          <w:rFonts w:ascii="Arial" w:eastAsia="Arial" w:hAnsi="Arial" w:cs="Arial"/>
        </w:rPr>
      </w:pPr>
      <w:r w:rsidRPr="73F31BAE">
        <w:rPr>
          <w:rFonts w:ascii="Arial" w:eastAsia="Arial" w:hAnsi="Arial" w:cs="Arial"/>
        </w:rPr>
        <w:t>To assess market trends, liquidity, and investment behavior over time, a variety of stakeholders— including investors, analysts, and policymakers—benefit from this data.</w:t>
      </w:r>
    </w:p>
    <w:p w14:paraId="46B34B4D" w14:textId="4B9FACC4" w:rsidR="32A7317A" w:rsidRDefault="32A7317A" w:rsidP="73F31BAE">
      <w:pPr>
        <w:spacing w:line="360" w:lineRule="auto"/>
        <w:ind w:right="-20"/>
        <w:jc w:val="both"/>
        <w:rPr>
          <w:rFonts w:ascii="Arial" w:eastAsia="Arial" w:hAnsi="Arial" w:cs="Arial"/>
        </w:rPr>
      </w:pPr>
    </w:p>
    <w:p w14:paraId="5AB1AD84" w14:textId="3DBB7D23" w:rsidR="06104C3F" w:rsidRDefault="76BE8BDC" w:rsidP="73F31BAE">
      <w:pPr>
        <w:spacing w:line="360" w:lineRule="auto"/>
        <w:ind w:right="-20"/>
        <w:jc w:val="both"/>
        <w:rPr>
          <w:rFonts w:ascii="Arial" w:eastAsia="Arial" w:hAnsi="Arial" w:cs="Arial"/>
        </w:rPr>
      </w:pPr>
      <w:r w:rsidRPr="73F31BAE">
        <w:rPr>
          <w:rFonts w:ascii="Arial" w:eastAsia="Arial" w:hAnsi="Arial" w:cs="Arial"/>
        </w:rPr>
        <w:t xml:space="preserve">One important indicator is the average daily trading volume (ADTV), which is computed by dividing the total trading volume by the number of trading days in a specific period. It is a crucial indicator of market liquidity that investors and traders use to gauge how simple it is to purchase and sell </w:t>
      </w:r>
      <w:r w:rsidRPr="73F31BAE">
        <w:rPr>
          <w:rFonts w:ascii="Arial" w:eastAsia="Arial" w:hAnsi="Arial" w:cs="Arial"/>
        </w:rPr>
        <w:lastRenderedPageBreak/>
        <w:t xml:space="preserve">assets. In general, a higher average daily trading volume is </w:t>
      </w:r>
      <w:r w:rsidR="1A55E6D4" w:rsidRPr="73F31BAE">
        <w:rPr>
          <w:rFonts w:ascii="Arial" w:eastAsia="Arial" w:hAnsi="Arial" w:cs="Arial"/>
        </w:rPr>
        <w:t>favored</w:t>
      </w:r>
      <w:r w:rsidRPr="73F31BAE">
        <w:rPr>
          <w:rFonts w:ascii="Arial" w:eastAsia="Arial" w:hAnsi="Arial" w:cs="Arial"/>
        </w:rPr>
        <w:t xml:space="preserve"> because it suggests more market liquidity and simpler deal execution.</w:t>
      </w:r>
    </w:p>
    <w:p w14:paraId="71B5A860" w14:textId="7BF2875E" w:rsidR="32A7317A" w:rsidRDefault="32A7317A" w:rsidP="73F31BAE">
      <w:pPr>
        <w:spacing w:line="360" w:lineRule="auto"/>
        <w:ind w:right="-20"/>
        <w:jc w:val="both"/>
        <w:rPr>
          <w:rFonts w:ascii="Arial" w:eastAsia="Arial" w:hAnsi="Arial" w:cs="Arial"/>
        </w:rPr>
      </w:pPr>
    </w:p>
    <w:p w14:paraId="3CB72730" w14:textId="675236BC" w:rsidR="21F1A145" w:rsidRDefault="340AD012" w:rsidP="73F31BAE">
      <w:pPr>
        <w:spacing w:line="360" w:lineRule="auto"/>
        <w:ind w:right="-20"/>
        <w:jc w:val="both"/>
        <w:rPr>
          <w:rFonts w:ascii="Arial" w:eastAsia="Arial" w:hAnsi="Arial" w:cs="Arial"/>
        </w:rPr>
      </w:pPr>
      <w:r w:rsidRPr="73F31BAE">
        <w:rPr>
          <w:rFonts w:ascii="Arial" w:eastAsia="Arial" w:hAnsi="Arial" w:cs="Arial"/>
        </w:rPr>
        <w:t xml:space="preserve">The number of trading days in a year is essential for understanding the frequency of trading opportunities and market access. In 2023, for example, there were 250 trading days, out of a possible </w:t>
      </w:r>
      <w:r w:rsidR="2AF5FE26" w:rsidRPr="73F31BAE">
        <w:rPr>
          <w:rFonts w:ascii="Arial" w:eastAsia="Arial" w:hAnsi="Arial" w:cs="Arial"/>
        </w:rPr>
        <w:t>365 days (about 12 months)</w:t>
      </w:r>
      <w:r w:rsidRPr="73F31BAE">
        <w:rPr>
          <w:rFonts w:ascii="Arial" w:eastAsia="Arial" w:hAnsi="Arial" w:cs="Arial"/>
        </w:rPr>
        <w:t>, with 10 holiday closures and 105 weekends. This information is important for market participants to plan their trading activities and assess the availability of market access throughout the year</w:t>
      </w:r>
      <w:r w:rsidR="13C4A0C5" w:rsidRPr="73F31BAE">
        <w:rPr>
          <w:rFonts w:ascii="Arial" w:eastAsia="Arial" w:hAnsi="Arial" w:cs="Arial"/>
        </w:rPr>
        <w:t>.</w:t>
      </w:r>
    </w:p>
    <w:p w14:paraId="0E85751A" w14:textId="7BEBFCEA" w:rsidR="32A7317A" w:rsidRDefault="32A7317A" w:rsidP="73F31BAE">
      <w:pPr>
        <w:spacing w:line="360" w:lineRule="auto"/>
        <w:ind w:right="-20"/>
        <w:jc w:val="both"/>
        <w:rPr>
          <w:rFonts w:ascii="Arial" w:eastAsia="Arial" w:hAnsi="Arial" w:cs="Arial"/>
        </w:rPr>
      </w:pPr>
    </w:p>
    <w:p w14:paraId="2FBB17C1" w14:textId="3EEB449F" w:rsidR="1CEBDF56" w:rsidRDefault="13C4A0C5" w:rsidP="73F31BAE">
      <w:pPr>
        <w:spacing w:line="360" w:lineRule="auto"/>
        <w:ind w:right="-20"/>
        <w:jc w:val="both"/>
        <w:rPr>
          <w:rFonts w:ascii="Arial" w:eastAsia="Arial" w:hAnsi="Arial" w:cs="Arial"/>
        </w:rPr>
      </w:pPr>
      <w:r w:rsidRPr="73F31BAE">
        <w:rPr>
          <w:rFonts w:ascii="Arial" w:eastAsia="Arial" w:hAnsi="Arial" w:cs="Arial"/>
        </w:rPr>
        <w:t>The trading data provided in the table is crucial for understanding market dynamics, liquidity, and investment behavior over the years. It can be used to analyze trends, assess market efficiency, and make informed investment decisions.</w:t>
      </w:r>
    </w:p>
    <w:p w14:paraId="3E0D09D6" w14:textId="59CC98EF" w:rsidR="32A7317A" w:rsidRDefault="32A7317A" w:rsidP="73F31BAE">
      <w:pPr>
        <w:spacing w:line="360" w:lineRule="auto"/>
        <w:ind w:right="-20"/>
        <w:jc w:val="both"/>
        <w:rPr>
          <w:rFonts w:ascii="Arial" w:eastAsia="Arial" w:hAnsi="Arial" w:cs="Arial"/>
        </w:rPr>
      </w:pPr>
    </w:p>
    <w:p w14:paraId="2E10AF14" w14:textId="21BC5236" w:rsidR="7182B623" w:rsidRDefault="7B6EF316" w:rsidP="73F31BAE">
      <w:pPr>
        <w:spacing w:line="360" w:lineRule="auto"/>
        <w:ind w:right="-20"/>
        <w:jc w:val="both"/>
        <w:rPr>
          <w:rFonts w:ascii="Arial" w:eastAsia="Arial" w:hAnsi="Arial" w:cs="Arial"/>
        </w:rPr>
      </w:pPr>
      <w:r w:rsidRPr="73F31BAE">
        <w:rPr>
          <w:rFonts w:ascii="Arial" w:eastAsia="Arial" w:hAnsi="Arial" w:cs="Arial"/>
        </w:rPr>
        <w:t xml:space="preserve">Many factors have affected the London Stock Exchange's trading volume. Market capitalization, volatility, and the choice of stocks for option listings have all had an impact on the exchange's trading volume (Mayhew and Mihov, 2004). </w:t>
      </w:r>
      <w:r w:rsidR="315921EA" w:rsidRPr="73F31BAE">
        <w:rPr>
          <w:rFonts w:ascii="Arial" w:eastAsia="Arial" w:hAnsi="Arial" w:cs="Arial"/>
        </w:rPr>
        <w:t>Furthermore, macroeconomic variables are important in explaining past variations in stock trading volumes include inflation, lending rates, and exchange rates (Chege and Kirika, 2021).</w:t>
      </w:r>
      <w:r w:rsidRPr="73F31BAE">
        <w:rPr>
          <w:rFonts w:ascii="Arial" w:eastAsia="Arial" w:hAnsi="Arial" w:cs="Arial"/>
        </w:rPr>
        <w:t xml:space="preserve"> Additionally, the growth of electronic trading has had a significant impact on stock exchange markets, changing the volume of trading (</w:t>
      </w:r>
      <w:proofErr w:type="spellStart"/>
      <w:r w:rsidRPr="73F31BAE">
        <w:rPr>
          <w:rFonts w:ascii="Arial" w:eastAsia="Arial" w:hAnsi="Arial" w:cs="Arial"/>
        </w:rPr>
        <w:t>Teodorovic</w:t>
      </w:r>
      <w:proofErr w:type="spellEnd"/>
      <w:r w:rsidRPr="73F31BAE">
        <w:rPr>
          <w:rFonts w:ascii="Arial" w:eastAsia="Arial" w:hAnsi="Arial" w:cs="Arial"/>
        </w:rPr>
        <w:t>, 2011).</w:t>
      </w:r>
    </w:p>
    <w:p w14:paraId="78C52F98" w14:textId="0DE1F727" w:rsidR="32A7317A" w:rsidRDefault="32A7317A" w:rsidP="73F31BAE">
      <w:pPr>
        <w:spacing w:line="360" w:lineRule="auto"/>
        <w:ind w:right="-20"/>
        <w:jc w:val="both"/>
        <w:rPr>
          <w:rFonts w:ascii="Arial" w:eastAsia="Arial" w:hAnsi="Arial" w:cs="Arial"/>
        </w:rPr>
      </w:pPr>
    </w:p>
    <w:p w14:paraId="08AEDD8A" w14:textId="5DCA22C0" w:rsidR="2B623E51" w:rsidRDefault="531B592D" w:rsidP="73F31BAE">
      <w:pPr>
        <w:spacing w:line="360" w:lineRule="auto"/>
        <w:ind w:right="-20"/>
        <w:jc w:val="both"/>
        <w:rPr>
          <w:rFonts w:ascii="Arial" w:eastAsia="Arial" w:hAnsi="Arial" w:cs="Arial"/>
        </w:rPr>
      </w:pPr>
      <w:r w:rsidRPr="73F31BAE">
        <w:rPr>
          <w:rFonts w:ascii="Arial" w:eastAsia="Arial" w:hAnsi="Arial" w:cs="Arial"/>
        </w:rPr>
        <w:t xml:space="preserve">According to a study, trading volume on </w:t>
      </w:r>
      <w:proofErr w:type="spellStart"/>
      <w:r w:rsidRPr="73F31BAE">
        <w:rPr>
          <w:rFonts w:ascii="Arial" w:eastAsia="Arial" w:hAnsi="Arial" w:cs="Arial"/>
        </w:rPr>
        <w:t>Globex</w:t>
      </w:r>
      <w:proofErr w:type="spellEnd"/>
      <w:r w:rsidRPr="73F31BAE">
        <w:rPr>
          <w:rFonts w:ascii="Arial" w:eastAsia="Arial" w:hAnsi="Arial" w:cs="Arial"/>
        </w:rPr>
        <w:t xml:space="preserve"> increased before a contract was introduced by the London International Financial Futures and Options Exchange</w:t>
      </w:r>
      <w:r w:rsidR="4F709979" w:rsidRPr="73F31BAE">
        <w:rPr>
          <w:rFonts w:ascii="Arial" w:eastAsia="Arial" w:hAnsi="Arial" w:cs="Arial"/>
        </w:rPr>
        <w:t xml:space="preserve"> (</w:t>
      </w:r>
      <w:proofErr w:type="spellStart"/>
      <w:r w:rsidR="4F709979" w:rsidRPr="73F31BAE">
        <w:rPr>
          <w:rFonts w:ascii="Arial" w:eastAsia="Arial" w:hAnsi="Arial" w:cs="Arial"/>
        </w:rPr>
        <w:t>Tse</w:t>
      </w:r>
      <w:proofErr w:type="spellEnd"/>
      <w:r w:rsidR="4F709979" w:rsidRPr="73F31BAE">
        <w:rPr>
          <w:rFonts w:ascii="Arial" w:eastAsia="Arial" w:hAnsi="Arial" w:cs="Arial"/>
        </w:rPr>
        <w:t xml:space="preserve"> and Bandyopadhyay, 2006)</w:t>
      </w:r>
      <w:r w:rsidRPr="73F31BAE">
        <w:rPr>
          <w:rFonts w:ascii="Arial" w:eastAsia="Arial" w:hAnsi="Arial" w:cs="Arial"/>
        </w:rPr>
        <w:t>. This finding suggests that the introduction of new trading instruments and market events can impact trading volume. Additionally, variations in the volume distribution of on-book and off-book transactions were found through an empirical study of trading activity at the London Stock Exchange, demonstrating the influence of trading mechanisms on trading volume</w:t>
      </w:r>
      <w:r w:rsidR="4774867F" w:rsidRPr="73F31BAE">
        <w:rPr>
          <w:rFonts w:ascii="Arial" w:eastAsia="Arial" w:hAnsi="Arial" w:cs="Arial"/>
        </w:rPr>
        <w:t xml:space="preserve"> (</w:t>
      </w:r>
      <w:r w:rsidR="4774867F" w:rsidRPr="73F31BAE">
        <w:rPr>
          <w:rFonts w:ascii="Arial" w:eastAsia="Arial" w:hAnsi="Arial" w:cs="Arial"/>
          <w:color w:val="000000" w:themeColor="text1"/>
        </w:rPr>
        <w:t>Carollo, Vaglica, Lillo, &amp; Mantegna, 2012)</w:t>
      </w:r>
      <w:r w:rsidRPr="73F31BAE">
        <w:rPr>
          <w:rFonts w:ascii="Arial" w:eastAsia="Arial" w:hAnsi="Arial" w:cs="Arial"/>
        </w:rPr>
        <w:t>.</w:t>
      </w:r>
    </w:p>
    <w:p w14:paraId="4315A254" w14:textId="77F709DA" w:rsidR="32A7317A" w:rsidRDefault="32A7317A" w:rsidP="73F31BAE">
      <w:pPr>
        <w:spacing w:line="360" w:lineRule="auto"/>
        <w:ind w:right="-20"/>
        <w:jc w:val="both"/>
        <w:rPr>
          <w:rFonts w:ascii="Arial" w:eastAsia="Arial" w:hAnsi="Arial" w:cs="Arial"/>
        </w:rPr>
      </w:pPr>
    </w:p>
    <w:p w14:paraId="2B233A53" w14:textId="60886575" w:rsidR="37024802" w:rsidRDefault="679AEEB0" w:rsidP="73F31BAE">
      <w:pPr>
        <w:spacing w:line="360" w:lineRule="auto"/>
        <w:ind w:right="-20"/>
        <w:jc w:val="both"/>
        <w:rPr>
          <w:rFonts w:ascii="Arial" w:eastAsia="Arial" w:hAnsi="Arial" w:cs="Arial"/>
        </w:rPr>
      </w:pPr>
      <w:r w:rsidRPr="73F31BAE">
        <w:rPr>
          <w:rFonts w:ascii="Arial" w:eastAsia="Arial" w:hAnsi="Arial" w:cs="Arial"/>
        </w:rPr>
        <w:t xml:space="preserve">The location of equity trading and the length of a listing have also been found to be significant determinants of the proportion of foreign stock trading volume, suggesting that market structure </w:t>
      </w:r>
      <w:r w:rsidRPr="73F31BAE">
        <w:rPr>
          <w:rFonts w:ascii="Arial" w:eastAsia="Arial" w:hAnsi="Arial" w:cs="Arial"/>
        </w:rPr>
        <w:lastRenderedPageBreak/>
        <w:t>has an impact on trading volume (Dodd, 2011). Furthermore, it has been discovered that the informational influence of electronic trading systems on the FTSE 100 stock index and its futures contracts raises the degree of microstructural noise, which may have an impact on trading volume (Sebastião, 2009).</w:t>
      </w:r>
    </w:p>
    <w:p w14:paraId="5AC84313" w14:textId="1DC19F5E" w:rsidR="32A7317A" w:rsidRDefault="32A7317A" w:rsidP="73F31BAE">
      <w:pPr>
        <w:spacing w:line="360" w:lineRule="auto"/>
        <w:ind w:right="-20"/>
        <w:jc w:val="both"/>
        <w:rPr>
          <w:rFonts w:ascii="Arial" w:eastAsia="Arial" w:hAnsi="Arial" w:cs="Arial"/>
        </w:rPr>
      </w:pPr>
    </w:p>
    <w:p w14:paraId="2E7C26E3" w14:textId="567BBA28" w:rsidR="651873E0" w:rsidRDefault="6AA8A3AB" w:rsidP="73F31BAE">
      <w:pPr>
        <w:spacing w:line="360" w:lineRule="auto"/>
        <w:ind w:right="-20"/>
        <w:jc w:val="both"/>
        <w:rPr>
          <w:rFonts w:ascii="Arial" w:eastAsia="Arial" w:hAnsi="Arial" w:cs="Arial"/>
          <w:b/>
          <w:bCs/>
          <w:color w:val="000000" w:themeColor="text1"/>
        </w:rPr>
      </w:pPr>
      <w:r w:rsidRPr="73F31BAE">
        <w:rPr>
          <w:rFonts w:ascii="Arial" w:eastAsia="Arial" w:hAnsi="Arial" w:cs="Arial"/>
        </w:rPr>
        <w:t>In general, a wide range of factors, such as market developments, macroeconomic circumstances, trading procedures, and the advancement of electronic trading, have an impact on the volume of trading on the London Stock Exchange. The fluctuations in the exchange's trading volume over time have been attributed to these factors.</w:t>
      </w:r>
    </w:p>
    <w:p w14:paraId="3702DBAD" w14:textId="6ADAB0DE" w:rsidR="32A7317A" w:rsidRDefault="32A7317A" w:rsidP="73F31BAE">
      <w:pPr>
        <w:spacing w:line="360" w:lineRule="auto"/>
        <w:ind w:right="-20"/>
        <w:jc w:val="both"/>
        <w:rPr>
          <w:rFonts w:ascii="Arial" w:eastAsia="Arial" w:hAnsi="Arial" w:cs="Arial"/>
          <w:b/>
          <w:bCs/>
          <w:color w:val="000000" w:themeColor="text1"/>
        </w:rPr>
      </w:pPr>
    </w:p>
    <w:p w14:paraId="378BDE79" w14:textId="6C3ACC84" w:rsidR="6B76484B" w:rsidRDefault="0D518CAE" w:rsidP="73F31BAE">
      <w:pPr>
        <w:spacing w:line="360" w:lineRule="auto"/>
        <w:ind w:right="-20"/>
        <w:jc w:val="both"/>
        <w:rPr>
          <w:rFonts w:ascii="Arial" w:eastAsia="Arial" w:hAnsi="Arial" w:cs="Arial"/>
          <w:b/>
          <w:bCs/>
          <w:color w:val="000000" w:themeColor="text1"/>
        </w:rPr>
      </w:pPr>
      <w:r w:rsidRPr="73F31BAE">
        <w:rPr>
          <w:rFonts w:ascii="Arial" w:eastAsia="Arial" w:hAnsi="Arial" w:cs="Arial"/>
          <w:b/>
          <w:bCs/>
          <w:color w:val="000000" w:themeColor="text1"/>
        </w:rPr>
        <w:t>T</w:t>
      </w:r>
      <w:r w:rsidR="60033151" w:rsidRPr="73F31BAE">
        <w:rPr>
          <w:rFonts w:ascii="Arial" w:eastAsia="Arial" w:hAnsi="Arial" w:cs="Arial"/>
          <w:b/>
          <w:bCs/>
          <w:color w:val="000000" w:themeColor="text1"/>
        </w:rPr>
        <w:t>he key economic indicators such as inflation rate, unemployment rate, and GDP growth in the U</w:t>
      </w:r>
      <w:r w:rsidR="17E1364F" w:rsidRPr="73F31BAE">
        <w:rPr>
          <w:rFonts w:ascii="Arial" w:eastAsia="Arial" w:hAnsi="Arial" w:cs="Arial"/>
          <w:b/>
          <w:bCs/>
          <w:color w:val="000000" w:themeColor="text1"/>
        </w:rPr>
        <w:t xml:space="preserve">nited </w:t>
      </w:r>
      <w:r w:rsidR="60033151" w:rsidRPr="73F31BAE">
        <w:rPr>
          <w:rFonts w:ascii="Arial" w:eastAsia="Arial" w:hAnsi="Arial" w:cs="Arial"/>
          <w:b/>
          <w:bCs/>
          <w:color w:val="000000" w:themeColor="text1"/>
        </w:rPr>
        <w:t>K</w:t>
      </w:r>
      <w:r w:rsidR="3AFAC9B7" w:rsidRPr="73F31BAE">
        <w:rPr>
          <w:rFonts w:ascii="Arial" w:eastAsia="Arial" w:hAnsi="Arial" w:cs="Arial"/>
          <w:b/>
          <w:bCs/>
          <w:color w:val="000000" w:themeColor="text1"/>
        </w:rPr>
        <w:t>ingdom</w:t>
      </w:r>
      <w:r w:rsidR="60033151" w:rsidRPr="73F31BAE">
        <w:rPr>
          <w:rFonts w:ascii="Arial" w:eastAsia="Arial" w:hAnsi="Arial" w:cs="Arial"/>
          <w:b/>
          <w:bCs/>
          <w:color w:val="000000" w:themeColor="text1"/>
        </w:rPr>
        <w:t xml:space="preserve"> correlate with variations in the relationship between stock prices and trading volumes</w:t>
      </w:r>
    </w:p>
    <w:p w14:paraId="11CFF46B" w14:textId="299004D7" w:rsidR="32A7317A" w:rsidRDefault="32A7317A" w:rsidP="73F31BAE">
      <w:pPr>
        <w:spacing w:line="360" w:lineRule="auto"/>
        <w:ind w:right="-20"/>
        <w:jc w:val="both"/>
        <w:rPr>
          <w:rFonts w:ascii="Arial" w:eastAsia="Arial" w:hAnsi="Arial" w:cs="Arial"/>
          <w:b/>
          <w:bCs/>
          <w:color w:val="000000" w:themeColor="text1"/>
        </w:rPr>
      </w:pPr>
    </w:p>
    <w:p w14:paraId="01682446" w14:textId="44A379B5" w:rsidR="3977CC31" w:rsidRDefault="7861D6A1" w:rsidP="73F31BAE">
      <w:pPr>
        <w:spacing w:line="360" w:lineRule="auto"/>
        <w:ind w:right="-20"/>
        <w:jc w:val="both"/>
        <w:rPr>
          <w:rFonts w:ascii="Arial" w:eastAsia="Arial" w:hAnsi="Arial" w:cs="Arial"/>
          <w:color w:val="000000" w:themeColor="text1"/>
        </w:rPr>
      </w:pPr>
      <w:r w:rsidRPr="73F31BAE">
        <w:rPr>
          <w:rFonts w:ascii="Arial" w:eastAsia="Arial" w:hAnsi="Arial" w:cs="Arial"/>
        </w:rPr>
        <w:t>Macroeconomic indicators like GDP growth, unemployment, and inflation rate have an impact on the relationship between trading volumes and stock prices. The relationship between these economic indicators and the dynamics of the stock market has been the subject of numerous studies. One study, for example, discovered a dynamic relationship between volatility, trading volume, and stock returns in various national markets</w:t>
      </w:r>
      <w:r w:rsidR="2C2F330F" w:rsidRPr="73F31BAE">
        <w:rPr>
          <w:rFonts w:ascii="Arial" w:eastAsia="Arial" w:hAnsi="Arial" w:cs="Arial"/>
        </w:rPr>
        <w:t xml:space="preserve"> (Chen, Firth, and Rui, 2001)</w:t>
      </w:r>
      <w:r w:rsidRPr="73F31BAE">
        <w:rPr>
          <w:rFonts w:ascii="Arial" w:eastAsia="Arial" w:hAnsi="Arial" w:cs="Arial"/>
        </w:rPr>
        <w:t xml:space="preserve">. Furthermore, a study found that real estate stock prices are </w:t>
      </w:r>
      <w:r w:rsidR="4AD96686" w:rsidRPr="73F31BAE">
        <w:rPr>
          <w:rFonts w:ascii="Arial" w:eastAsia="Arial" w:hAnsi="Arial" w:cs="Arial"/>
        </w:rPr>
        <w:t>impacted</w:t>
      </w:r>
      <w:r w:rsidRPr="73F31BAE">
        <w:rPr>
          <w:rFonts w:ascii="Arial" w:eastAsia="Arial" w:hAnsi="Arial" w:cs="Arial"/>
        </w:rPr>
        <w:t xml:space="preserve"> by the rates of inflation, GDP growth, and exchange rates</w:t>
      </w:r>
      <w:r w:rsidR="02E878B2" w:rsidRPr="73F31BAE">
        <w:rPr>
          <w:rFonts w:ascii="Arial" w:eastAsia="Arial" w:hAnsi="Arial" w:cs="Arial"/>
        </w:rPr>
        <w:t xml:space="preserve"> (Quy, and Loi, 2020)</w:t>
      </w:r>
      <w:r w:rsidRPr="73F31BAE">
        <w:rPr>
          <w:rFonts w:ascii="Arial" w:eastAsia="Arial" w:hAnsi="Arial" w:cs="Arial"/>
        </w:rPr>
        <w:t xml:space="preserve">. </w:t>
      </w:r>
    </w:p>
    <w:p w14:paraId="64EC4502" w14:textId="0EA078F9" w:rsidR="32A7317A" w:rsidRDefault="32A7317A" w:rsidP="73F31BAE">
      <w:pPr>
        <w:spacing w:line="360" w:lineRule="auto"/>
        <w:ind w:right="-20"/>
        <w:jc w:val="both"/>
        <w:rPr>
          <w:rFonts w:ascii="Arial" w:eastAsia="Arial" w:hAnsi="Arial" w:cs="Arial"/>
          <w:color w:val="000000" w:themeColor="text1"/>
        </w:rPr>
      </w:pPr>
    </w:p>
    <w:p w14:paraId="341C2BBF" w14:textId="7B852EC1" w:rsidR="15EEAB00" w:rsidRDefault="1AAD766A" w:rsidP="73F31BAE">
      <w:pPr>
        <w:spacing w:line="360" w:lineRule="auto"/>
        <w:ind w:right="-20"/>
        <w:jc w:val="both"/>
        <w:rPr>
          <w:rFonts w:ascii="Arial" w:eastAsia="Arial" w:hAnsi="Arial" w:cs="Arial"/>
          <w:color w:val="000000" w:themeColor="text1"/>
        </w:rPr>
      </w:pPr>
      <w:r w:rsidRPr="73F31BAE">
        <w:rPr>
          <w:rFonts w:ascii="Arial" w:eastAsia="Arial" w:hAnsi="Arial" w:cs="Arial"/>
        </w:rPr>
        <w:t>Moreover</w:t>
      </w:r>
      <w:r w:rsidR="7861D6A1" w:rsidRPr="73F31BAE">
        <w:rPr>
          <w:rFonts w:ascii="Arial" w:eastAsia="Arial" w:hAnsi="Arial" w:cs="Arial"/>
        </w:rPr>
        <w:t>, a study found that a negative coefficient of unemployment rate indicated that an increase in unemployment rates would have a negative effect on stock prices</w:t>
      </w:r>
      <w:r w:rsidR="0245537D" w:rsidRPr="73F31BAE">
        <w:rPr>
          <w:rFonts w:ascii="Arial" w:eastAsia="Arial" w:hAnsi="Arial" w:cs="Arial"/>
        </w:rPr>
        <w:t xml:space="preserve"> (</w:t>
      </w:r>
      <w:proofErr w:type="spellStart"/>
      <w:r w:rsidR="0245537D" w:rsidRPr="73F31BAE">
        <w:rPr>
          <w:rFonts w:ascii="Arial" w:eastAsia="Arial" w:hAnsi="Arial" w:cs="Arial"/>
        </w:rPr>
        <w:t>Anandasayanan</w:t>
      </w:r>
      <w:proofErr w:type="spellEnd"/>
      <w:r w:rsidR="0245537D" w:rsidRPr="73F31BAE">
        <w:rPr>
          <w:rFonts w:ascii="Arial" w:eastAsia="Arial" w:hAnsi="Arial" w:cs="Arial"/>
        </w:rPr>
        <w:t>, 2019</w:t>
      </w:r>
      <w:proofErr w:type="gramStart"/>
      <w:r w:rsidR="0245537D" w:rsidRPr="73F31BAE">
        <w:rPr>
          <w:rFonts w:ascii="Arial" w:eastAsia="Arial" w:hAnsi="Arial" w:cs="Arial"/>
        </w:rPr>
        <w:t>)</w:t>
      </w:r>
      <w:r w:rsidR="7861D6A1" w:rsidRPr="73F31BAE">
        <w:rPr>
          <w:rFonts w:ascii="Arial" w:eastAsia="Arial" w:hAnsi="Arial" w:cs="Arial"/>
        </w:rPr>
        <w:t>.</w:t>
      </w:r>
      <w:r w:rsidR="2B2958F5" w:rsidRPr="73F31BAE">
        <w:rPr>
          <w:rFonts w:ascii="Arial" w:eastAsia="Arial" w:hAnsi="Arial" w:cs="Arial"/>
        </w:rPr>
        <w:t>Additionally</w:t>
      </w:r>
      <w:proofErr w:type="gramEnd"/>
      <w:r w:rsidR="2B2958F5" w:rsidRPr="73F31BAE">
        <w:rPr>
          <w:rFonts w:ascii="Arial" w:eastAsia="Arial" w:hAnsi="Arial" w:cs="Arial"/>
        </w:rPr>
        <w:t>, a study examined the connections between macroeconomic variables like GDP, the consumer price index, the industrial production index, the unemployment rate, and long-term interest rates, and the US stock market. This study sheds light on how these important economic indicators and stock market performance are related</w:t>
      </w:r>
      <w:r w:rsidR="348F63A8" w:rsidRPr="73F31BAE">
        <w:rPr>
          <w:rFonts w:ascii="Arial" w:eastAsia="Arial" w:hAnsi="Arial" w:cs="Arial"/>
        </w:rPr>
        <w:t xml:space="preserve"> (Jareño, and </w:t>
      </w:r>
      <w:proofErr w:type="spellStart"/>
      <w:r w:rsidR="348F63A8" w:rsidRPr="73F31BAE">
        <w:rPr>
          <w:rFonts w:ascii="Arial" w:eastAsia="Arial" w:hAnsi="Arial" w:cs="Arial"/>
        </w:rPr>
        <w:t>Negrut</w:t>
      </w:r>
      <w:proofErr w:type="spellEnd"/>
      <w:r w:rsidR="348F63A8" w:rsidRPr="73F31BAE">
        <w:rPr>
          <w:rFonts w:ascii="Arial" w:eastAsia="Arial" w:hAnsi="Arial" w:cs="Arial"/>
        </w:rPr>
        <w:t>, 2015)</w:t>
      </w:r>
      <w:r w:rsidR="2B2958F5" w:rsidRPr="73F31BAE">
        <w:rPr>
          <w:rFonts w:ascii="Arial" w:eastAsia="Arial" w:hAnsi="Arial" w:cs="Arial"/>
        </w:rPr>
        <w:t>.</w:t>
      </w:r>
    </w:p>
    <w:p w14:paraId="763F4304" w14:textId="64D04811" w:rsidR="32A7317A" w:rsidRDefault="32A7317A" w:rsidP="73F31BAE">
      <w:pPr>
        <w:ind w:right="-20"/>
        <w:jc w:val="both"/>
        <w:rPr>
          <w:rFonts w:ascii="Arial" w:eastAsia="Arial" w:hAnsi="Arial" w:cs="Arial"/>
          <w:color w:val="000000" w:themeColor="text1"/>
        </w:rPr>
      </w:pPr>
    </w:p>
    <w:p w14:paraId="1863E296" w14:textId="60F947E6" w:rsidR="360D5EB1" w:rsidRDefault="6BE84EC4" w:rsidP="32A7317A">
      <w:pPr>
        <w:ind w:right="-20"/>
        <w:jc w:val="both"/>
        <w:rPr>
          <w:rFonts w:ascii="Arial" w:eastAsia="Arial" w:hAnsi="Arial" w:cs="Arial"/>
          <w:b/>
          <w:bCs/>
          <w:color w:val="000000" w:themeColor="text1"/>
        </w:rPr>
      </w:pPr>
      <w:r w:rsidRPr="73F31BAE">
        <w:rPr>
          <w:rFonts w:ascii="Arial" w:eastAsia="Arial" w:hAnsi="Arial" w:cs="Arial"/>
          <w:b/>
          <w:bCs/>
          <w:color w:val="000000" w:themeColor="text1"/>
        </w:rPr>
        <w:t xml:space="preserve">Table no. </w:t>
      </w:r>
      <w:r w:rsidR="5A1DA888" w:rsidRPr="73F31BAE">
        <w:rPr>
          <w:rFonts w:ascii="Arial" w:eastAsia="Arial" w:hAnsi="Arial" w:cs="Arial"/>
          <w:b/>
          <w:bCs/>
          <w:color w:val="000000" w:themeColor="text1"/>
        </w:rPr>
        <w:t>7</w:t>
      </w:r>
      <w:r w:rsidRPr="73F31BAE">
        <w:rPr>
          <w:rFonts w:ascii="Arial" w:eastAsia="Arial" w:hAnsi="Arial" w:cs="Arial"/>
          <w:b/>
          <w:bCs/>
          <w:color w:val="000000" w:themeColor="text1"/>
        </w:rPr>
        <w:t xml:space="preserve"> </w:t>
      </w:r>
      <w:r w:rsidR="380B0B4A" w:rsidRPr="73F31BAE">
        <w:rPr>
          <w:rFonts w:ascii="Arial" w:eastAsia="Arial" w:hAnsi="Arial" w:cs="Arial"/>
          <w:b/>
          <w:bCs/>
          <w:color w:val="000000" w:themeColor="text1"/>
        </w:rPr>
        <w:t xml:space="preserve">Macroeconomic Indicators of the United </w:t>
      </w:r>
      <w:r w:rsidR="7365DEE8" w:rsidRPr="73F31BAE">
        <w:rPr>
          <w:rFonts w:ascii="Arial" w:eastAsia="Arial" w:hAnsi="Arial" w:cs="Arial"/>
          <w:b/>
          <w:bCs/>
          <w:color w:val="000000" w:themeColor="text1"/>
        </w:rPr>
        <w:t>Kingdom's</w:t>
      </w:r>
      <w:r w:rsidR="380B0B4A" w:rsidRPr="73F31BAE">
        <w:rPr>
          <w:rFonts w:ascii="Arial" w:eastAsia="Arial" w:hAnsi="Arial" w:cs="Arial"/>
          <w:b/>
          <w:bCs/>
          <w:color w:val="000000" w:themeColor="text1"/>
        </w:rPr>
        <w:t xml:space="preserve"> </w:t>
      </w:r>
      <w:r w:rsidR="62C80D7A" w:rsidRPr="73F31BAE">
        <w:rPr>
          <w:rFonts w:ascii="Arial" w:eastAsia="Arial" w:hAnsi="Arial" w:cs="Arial"/>
          <w:b/>
          <w:bCs/>
          <w:color w:val="000000" w:themeColor="text1"/>
        </w:rPr>
        <w:t>Financial Market</w:t>
      </w:r>
    </w:p>
    <w:tbl>
      <w:tblPr>
        <w:tblW w:w="0" w:type="auto"/>
        <w:jc w:val="center"/>
        <w:tblLayout w:type="fixed"/>
        <w:tblLook w:val="06A0" w:firstRow="1" w:lastRow="0" w:firstColumn="1" w:lastColumn="0" w:noHBand="1" w:noVBand="1"/>
      </w:tblPr>
      <w:tblGrid>
        <w:gridCol w:w="2340"/>
        <w:gridCol w:w="2340"/>
        <w:gridCol w:w="2340"/>
        <w:gridCol w:w="2340"/>
      </w:tblGrid>
      <w:tr w:rsidR="32A7317A" w14:paraId="02E14C2B" w14:textId="77777777" w:rsidTr="32A7317A">
        <w:trPr>
          <w:trHeight w:val="300"/>
          <w:jc w:val="center"/>
        </w:trPr>
        <w:tc>
          <w:tcPr>
            <w:tcW w:w="9360" w:type="dxa"/>
            <w:gridSpan w:val="4"/>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DDA1CF" w14:textId="7F6A2A1E" w:rsidR="32A7317A" w:rsidRDefault="32A7317A" w:rsidP="32A7317A">
            <w:pPr>
              <w:spacing w:after="0"/>
              <w:ind w:left="-20" w:right="-20"/>
              <w:jc w:val="center"/>
              <w:rPr>
                <w:rFonts w:ascii="Arial" w:eastAsia="Arial" w:hAnsi="Arial" w:cs="Arial"/>
                <w:b/>
                <w:bCs/>
              </w:rPr>
            </w:pPr>
            <w:r w:rsidRPr="32A7317A">
              <w:rPr>
                <w:rFonts w:ascii="Arial" w:eastAsia="Arial" w:hAnsi="Arial" w:cs="Arial"/>
                <w:b/>
                <w:bCs/>
              </w:rPr>
              <w:lastRenderedPageBreak/>
              <w:t>Macroeconomic indicators</w:t>
            </w:r>
            <w:r w:rsidR="76759F82" w:rsidRPr="32A7317A">
              <w:rPr>
                <w:rFonts w:ascii="Arial" w:eastAsia="Arial" w:hAnsi="Arial" w:cs="Arial"/>
                <w:b/>
                <w:bCs/>
              </w:rPr>
              <w:t xml:space="preserve"> (United Kingdom)</w:t>
            </w:r>
          </w:p>
        </w:tc>
      </w:tr>
      <w:tr w:rsidR="32A7317A" w14:paraId="48F46F1F" w14:textId="77777777" w:rsidTr="32A7317A">
        <w:trPr>
          <w:trHeight w:val="300"/>
          <w:jc w:val="center"/>
        </w:trPr>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238B42F" w14:textId="7934AF68" w:rsidR="32A7317A" w:rsidRDefault="32A7317A" w:rsidP="32A7317A">
            <w:pPr>
              <w:spacing w:after="0"/>
              <w:ind w:left="-20" w:right="-20"/>
              <w:jc w:val="center"/>
              <w:rPr>
                <w:rFonts w:ascii="Arial" w:eastAsia="Arial" w:hAnsi="Arial" w:cs="Arial"/>
                <w:b/>
                <w:bCs/>
              </w:rPr>
            </w:pPr>
            <w:r w:rsidRPr="32A7317A">
              <w:rPr>
                <w:rFonts w:ascii="Arial" w:eastAsia="Arial" w:hAnsi="Arial" w:cs="Arial"/>
                <w:b/>
                <w:bCs/>
              </w:rPr>
              <w:t>Year</w:t>
            </w:r>
          </w:p>
        </w:tc>
        <w:tc>
          <w:tcPr>
            <w:tcW w:w="2340"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6DBDC705" w14:textId="2628665D" w:rsidR="32A7317A" w:rsidRDefault="32A7317A" w:rsidP="32A7317A">
            <w:pPr>
              <w:spacing w:after="0"/>
              <w:ind w:left="-20" w:right="-20"/>
              <w:jc w:val="center"/>
              <w:rPr>
                <w:rFonts w:ascii="Arial" w:eastAsia="Arial" w:hAnsi="Arial" w:cs="Arial"/>
                <w:b/>
                <w:bCs/>
              </w:rPr>
            </w:pPr>
            <w:r w:rsidRPr="32A7317A">
              <w:rPr>
                <w:rFonts w:ascii="Arial" w:eastAsia="Arial" w:hAnsi="Arial" w:cs="Arial"/>
                <w:b/>
                <w:bCs/>
              </w:rPr>
              <w:t>GDP</w:t>
            </w:r>
          </w:p>
        </w:tc>
        <w:tc>
          <w:tcPr>
            <w:tcW w:w="2340"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1497336D" w14:textId="462E2D4C" w:rsidR="32A7317A" w:rsidRDefault="32A7317A" w:rsidP="32A7317A">
            <w:pPr>
              <w:spacing w:after="0"/>
              <w:ind w:left="-20" w:right="-20"/>
              <w:jc w:val="center"/>
              <w:rPr>
                <w:rFonts w:ascii="Arial" w:eastAsia="Arial" w:hAnsi="Arial" w:cs="Arial"/>
                <w:b/>
                <w:bCs/>
              </w:rPr>
            </w:pPr>
            <w:r w:rsidRPr="32A7317A">
              <w:rPr>
                <w:rFonts w:ascii="Arial" w:eastAsia="Arial" w:hAnsi="Arial" w:cs="Arial"/>
                <w:b/>
                <w:bCs/>
              </w:rPr>
              <w:t>Inflation</w:t>
            </w:r>
          </w:p>
        </w:tc>
        <w:tc>
          <w:tcPr>
            <w:tcW w:w="2340" w:type="dxa"/>
            <w:tcBorders>
              <w:top w:val="nil"/>
              <w:left w:val="single" w:sz="4" w:space="0" w:color="auto"/>
              <w:bottom w:val="single" w:sz="4" w:space="0" w:color="auto"/>
              <w:right w:val="single" w:sz="4" w:space="0" w:color="auto"/>
            </w:tcBorders>
            <w:tcMar>
              <w:top w:w="15" w:type="dxa"/>
              <w:left w:w="15" w:type="dxa"/>
              <w:right w:w="15" w:type="dxa"/>
            </w:tcMar>
            <w:vAlign w:val="center"/>
          </w:tcPr>
          <w:p w14:paraId="7A218770" w14:textId="45CF3FCF" w:rsidR="32A7317A" w:rsidRDefault="32A7317A" w:rsidP="32A7317A">
            <w:pPr>
              <w:spacing w:after="0"/>
              <w:ind w:left="-20" w:right="-20"/>
              <w:jc w:val="center"/>
              <w:rPr>
                <w:rFonts w:ascii="Arial" w:eastAsia="Arial" w:hAnsi="Arial" w:cs="Arial"/>
                <w:b/>
                <w:bCs/>
              </w:rPr>
            </w:pPr>
            <w:r w:rsidRPr="32A7317A">
              <w:rPr>
                <w:rFonts w:ascii="Arial" w:eastAsia="Arial" w:hAnsi="Arial" w:cs="Arial"/>
                <w:b/>
                <w:bCs/>
              </w:rPr>
              <w:t>Unemployment</w:t>
            </w:r>
          </w:p>
        </w:tc>
      </w:tr>
      <w:tr w:rsidR="32A7317A" w14:paraId="1032B7B5" w14:textId="77777777" w:rsidTr="32A7317A">
        <w:trPr>
          <w:trHeight w:val="300"/>
          <w:jc w:val="center"/>
        </w:trPr>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EF8659E" w14:textId="4F88B3EC" w:rsidR="32A7317A" w:rsidRDefault="32A7317A" w:rsidP="32A7317A">
            <w:pPr>
              <w:spacing w:after="0"/>
              <w:ind w:left="-20" w:right="-20"/>
              <w:jc w:val="center"/>
              <w:rPr>
                <w:rFonts w:ascii="Arial" w:eastAsia="Arial" w:hAnsi="Arial" w:cs="Arial"/>
              </w:rPr>
            </w:pPr>
            <w:r w:rsidRPr="32A7317A">
              <w:rPr>
                <w:rFonts w:ascii="Arial" w:eastAsia="Arial" w:hAnsi="Arial" w:cs="Arial"/>
              </w:rPr>
              <w:t>2013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D20E55" w14:textId="2E2BC857" w:rsidR="32A7317A" w:rsidRDefault="32A7317A" w:rsidP="32A7317A">
            <w:pPr>
              <w:spacing w:after="0"/>
              <w:ind w:left="-20" w:right="-20"/>
              <w:jc w:val="center"/>
              <w:rPr>
                <w:rFonts w:ascii="Arial" w:eastAsia="Arial" w:hAnsi="Arial" w:cs="Arial"/>
              </w:rPr>
            </w:pPr>
            <w:r w:rsidRPr="32A7317A">
              <w:rPr>
                <w:rFonts w:ascii="Arial" w:eastAsia="Arial" w:hAnsi="Arial" w:cs="Arial"/>
              </w:rPr>
              <w:t>1.8</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0361D87" w14:textId="6D30527F" w:rsidR="32A7317A" w:rsidRDefault="32A7317A" w:rsidP="32A7317A">
            <w:pPr>
              <w:spacing w:after="0"/>
              <w:ind w:left="-20" w:right="-20"/>
              <w:jc w:val="center"/>
              <w:rPr>
                <w:rFonts w:ascii="Arial" w:eastAsia="Arial" w:hAnsi="Arial" w:cs="Arial"/>
              </w:rPr>
            </w:pPr>
            <w:r w:rsidRPr="32A7317A">
              <w:rPr>
                <w:rFonts w:ascii="Arial" w:eastAsia="Arial" w:hAnsi="Arial" w:cs="Arial"/>
              </w:rPr>
              <w:t>2.3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20163B5" w14:textId="461FF029" w:rsidR="32A7317A" w:rsidRDefault="32A7317A" w:rsidP="32A7317A">
            <w:pPr>
              <w:spacing w:after="0"/>
              <w:ind w:left="-20" w:right="-20"/>
              <w:jc w:val="center"/>
              <w:rPr>
                <w:rFonts w:ascii="Arial" w:eastAsia="Arial" w:hAnsi="Arial" w:cs="Arial"/>
              </w:rPr>
            </w:pPr>
            <w:r w:rsidRPr="32A7317A">
              <w:rPr>
                <w:rFonts w:ascii="Arial" w:eastAsia="Arial" w:hAnsi="Arial" w:cs="Arial"/>
              </w:rPr>
              <w:t>7.2</w:t>
            </w:r>
          </w:p>
        </w:tc>
      </w:tr>
      <w:tr w:rsidR="32A7317A" w14:paraId="11F92893" w14:textId="77777777" w:rsidTr="32A7317A">
        <w:trPr>
          <w:trHeight w:val="300"/>
          <w:jc w:val="center"/>
        </w:trPr>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EBA5501" w14:textId="0CAF5783" w:rsidR="32A7317A" w:rsidRDefault="32A7317A" w:rsidP="32A7317A">
            <w:pPr>
              <w:spacing w:after="0"/>
              <w:ind w:left="-20" w:right="-20"/>
              <w:jc w:val="center"/>
              <w:rPr>
                <w:rFonts w:ascii="Arial" w:eastAsia="Arial" w:hAnsi="Arial" w:cs="Arial"/>
              </w:rPr>
            </w:pPr>
            <w:r w:rsidRPr="32A7317A">
              <w:rPr>
                <w:rFonts w:ascii="Arial" w:eastAsia="Arial" w:hAnsi="Arial" w:cs="Arial"/>
              </w:rPr>
              <w:t>2014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68821E4" w14:textId="177989D7" w:rsidR="32A7317A" w:rsidRDefault="32A7317A" w:rsidP="32A7317A">
            <w:pPr>
              <w:spacing w:after="0"/>
              <w:ind w:left="-20" w:right="-20"/>
              <w:jc w:val="center"/>
              <w:rPr>
                <w:rFonts w:ascii="Arial" w:eastAsia="Arial" w:hAnsi="Arial" w:cs="Arial"/>
              </w:rPr>
            </w:pPr>
            <w:r w:rsidRPr="32A7317A">
              <w:rPr>
                <w:rFonts w:ascii="Arial" w:eastAsia="Arial" w:hAnsi="Arial" w:cs="Arial"/>
              </w:rPr>
              <w:t>3.2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80E68C" w14:textId="72972F8A" w:rsidR="32A7317A" w:rsidRDefault="32A7317A" w:rsidP="32A7317A">
            <w:pPr>
              <w:spacing w:after="0"/>
              <w:ind w:left="-20" w:right="-20"/>
              <w:jc w:val="center"/>
              <w:rPr>
                <w:rFonts w:ascii="Arial" w:eastAsia="Arial" w:hAnsi="Arial" w:cs="Arial"/>
              </w:rPr>
            </w:pPr>
            <w:r w:rsidRPr="32A7317A">
              <w:rPr>
                <w:rFonts w:ascii="Arial" w:eastAsia="Arial" w:hAnsi="Arial" w:cs="Arial"/>
              </w:rPr>
              <w:t>1.5</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6EB109" w14:textId="0DD774AB" w:rsidR="32A7317A" w:rsidRDefault="32A7317A" w:rsidP="32A7317A">
            <w:pPr>
              <w:spacing w:after="0"/>
              <w:ind w:left="-20" w:right="-20"/>
              <w:jc w:val="center"/>
              <w:rPr>
                <w:rFonts w:ascii="Arial" w:eastAsia="Arial" w:hAnsi="Arial" w:cs="Arial"/>
              </w:rPr>
            </w:pPr>
            <w:r w:rsidRPr="32A7317A">
              <w:rPr>
                <w:rFonts w:ascii="Arial" w:eastAsia="Arial" w:hAnsi="Arial" w:cs="Arial"/>
              </w:rPr>
              <w:t>5.7</w:t>
            </w:r>
          </w:p>
        </w:tc>
      </w:tr>
      <w:tr w:rsidR="32A7317A" w14:paraId="78BF06F2" w14:textId="77777777" w:rsidTr="32A7317A">
        <w:trPr>
          <w:trHeight w:val="300"/>
          <w:jc w:val="center"/>
        </w:trPr>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CB28BA7" w14:textId="5F59D2D0" w:rsidR="32A7317A" w:rsidRDefault="32A7317A" w:rsidP="32A7317A">
            <w:pPr>
              <w:spacing w:after="0"/>
              <w:ind w:left="-20" w:right="-20"/>
              <w:jc w:val="center"/>
              <w:rPr>
                <w:rFonts w:ascii="Arial" w:eastAsia="Arial" w:hAnsi="Arial" w:cs="Arial"/>
              </w:rPr>
            </w:pPr>
            <w:r w:rsidRPr="32A7317A">
              <w:rPr>
                <w:rFonts w:ascii="Arial" w:eastAsia="Arial" w:hAnsi="Arial" w:cs="Arial"/>
              </w:rPr>
              <w:t>2015</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01156F3" w14:textId="59310360" w:rsidR="32A7317A" w:rsidRDefault="32A7317A" w:rsidP="32A7317A">
            <w:pPr>
              <w:spacing w:after="0"/>
              <w:ind w:left="-20" w:right="-20"/>
              <w:jc w:val="center"/>
              <w:rPr>
                <w:rFonts w:ascii="Arial" w:eastAsia="Arial" w:hAnsi="Arial" w:cs="Arial"/>
              </w:rPr>
            </w:pPr>
            <w:r w:rsidRPr="32A7317A">
              <w:rPr>
                <w:rFonts w:ascii="Arial" w:eastAsia="Arial" w:hAnsi="Arial" w:cs="Arial"/>
              </w:rPr>
              <w:t>2.2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7F21855" w14:textId="4C23D156" w:rsidR="32A7317A" w:rsidRDefault="32A7317A" w:rsidP="32A7317A">
            <w:pPr>
              <w:spacing w:after="0"/>
              <w:ind w:left="-20" w:right="-20"/>
              <w:jc w:val="center"/>
              <w:rPr>
                <w:rFonts w:ascii="Arial" w:eastAsia="Arial" w:hAnsi="Arial" w:cs="Arial"/>
              </w:rPr>
            </w:pPr>
            <w:r w:rsidRPr="32A7317A">
              <w:rPr>
                <w:rFonts w:ascii="Arial" w:eastAsia="Arial" w:hAnsi="Arial" w:cs="Arial"/>
              </w:rPr>
              <w:t>0.4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C57FEC" w14:textId="3E30165D" w:rsidR="32A7317A" w:rsidRDefault="32A7317A" w:rsidP="32A7317A">
            <w:pPr>
              <w:spacing w:after="0"/>
              <w:ind w:left="-20" w:right="-20"/>
              <w:jc w:val="center"/>
              <w:rPr>
                <w:rFonts w:ascii="Arial" w:eastAsia="Arial" w:hAnsi="Arial" w:cs="Arial"/>
              </w:rPr>
            </w:pPr>
            <w:r w:rsidRPr="32A7317A">
              <w:rPr>
                <w:rFonts w:ascii="Arial" w:eastAsia="Arial" w:hAnsi="Arial" w:cs="Arial"/>
              </w:rPr>
              <w:t>5.1</w:t>
            </w:r>
          </w:p>
        </w:tc>
      </w:tr>
      <w:tr w:rsidR="32A7317A" w14:paraId="6BE4E805" w14:textId="77777777" w:rsidTr="32A7317A">
        <w:trPr>
          <w:trHeight w:val="300"/>
          <w:jc w:val="center"/>
        </w:trPr>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DA52916" w14:textId="09A31E85" w:rsidR="32A7317A" w:rsidRDefault="32A7317A" w:rsidP="32A7317A">
            <w:pPr>
              <w:spacing w:after="0"/>
              <w:ind w:left="-20" w:right="-20"/>
              <w:jc w:val="center"/>
              <w:rPr>
                <w:rFonts w:ascii="Arial" w:eastAsia="Arial" w:hAnsi="Arial" w:cs="Arial"/>
              </w:rPr>
            </w:pPr>
            <w:r w:rsidRPr="32A7317A">
              <w:rPr>
                <w:rFonts w:ascii="Arial" w:eastAsia="Arial" w:hAnsi="Arial" w:cs="Arial"/>
              </w:rPr>
              <w:t>2016</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1A15595" w14:textId="6E079E9E" w:rsidR="32A7317A" w:rsidRDefault="32A7317A" w:rsidP="32A7317A">
            <w:pPr>
              <w:spacing w:after="0"/>
              <w:ind w:left="-20" w:right="-20"/>
              <w:jc w:val="center"/>
              <w:rPr>
                <w:rFonts w:ascii="Arial" w:eastAsia="Arial" w:hAnsi="Arial" w:cs="Arial"/>
              </w:rPr>
            </w:pPr>
            <w:r w:rsidRPr="32A7317A">
              <w:rPr>
                <w:rFonts w:ascii="Arial" w:eastAsia="Arial" w:hAnsi="Arial" w:cs="Arial"/>
              </w:rPr>
              <w:t>1.9</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8D4CAF9" w14:textId="6B39368E" w:rsidR="32A7317A" w:rsidRDefault="32A7317A" w:rsidP="32A7317A">
            <w:pPr>
              <w:spacing w:after="0"/>
              <w:ind w:left="-20" w:right="-20"/>
              <w:jc w:val="center"/>
              <w:rPr>
                <w:rFonts w:ascii="Arial" w:eastAsia="Arial" w:hAnsi="Arial" w:cs="Arial"/>
              </w:rPr>
            </w:pPr>
            <w:r w:rsidRPr="32A7317A">
              <w:rPr>
                <w:rFonts w:ascii="Arial" w:eastAsia="Arial" w:hAnsi="Arial" w:cs="Arial"/>
              </w:rPr>
              <w:t>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E483D45" w14:textId="07A0EA74" w:rsidR="32A7317A" w:rsidRDefault="32A7317A" w:rsidP="32A7317A">
            <w:pPr>
              <w:spacing w:after="0"/>
              <w:ind w:left="-20" w:right="-20"/>
              <w:jc w:val="center"/>
              <w:rPr>
                <w:rFonts w:ascii="Arial" w:eastAsia="Arial" w:hAnsi="Arial" w:cs="Arial"/>
              </w:rPr>
            </w:pPr>
            <w:r w:rsidRPr="32A7317A">
              <w:rPr>
                <w:rFonts w:ascii="Arial" w:eastAsia="Arial" w:hAnsi="Arial" w:cs="Arial"/>
              </w:rPr>
              <w:t>4.7</w:t>
            </w:r>
          </w:p>
        </w:tc>
      </w:tr>
      <w:tr w:rsidR="32A7317A" w14:paraId="5159E184" w14:textId="77777777" w:rsidTr="32A7317A">
        <w:trPr>
          <w:trHeight w:val="300"/>
          <w:jc w:val="center"/>
        </w:trPr>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4CF5A22" w14:textId="740C904C" w:rsidR="32A7317A" w:rsidRDefault="32A7317A" w:rsidP="32A7317A">
            <w:pPr>
              <w:spacing w:after="0"/>
              <w:ind w:left="-20" w:right="-20"/>
              <w:jc w:val="center"/>
              <w:rPr>
                <w:rFonts w:ascii="Arial" w:eastAsia="Arial" w:hAnsi="Arial" w:cs="Arial"/>
              </w:rPr>
            </w:pPr>
            <w:r w:rsidRPr="32A7317A">
              <w:rPr>
                <w:rFonts w:ascii="Arial" w:eastAsia="Arial" w:hAnsi="Arial" w:cs="Arial"/>
              </w:rPr>
              <w:t>2017</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739C55D" w14:textId="1A397FF0" w:rsidR="32A7317A" w:rsidRDefault="32A7317A" w:rsidP="32A7317A">
            <w:pPr>
              <w:spacing w:after="0"/>
              <w:ind w:left="-20" w:right="-20"/>
              <w:jc w:val="center"/>
              <w:rPr>
                <w:rFonts w:ascii="Arial" w:eastAsia="Arial" w:hAnsi="Arial" w:cs="Arial"/>
              </w:rPr>
            </w:pPr>
            <w:r w:rsidRPr="32A7317A">
              <w:rPr>
                <w:rFonts w:ascii="Arial" w:eastAsia="Arial" w:hAnsi="Arial" w:cs="Arial"/>
              </w:rPr>
              <w:t>2.7</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32CD6D" w14:textId="62195A79" w:rsidR="32A7317A" w:rsidRDefault="32A7317A" w:rsidP="32A7317A">
            <w:pPr>
              <w:spacing w:after="0"/>
              <w:ind w:left="-20" w:right="-20"/>
              <w:jc w:val="center"/>
              <w:rPr>
                <w:rFonts w:ascii="Arial" w:eastAsia="Arial" w:hAnsi="Arial" w:cs="Arial"/>
              </w:rPr>
            </w:pPr>
            <w:r w:rsidRPr="32A7317A">
              <w:rPr>
                <w:rFonts w:ascii="Arial" w:eastAsia="Arial" w:hAnsi="Arial" w:cs="Arial"/>
              </w:rPr>
              <w:t>2.6</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B705AC8" w14:textId="6B28DF6C" w:rsidR="32A7317A" w:rsidRDefault="32A7317A" w:rsidP="32A7317A">
            <w:pPr>
              <w:spacing w:after="0"/>
              <w:ind w:left="-20" w:right="-20"/>
              <w:jc w:val="center"/>
              <w:rPr>
                <w:rFonts w:ascii="Arial" w:eastAsia="Arial" w:hAnsi="Arial" w:cs="Arial"/>
              </w:rPr>
            </w:pPr>
            <w:r w:rsidRPr="32A7317A">
              <w:rPr>
                <w:rFonts w:ascii="Arial" w:eastAsia="Arial" w:hAnsi="Arial" w:cs="Arial"/>
              </w:rPr>
              <w:t>4.4</w:t>
            </w:r>
          </w:p>
        </w:tc>
      </w:tr>
      <w:tr w:rsidR="32A7317A" w14:paraId="3AA4CE00" w14:textId="77777777" w:rsidTr="32A7317A">
        <w:trPr>
          <w:trHeight w:val="300"/>
          <w:jc w:val="center"/>
        </w:trPr>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642A10C" w14:textId="41F31214" w:rsidR="32A7317A" w:rsidRDefault="32A7317A" w:rsidP="32A7317A">
            <w:pPr>
              <w:spacing w:after="0"/>
              <w:ind w:left="-20" w:right="-20"/>
              <w:jc w:val="center"/>
              <w:rPr>
                <w:rFonts w:ascii="Arial" w:eastAsia="Arial" w:hAnsi="Arial" w:cs="Arial"/>
              </w:rPr>
            </w:pPr>
            <w:r w:rsidRPr="32A7317A">
              <w:rPr>
                <w:rFonts w:ascii="Arial" w:eastAsia="Arial" w:hAnsi="Arial" w:cs="Arial"/>
              </w:rPr>
              <w:t>2018</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8756442" w14:textId="32005882" w:rsidR="32A7317A" w:rsidRDefault="32A7317A" w:rsidP="32A7317A">
            <w:pPr>
              <w:spacing w:after="0"/>
              <w:ind w:left="-20" w:right="-20"/>
              <w:jc w:val="center"/>
              <w:rPr>
                <w:rFonts w:ascii="Arial" w:eastAsia="Arial" w:hAnsi="Arial" w:cs="Arial"/>
              </w:rPr>
            </w:pPr>
            <w:r w:rsidRPr="32A7317A">
              <w:rPr>
                <w:rFonts w:ascii="Arial" w:eastAsia="Arial" w:hAnsi="Arial" w:cs="Arial"/>
              </w:rPr>
              <w:t>1.4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BE8E704" w14:textId="039E078F" w:rsidR="32A7317A" w:rsidRDefault="32A7317A" w:rsidP="32A7317A">
            <w:pPr>
              <w:spacing w:after="0"/>
              <w:ind w:left="-20" w:right="-20"/>
              <w:jc w:val="center"/>
              <w:rPr>
                <w:rFonts w:ascii="Arial" w:eastAsia="Arial" w:hAnsi="Arial" w:cs="Arial"/>
              </w:rPr>
            </w:pPr>
            <w:r w:rsidRPr="32A7317A">
              <w:rPr>
                <w:rFonts w:ascii="Arial" w:eastAsia="Arial" w:hAnsi="Arial" w:cs="Arial"/>
              </w:rPr>
              <w:t>2.3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6D01D19" w14:textId="3C8DE026" w:rsidR="32A7317A" w:rsidRDefault="32A7317A" w:rsidP="32A7317A">
            <w:pPr>
              <w:spacing w:after="0"/>
              <w:ind w:left="-20" w:right="-20"/>
              <w:jc w:val="center"/>
              <w:rPr>
                <w:rFonts w:ascii="Arial" w:eastAsia="Arial" w:hAnsi="Arial" w:cs="Arial"/>
              </w:rPr>
            </w:pPr>
            <w:r w:rsidRPr="32A7317A">
              <w:rPr>
                <w:rFonts w:ascii="Arial" w:eastAsia="Arial" w:hAnsi="Arial" w:cs="Arial"/>
              </w:rPr>
              <w:t>4</w:t>
            </w:r>
          </w:p>
        </w:tc>
      </w:tr>
      <w:tr w:rsidR="32A7317A" w14:paraId="3407C2C0" w14:textId="77777777" w:rsidTr="32A7317A">
        <w:trPr>
          <w:trHeight w:val="300"/>
          <w:jc w:val="center"/>
        </w:trPr>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1A9C3DF" w14:textId="2960894F" w:rsidR="32A7317A" w:rsidRDefault="32A7317A" w:rsidP="32A7317A">
            <w:pPr>
              <w:spacing w:after="0"/>
              <w:ind w:left="-20" w:right="-20"/>
              <w:jc w:val="center"/>
              <w:rPr>
                <w:rFonts w:ascii="Arial" w:eastAsia="Arial" w:hAnsi="Arial" w:cs="Arial"/>
              </w:rPr>
            </w:pPr>
            <w:r w:rsidRPr="32A7317A">
              <w:rPr>
                <w:rFonts w:ascii="Arial" w:eastAsia="Arial" w:hAnsi="Arial" w:cs="Arial"/>
              </w:rPr>
              <w:t>2019</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BDFEFF" w14:textId="15E78257" w:rsidR="32A7317A" w:rsidRDefault="32A7317A" w:rsidP="32A7317A">
            <w:pPr>
              <w:spacing w:after="0"/>
              <w:ind w:left="-20" w:right="-20"/>
              <w:jc w:val="center"/>
              <w:rPr>
                <w:rFonts w:ascii="Arial" w:eastAsia="Arial" w:hAnsi="Arial" w:cs="Arial"/>
              </w:rPr>
            </w:pPr>
            <w:r w:rsidRPr="32A7317A">
              <w:rPr>
                <w:rFonts w:ascii="Arial" w:eastAsia="Arial" w:hAnsi="Arial" w:cs="Arial"/>
              </w:rPr>
              <w:t>1.6</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D1B7526" w14:textId="396338EC" w:rsidR="32A7317A" w:rsidRDefault="32A7317A" w:rsidP="32A7317A">
            <w:pPr>
              <w:spacing w:after="0"/>
              <w:ind w:left="-20" w:right="-20"/>
              <w:jc w:val="center"/>
              <w:rPr>
                <w:rFonts w:ascii="Arial" w:eastAsia="Arial" w:hAnsi="Arial" w:cs="Arial"/>
              </w:rPr>
            </w:pPr>
            <w:r w:rsidRPr="32A7317A">
              <w:rPr>
                <w:rFonts w:ascii="Arial" w:eastAsia="Arial" w:hAnsi="Arial" w:cs="Arial"/>
              </w:rPr>
              <w:t>1.7</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2947B0" w14:textId="697FC2F8" w:rsidR="32A7317A" w:rsidRDefault="32A7317A" w:rsidP="32A7317A">
            <w:pPr>
              <w:spacing w:after="0"/>
              <w:ind w:left="-20" w:right="-20"/>
              <w:jc w:val="center"/>
              <w:rPr>
                <w:rFonts w:ascii="Arial" w:eastAsia="Arial" w:hAnsi="Arial" w:cs="Arial"/>
              </w:rPr>
            </w:pPr>
            <w:r w:rsidRPr="32A7317A">
              <w:rPr>
                <w:rFonts w:ascii="Arial" w:eastAsia="Arial" w:hAnsi="Arial" w:cs="Arial"/>
              </w:rPr>
              <w:t>3.8</w:t>
            </w:r>
          </w:p>
        </w:tc>
      </w:tr>
      <w:tr w:rsidR="32A7317A" w14:paraId="3C99C964" w14:textId="77777777" w:rsidTr="32A7317A">
        <w:trPr>
          <w:trHeight w:val="300"/>
          <w:jc w:val="center"/>
        </w:trPr>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E47B257" w14:textId="4EC7CDE7" w:rsidR="32A7317A" w:rsidRDefault="32A7317A" w:rsidP="32A7317A">
            <w:pPr>
              <w:spacing w:after="0"/>
              <w:ind w:left="-20" w:right="-20"/>
              <w:jc w:val="center"/>
              <w:rPr>
                <w:rFonts w:ascii="Arial" w:eastAsia="Arial" w:hAnsi="Arial" w:cs="Arial"/>
              </w:rPr>
            </w:pPr>
            <w:r w:rsidRPr="32A7317A">
              <w:rPr>
                <w:rFonts w:ascii="Arial" w:eastAsia="Arial" w:hAnsi="Arial" w:cs="Arial"/>
              </w:rPr>
              <w:t>2020</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A7807E" w14:textId="0BE022B7" w:rsidR="32A7317A" w:rsidRDefault="32A7317A" w:rsidP="32A7317A">
            <w:pPr>
              <w:spacing w:after="0"/>
              <w:ind w:left="-20" w:right="-20"/>
              <w:jc w:val="center"/>
              <w:rPr>
                <w:rFonts w:ascii="Arial" w:eastAsia="Arial" w:hAnsi="Arial" w:cs="Arial"/>
              </w:rPr>
            </w:pPr>
            <w:r w:rsidRPr="32A7317A">
              <w:rPr>
                <w:rFonts w:ascii="Arial" w:eastAsia="Arial" w:hAnsi="Arial" w:cs="Arial"/>
              </w:rPr>
              <w:t>-10.4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6E4B6D8" w14:textId="73474B62" w:rsidR="32A7317A" w:rsidRDefault="32A7317A" w:rsidP="32A7317A">
            <w:pPr>
              <w:spacing w:after="0"/>
              <w:ind w:left="-20" w:right="-20"/>
              <w:jc w:val="center"/>
              <w:rPr>
                <w:rFonts w:ascii="Arial" w:eastAsia="Arial" w:hAnsi="Arial" w:cs="Arial"/>
              </w:rPr>
            </w:pPr>
            <w:r w:rsidRPr="32A7317A">
              <w:rPr>
                <w:rFonts w:ascii="Arial" w:eastAsia="Arial" w:hAnsi="Arial" w:cs="Arial"/>
              </w:rPr>
              <w:t>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4687C1A" w14:textId="481FAED1" w:rsidR="32A7317A" w:rsidRDefault="32A7317A" w:rsidP="32A7317A">
            <w:pPr>
              <w:spacing w:after="0"/>
              <w:ind w:left="-20" w:right="-20"/>
              <w:jc w:val="center"/>
              <w:rPr>
                <w:rFonts w:ascii="Arial" w:eastAsia="Arial" w:hAnsi="Arial" w:cs="Arial"/>
              </w:rPr>
            </w:pPr>
            <w:r w:rsidRPr="32A7317A">
              <w:rPr>
                <w:rFonts w:ascii="Arial" w:eastAsia="Arial" w:hAnsi="Arial" w:cs="Arial"/>
              </w:rPr>
              <w:t>5.2</w:t>
            </w:r>
          </w:p>
        </w:tc>
      </w:tr>
      <w:tr w:rsidR="32A7317A" w14:paraId="01502A14" w14:textId="77777777" w:rsidTr="32A7317A">
        <w:trPr>
          <w:trHeight w:val="300"/>
          <w:jc w:val="center"/>
        </w:trPr>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FBF9EC" w14:textId="2903D948" w:rsidR="32A7317A" w:rsidRDefault="32A7317A" w:rsidP="32A7317A">
            <w:pPr>
              <w:spacing w:after="0"/>
              <w:ind w:left="-20" w:right="-20"/>
              <w:jc w:val="center"/>
              <w:rPr>
                <w:rFonts w:ascii="Arial" w:eastAsia="Arial" w:hAnsi="Arial" w:cs="Arial"/>
              </w:rPr>
            </w:pPr>
            <w:r w:rsidRPr="32A7317A">
              <w:rPr>
                <w:rFonts w:ascii="Arial" w:eastAsia="Arial" w:hAnsi="Arial" w:cs="Arial"/>
              </w:rPr>
              <w:t>2021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8834A1E" w14:textId="49E2B750" w:rsidR="32A7317A" w:rsidRDefault="32A7317A" w:rsidP="32A7317A">
            <w:pPr>
              <w:spacing w:after="0"/>
              <w:ind w:left="-20" w:right="-20"/>
              <w:jc w:val="center"/>
              <w:rPr>
                <w:rFonts w:ascii="Arial" w:eastAsia="Arial" w:hAnsi="Arial" w:cs="Arial"/>
              </w:rPr>
            </w:pPr>
            <w:r w:rsidRPr="32A7317A">
              <w:rPr>
                <w:rFonts w:ascii="Arial" w:eastAsia="Arial" w:hAnsi="Arial" w:cs="Arial"/>
              </w:rPr>
              <w:t>8.7</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9E27F9F" w14:textId="7B052C07" w:rsidR="32A7317A" w:rsidRDefault="32A7317A" w:rsidP="32A7317A">
            <w:pPr>
              <w:spacing w:after="0"/>
              <w:ind w:left="-20" w:right="-20"/>
              <w:jc w:val="center"/>
              <w:rPr>
                <w:rFonts w:ascii="Arial" w:eastAsia="Arial" w:hAnsi="Arial" w:cs="Arial"/>
              </w:rPr>
            </w:pPr>
            <w:r w:rsidRPr="32A7317A">
              <w:rPr>
                <w:rFonts w:ascii="Arial" w:eastAsia="Arial" w:hAnsi="Arial" w:cs="Arial"/>
              </w:rPr>
              <w:t>2.5</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8F59BF8" w14:textId="446BBBB3" w:rsidR="32A7317A" w:rsidRDefault="32A7317A" w:rsidP="32A7317A">
            <w:pPr>
              <w:spacing w:after="0"/>
              <w:ind w:left="-20" w:right="-20"/>
              <w:jc w:val="center"/>
              <w:rPr>
                <w:rFonts w:ascii="Arial" w:eastAsia="Arial" w:hAnsi="Arial" w:cs="Arial"/>
              </w:rPr>
            </w:pPr>
            <w:r w:rsidRPr="32A7317A">
              <w:rPr>
                <w:rFonts w:ascii="Arial" w:eastAsia="Arial" w:hAnsi="Arial" w:cs="Arial"/>
              </w:rPr>
              <w:t>4</w:t>
            </w:r>
          </w:p>
        </w:tc>
      </w:tr>
      <w:tr w:rsidR="32A7317A" w14:paraId="3AB53B0F" w14:textId="77777777" w:rsidTr="32A7317A">
        <w:trPr>
          <w:trHeight w:val="300"/>
          <w:jc w:val="center"/>
        </w:trPr>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E1C473A" w14:textId="222A6D76" w:rsidR="32A7317A" w:rsidRDefault="32A7317A" w:rsidP="32A7317A">
            <w:pPr>
              <w:spacing w:after="0"/>
              <w:ind w:left="-20" w:right="-20"/>
              <w:jc w:val="center"/>
              <w:rPr>
                <w:rFonts w:ascii="Arial" w:eastAsia="Arial" w:hAnsi="Arial" w:cs="Arial"/>
              </w:rPr>
            </w:pPr>
            <w:r w:rsidRPr="32A7317A">
              <w:rPr>
                <w:rFonts w:ascii="Arial" w:eastAsia="Arial" w:hAnsi="Arial" w:cs="Arial"/>
              </w:rPr>
              <w:t>2022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030FC9F" w14:textId="39FB64C8" w:rsidR="32A7317A" w:rsidRDefault="32A7317A" w:rsidP="32A7317A">
            <w:pPr>
              <w:spacing w:after="0"/>
              <w:ind w:left="-20" w:right="-20"/>
              <w:jc w:val="center"/>
              <w:rPr>
                <w:rFonts w:ascii="Arial" w:eastAsia="Arial" w:hAnsi="Arial" w:cs="Arial"/>
              </w:rPr>
            </w:pPr>
            <w:r w:rsidRPr="32A7317A">
              <w:rPr>
                <w:rFonts w:ascii="Arial" w:eastAsia="Arial" w:hAnsi="Arial" w:cs="Arial"/>
              </w:rPr>
              <w:t>4.3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BE9128C" w14:textId="43A04782" w:rsidR="32A7317A" w:rsidRDefault="32A7317A" w:rsidP="32A7317A">
            <w:pPr>
              <w:spacing w:after="0"/>
              <w:ind w:left="-20" w:right="-20"/>
              <w:jc w:val="center"/>
              <w:rPr>
                <w:rFonts w:ascii="Arial" w:eastAsia="Arial" w:hAnsi="Arial" w:cs="Arial"/>
              </w:rPr>
            </w:pPr>
            <w:r w:rsidRPr="32A7317A">
              <w:rPr>
                <w:rFonts w:ascii="Arial" w:eastAsia="Arial" w:hAnsi="Arial" w:cs="Arial"/>
              </w:rPr>
              <w:t xml:space="preserve">7.9 </w:t>
            </w:r>
          </w:p>
        </w:tc>
        <w:tc>
          <w:tcPr>
            <w:tcW w:w="2340"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B19C59B" w14:textId="512B55C5" w:rsidR="32A7317A" w:rsidRDefault="32A7317A" w:rsidP="32A7317A">
            <w:pPr>
              <w:spacing w:after="0"/>
              <w:ind w:left="-20" w:right="-20"/>
              <w:jc w:val="center"/>
              <w:rPr>
                <w:rFonts w:ascii="Arial" w:eastAsia="Arial" w:hAnsi="Arial" w:cs="Arial"/>
              </w:rPr>
            </w:pPr>
            <w:r w:rsidRPr="32A7317A">
              <w:rPr>
                <w:rFonts w:ascii="Arial" w:eastAsia="Arial" w:hAnsi="Arial" w:cs="Arial"/>
              </w:rPr>
              <w:t>3.7</w:t>
            </w:r>
          </w:p>
        </w:tc>
      </w:tr>
    </w:tbl>
    <w:p w14:paraId="5368330C" w14:textId="2A0B487D" w:rsidR="6E514310" w:rsidRDefault="6E514310" w:rsidP="32A7317A">
      <w:pPr>
        <w:ind w:right="-20"/>
        <w:jc w:val="center"/>
        <w:rPr>
          <w:rFonts w:ascii="Arial" w:eastAsia="Arial" w:hAnsi="Arial" w:cs="Arial"/>
          <w:color w:val="000000" w:themeColor="text1"/>
        </w:rPr>
      </w:pPr>
      <w:r w:rsidRPr="32A7317A">
        <w:rPr>
          <w:rFonts w:ascii="Arial" w:eastAsia="Arial" w:hAnsi="Arial" w:cs="Arial"/>
          <w:color w:val="000000" w:themeColor="text1"/>
        </w:rPr>
        <w:t>Source: (Office for National Statistics, 2024)</w:t>
      </w:r>
    </w:p>
    <w:p w14:paraId="08C8C574" w14:textId="5ED47674" w:rsidR="74FD911E" w:rsidRDefault="73BC0C42" w:rsidP="73F31BAE">
      <w:pPr>
        <w:spacing w:line="360" w:lineRule="auto"/>
        <w:ind w:right="-20"/>
        <w:jc w:val="center"/>
        <w:rPr>
          <w:rFonts w:ascii="Arial" w:eastAsia="Arial" w:hAnsi="Arial" w:cs="Arial"/>
          <w:color w:val="000000" w:themeColor="text1"/>
        </w:rPr>
      </w:pPr>
      <w:r w:rsidRPr="73F31BAE">
        <w:rPr>
          <w:rFonts w:ascii="Arial" w:eastAsia="Arial" w:hAnsi="Arial" w:cs="Arial"/>
          <w:color w:val="000000" w:themeColor="text1"/>
        </w:rPr>
        <w:t>*</w:t>
      </w:r>
      <w:r w:rsidR="14237E8C" w:rsidRPr="73F31BAE">
        <w:rPr>
          <w:rFonts w:ascii="Arial" w:eastAsia="Arial" w:hAnsi="Arial" w:cs="Arial"/>
          <w:color w:val="000000" w:themeColor="text1"/>
        </w:rPr>
        <w:t xml:space="preserve">Note: As mentioned, the study focuses on the </w:t>
      </w:r>
      <w:r w:rsidR="1392CE45" w:rsidRPr="73F31BAE">
        <w:rPr>
          <w:rFonts w:ascii="Arial" w:eastAsia="Arial" w:hAnsi="Arial" w:cs="Arial"/>
          <w:color w:val="000000" w:themeColor="text1"/>
        </w:rPr>
        <w:t>past</w:t>
      </w:r>
      <w:r w:rsidR="14237E8C" w:rsidRPr="73F31BAE">
        <w:rPr>
          <w:rFonts w:ascii="Arial" w:eastAsia="Arial" w:hAnsi="Arial" w:cs="Arial"/>
          <w:color w:val="000000" w:themeColor="text1"/>
        </w:rPr>
        <w:t xml:space="preserve"> 10 </w:t>
      </w:r>
      <w:r w:rsidR="226DDFD6" w:rsidRPr="73F31BAE">
        <w:rPr>
          <w:rFonts w:ascii="Arial" w:eastAsia="Arial" w:hAnsi="Arial" w:cs="Arial"/>
          <w:color w:val="000000" w:themeColor="text1"/>
        </w:rPr>
        <w:t>years'</w:t>
      </w:r>
      <w:r w:rsidR="14237E8C" w:rsidRPr="73F31BAE">
        <w:rPr>
          <w:rFonts w:ascii="Arial" w:eastAsia="Arial" w:hAnsi="Arial" w:cs="Arial"/>
          <w:color w:val="000000" w:themeColor="text1"/>
        </w:rPr>
        <w:t xml:space="preserve"> </w:t>
      </w:r>
      <w:r w:rsidR="01CDC18E" w:rsidRPr="73F31BAE">
        <w:rPr>
          <w:rFonts w:ascii="Arial" w:eastAsia="Arial" w:hAnsi="Arial" w:cs="Arial"/>
          <w:color w:val="000000" w:themeColor="text1"/>
        </w:rPr>
        <w:t>data</w:t>
      </w:r>
      <w:r w:rsidR="3B112858" w:rsidRPr="73F31BAE">
        <w:rPr>
          <w:rFonts w:ascii="Arial" w:eastAsia="Arial" w:hAnsi="Arial" w:cs="Arial"/>
          <w:color w:val="000000" w:themeColor="text1"/>
        </w:rPr>
        <w:t>. However</w:t>
      </w:r>
      <w:r w:rsidR="4D5B121E" w:rsidRPr="73F31BAE">
        <w:rPr>
          <w:rFonts w:ascii="Arial" w:eastAsia="Arial" w:hAnsi="Arial" w:cs="Arial"/>
          <w:color w:val="000000" w:themeColor="text1"/>
        </w:rPr>
        <w:t>,</w:t>
      </w:r>
      <w:r w:rsidR="66A00665" w:rsidRPr="73F31BAE">
        <w:rPr>
          <w:rFonts w:ascii="Arial" w:eastAsia="Arial" w:hAnsi="Arial" w:cs="Arial"/>
          <w:color w:val="000000" w:themeColor="text1"/>
        </w:rPr>
        <w:t xml:space="preserve"> </w:t>
      </w:r>
      <w:r w:rsidR="1EE663B2" w:rsidRPr="73F31BAE">
        <w:rPr>
          <w:rFonts w:ascii="Arial" w:eastAsia="Arial" w:hAnsi="Arial" w:cs="Arial"/>
          <w:color w:val="000000" w:themeColor="text1"/>
        </w:rPr>
        <w:t xml:space="preserve">the given </w:t>
      </w:r>
      <w:r w:rsidR="194E3E35" w:rsidRPr="73F31BAE">
        <w:rPr>
          <w:rFonts w:ascii="Arial" w:eastAsia="Arial" w:hAnsi="Arial" w:cs="Arial"/>
          <w:color w:val="000000" w:themeColor="text1"/>
        </w:rPr>
        <w:t>table</w:t>
      </w:r>
      <w:r w:rsidR="1EE663B2" w:rsidRPr="73F31BAE">
        <w:rPr>
          <w:rFonts w:ascii="Arial" w:eastAsia="Arial" w:hAnsi="Arial" w:cs="Arial"/>
          <w:color w:val="000000" w:themeColor="text1"/>
        </w:rPr>
        <w:t xml:space="preserve"> only </w:t>
      </w:r>
      <w:r w:rsidR="517BC3CD" w:rsidRPr="73F31BAE">
        <w:rPr>
          <w:rFonts w:ascii="Arial" w:eastAsia="Arial" w:hAnsi="Arial" w:cs="Arial"/>
          <w:color w:val="000000" w:themeColor="text1"/>
        </w:rPr>
        <w:t>consists of</w:t>
      </w:r>
      <w:r w:rsidR="4529F1BE" w:rsidRPr="73F31BAE">
        <w:rPr>
          <w:rFonts w:ascii="Arial" w:eastAsia="Arial" w:hAnsi="Arial" w:cs="Arial"/>
          <w:color w:val="000000" w:themeColor="text1"/>
        </w:rPr>
        <w:t xml:space="preserve"> the</w:t>
      </w:r>
      <w:r w:rsidR="1EE663B2" w:rsidRPr="73F31BAE">
        <w:rPr>
          <w:rFonts w:ascii="Arial" w:eastAsia="Arial" w:hAnsi="Arial" w:cs="Arial"/>
          <w:color w:val="000000" w:themeColor="text1"/>
        </w:rPr>
        <w:t xml:space="preserve"> last 9 years due to the un</w:t>
      </w:r>
      <w:r w:rsidR="6872D3B6" w:rsidRPr="73F31BAE">
        <w:rPr>
          <w:rFonts w:ascii="Arial" w:eastAsia="Arial" w:hAnsi="Arial" w:cs="Arial"/>
          <w:color w:val="000000" w:themeColor="text1"/>
        </w:rPr>
        <w:t>available/pending submissions on the official websites.</w:t>
      </w:r>
    </w:p>
    <w:p w14:paraId="7451E441" w14:textId="508A1A0E" w:rsidR="32A7317A" w:rsidRDefault="32A7317A" w:rsidP="73F31BAE">
      <w:pPr>
        <w:spacing w:line="360" w:lineRule="auto"/>
        <w:ind w:right="-20"/>
        <w:jc w:val="both"/>
        <w:rPr>
          <w:rFonts w:ascii="Arial" w:eastAsia="Arial" w:hAnsi="Arial" w:cs="Arial"/>
        </w:rPr>
      </w:pPr>
    </w:p>
    <w:p w14:paraId="56330539" w14:textId="1B4C0955" w:rsidR="563546CC" w:rsidRDefault="73F42C6D" w:rsidP="73F31BAE">
      <w:pPr>
        <w:spacing w:line="360" w:lineRule="auto"/>
        <w:ind w:right="-20"/>
        <w:jc w:val="both"/>
        <w:rPr>
          <w:rFonts w:ascii="Arial" w:eastAsia="Arial" w:hAnsi="Arial" w:cs="Arial"/>
        </w:rPr>
      </w:pPr>
      <w:r w:rsidRPr="73F31BAE">
        <w:rPr>
          <w:rFonts w:ascii="Arial" w:eastAsia="Arial" w:hAnsi="Arial" w:cs="Arial"/>
        </w:rPr>
        <w:t>The table provides macroeconomic indicators for the United Kingdom from 2013 to 2022. The indicators include GDP growth, inflation, and unemployment rate. Here is a detailed analysis of the provided data:</w:t>
      </w:r>
    </w:p>
    <w:p w14:paraId="363389E5" w14:textId="2F4E861E" w:rsidR="32A7317A" w:rsidRDefault="32A7317A" w:rsidP="73F31BAE">
      <w:pPr>
        <w:spacing w:line="360" w:lineRule="auto"/>
        <w:ind w:right="-20"/>
        <w:jc w:val="both"/>
        <w:rPr>
          <w:rFonts w:ascii="Arial" w:eastAsia="Arial" w:hAnsi="Arial" w:cs="Arial"/>
        </w:rPr>
      </w:pPr>
    </w:p>
    <w:p w14:paraId="3EFBAD37" w14:textId="633D3F22" w:rsidR="563546CC" w:rsidRDefault="73F42C6D" w:rsidP="73F31BAE">
      <w:pPr>
        <w:spacing w:line="360" w:lineRule="auto"/>
        <w:ind w:right="-20"/>
        <w:jc w:val="both"/>
        <w:rPr>
          <w:rFonts w:ascii="Arial" w:eastAsia="Arial" w:hAnsi="Arial" w:cs="Arial"/>
        </w:rPr>
      </w:pPr>
      <w:r w:rsidRPr="73F31BAE">
        <w:rPr>
          <w:rFonts w:ascii="Arial" w:eastAsia="Arial" w:hAnsi="Arial" w:cs="Arial"/>
          <w:b/>
          <w:bCs/>
        </w:rPr>
        <w:t xml:space="preserve">Gross Domestic Product (GDP): </w:t>
      </w:r>
      <w:r w:rsidRPr="73F31BAE">
        <w:rPr>
          <w:rFonts w:ascii="Arial" w:eastAsia="Arial" w:hAnsi="Arial" w:cs="Arial"/>
        </w:rPr>
        <w:t>GDP calculates the total value of goods and services a nation produces in a specific year. The GDP has shown a noticeable pattern over time. The biggest shift happened in 2020, when there was a notable drop of -10.4%, signifying a contraction in the economy. This is related to how the COVID-19 pandemic has affected the world economy. The recovery that followed in 2021—an 8.7% increase—indicates a robust uptick in economic activity.</w:t>
      </w:r>
    </w:p>
    <w:p w14:paraId="0F53913D" w14:textId="002A0265" w:rsidR="32A7317A" w:rsidRDefault="74EF3412" w:rsidP="73F31BAE">
      <w:pPr>
        <w:ind w:right="-20"/>
        <w:jc w:val="center"/>
      </w:pPr>
      <w:r>
        <w:rPr>
          <w:noProof/>
        </w:rPr>
        <w:lastRenderedPageBreak/>
        <w:drawing>
          <wp:inline distT="0" distB="0" distL="0" distR="0" wp14:anchorId="0D9A05F0" wp14:editId="4BB7E8A5">
            <wp:extent cx="4586288" cy="3057525"/>
            <wp:effectExtent l="0" t="0" r="0" b="0"/>
            <wp:docPr id="1643070989" name="Picture 1643070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86288" cy="3057525"/>
                    </a:xfrm>
                    <a:prstGeom prst="rect">
                      <a:avLst/>
                    </a:prstGeom>
                  </pic:spPr>
                </pic:pic>
              </a:graphicData>
            </a:graphic>
          </wp:inline>
        </w:drawing>
      </w:r>
    </w:p>
    <w:p w14:paraId="71C376F9" w14:textId="0E016C40" w:rsidR="27C8D9B8" w:rsidRDefault="27C8D9B8" w:rsidP="73F31BAE">
      <w:pPr>
        <w:ind w:right="-20"/>
        <w:jc w:val="center"/>
        <w:rPr>
          <w:rFonts w:ascii="Arial" w:eastAsia="Arial" w:hAnsi="Arial" w:cs="Arial"/>
          <w:b/>
          <w:bCs/>
        </w:rPr>
      </w:pPr>
      <w:r w:rsidRPr="73F31BAE">
        <w:rPr>
          <w:rFonts w:ascii="Arial" w:eastAsia="Arial" w:hAnsi="Arial" w:cs="Arial"/>
          <w:b/>
          <w:bCs/>
        </w:rPr>
        <w:t>Figure</w:t>
      </w:r>
      <w:r w:rsidR="4C8AA4CB" w:rsidRPr="73F31BAE">
        <w:rPr>
          <w:rFonts w:ascii="Arial" w:eastAsia="Arial" w:hAnsi="Arial" w:cs="Arial"/>
          <w:b/>
          <w:bCs/>
        </w:rPr>
        <w:t xml:space="preserve"> </w:t>
      </w:r>
      <w:r w:rsidR="6BEB7CBA" w:rsidRPr="73F31BAE">
        <w:rPr>
          <w:rFonts w:ascii="Arial" w:eastAsia="Arial" w:hAnsi="Arial" w:cs="Arial"/>
          <w:b/>
          <w:bCs/>
        </w:rPr>
        <w:t>3:</w:t>
      </w:r>
      <w:r w:rsidRPr="73F31BAE">
        <w:rPr>
          <w:rFonts w:ascii="Arial" w:eastAsia="Arial" w:hAnsi="Arial" w:cs="Arial"/>
          <w:b/>
          <w:bCs/>
        </w:rPr>
        <w:t xml:space="preserve"> Trends showing GDP Growth of the United Kingdom over the yea</w:t>
      </w:r>
      <w:r w:rsidR="53BE2DDF" w:rsidRPr="73F31BAE">
        <w:rPr>
          <w:rFonts w:ascii="Arial" w:eastAsia="Arial" w:hAnsi="Arial" w:cs="Arial"/>
          <w:b/>
          <w:bCs/>
        </w:rPr>
        <w:t>rs (2013-2022)</w:t>
      </w:r>
    </w:p>
    <w:p w14:paraId="4C63AA09" w14:textId="610602C1" w:rsidR="53BE2DDF" w:rsidRDefault="53BE2DDF" w:rsidP="73F31BAE">
      <w:pPr>
        <w:ind w:right="-20"/>
        <w:jc w:val="center"/>
        <w:rPr>
          <w:rFonts w:ascii="Arial" w:eastAsia="Arial" w:hAnsi="Arial" w:cs="Arial"/>
          <w:b/>
          <w:bCs/>
        </w:rPr>
      </w:pPr>
      <w:r w:rsidRPr="73F31BAE">
        <w:rPr>
          <w:rFonts w:ascii="Arial" w:eastAsia="Arial" w:hAnsi="Arial" w:cs="Arial"/>
        </w:rPr>
        <w:t>Source: Author’s Computation</w:t>
      </w:r>
    </w:p>
    <w:p w14:paraId="5C966E21" w14:textId="18D2B7C1" w:rsidR="73F31BAE" w:rsidRDefault="73F31BAE" w:rsidP="73F31BAE">
      <w:pPr>
        <w:ind w:right="-20"/>
        <w:jc w:val="center"/>
      </w:pPr>
    </w:p>
    <w:p w14:paraId="500DE350" w14:textId="175BCDB9" w:rsidR="234242C0" w:rsidRDefault="428573AC" w:rsidP="73F31BAE">
      <w:pPr>
        <w:spacing w:line="360" w:lineRule="auto"/>
        <w:ind w:right="-20"/>
        <w:jc w:val="both"/>
        <w:rPr>
          <w:rFonts w:ascii="Arial" w:eastAsia="Arial" w:hAnsi="Arial" w:cs="Arial"/>
        </w:rPr>
      </w:pPr>
      <w:r w:rsidRPr="73F31BAE">
        <w:rPr>
          <w:rFonts w:ascii="Arial" w:eastAsia="Arial" w:hAnsi="Arial" w:cs="Arial"/>
          <w:b/>
          <w:bCs/>
        </w:rPr>
        <w:t xml:space="preserve">Inflation: </w:t>
      </w:r>
      <w:r w:rsidRPr="73F31BAE">
        <w:rPr>
          <w:rFonts w:ascii="Arial" w:eastAsia="Arial" w:hAnsi="Arial" w:cs="Arial"/>
        </w:rPr>
        <w:t>The rate of increase in prices for goods and services is known as inflation. Prior to a notable increase in 2017 (2.6%) and a peak in 2022 (7.9%), inflation was comparatively low. Excessive inflation can affect both consumers and businesses by reducing the purchasing power of a currency.</w:t>
      </w:r>
    </w:p>
    <w:p w14:paraId="0DE8F08E" w14:textId="7C0B8034" w:rsidR="32A7317A" w:rsidRDefault="0CBB33DA" w:rsidP="73F31BAE">
      <w:pPr>
        <w:ind w:right="-20"/>
        <w:jc w:val="center"/>
      </w:pPr>
      <w:r>
        <w:rPr>
          <w:noProof/>
        </w:rPr>
        <w:drawing>
          <wp:inline distT="0" distB="0" distL="0" distR="0" wp14:anchorId="40A58C88" wp14:editId="5F01376F">
            <wp:extent cx="4572000" cy="2400300"/>
            <wp:effectExtent l="0" t="0" r="0" b="0"/>
            <wp:docPr id="1814810799" name="Picture 1814810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400300"/>
                    </a:xfrm>
                    <a:prstGeom prst="rect">
                      <a:avLst/>
                    </a:prstGeom>
                  </pic:spPr>
                </pic:pic>
              </a:graphicData>
            </a:graphic>
          </wp:inline>
        </w:drawing>
      </w:r>
    </w:p>
    <w:p w14:paraId="355FBC1A" w14:textId="39C89487" w:rsidR="6E7AC7D3" w:rsidRDefault="6E7AC7D3" w:rsidP="73F31BAE">
      <w:pPr>
        <w:ind w:right="-20"/>
        <w:jc w:val="center"/>
        <w:rPr>
          <w:rFonts w:ascii="Arial" w:eastAsia="Arial" w:hAnsi="Arial" w:cs="Arial"/>
          <w:b/>
          <w:bCs/>
        </w:rPr>
      </w:pPr>
      <w:r w:rsidRPr="73F31BAE">
        <w:rPr>
          <w:rFonts w:ascii="Arial" w:eastAsia="Arial" w:hAnsi="Arial" w:cs="Arial"/>
          <w:b/>
          <w:bCs/>
        </w:rPr>
        <w:t>Figure</w:t>
      </w:r>
      <w:r w:rsidR="49775A36" w:rsidRPr="73F31BAE">
        <w:rPr>
          <w:rFonts w:ascii="Arial" w:eastAsia="Arial" w:hAnsi="Arial" w:cs="Arial"/>
          <w:b/>
          <w:bCs/>
        </w:rPr>
        <w:t xml:space="preserve"> 4</w:t>
      </w:r>
      <w:r w:rsidRPr="73F31BAE">
        <w:rPr>
          <w:rFonts w:ascii="Arial" w:eastAsia="Arial" w:hAnsi="Arial" w:cs="Arial"/>
          <w:b/>
          <w:bCs/>
        </w:rPr>
        <w:t>: Trends showing Inflation rate of the United Kingdom over the years (2013-2022)</w:t>
      </w:r>
    </w:p>
    <w:p w14:paraId="035472C1" w14:textId="610602C1" w:rsidR="6E7AC7D3" w:rsidRDefault="6E7AC7D3" w:rsidP="73F31BAE">
      <w:pPr>
        <w:ind w:right="-20"/>
        <w:jc w:val="center"/>
        <w:rPr>
          <w:b/>
          <w:bCs/>
        </w:rPr>
      </w:pPr>
      <w:r w:rsidRPr="73F31BAE">
        <w:rPr>
          <w:rFonts w:ascii="Arial" w:eastAsia="Arial" w:hAnsi="Arial" w:cs="Arial"/>
        </w:rPr>
        <w:t>Source: Author’s Computation</w:t>
      </w:r>
    </w:p>
    <w:p w14:paraId="15A6A91C" w14:textId="3B21B5E2" w:rsidR="73F31BAE" w:rsidRDefault="73F31BAE" w:rsidP="73F31BAE">
      <w:pPr>
        <w:ind w:right="-20"/>
        <w:jc w:val="center"/>
      </w:pPr>
    </w:p>
    <w:p w14:paraId="190337B9" w14:textId="3C1DCB74" w:rsidR="535BD1DC" w:rsidRDefault="717D401D" w:rsidP="73F31BAE">
      <w:pPr>
        <w:spacing w:line="360" w:lineRule="auto"/>
        <w:ind w:right="-20"/>
        <w:jc w:val="both"/>
        <w:rPr>
          <w:rFonts w:ascii="Arial" w:eastAsia="Arial" w:hAnsi="Arial" w:cs="Arial"/>
        </w:rPr>
      </w:pPr>
      <w:r w:rsidRPr="73F31BAE">
        <w:rPr>
          <w:rFonts w:ascii="Arial" w:eastAsia="Arial" w:hAnsi="Arial" w:cs="Arial"/>
          <w:b/>
          <w:bCs/>
        </w:rPr>
        <w:t xml:space="preserve">Unemployment: </w:t>
      </w:r>
      <w:r w:rsidRPr="73F31BAE">
        <w:rPr>
          <w:rFonts w:ascii="Arial" w:eastAsia="Arial" w:hAnsi="Arial" w:cs="Arial"/>
        </w:rPr>
        <w:t>The percentage of the labour force that is jobless and actively looking for work is known as unemployment. The rate of unemployment fell over time, peaking at 3.7% in 2022. This is a good thing because a stronger economy is linked to lower unemployment.</w:t>
      </w:r>
    </w:p>
    <w:p w14:paraId="073773EB" w14:textId="31586E78" w:rsidR="32A7317A" w:rsidRDefault="1748708C" w:rsidP="73F31BAE">
      <w:pPr>
        <w:ind w:right="-20"/>
        <w:jc w:val="center"/>
      </w:pPr>
      <w:r>
        <w:rPr>
          <w:noProof/>
        </w:rPr>
        <w:drawing>
          <wp:inline distT="0" distB="0" distL="0" distR="0" wp14:anchorId="756E84DD" wp14:editId="7916CCD3">
            <wp:extent cx="4572000" cy="2733675"/>
            <wp:effectExtent l="0" t="0" r="0" b="0"/>
            <wp:docPr id="1360860910" name="Picture 1360860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733675"/>
                    </a:xfrm>
                    <a:prstGeom prst="rect">
                      <a:avLst/>
                    </a:prstGeom>
                  </pic:spPr>
                </pic:pic>
              </a:graphicData>
            </a:graphic>
          </wp:inline>
        </w:drawing>
      </w:r>
    </w:p>
    <w:p w14:paraId="7FF67A6B" w14:textId="2D2F2D98" w:rsidR="1748708C" w:rsidRDefault="1748708C" w:rsidP="73F31BAE">
      <w:pPr>
        <w:ind w:right="-20"/>
        <w:jc w:val="center"/>
        <w:rPr>
          <w:rFonts w:ascii="Arial" w:eastAsia="Arial" w:hAnsi="Arial" w:cs="Arial"/>
          <w:b/>
          <w:bCs/>
        </w:rPr>
      </w:pPr>
      <w:r w:rsidRPr="73F31BAE">
        <w:rPr>
          <w:rFonts w:ascii="Arial" w:eastAsia="Arial" w:hAnsi="Arial" w:cs="Arial"/>
          <w:b/>
          <w:bCs/>
        </w:rPr>
        <w:t>Figure</w:t>
      </w:r>
      <w:r w:rsidR="17DDA2EC" w:rsidRPr="73F31BAE">
        <w:rPr>
          <w:rFonts w:ascii="Arial" w:eastAsia="Arial" w:hAnsi="Arial" w:cs="Arial"/>
          <w:b/>
          <w:bCs/>
        </w:rPr>
        <w:t xml:space="preserve"> 5</w:t>
      </w:r>
      <w:r w:rsidRPr="73F31BAE">
        <w:rPr>
          <w:rFonts w:ascii="Arial" w:eastAsia="Arial" w:hAnsi="Arial" w:cs="Arial"/>
          <w:b/>
          <w:bCs/>
        </w:rPr>
        <w:t>: Trends showing Unemployment rate of the United Kingdom over the years (2013-2022)</w:t>
      </w:r>
    </w:p>
    <w:p w14:paraId="16A7BD76" w14:textId="610602C1" w:rsidR="1748708C" w:rsidRDefault="1748708C" w:rsidP="73F31BAE">
      <w:pPr>
        <w:ind w:right="-20"/>
        <w:jc w:val="center"/>
        <w:rPr>
          <w:b/>
          <w:bCs/>
        </w:rPr>
      </w:pPr>
      <w:r w:rsidRPr="73F31BAE">
        <w:rPr>
          <w:rFonts w:ascii="Arial" w:eastAsia="Arial" w:hAnsi="Arial" w:cs="Arial"/>
        </w:rPr>
        <w:t>Source: Author’s Computation</w:t>
      </w:r>
    </w:p>
    <w:p w14:paraId="2F7C076B" w14:textId="760161F8" w:rsidR="73F31BAE" w:rsidRDefault="73F31BAE" w:rsidP="73F31BAE">
      <w:pPr>
        <w:ind w:right="-20"/>
        <w:jc w:val="center"/>
      </w:pPr>
    </w:p>
    <w:p w14:paraId="5E02293C" w14:textId="687EB9A4" w:rsidR="02E14E1D" w:rsidRDefault="68970059" w:rsidP="73F31BAE">
      <w:pPr>
        <w:spacing w:line="360" w:lineRule="auto"/>
        <w:ind w:right="-20"/>
        <w:jc w:val="both"/>
        <w:rPr>
          <w:rFonts w:ascii="Arial" w:eastAsia="Arial" w:hAnsi="Arial" w:cs="Arial"/>
        </w:rPr>
      </w:pPr>
      <w:r w:rsidRPr="73F31BAE">
        <w:rPr>
          <w:rFonts w:ascii="Arial" w:eastAsia="Arial" w:hAnsi="Arial" w:cs="Arial"/>
        </w:rPr>
        <w:t>Overall Trends, the economy was expanding or stable in the years preceding 2020, with low unemployment and low inflation. The substantial GDP contraction in 2020 is an obvious indicator of the COVID-19 pandemic's effects on the economy. It is encouraging to see the recovery that follows in 2021 and 2022. To maintain economic stability, policymakers may want to pay attention to the notable increase in inflation in 2022.</w:t>
      </w:r>
    </w:p>
    <w:p w14:paraId="2568E730" w14:textId="6E089BA4" w:rsidR="73F31BAE" w:rsidRDefault="73F31BAE" w:rsidP="73F31BAE">
      <w:pPr>
        <w:spacing w:line="360" w:lineRule="auto"/>
        <w:ind w:right="-20"/>
        <w:jc w:val="both"/>
        <w:rPr>
          <w:rFonts w:ascii="Arial" w:eastAsia="Arial" w:hAnsi="Arial" w:cs="Arial"/>
        </w:rPr>
      </w:pPr>
    </w:p>
    <w:p w14:paraId="50BB49F3" w14:textId="016331CB" w:rsidR="32A7317A" w:rsidRDefault="47B8B9A6" w:rsidP="73F31BAE">
      <w:pPr>
        <w:spacing w:line="360" w:lineRule="auto"/>
        <w:ind w:right="-20"/>
        <w:jc w:val="both"/>
        <w:rPr>
          <w:rFonts w:ascii="Arial" w:eastAsia="Arial" w:hAnsi="Arial" w:cs="Arial"/>
          <w:b/>
          <w:bCs/>
        </w:rPr>
      </w:pPr>
      <w:r w:rsidRPr="73F31BAE">
        <w:rPr>
          <w:rFonts w:ascii="Arial" w:eastAsia="Arial" w:hAnsi="Arial" w:cs="Arial"/>
          <w:b/>
          <w:bCs/>
        </w:rPr>
        <w:t>Example: Impact of Inflation rate on the Share prices (FTSE All-Share) of the United Kingdom.</w:t>
      </w:r>
    </w:p>
    <w:p w14:paraId="0E312B7B" w14:textId="07D688D8" w:rsidR="6EC3E450" w:rsidRDefault="6EC3E450" w:rsidP="73F31BAE">
      <w:pPr>
        <w:spacing w:line="360" w:lineRule="auto"/>
        <w:rPr>
          <w:rFonts w:ascii="Arial" w:eastAsia="Arial" w:hAnsi="Arial" w:cs="Arial"/>
        </w:rPr>
      </w:pPr>
      <w:r w:rsidRPr="73F31BAE">
        <w:rPr>
          <w:rFonts w:ascii="Arial" w:eastAsia="Arial" w:hAnsi="Arial" w:cs="Arial"/>
          <w:b/>
          <w:bCs/>
        </w:rPr>
        <w:t>Linear Regression showing the relationship between the United Kingdom’s Inflation rates and stock market prices (FTSE All-Share).</w:t>
      </w:r>
    </w:p>
    <w:p w14:paraId="60D6BE98" w14:textId="745BDEA4" w:rsidR="21AD5E59" w:rsidRDefault="21AD5E59" w:rsidP="73F31BAE">
      <w:pPr>
        <w:tabs>
          <w:tab w:val="left" w:pos="1252"/>
        </w:tabs>
        <w:spacing w:before="106" w:after="0"/>
        <w:ind w:left="203" w:right="-20"/>
        <w:jc w:val="both"/>
        <w:rPr>
          <w:rFonts w:ascii="Calibri" w:eastAsia="Calibri" w:hAnsi="Calibri" w:cs="Calibri"/>
          <w:sz w:val="24"/>
          <w:szCs w:val="24"/>
        </w:rPr>
      </w:pPr>
      <w:r w:rsidRPr="73F31BAE">
        <w:rPr>
          <w:rFonts w:ascii="Calibri" w:eastAsia="Calibri" w:hAnsi="Calibri" w:cs="Calibri"/>
          <w:sz w:val="24"/>
          <w:szCs w:val="24"/>
        </w:rPr>
        <w:t>The Equation of Regression line is:</w:t>
      </w:r>
    </w:p>
    <w:p w14:paraId="321D5A5C" w14:textId="469FA9A6" w:rsidR="73F31BAE" w:rsidRDefault="73F31BAE" w:rsidP="73F31BAE">
      <w:pPr>
        <w:tabs>
          <w:tab w:val="left" w:pos="1252"/>
        </w:tabs>
        <w:spacing w:before="106" w:after="0"/>
        <w:ind w:left="203" w:right="-20"/>
        <w:jc w:val="both"/>
        <w:rPr>
          <w:rFonts w:ascii="Calibri" w:eastAsia="Calibri" w:hAnsi="Calibri" w:cs="Calibri"/>
          <w:sz w:val="24"/>
          <w:szCs w:val="24"/>
        </w:rPr>
      </w:pPr>
      <m:oMathPara>
        <m:oMath>
          <m:r>
            <w:rPr>
              <w:rFonts w:ascii="Cambria Math" w:hAnsi="Cambria Math"/>
            </w:rPr>
            <m:t>γ=3706+62.31⋅χ </m:t>
          </m:r>
        </m:oMath>
      </m:oMathPara>
    </w:p>
    <w:p w14:paraId="432FD2A6" w14:textId="14B918B1" w:rsidR="07666756" w:rsidRDefault="07666756" w:rsidP="73F31BAE">
      <w:pPr>
        <w:tabs>
          <w:tab w:val="left" w:pos="1252"/>
        </w:tabs>
        <w:spacing w:before="106" w:after="0"/>
        <w:ind w:left="203" w:right="-20"/>
        <w:jc w:val="both"/>
      </w:pPr>
      <w:r w:rsidRPr="73F31BAE">
        <w:rPr>
          <w:rFonts w:ascii="Calibri" w:eastAsia="Calibri" w:hAnsi="Calibri" w:cs="Calibri"/>
          <w:b/>
          <w:bCs/>
          <w:sz w:val="24"/>
          <w:szCs w:val="24"/>
        </w:rPr>
        <w:lastRenderedPageBreak/>
        <w:t>Step 1:</w:t>
      </w:r>
      <w:r w:rsidR="00FFD0F2" w:rsidRPr="73F31BAE">
        <w:rPr>
          <w:rFonts w:ascii="Calibri" w:eastAsia="Calibri" w:hAnsi="Calibri" w:cs="Calibri"/>
          <w:b/>
          <w:bCs/>
          <w:sz w:val="24"/>
          <w:szCs w:val="24"/>
        </w:rPr>
        <w:t xml:space="preserve"> </w:t>
      </w:r>
      <w:r w:rsidRPr="73F31BAE">
        <w:rPr>
          <w:rFonts w:ascii="Calibri" w:eastAsia="Calibri" w:hAnsi="Calibri" w:cs="Calibri"/>
          <w:sz w:val="24"/>
          <w:szCs w:val="24"/>
        </w:rPr>
        <w:t xml:space="preserve">Find </w:t>
      </w:r>
      <w:r w:rsidRPr="73F31BAE">
        <w:rPr>
          <w:rFonts w:ascii="Calibri" w:eastAsia="Calibri" w:hAnsi="Calibri" w:cs="Calibri"/>
          <w:i/>
          <w:iCs/>
          <w:sz w:val="24"/>
          <w:szCs w:val="24"/>
        </w:rPr>
        <w:t xml:space="preserve">X </w:t>
      </w:r>
      <w:r w:rsidRPr="73F31BAE">
        <w:rPr>
          <w:rFonts w:ascii="Georgia" w:eastAsia="Georgia" w:hAnsi="Georgia" w:cs="Georgia"/>
          <w:i/>
          <w:iCs/>
          <w:sz w:val="24"/>
          <w:szCs w:val="24"/>
        </w:rPr>
        <w:t xml:space="preserve">· </w:t>
      </w:r>
      <w:r w:rsidRPr="73F31BAE">
        <w:rPr>
          <w:rFonts w:ascii="Calibri" w:eastAsia="Calibri" w:hAnsi="Calibri" w:cs="Calibri"/>
          <w:i/>
          <w:iCs/>
          <w:sz w:val="24"/>
          <w:szCs w:val="24"/>
        </w:rPr>
        <w:t xml:space="preserve">Y </w:t>
      </w:r>
      <w:r w:rsidRPr="73F31BAE">
        <w:rPr>
          <w:rFonts w:ascii="Calibri" w:eastAsia="Calibri" w:hAnsi="Calibri" w:cs="Calibri"/>
          <w:sz w:val="24"/>
          <w:szCs w:val="24"/>
        </w:rPr>
        <w:t xml:space="preserve">and </w:t>
      </w:r>
      <w:r w:rsidRPr="73F31BAE">
        <w:rPr>
          <w:rFonts w:ascii="Calibri" w:eastAsia="Calibri" w:hAnsi="Calibri" w:cs="Calibri"/>
          <w:i/>
          <w:iCs/>
          <w:sz w:val="24"/>
          <w:szCs w:val="24"/>
        </w:rPr>
        <w:t>X</w:t>
      </w:r>
      <w:r w:rsidRPr="73F31BAE">
        <w:rPr>
          <w:rFonts w:ascii="Calibri" w:eastAsia="Calibri" w:hAnsi="Calibri" w:cs="Calibri"/>
          <w:sz w:val="24"/>
          <w:szCs w:val="24"/>
          <w:vertAlign w:val="superscript"/>
        </w:rPr>
        <w:t>2</w:t>
      </w:r>
      <w:r w:rsidRPr="73F31BAE">
        <w:rPr>
          <w:rFonts w:ascii="Calibri" w:eastAsia="Calibri" w:hAnsi="Calibri" w:cs="Calibri"/>
          <w:sz w:val="24"/>
          <w:szCs w:val="24"/>
        </w:rPr>
        <w:t xml:space="preserve"> as it was done in the table below.</w:t>
      </w:r>
    </w:p>
    <w:p w14:paraId="1F800D12" w14:textId="4224B348" w:rsidR="07666756" w:rsidRDefault="07666756" w:rsidP="73F31BAE">
      <w:pPr>
        <w:spacing w:before="12" w:after="0"/>
        <w:ind w:left="-20" w:right="-20"/>
        <w:jc w:val="both"/>
      </w:pPr>
      <w:r w:rsidRPr="73F31BAE">
        <w:rPr>
          <w:rFonts w:ascii="Calibri" w:eastAsia="Calibri" w:hAnsi="Calibri" w:cs="Calibri"/>
          <w:sz w:val="28"/>
          <w:szCs w:val="28"/>
        </w:rPr>
        <w:t xml:space="preserve"> </w:t>
      </w:r>
    </w:p>
    <w:tbl>
      <w:tblPr>
        <w:tblW w:w="0" w:type="auto"/>
        <w:jc w:val="center"/>
        <w:tblLayout w:type="fixed"/>
        <w:tblLook w:val="01E0" w:firstRow="1" w:lastRow="1" w:firstColumn="1" w:lastColumn="1" w:noHBand="0" w:noVBand="0"/>
      </w:tblPr>
      <w:tblGrid>
        <w:gridCol w:w="678"/>
        <w:gridCol w:w="1212"/>
        <w:gridCol w:w="2010"/>
        <w:gridCol w:w="928"/>
      </w:tblGrid>
      <w:tr w:rsidR="73F31BAE" w14:paraId="4B100C37" w14:textId="77777777" w:rsidTr="73F31BAE">
        <w:trPr>
          <w:trHeight w:val="390"/>
          <w:jc w:val="center"/>
        </w:trPr>
        <w:tc>
          <w:tcPr>
            <w:tcW w:w="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DCA2A5" w14:textId="4DDFBA3F" w:rsidR="73F31BAE" w:rsidRDefault="73F31BAE" w:rsidP="73F31BAE">
            <w:pPr>
              <w:spacing w:before="49" w:after="0"/>
              <w:ind w:left="-20" w:right="170"/>
              <w:jc w:val="right"/>
              <w:rPr>
                <w:rFonts w:ascii="Calibri" w:eastAsia="Calibri" w:hAnsi="Calibri" w:cs="Calibri"/>
                <w:i/>
                <w:iCs/>
                <w:sz w:val="24"/>
                <w:szCs w:val="24"/>
              </w:rPr>
            </w:pPr>
            <m:oMathPara>
              <m:oMath>
                <m:r>
                  <m:rPr>
                    <m:sty m:val="p"/>
                  </m:rPr>
                  <w:rPr>
                    <w:rFonts w:ascii="Cambria Math" w:hAnsi="Cambria Math"/>
                  </w:rPr>
                  <m:t>Χ</m:t>
                </m:r>
                <m:r>
                  <w:rPr>
                    <w:rFonts w:ascii="Cambria Math" w:hAnsi="Cambria Math"/>
                  </w:rPr>
                  <m:t> </m:t>
                </m:r>
              </m:oMath>
            </m:oMathPara>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F8149A" w14:textId="261D1943" w:rsidR="73F31BAE" w:rsidRDefault="73F31BAE" w:rsidP="73F31BAE">
            <w:pPr>
              <w:spacing w:before="49" w:after="0"/>
              <w:ind w:left="-20" w:right="41"/>
              <w:jc w:val="center"/>
              <w:rPr>
                <w:rFonts w:ascii="Calibri" w:eastAsia="Calibri" w:hAnsi="Calibri" w:cs="Calibri"/>
                <w:i/>
                <w:iCs/>
                <w:sz w:val="24"/>
                <w:szCs w:val="24"/>
              </w:rPr>
            </w:pPr>
            <m:oMathPara>
              <m:oMath>
                <m:r>
                  <m:rPr>
                    <m:sty m:val="p"/>
                  </m:rPr>
                  <w:rPr>
                    <w:rFonts w:ascii="Cambria Math" w:hAnsi="Cambria Math"/>
                  </w:rPr>
                  <m:t>Υ</m:t>
                </m:r>
                <m:r>
                  <w:rPr>
                    <w:rFonts w:ascii="Cambria Math" w:hAnsi="Cambria Math"/>
                  </w:rPr>
                  <m:t> </m:t>
                </m:r>
              </m:oMath>
            </m:oMathPara>
          </w:p>
        </w:tc>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C8DFE50" w14:textId="786DA240" w:rsidR="73F31BAE" w:rsidRDefault="73F31BAE" w:rsidP="73F31BAE">
            <w:pPr>
              <w:spacing w:before="49" w:after="0"/>
              <w:ind w:right="73"/>
              <w:jc w:val="center"/>
              <w:rPr>
                <w:rFonts w:ascii="Calibri" w:eastAsia="Calibri" w:hAnsi="Calibri" w:cs="Calibri"/>
                <w:i/>
                <w:iCs/>
                <w:sz w:val="24"/>
                <w:szCs w:val="24"/>
              </w:rPr>
            </w:pPr>
            <m:oMathPara>
              <m:oMath>
                <m:r>
                  <m:rPr>
                    <m:sty m:val="p"/>
                  </m:rPr>
                  <w:rPr>
                    <w:rFonts w:ascii="Cambria Math" w:hAnsi="Cambria Math"/>
                  </w:rPr>
                  <m:t>Χ</m:t>
                </m:r>
                <m:r>
                  <w:rPr>
                    <w:rFonts w:ascii="Cambria Math" w:hAnsi="Cambria Math"/>
                  </w:rPr>
                  <m:t>⋅</m:t>
                </m:r>
                <m:r>
                  <m:rPr>
                    <m:sty m:val="p"/>
                  </m:rPr>
                  <w:rPr>
                    <w:rFonts w:ascii="Cambria Math" w:hAnsi="Cambria Math"/>
                  </w:rPr>
                  <m:t>Υ</m:t>
                </m:r>
                <m:r>
                  <w:rPr>
                    <w:rFonts w:ascii="Cambria Math" w:hAnsi="Cambria Math"/>
                  </w:rPr>
                  <m:t> </m:t>
                </m:r>
              </m:oMath>
            </m:oMathPara>
          </w:p>
        </w:tc>
        <w:tc>
          <w:tcPr>
            <w:tcW w:w="92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66A539" w14:textId="520A2583" w:rsidR="73F31BAE" w:rsidRDefault="00000000" w:rsidP="73F31BAE">
            <w:pPr>
              <w:spacing w:before="49" w:after="0"/>
              <w:ind w:left="104" w:right="109"/>
              <w:jc w:val="center"/>
              <w:rPr>
                <w:rFonts w:ascii="Calibri" w:eastAsia="Calibri" w:hAnsi="Calibri" w:cs="Calibri"/>
                <w:i/>
                <w:iCs/>
                <w:sz w:val="24"/>
                <w:szCs w:val="24"/>
              </w:rPr>
            </w:pPr>
            <m:oMathPara>
              <m:oMath>
                <m:sSup>
                  <m:sSupPr>
                    <m:ctrlPr>
                      <w:rPr>
                        <w:rFonts w:ascii="Cambria Math" w:hAnsi="Cambria Math"/>
                      </w:rPr>
                    </m:ctrlPr>
                  </m:sSupPr>
                  <m:e>
                    <m:r>
                      <m:rPr>
                        <m:sty m:val="p"/>
                      </m:rPr>
                      <w:rPr>
                        <w:rFonts w:ascii="Cambria Math" w:hAnsi="Cambria Math"/>
                      </w:rPr>
                      <m:t>Χ</m:t>
                    </m:r>
                  </m:e>
                  <m:sup>
                    <m:r>
                      <w:rPr>
                        <w:rFonts w:ascii="Cambria Math" w:hAnsi="Cambria Math"/>
                      </w:rPr>
                      <m:t>2</m:t>
                    </m:r>
                  </m:sup>
                </m:sSup>
              </m:oMath>
            </m:oMathPara>
          </w:p>
        </w:tc>
      </w:tr>
      <w:tr w:rsidR="73F31BAE" w14:paraId="2FA5114D" w14:textId="77777777" w:rsidTr="73F31BAE">
        <w:trPr>
          <w:trHeight w:val="390"/>
          <w:jc w:val="center"/>
        </w:trPr>
        <w:tc>
          <w:tcPr>
            <w:tcW w:w="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DE78361" w14:textId="76FB0C80" w:rsidR="73F31BAE" w:rsidRDefault="73F31BAE" w:rsidP="73F31BAE">
            <w:pPr>
              <w:spacing w:before="49" w:after="0"/>
              <w:ind w:left="-20" w:right="108"/>
              <w:jc w:val="right"/>
            </w:pPr>
            <w:r w:rsidRPr="73F31BAE">
              <w:rPr>
                <w:rFonts w:ascii="Calibri" w:eastAsia="Calibri" w:hAnsi="Calibri" w:cs="Calibri"/>
                <w:sz w:val="24"/>
                <w:szCs w:val="24"/>
              </w:rPr>
              <w:t>2.3</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4A93F3" w14:textId="3C507EFE" w:rsidR="73F31BAE" w:rsidRDefault="73F31BAE" w:rsidP="73F31BAE">
            <w:pPr>
              <w:spacing w:before="49" w:after="0"/>
              <w:ind w:left="86" w:right="78"/>
              <w:jc w:val="center"/>
            </w:pPr>
            <w:r w:rsidRPr="73F31BAE">
              <w:rPr>
                <w:rFonts w:ascii="Calibri" w:eastAsia="Calibri" w:hAnsi="Calibri" w:cs="Calibri"/>
                <w:sz w:val="24"/>
                <w:szCs w:val="24"/>
              </w:rPr>
              <w:t>3609.63</w:t>
            </w:r>
          </w:p>
        </w:tc>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B6F70A" w14:textId="0DD9450C" w:rsidR="73F31BAE" w:rsidRDefault="73F31BAE" w:rsidP="73F31BAE">
            <w:pPr>
              <w:spacing w:before="49" w:after="0"/>
              <w:ind w:left="82" w:right="73"/>
              <w:jc w:val="center"/>
            </w:pPr>
            <w:r w:rsidRPr="73F31BAE">
              <w:rPr>
                <w:rFonts w:ascii="Calibri" w:eastAsia="Calibri" w:hAnsi="Calibri" w:cs="Calibri"/>
                <w:sz w:val="24"/>
                <w:szCs w:val="24"/>
              </w:rPr>
              <w:t>8302.149</w:t>
            </w:r>
          </w:p>
        </w:tc>
        <w:tc>
          <w:tcPr>
            <w:tcW w:w="92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EA22DE" w14:textId="6052BD81" w:rsidR="73F31BAE" w:rsidRDefault="73F31BAE" w:rsidP="73F31BAE">
            <w:pPr>
              <w:spacing w:before="49" w:after="0"/>
              <w:ind w:left="104" w:right="93"/>
              <w:jc w:val="center"/>
            </w:pPr>
            <w:r w:rsidRPr="73F31BAE">
              <w:rPr>
                <w:rFonts w:ascii="Calibri" w:eastAsia="Calibri" w:hAnsi="Calibri" w:cs="Calibri"/>
                <w:sz w:val="24"/>
                <w:szCs w:val="24"/>
              </w:rPr>
              <w:t>5.29</w:t>
            </w:r>
          </w:p>
        </w:tc>
      </w:tr>
      <w:tr w:rsidR="73F31BAE" w14:paraId="3EB05FB4" w14:textId="77777777" w:rsidTr="73F31BAE">
        <w:trPr>
          <w:trHeight w:val="390"/>
          <w:jc w:val="center"/>
        </w:trPr>
        <w:tc>
          <w:tcPr>
            <w:tcW w:w="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ED9F33" w14:textId="10DBDD78" w:rsidR="73F31BAE" w:rsidRDefault="73F31BAE" w:rsidP="73F31BAE">
            <w:pPr>
              <w:spacing w:before="49" w:after="0"/>
              <w:ind w:left="-20" w:right="108"/>
              <w:jc w:val="right"/>
            </w:pPr>
            <w:r w:rsidRPr="73F31BAE">
              <w:rPr>
                <w:rFonts w:ascii="Calibri" w:eastAsia="Calibri" w:hAnsi="Calibri" w:cs="Calibri"/>
                <w:sz w:val="24"/>
                <w:szCs w:val="24"/>
              </w:rPr>
              <w:t>1.5</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3D00D5" w14:textId="5D0B155C" w:rsidR="73F31BAE" w:rsidRDefault="73F31BAE" w:rsidP="73F31BAE">
            <w:pPr>
              <w:spacing w:before="49" w:after="0"/>
              <w:ind w:left="86" w:right="78"/>
              <w:jc w:val="center"/>
            </w:pPr>
            <w:r w:rsidRPr="73F31BAE">
              <w:rPr>
                <w:rFonts w:ascii="Calibri" w:eastAsia="Calibri" w:hAnsi="Calibri" w:cs="Calibri"/>
                <w:sz w:val="24"/>
                <w:szCs w:val="24"/>
              </w:rPr>
              <w:t>3532.74</w:t>
            </w:r>
          </w:p>
        </w:tc>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2EC0A9" w14:textId="69B34A4C" w:rsidR="73F31BAE" w:rsidRDefault="73F31BAE" w:rsidP="73F31BAE">
            <w:pPr>
              <w:spacing w:before="49" w:after="0"/>
              <w:ind w:left="83" w:right="73"/>
              <w:jc w:val="center"/>
            </w:pPr>
            <w:r w:rsidRPr="73F31BAE">
              <w:rPr>
                <w:rFonts w:ascii="Calibri" w:eastAsia="Calibri" w:hAnsi="Calibri" w:cs="Calibri"/>
                <w:sz w:val="24"/>
                <w:szCs w:val="24"/>
              </w:rPr>
              <w:t>5299.11</w:t>
            </w:r>
          </w:p>
        </w:tc>
        <w:tc>
          <w:tcPr>
            <w:tcW w:w="92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C1B08B" w14:textId="72673978" w:rsidR="73F31BAE" w:rsidRDefault="73F31BAE" w:rsidP="73F31BAE">
            <w:pPr>
              <w:spacing w:before="49" w:after="0"/>
              <w:ind w:left="104" w:right="93"/>
              <w:jc w:val="center"/>
            </w:pPr>
            <w:r w:rsidRPr="73F31BAE">
              <w:rPr>
                <w:rFonts w:ascii="Calibri" w:eastAsia="Calibri" w:hAnsi="Calibri" w:cs="Calibri"/>
                <w:sz w:val="24"/>
                <w:szCs w:val="24"/>
              </w:rPr>
              <w:t>2.25</w:t>
            </w:r>
          </w:p>
        </w:tc>
      </w:tr>
      <w:tr w:rsidR="73F31BAE" w14:paraId="45B048A9" w14:textId="77777777" w:rsidTr="73F31BAE">
        <w:trPr>
          <w:trHeight w:val="390"/>
          <w:jc w:val="center"/>
        </w:trPr>
        <w:tc>
          <w:tcPr>
            <w:tcW w:w="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D6E57E" w14:textId="75110226" w:rsidR="73F31BAE" w:rsidRDefault="73F31BAE" w:rsidP="73F31BAE">
            <w:pPr>
              <w:spacing w:before="49" w:after="0"/>
              <w:ind w:left="-20" w:right="108"/>
              <w:jc w:val="right"/>
            </w:pPr>
            <w:r w:rsidRPr="73F31BAE">
              <w:rPr>
                <w:rFonts w:ascii="Calibri" w:eastAsia="Calibri" w:hAnsi="Calibri" w:cs="Calibri"/>
                <w:sz w:val="24"/>
                <w:szCs w:val="24"/>
              </w:rPr>
              <w:t>0.4</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C0DE12" w14:textId="02AEA37E" w:rsidR="73F31BAE" w:rsidRDefault="73F31BAE" w:rsidP="73F31BAE">
            <w:pPr>
              <w:spacing w:before="49" w:after="0"/>
              <w:ind w:left="86" w:right="78"/>
              <w:jc w:val="center"/>
            </w:pPr>
            <w:r w:rsidRPr="73F31BAE">
              <w:rPr>
                <w:rFonts w:ascii="Calibri" w:eastAsia="Calibri" w:hAnsi="Calibri" w:cs="Calibri"/>
                <w:sz w:val="24"/>
                <w:szCs w:val="24"/>
              </w:rPr>
              <w:t>3444.26</w:t>
            </w:r>
          </w:p>
        </w:tc>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36F6FD7" w14:textId="6920421F" w:rsidR="73F31BAE" w:rsidRDefault="73F31BAE" w:rsidP="73F31BAE">
            <w:pPr>
              <w:spacing w:before="49" w:after="0"/>
              <w:ind w:left="82" w:right="73"/>
              <w:jc w:val="center"/>
            </w:pPr>
            <w:r w:rsidRPr="73F31BAE">
              <w:rPr>
                <w:rFonts w:ascii="Calibri" w:eastAsia="Calibri" w:hAnsi="Calibri" w:cs="Calibri"/>
                <w:sz w:val="24"/>
                <w:szCs w:val="24"/>
              </w:rPr>
              <w:t>1377.704</w:t>
            </w:r>
          </w:p>
        </w:tc>
        <w:tc>
          <w:tcPr>
            <w:tcW w:w="92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9D98D8" w14:textId="136941C1" w:rsidR="73F31BAE" w:rsidRDefault="73F31BAE" w:rsidP="73F31BAE">
            <w:pPr>
              <w:spacing w:before="49" w:after="0"/>
              <w:ind w:left="104" w:right="93"/>
              <w:jc w:val="center"/>
            </w:pPr>
            <w:r w:rsidRPr="73F31BAE">
              <w:rPr>
                <w:rFonts w:ascii="Calibri" w:eastAsia="Calibri" w:hAnsi="Calibri" w:cs="Calibri"/>
                <w:sz w:val="24"/>
                <w:szCs w:val="24"/>
              </w:rPr>
              <w:t>0.16</w:t>
            </w:r>
          </w:p>
        </w:tc>
      </w:tr>
      <w:tr w:rsidR="73F31BAE" w14:paraId="15847EDD" w14:textId="77777777" w:rsidTr="73F31BAE">
        <w:trPr>
          <w:trHeight w:val="390"/>
          <w:jc w:val="center"/>
        </w:trPr>
        <w:tc>
          <w:tcPr>
            <w:tcW w:w="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31B986" w14:textId="55634927" w:rsidR="73F31BAE" w:rsidRDefault="73F31BAE" w:rsidP="73F31BAE">
            <w:pPr>
              <w:spacing w:before="49" w:after="0"/>
              <w:ind w:left="-20" w:right="199"/>
              <w:jc w:val="right"/>
            </w:pPr>
            <w:r w:rsidRPr="73F31BAE">
              <w:rPr>
                <w:rFonts w:ascii="Calibri" w:eastAsia="Calibri" w:hAnsi="Calibri" w:cs="Calibri"/>
                <w:sz w:val="24"/>
                <w:szCs w:val="24"/>
              </w:rPr>
              <w:t>1</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45ED0B" w14:textId="743557A5" w:rsidR="73F31BAE" w:rsidRDefault="73F31BAE" w:rsidP="73F31BAE">
            <w:pPr>
              <w:spacing w:before="49" w:after="0"/>
              <w:ind w:left="86" w:right="78"/>
              <w:jc w:val="center"/>
            </w:pPr>
            <w:r w:rsidRPr="73F31BAE">
              <w:rPr>
                <w:rFonts w:ascii="Calibri" w:eastAsia="Calibri" w:hAnsi="Calibri" w:cs="Calibri"/>
                <w:sz w:val="24"/>
                <w:szCs w:val="24"/>
              </w:rPr>
              <w:t>3873.22</w:t>
            </w:r>
          </w:p>
        </w:tc>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0FDDB7" w14:textId="23EF03EA" w:rsidR="73F31BAE" w:rsidRDefault="73F31BAE" w:rsidP="73F31BAE">
            <w:pPr>
              <w:spacing w:before="49" w:after="0"/>
              <w:ind w:left="83" w:right="73"/>
              <w:jc w:val="center"/>
            </w:pPr>
            <w:r w:rsidRPr="73F31BAE">
              <w:rPr>
                <w:rFonts w:ascii="Calibri" w:eastAsia="Calibri" w:hAnsi="Calibri" w:cs="Calibri"/>
                <w:sz w:val="24"/>
                <w:szCs w:val="24"/>
              </w:rPr>
              <w:t>3873.22</w:t>
            </w:r>
          </w:p>
        </w:tc>
        <w:tc>
          <w:tcPr>
            <w:tcW w:w="92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A4862A" w14:textId="1D4C5D37" w:rsidR="73F31BAE" w:rsidRDefault="73F31BAE" w:rsidP="73F31BAE">
            <w:pPr>
              <w:spacing w:before="49" w:after="0"/>
              <w:ind w:left="11" w:right="-20"/>
              <w:jc w:val="center"/>
            </w:pPr>
            <w:r w:rsidRPr="73F31BAE">
              <w:rPr>
                <w:rFonts w:ascii="Calibri" w:eastAsia="Calibri" w:hAnsi="Calibri" w:cs="Calibri"/>
                <w:sz w:val="24"/>
                <w:szCs w:val="24"/>
              </w:rPr>
              <w:t>1</w:t>
            </w:r>
          </w:p>
        </w:tc>
      </w:tr>
      <w:tr w:rsidR="73F31BAE" w14:paraId="2FCFF200" w14:textId="77777777" w:rsidTr="73F31BAE">
        <w:trPr>
          <w:trHeight w:val="390"/>
          <w:jc w:val="center"/>
        </w:trPr>
        <w:tc>
          <w:tcPr>
            <w:tcW w:w="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347E74F" w14:textId="106FDF96" w:rsidR="73F31BAE" w:rsidRDefault="73F31BAE" w:rsidP="73F31BAE">
            <w:pPr>
              <w:spacing w:before="49" w:after="0"/>
              <w:ind w:left="-20" w:right="108"/>
              <w:jc w:val="right"/>
            </w:pPr>
            <w:r w:rsidRPr="73F31BAE">
              <w:rPr>
                <w:rFonts w:ascii="Calibri" w:eastAsia="Calibri" w:hAnsi="Calibri" w:cs="Calibri"/>
                <w:sz w:val="24"/>
                <w:szCs w:val="24"/>
              </w:rPr>
              <w:t>2.6</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8C024CC" w14:textId="7225C58B" w:rsidR="73F31BAE" w:rsidRDefault="73F31BAE" w:rsidP="73F31BAE">
            <w:pPr>
              <w:spacing w:before="49" w:after="0"/>
              <w:ind w:left="86" w:right="78"/>
              <w:jc w:val="center"/>
            </w:pPr>
            <w:r w:rsidRPr="73F31BAE">
              <w:rPr>
                <w:rFonts w:ascii="Calibri" w:eastAsia="Calibri" w:hAnsi="Calibri" w:cs="Calibri"/>
                <w:sz w:val="24"/>
                <w:szCs w:val="24"/>
              </w:rPr>
              <w:t>4221.82</w:t>
            </w:r>
          </w:p>
        </w:tc>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EB39E0" w14:textId="575E76E8" w:rsidR="73F31BAE" w:rsidRDefault="73F31BAE" w:rsidP="73F31BAE">
            <w:pPr>
              <w:spacing w:before="49" w:after="0"/>
              <w:ind w:left="83" w:right="73"/>
              <w:jc w:val="center"/>
            </w:pPr>
            <w:r w:rsidRPr="73F31BAE">
              <w:rPr>
                <w:rFonts w:ascii="Calibri" w:eastAsia="Calibri" w:hAnsi="Calibri" w:cs="Calibri"/>
                <w:sz w:val="24"/>
                <w:szCs w:val="24"/>
              </w:rPr>
              <w:t>10976.732</w:t>
            </w:r>
          </w:p>
        </w:tc>
        <w:tc>
          <w:tcPr>
            <w:tcW w:w="92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275F0B" w14:textId="5EC1D905" w:rsidR="73F31BAE" w:rsidRDefault="73F31BAE" w:rsidP="73F31BAE">
            <w:pPr>
              <w:spacing w:before="49" w:after="0"/>
              <w:ind w:left="104" w:right="93"/>
              <w:jc w:val="center"/>
            </w:pPr>
            <w:r w:rsidRPr="73F31BAE">
              <w:rPr>
                <w:rFonts w:ascii="Calibri" w:eastAsia="Calibri" w:hAnsi="Calibri" w:cs="Calibri"/>
                <w:sz w:val="24"/>
                <w:szCs w:val="24"/>
              </w:rPr>
              <w:t>6.76</w:t>
            </w:r>
          </w:p>
        </w:tc>
      </w:tr>
      <w:tr w:rsidR="73F31BAE" w14:paraId="28917066" w14:textId="77777777" w:rsidTr="73F31BAE">
        <w:trPr>
          <w:trHeight w:val="390"/>
          <w:jc w:val="center"/>
        </w:trPr>
        <w:tc>
          <w:tcPr>
            <w:tcW w:w="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E398F4" w14:textId="505450B4" w:rsidR="73F31BAE" w:rsidRDefault="73F31BAE" w:rsidP="73F31BAE">
            <w:pPr>
              <w:spacing w:before="49" w:after="0"/>
              <w:ind w:left="-20" w:right="108"/>
              <w:jc w:val="right"/>
            </w:pPr>
            <w:r w:rsidRPr="73F31BAE">
              <w:rPr>
                <w:rFonts w:ascii="Calibri" w:eastAsia="Calibri" w:hAnsi="Calibri" w:cs="Calibri"/>
                <w:sz w:val="24"/>
                <w:szCs w:val="24"/>
              </w:rPr>
              <w:t>2.3</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D6D883" w14:textId="23F10C9E" w:rsidR="73F31BAE" w:rsidRDefault="73F31BAE" w:rsidP="73F31BAE">
            <w:pPr>
              <w:spacing w:before="49" w:after="0"/>
              <w:ind w:left="86" w:right="78"/>
              <w:jc w:val="center"/>
            </w:pPr>
            <w:r w:rsidRPr="73F31BAE">
              <w:rPr>
                <w:rFonts w:ascii="Calibri" w:eastAsia="Calibri" w:hAnsi="Calibri" w:cs="Calibri"/>
                <w:sz w:val="24"/>
                <w:szCs w:val="24"/>
              </w:rPr>
              <w:t>3675.06</w:t>
            </w:r>
          </w:p>
        </w:tc>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321432" w14:textId="45BBE14A" w:rsidR="73F31BAE" w:rsidRDefault="73F31BAE" w:rsidP="73F31BAE">
            <w:pPr>
              <w:spacing w:before="49" w:after="0"/>
              <w:ind w:left="82" w:right="73"/>
              <w:jc w:val="center"/>
            </w:pPr>
            <w:r w:rsidRPr="73F31BAE">
              <w:rPr>
                <w:rFonts w:ascii="Calibri" w:eastAsia="Calibri" w:hAnsi="Calibri" w:cs="Calibri"/>
                <w:sz w:val="24"/>
                <w:szCs w:val="24"/>
              </w:rPr>
              <w:t>8452.638</w:t>
            </w:r>
          </w:p>
        </w:tc>
        <w:tc>
          <w:tcPr>
            <w:tcW w:w="92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BF160E" w14:textId="582B5142" w:rsidR="73F31BAE" w:rsidRDefault="73F31BAE" w:rsidP="73F31BAE">
            <w:pPr>
              <w:spacing w:before="49" w:after="0"/>
              <w:ind w:left="104" w:right="93"/>
              <w:jc w:val="center"/>
            </w:pPr>
            <w:r w:rsidRPr="73F31BAE">
              <w:rPr>
                <w:rFonts w:ascii="Calibri" w:eastAsia="Calibri" w:hAnsi="Calibri" w:cs="Calibri"/>
                <w:sz w:val="24"/>
                <w:szCs w:val="24"/>
              </w:rPr>
              <w:t>5.29</w:t>
            </w:r>
          </w:p>
        </w:tc>
      </w:tr>
      <w:tr w:rsidR="73F31BAE" w14:paraId="64E0B54A" w14:textId="77777777" w:rsidTr="73F31BAE">
        <w:trPr>
          <w:trHeight w:val="390"/>
          <w:jc w:val="center"/>
        </w:trPr>
        <w:tc>
          <w:tcPr>
            <w:tcW w:w="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1ED1F6" w14:textId="21B0ABFD" w:rsidR="73F31BAE" w:rsidRDefault="73F31BAE" w:rsidP="73F31BAE">
            <w:pPr>
              <w:spacing w:before="49" w:after="0"/>
              <w:ind w:left="-20" w:right="108"/>
              <w:jc w:val="right"/>
            </w:pPr>
            <w:r w:rsidRPr="73F31BAE">
              <w:rPr>
                <w:rFonts w:ascii="Calibri" w:eastAsia="Calibri" w:hAnsi="Calibri" w:cs="Calibri"/>
                <w:sz w:val="24"/>
                <w:szCs w:val="24"/>
              </w:rPr>
              <w:t>1.7</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D77617E" w14:textId="6D7D20BE" w:rsidR="73F31BAE" w:rsidRDefault="73F31BAE" w:rsidP="73F31BAE">
            <w:pPr>
              <w:spacing w:before="49" w:after="0"/>
              <w:ind w:left="86" w:right="78"/>
              <w:jc w:val="center"/>
            </w:pPr>
            <w:r w:rsidRPr="73F31BAE">
              <w:rPr>
                <w:rFonts w:ascii="Calibri" w:eastAsia="Calibri" w:hAnsi="Calibri" w:cs="Calibri"/>
                <w:sz w:val="24"/>
                <w:szCs w:val="24"/>
              </w:rPr>
              <w:t>4196.47</w:t>
            </w:r>
          </w:p>
        </w:tc>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A8A65D8" w14:textId="4A4F5378" w:rsidR="73F31BAE" w:rsidRDefault="73F31BAE" w:rsidP="73F31BAE">
            <w:pPr>
              <w:spacing w:before="49" w:after="0"/>
              <w:ind w:left="82" w:right="73"/>
              <w:jc w:val="center"/>
            </w:pPr>
            <w:r w:rsidRPr="73F31BAE">
              <w:rPr>
                <w:rFonts w:ascii="Calibri" w:eastAsia="Calibri" w:hAnsi="Calibri" w:cs="Calibri"/>
                <w:sz w:val="24"/>
                <w:szCs w:val="24"/>
              </w:rPr>
              <w:t>7133.999</w:t>
            </w:r>
          </w:p>
        </w:tc>
        <w:tc>
          <w:tcPr>
            <w:tcW w:w="92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65F72C" w14:textId="32846924" w:rsidR="73F31BAE" w:rsidRDefault="73F31BAE" w:rsidP="73F31BAE">
            <w:pPr>
              <w:spacing w:before="49" w:after="0"/>
              <w:ind w:left="104" w:right="93"/>
              <w:jc w:val="center"/>
            </w:pPr>
            <w:r w:rsidRPr="73F31BAE">
              <w:rPr>
                <w:rFonts w:ascii="Calibri" w:eastAsia="Calibri" w:hAnsi="Calibri" w:cs="Calibri"/>
                <w:sz w:val="24"/>
                <w:szCs w:val="24"/>
              </w:rPr>
              <w:t>2.89</w:t>
            </w:r>
          </w:p>
        </w:tc>
      </w:tr>
      <w:tr w:rsidR="73F31BAE" w14:paraId="31B2E8FC" w14:textId="77777777" w:rsidTr="73F31BAE">
        <w:trPr>
          <w:trHeight w:val="390"/>
          <w:jc w:val="center"/>
        </w:trPr>
        <w:tc>
          <w:tcPr>
            <w:tcW w:w="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AE7A3E" w14:textId="107C66C6" w:rsidR="73F31BAE" w:rsidRDefault="73F31BAE" w:rsidP="73F31BAE">
            <w:pPr>
              <w:spacing w:before="49" w:after="0"/>
              <w:ind w:left="-20" w:right="199"/>
              <w:jc w:val="right"/>
            </w:pPr>
            <w:r w:rsidRPr="73F31BAE">
              <w:rPr>
                <w:rFonts w:ascii="Calibri" w:eastAsia="Calibri" w:hAnsi="Calibri" w:cs="Calibri"/>
                <w:sz w:val="24"/>
                <w:szCs w:val="24"/>
              </w:rPr>
              <w:t>1</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B06E08" w14:textId="4C1FF18D" w:rsidR="73F31BAE" w:rsidRDefault="73F31BAE" w:rsidP="73F31BAE">
            <w:pPr>
              <w:spacing w:before="49" w:after="0"/>
              <w:ind w:left="86" w:right="78"/>
              <w:jc w:val="center"/>
            </w:pPr>
            <w:r w:rsidRPr="73F31BAE">
              <w:rPr>
                <w:rFonts w:ascii="Calibri" w:eastAsia="Calibri" w:hAnsi="Calibri" w:cs="Calibri"/>
                <w:sz w:val="24"/>
                <w:szCs w:val="24"/>
              </w:rPr>
              <w:t>3673.63</w:t>
            </w:r>
          </w:p>
        </w:tc>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C58138" w14:textId="41DF371E" w:rsidR="73F31BAE" w:rsidRDefault="73F31BAE" w:rsidP="73F31BAE">
            <w:pPr>
              <w:spacing w:before="49" w:after="0"/>
              <w:ind w:left="83" w:right="73"/>
              <w:jc w:val="center"/>
            </w:pPr>
            <w:r w:rsidRPr="73F31BAE">
              <w:rPr>
                <w:rFonts w:ascii="Calibri" w:eastAsia="Calibri" w:hAnsi="Calibri" w:cs="Calibri"/>
                <w:sz w:val="24"/>
                <w:szCs w:val="24"/>
              </w:rPr>
              <w:t>3673.63</w:t>
            </w:r>
          </w:p>
        </w:tc>
        <w:tc>
          <w:tcPr>
            <w:tcW w:w="92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4A7389" w14:textId="0D6CB573" w:rsidR="73F31BAE" w:rsidRDefault="73F31BAE" w:rsidP="73F31BAE">
            <w:pPr>
              <w:spacing w:before="49" w:after="0"/>
              <w:ind w:left="11" w:right="-20"/>
              <w:jc w:val="center"/>
            </w:pPr>
            <w:r w:rsidRPr="73F31BAE">
              <w:rPr>
                <w:rFonts w:ascii="Calibri" w:eastAsia="Calibri" w:hAnsi="Calibri" w:cs="Calibri"/>
                <w:sz w:val="24"/>
                <w:szCs w:val="24"/>
              </w:rPr>
              <w:t>1</w:t>
            </w:r>
          </w:p>
        </w:tc>
      </w:tr>
      <w:tr w:rsidR="73F31BAE" w14:paraId="473D7925" w14:textId="77777777" w:rsidTr="73F31BAE">
        <w:trPr>
          <w:trHeight w:val="390"/>
          <w:jc w:val="center"/>
        </w:trPr>
        <w:tc>
          <w:tcPr>
            <w:tcW w:w="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43457C" w14:textId="28B7E684" w:rsidR="73F31BAE" w:rsidRDefault="73F31BAE" w:rsidP="73F31BAE">
            <w:pPr>
              <w:spacing w:before="49" w:after="0"/>
              <w:ind w:left="-20" w:right="108"/>
              <w:jc w:val="right"/>
            </w:pPr>
            <w:r w:rsidRPr="73F31BAE">
              <w:rPr>
                <w:rFonts w:ascii="Calibri" w:eastAsia="Calibri" w:hAnsi="Calibri" w:cs="Calibri"/>
                <w:sz w:val="24"/>
                <w:szCs w:val="24"/>
              </w:rPr>
              <w:t>2.5</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2102741" w14:textId="6647CE8F" w:rsidR="73F31BAE" w:rsidRDefault="73F31BAE" w:rsidP="73F31BAE">
            <w:pPr>
              <w:spacing w:before="49" w:after="0"/>
              <w:ind w:left="86" w:right="78"/>
              <w:jc w:val="center"/>
            </w:pPr>
            <w:r w:rsidRPr="73F31BAE">
              <w:rPr>
                <w:rFonts w:ascii="Calibri" w:eastAsia="Calibri" w:hAnsi="Calibri" w:cs="Calibri"/>
                <w:sz w:val="24"/>
                <w:szCs w:val="24"/>
              </w:rPr>
              <w:t>4208.02</w:t>
            </w:r>
          </w:p>
        </w:tc>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84B71D" w14:textId="15D5C0A1" w:rsidR="73F31BAE" w:rsidRDefault="73F31BAE" w:rsidP="73F31BAE">
            <w:pPr>
              <w:spacing w:before="49" w:after="0"/>
              <w:ind w:left="82" w:right="73"/>
              <w:jc w:val="center"/>
            </w:pPr>
            <w:r w:rsidRPr="73F31BAE">
              <w:rPr>
                <w:rFonts w:ascii="Calibri" w:eastAsia="Calibri" w:hAnsi="Calibri" w:cs="Calibri"/>
                <w:sz w:val="24"/>
                <w:szCs w:val="24"/>
              </w:rPr>
              <w:t>10520.05</w:t>
            </w:r>
          </w:p>
        </w:tc>
        <w:tc>
          <w:tcPr>
            <w:tcW w:w="92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92965F" w14:textId="7FFA05E2" w:rsidR="73F31BAE" w:rsidRDefault="73F31BAE" w:rsidP="73F31BAE">
            <w:pPr>
              <w:spacing w:before="49" w:after="0"/>
              <w:ind w:left="104" w:right="93"/>
              <w:jc w:val="center"/>
            </w:pPr>
            <w:r w:rsidRPr="73F31BAE">
              <w:rPr>
                <w:rFonts w:ascii="Calibri" w:eastAsia="Calibri" w:hAnsi="Calibri" w:cs="Calibri"/>
                <w:sz w:val="24"/>
                <w:szCs w:val="24"/>
              </w:rPr>
              <w:t>6.25</w:t>
            </w:r>
          </w:p>
        </w:tc>
      </w:tr>
      <w:tr w:rsidR="73F31BAE" w14:paraId="6ADCC238" w14:textId="77777777" w:rsidTr="73F31BAE">
        <w:trPr>
          <w:trHeight w:val="390"/>
          <w:jc w:val="center"/>
        </w:trPr>
        <w:tc>
          <w:tcPr>
            <w:tcW w:w="67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08E464" w14:textId="1B0F380A" w:rsidR="73F31BAE" w:rsidRDefault="73F31BAE" w:rsidP="73F31BAE">
            <w:pPr>
              <w:spacing w:before="49" w:after="0"/>
              <w:ind w:left="-20" w:right="108"/>
              <w:jc w:val="right"/>
            </w:pPr>
            <w:r w:rsidRPr="73F31BAE">
              <w:rPr>
                <w:rFonts w:ascii="Calibri" w:eastAsia="Calibri" w:hAnsi="Calibri" w:cs="Calibri"/>
                <w:sz w:val="24"/>
                <w:szCs w:val="24"/>
              </w:rPr>
              <w:t>7.9</w:t>
            </w:r>
          </w:p>
        </w:tc>
        <w:tc>
          <w:tcPr>
            <w:tcW w:w="121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2A2ECD" w14:textId="4ADA3ED8" w:rsidR="73F31BAE" w:rsidRDefault="73F31BAE" w:rsidP="73F31BAE">
            <w:pPr>
              <w:spacing w:before="49" w:after="0"/>
              <w:ind w:left="86" w:right="78"/>
              <w:jc w:val="center"/>
            </w:pPr>
            <w:r w:rsidRPr="73F31BAE">
              <w:rPr>
                <w:rFonts w:ascii="Calibri" w:eastAsia="Calibri" w:hAnsi="Calibri" w:cs="Calibri"/>
                <w:sz w:val="24"/>
                <w:szCs w:val="24"/>
              </w:rPr>
              <w:t>4075.13</w:t>
            </w:r>
          </w:p>
        </w:tc>
        <w:tc>
          <w:tcPr>
            <w:tcW w:w="20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6F054D" w14:textId="43E5FF60" w:rsidR="73F31BAE" w:rsidRDefault="73F31BAE" w:rsidP="73F31BAE">
            <w:pPr>
              <w:spacing w:before="49" w:after="0"/>
              <w:ind w:left="83" w:right="73"/>
              <w:jc w:val="center"/>
            </w:pPr>
            <w:r w:rsidRPr="73F31BAE">
              <w:rPr>
                <w:rFonts w:ascii="Calibri" w:eastAsia="Calibri" w:hAnsi="Calibri" w:cs="Calibri"/>
                <w:sz w:val="24"/>
                <w:szCs w:val="24"/>
              </w:rPr>
              <w:t>32193.527</w:t>
            </w:r>
          </w:p>
        </w:tc>
        <w:tc>
          <w:tcPr>
            <w:tcW w:w="92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51C2C5" w14:textId="65DB862C" w:rsidR="73F31BAE" w:rsidRDefault="73F31BAE" w:rsidP="73F31BAE">
            <w:pPr>
              <w:spacing w:before="49" w:after="0"/>
              <w:ind w:left="104" w:right="93"/>
              <w:jc w:val="center"/>
            </w:pPr>
            <w:r w:rsidRPr="73F31BAE">
              <w:rPr>
                <w:rFonts w:ascii="Calibri" w:eastAsia="Calibri" w:hAnsi="Calibri" w:cs="Calibri"/>
                <w:sz w:val="24"/>
                <w:szCs w:val="24"/>
              </w:rPr>
              <w:t>62.41</w:t>
            </w:r>
          </w:p>
        </w:tc>
      </w:tr>
    </w:tbl>
    <w:p w14:paraId="645AB490" w14:textId="53DDDE9B" w:rsidR="73F31BAE" w:rsidRDefault="73F31BAE" w:rsidP="73F31BAE">
      <w:pPr>
        <w:ind w:right="-20"/>
        <w:jc w:val="both"/>
        <w:rPr>
          <w:rFonts w:ascii="Arial" w:eastAsia="Arial" w:hAnsi="Arial" w:cs="Arial"/>
          <w:b/>
          <w:bCs/>
        </w:rPr>
      </w:pPr>
    </w:p>
    <w:p w14:paraId="04A86FE6" w14:textId="2027C737" w:rsidR="0AEA6807" w:rsidRDefault="0AEA6807" w:rsidP="73F31BAE">
      <w:pPr>
        <w:ind w:right="-20"/>
        <w:jc w:val="both"/>
      </w:pPr>
      <w:r w:rsidRPr="73F31BAE">
        <w:rPr>
          <w:rFonts w:ascii="Arial" w:eastAsia="Arial" w:hAnsi="Arial" w:cs="Arial"/>
          <w:b/>
          <w:bCs/>
        </w:rPr>
        <w:t xml:space="preserve">Step 2: </w:t>
      </w:r>
      <w:r w:rsidRPr="73F31BAE">
        <w:rPr>
          <w:rFonts w:ascii="Arial" w:eastAsia="Arial" w:hAnsi="Arial" w:cs="Arial"/>
        </w:rPr>
        <w:t>Find the sum of every column:</w:t>
      </w:r>
    </w:p>
    <w:p w14:paraId="3DC246A5" w14:textId="3FBEA595" w:rsidR="73F31BAE" w:rsidRDefault="73F31BAE" w:rsidP="73F31BAE">
      <w:pPr>
        <w:ind w:right="-20"/>
        <w:jc w:val="both"/>
      </w:pPr>
      <m:oMathPara>
        <m:oMath>
          <m:r>
            <m:rPr>
              <m:sty m:val="p"/>
            </m:rPr>
            <w:rPr>
              <w:rFonts w:ascii="Cambria Math" w:hAnsi="Cambria Math"/>
            </w:rPr>
            <m:t>ΣΧ</m:t>
          </m:r>
          <m:r>
            <w:rPr>
              <w:rFonts w:ascii="Cambria Math" w:hAnsi="Cambria Math"/>
            </w:rPr>
            <m:t>=23.2, </m:t>
          </m:r>
          <m:r>
            <m:rPr>
              <m:sty m:val="p"/>
            </m:rPr>
            <w:rPr>
              <w:rFonts w:ascii="Cambria Math" w:hAnsi="Cambria Math"/>
            </w:rPr>
            <m:t>ΣΥ</m:t>
          </m:r>
          <m:r>
            <w:rPr>
              <w:rFonts w:ascii="Cambria Math" w:hAnsi="Cambria Math"/>
            </w:rPr>
            <m:t>=38509.98, </m:t>
          </m:r>
          <m:r>
            <m:rPr>
              <m:sty m:val="p"/>
            </m:rPr>
            <w:rPr>
              <w:rFonts w:ascii="Cambria Math" w:hAnsi="Cambria Math"/>
            </w:rPr>
            <m:t>ΣΧ</m:t>
          </m:r>
          <m:r>
            <w:rPr>
              <w:rFonts w:ascii="Cambria Math" w:hAnsi="Cambria Math"/>
            </w:rPr>
            <m:t>⋅</m:t>
          </m:r>
          <m:r>
            <m:rPr>
              <m:sty m:val="p"/>
            </m:rPr>
            <w:rPr>
              <w:rFonts w:ascii="Cambria Math" w:hAnsi="Cambria Math"/>
            </w:rPr>
            <m:t>Υ</m:t>
          </m:r>
          <m:r>
            <w:rPr>
              <w:rFonts w:ascii="Cambria Math" w:hAnsi="Cambria Math"/>
            </w:rPr>
            <m:t>=91802.759, </m:t>
          </m:r>
          <m:r>
            <m:rPr>
              <m:sty m:val="p"/>
            </m:rPr>
            <w:rPr>
              <w:rFonts w:ascii="Cambria Math" w:hAnsi="Cambria Math"/>
            </w:rPr>
            <m:t>Σ</m:t>
          </m:r>
          <m:sSup>
            <m:sSupPr>
              <m:ctrlPr>
                <w:rPr>
                  <w:rFonts w:ascii="Cambria Math" w:hAnsi="Cambria Math"/>
                </w:rPr>
              </m:ctrlPr>
            </m:sSupPr>
            <m:e>
              <m:r>
                <m:rPr>
                  <m:sty m:val="p"/>
                </m:rPr>
                <w:rPr>
                  <w:rFonts w:ascii="Cambria Math" w:hAnsi="Cambria Math"/>
                </w:rPr>
                <m:t>Χ</m:t>
              </m:r>
            </m:e>
            <m:sup>
              <m:r>
                <w:rPr>
                  <w:rFonts w:ascii="Cambria Math" w:hAnsi="Cambria Math"/>
                </w:rPr>
                <m:t>2</m:t>
              </m:r>
            </m:sup>
          </m:sSup>
          <m:r>
            <w:rPr>
              <w:rFonts w:ascii="Cambria Math" w:hAnsi="Cambria Math"/>
            </w:rPr>
            <m:t>=93.3</m:t>
          </m:r>
        </m:oMath>
      </m:oMathPara>
    </w:p>
    <w:p w14:paraId="4A191BE2" w14:textId="7656A5EE" w:rsidR="73F31BAE" w:rsidRDefault="73F31BAE" w:rsidP="73F31BAE">
      <w:pPr>
        <w:ind w:right="-20"/>
        <w:jc w:val="center"/>
      </w:pPr>
    </w:p>
    <w:p w14:paraId="34FD9670" w14:textId="2D2F13E5" w:rsidR="72389023" w:rsidRDefault="72389023" w:rsidP="73F31BAE">
      <w:pPr>
        <w:ind w:right="-20"/>
        <w:jc w:val="both"/>
        <w:rPr>
          <w:b/>
          <w:bCs/>
        </w:rPr>
      </w:pPr>
      <w:r w:rsidRPr="73F31BAE">
        <w:rPr>
          <w:b/>
          <w:bCs/>
        </w:rPr>
        <w:t xml:space="preserve">Step 3: Use the following equations to find </w:t>
      </w:r>
      <m:oMath>
        <m:r>
          <w:rPr>
            <w:rFonts w:ascii="Cambria Math" w:hAnsi="Cambria Math"/>
          </w:rPr>
          <m:t>α </m:t>
        </m:r>
      </m:oMath>
      <w:r w:rsidR="34317406" w:rsidRPr="73F31BAE">
        <w:rPr>
          <w:b/>
          <w:bCs/>
        </w:rPr>
        <w:t xml:space="preserve">    </w:t>
      </w:r>
      <w:r w:rsidR="3393AAF2" w:rsidRPr="73F31BAE">
        <w:rPr>
          <w:b/>
          <w:bCs/>
        </w:rPr>
        <w:t xml:space="preserve">and </w:t>
      </w:r>
      <m:oMath>
        <m:r>
          <w:rPr>
            <w:rFonts w:ascii="Cambria Math" w:hAnsi="Cambria Math"/>
          </w:rPr>
          <m:t>β </m:t>
        </m:r>
      </m:oMath>
      <w:r w:rsidR="6F0C617E" w:rsidRPr="73F31BAE">
        <w:rPr>
          <w:b/>
          <w:bCs/>
        </w:rPr>
        <w:t>:</w:t>
      </w:r>
    </w:p>
    <w:p w14:paraId="40DF4CA4" w14:textId="06C461D4" w:rsidR="73F31BAE" w:rsidRDefault="73F31BAE" w:rsidP="73F31BAE">
      <w:pPr>
        <w:ind w:right="-20"/>
        <w:jc w:val="both"/>
        <w:rPr>
          <w:b/>
          <w:bCs/>
        </w:rPr>
      </w:pPr>
    </w:p>
    <w:p w14:paraId="1080BBDE" w14:textId="3444C5DF" w:rsidR="73F31BAE" w:rsidRDefault="73F31BAE" w:rsidP="73F31BAE">
      <w:pPr>
        <w:ind w:right="-20"/>
        <w:jc w:val="center"/>
      </w:pPr>
      <m:oMathPara>
        <m:oMath>
          <m:r>
            <w:rPr>
              <w:rFonts w:ascii="Cambria Math" w:hAnsi="Cambria Math"/>
            </w:rPr>
            <m:t>α=</m:t>
          </m:r>
          <m:f>
            <m:fPr>
              <m:ctrlPr>
                <w:rPr>
                  <w:rFonts w:ascii="Cambria Math" w:hAnsi="Cambria Math"/>
                </w:rPr>
              </m:ctrlPr>
            </m:fPr>
            <m:num>
              <m:r>
                <m:rPr>
                  <m:sty m:val="p"/>
                </m:rPr>
                <w:rPr>
                  <w:rFonts w:ascii="Cambria Math" w:hAnsi="Cambria Math"/>
                </w:rPr>
                <m:t>ΣΥ</m:t>
              </m:r>
              <m:r>
                <w:rPr>
                  <w:rFonts w:ascii="Cambria Math" w:hAnsi="Cambria Math"/>
                </w:rPr>
                <m:t>⋅</m:t>
              </m:r>
              <m:r>
                <m:rPr>
                  <m:sty m:val="p"/>
                </m:rPr>
                <w:rPr>
                  <w:rFonts w:ascii="Cambria Math" w:hAnsi="Cambria Math"/>
                </w:rPr>
                <m:t>Σ</m:t>
              </m:r>
              <m:sSup>
                <m:sSupPr>
                  <m:ctrlPr>
                    <w:rPr>
                      <w:rFonts w:ascii="Cambria Math" w:hAnsi="Cambria Math"/>
                    </w:rPr>
                  </m:ctrlPr>
                </m:sSupPr>
                <m:e>
                  <m:r>
                    <m:rPr>
                      <m:sty m:val="p"/>
                    </m:rPr>
                    <w:rPr>
                      <w:rFonts w:ascii="Cambria Math" w:hAnsi="Cambria Math"/>
                    </w:rPr>
                    <m:t>Χ</m:t>
                  </m:r>
                </m:e>
                <m:sup>
                  <m:r>
                    <w:rPr>
                      <w:rFonts w:ascii="Cambria Math" w:hAnsi="Cambria Math"/>
                    </w:rPr>
                    <m:t>2</m:t>
                  </m:r>
                </m:sup>
              </m:sSup>
              <m:r>
                <w:rPr>
                  <w:rFonts w:ascii="Cambria Math" w:hAnsi="Cambria Math"/>
                </w:rPr>
                <m:t>-</m:t>
              </m:r>
              <m:r>
                <m:rPr>
                  <m:sty m:val="p"/>
                </m:rPr>
                <w:rPr>
                  <w:rFonts w:ascii="Cambria Math" w:hAnsi="Cambria Math"/>
                </w:rPr>
                <m:t>ΣΧ</m:t>
              </m:r>
              <m:r>
                <w:rPr>
                  <w:rFonts w:ascii="Cambria Math" w:hAnsi="Cambria Math"/>
                </w:rPr>
                <m:t>⋅</m:t>
              </m:r>
              <m:r>
                <m:rPr>
                  <m:sty m:val="p"/>
                </m:rPr>
                <w:rPr>
                  <w:rFonts w:ascii="Cambria Math" w:hAnsi="Cambria Math"/>
                </w:rPr>
                <m:t>ΣΧ</m:t>
              </m:r>
              <m:r>
                <w:rPr>
                  <w:rFonts w:ascii="Cambria Math" w:hAnsi="Cambria Math"/>
                </w:rPr>
                <m:t>⋅</m:t>
              </m:r>
              <m:r>
                <m:rPr>
                  <m:sty m:val="p"/>
                </m:rPr>
                <w:rPr>
                  <w:rFonts w:ascii="Cambria Math" w:hAnsi="Cambria Math"/>
                </w:rPr>
                <m:t>Υ</m:t>
              </m:r>
            </m:num>
            <m:den>
              <m:r>
                <w:rPr>
                  <w:rFonts w:ascii="Cambria Math" w:hAnsi="Cambria Math"/>
                </w:rPr>
                <m:t>η⋅</m:t>
              </m:r>
              <m:r>
                <m:rPr>
                  <m:sty m:val="p"/>
                </m:rPr>
                <w:rPr>
                  <w:rFonts w:ascii="Cambria Math" w:hAnsi="Cambria Math"/>
                </w:rPr>
                <m:t>Σ</m:t>
              </m:r>
              <m:sSup>
                <m:sSupPr>
                  <m:ctrlPr>
                    <w:rPr>
                      <w:rFonts w:ascii="Cambria Math" w:hAnsi="Cambria Math"/>
                    </w:rPr>
                  </m:ctrlPr>
                </m:sSupPr>
                <m:e>
                  <m:r>
                    <m:rPr>
                      <m:sty m:val="p"/>
                    </m:rPr>
                    <w:rPr>
                      <w:rFonts w:ascii="Cambria Math" w:hAnsi="Cambria Math"/>
                    </w:rPr>
                    <m:t>Χ</m:t>
                  </m:r>
                </m:e>
                <m:sup>
                  <m:r>
                    <w:rPr>
                      <w:rFonts w:ascii="Cambria Math" w:hAnsi="Cambria Math"/>
                    </w:rPr>
                    <m:t>2</m:t>
                  </m:r>
                </m:sup>
              </m:sSup>
              <m:r>
                <w:rPr>
                  <w:rFonts w:ascii="Cambria Math" w:hAnsi="Cambria Math"/>
                </w:rPr>
                <m:t>-</m:t>
              </m:r>
              <m:sSup>
                <m:sSupPr>
                  <m:ctrlPr>
                    <w:rPr>
                      <w:rFonts w:ascii="Cambria Math" w:hAnsi="Cambria Math"/>
                    </w:rPr>
                  </m:ctrlPr>
                </m:sSupPr>
                <m:e>
                  <m:d>
                    <m:dPr>
                      <m:ctrlPr>
                        <w:rPr>
                          <w:rFonts w:ascii="Cambria Math" w:hAnsi="Cambria Math"/>
                        </w:rPr>
                      </m:ctrlPr>
                    </m:dPr>
                    <m:e>
                      <m:r>
                        <m:rPr>
                          <m:sty m:val="p"/>
                        </m:rPr>
                        <w:rPr>
                          <w:rFonts w:ascii="Cambria Math" w:hAnsi="Cambria Math"/>
                        </w:rPr>
                        <m:t>ΣΧ</m:t>
                      </m:r>
                    </m:e>
                  </m:d>
                </m:e>
                <m:sup>
                  <m:r>
                    <w:rPr>
                      <w:rFonts w:ascii="Cambria Math" w:hAnsi="Cambria Math"/>
                    </w:rPr>
                    <m:t>2</m:t>
                  </m:r>
                </m:sup>
              </m:sSup>
            </m:den>
          </m:f>
        </m:oMath>
      </m:oMathPara>
    </w:p>
    <w:p w14:paraId="0CC24568" w14:textId="4BFF50BF" w:rsidR="73F31BAE" w:rsidRDefault="73F31BAE" w:rsidP="73F31BAE">
      <w:pPr>
        <w:ind w:right="-20"/>
        <w:jc w:val="center"/>
      </w:pPr>
      <m:oMathPara>
        <m:oMath>
          <m:r>
            <w:rPr>
              <w:rFonts w:ascii="Cambria Math" w:hAnsi="Cambria Math"/>
            </w:rPr>
            <m:t>α=</m:t>
          </m:r>
          <m:f>
            <m:fPr>
              <m:ctrlPr>
                <w:rPr>
                  <w:rFonts w:ascii="Cambria Math" w:hAnsi="Cambria Math"/>
                </w:rPr>
              </m:ctrlPr>
            </m:fPr>
            <m:num>
              <m:r>
                <w:rPr>
                  <w:rFonts w:ascii="Cambria Math" w:hAnsi="Cambria Math"/>
                </w:rPr>
                <m:t>38509.98⋅93.3-23.2⋅91802.759</m:t>
              </m:r>
            </m:num>
            <m:den>
              <m:r>
                <w:rPr>
                  <w:rFonts w:ascii="Cambria Math" w:hAnsi="Cambria Math"/>
                </w:rPr>
                <m:t>10⋅93.3-</m:t>
              </m:r>
              <m:sSup>
                <m:sSupPr>
                  <m:ctrlPr>
                    <w:rPr>
                      <w:rFonts w:ascii="Cambria Math" w:hAnsi="Cambria Math"/>
                    </w:rPr>
                  </m:ctrlPr>
                </m:sSupPr>
                <m:e>
                  <m:d>
                    <m:dPr>
                      <m:ctrlPr>
                        <w:rPr>
                          <w:rFonts w:ascii="Cambria Math" w:hAnsi="Cambria Math"/>
                        </w:rPr>
                      </m:ctrlPr>
                    </m:dPr>
                    <m:e>
                      <m:r>
                        <w:rPr>
                          <w:rFonts w:ascii="Cambria Math" w:hAnsi="Cambria Math"/>
                        </w:rPr>
                        <m:t>23.2</m:t>
                      </m:r>
                    </m:e>
                  </m:d>
                </m:e>
                <m:sup>
                  <m:r>
                    <w:rPr>
                      <w:rFonts w:ascii="Cambria Math" w:hAnsi="Cambria Math"/>
                    </w:rPr>
                    <m:t>2</m:t>
                  </m:r>
                </m:sup>
              </m:sSup>
            </m:den>
          </m:f>
          <m:r>
            <w:rPr>
              <w:rFonts w:ascii="Cambria Math" w:hAnsi="Cambria Math"/>
            </w:rPr>
            <m:t>≈3706</m:t>
          </m:r>
        </m:oMath>
      </m:oMathPara>
    </w:p>
    <w:p w14:paraId="7E48EE7F" w14:textId="6D011A0A" w:rsidR="73F31BAE" w:rsidRDefault="73F31BAE" w:rsidP="73F31BAE">
      <w:pPr>
        <w:ind w:right="-20"/>
        <w:jc w:val="center"/>
        <w:rPr>
          <w:b/>
          <w:bCs/>
        </w:rPr>
      </w:pPr>
    </w:p>
    <w:p w14:paraId="4E624E6D" w14:textId="564C91E9" w:rsidR="73F31BAE" w:rsidRDefault="73F31BAE" w:rsidP="73F31BAE">
      <w:pPr>
        <w:ind w:right="-20"/>
        <w:jc w:val="center"/>
        <w:rPr>
          <w:b/>
          <w:bCs/>
        </w:rPr>
      </w:pPr>
      <m:oMathPara>
        <m:oMath>
          <m:r>
            <w:rPr>
              <w:rFonts w:ascii="Cambria Math" w:hAnsi="Cambria Math"/>
            </w:rPr>
            <m:t>β=</m:t>
          </m:r>
          <m:f>
            <m:fPr>
              <m:ctrlPr>
                <w:rPr>
                  <w:rFonts w:ascii="Cambria Math" w:hAnsi="Cambria Math"/>
                </w:rPr>
              </m:ctrlPr>
            </m:fPr>
            <m:num>
              <m:r>
                <m:rPr>
                  <m:sty m:val="p"/>
                </m:rPr>
                <w:rPr>
                  <w:rFonts w:ascii="Cambria Math" w:hAnsi="Cambria Math"/>
                </w:rPr>
                <m:t>Σ</m:t>
              </m:r>
              <m:r>
                <w:rPr>
                  <w:rFonts w:ascii="Cambria Math" w:hAnsi="Cambria Math"/>
                </w:rPr>
                <m:t>η⋅</m:t>
              </m:r>
              <m:r>
                <m:rPr>
                  <m:sty m:val="p"/>
                </m:rPr>
                <w:rPr>
                  <w:rFonts w:ascii="Cambria Math" w:hAnsi="Cambria Math"/>
                </w:rPr>
                <m:t>ΣΧ</m:t>
              </m:r>
              <m:r>
                <w:rPr>
                  <w:rFonts w:ascii="Cambria Math" w:hAnsi="Cambria Math"/>
                </w:rPr>
                <m:t>⋅</m:t>
              </m:r>
              <m:r>
                <m:rPr>
                  <m:sty m:val="p"/>
                </m:rPr>
                <w:rPr>
                  <w:rFonts w:ascii="Cambria Math" w:hAnsi="Cambria Math"/>
                </w:rPr>
                <m:t>Υ</m:t>
              </m:r>
              <m:r>
                <w:rPr>
                  <w:rFonts w:ascii="Cambria Math" w:hAnsi="Cambria Math"/>
                </w:rPr>
                <m:t>-</m:t>
              </m:r>
              <m:r>
                <m:rPr>
                  <m:sty m:val="p"/>
                </m:rPr>
                <w:rPr>
                  <w:rFonts w:ascii="Cambria Math" w:hAnsi="Cambria Math"/>
                </w:rPr>
                <m:t>ΣΧ</m:t>
              </m:r>
              <m:r>
                <w:rPr>
                  <w:rFonts w:ascii="Cambria Math" w:hAnsi="Cambria Math"/>
                </w:rPr>
                <m:t>⋅</m:t>
              </m:r>
              <m:r>
                <m:rPr>
                  <m:sty m:val="p"/>
                </m:rPr>
                <w:rPr>
                  <w:rFonts w:ascii="Cambria Math" w:hAnsi="Cambria Math"/>
                </w:rPr>
                <m:t>ΣΥ</m:t>
              </m:r>
            </m:num>
            <m:den>
              <m:r>
                <w:rPr>
                  <w:rFonts w:ascii="Cambria Math" w:hAnsi="Cambria Math"/>
                </w:rPr>
                <m:t>η⋅</m:t>
              </m:r>
              <m:r>
                <m:rPr>
                  <m:sty m:val="p"/>
                </m:rPr>
                <w:rPr>
                  <w:rFonts w:ascii="Cambria Math" w:hAnsi="Cambria Math"/>
                </w:rPr>
                <m:t>Σ</m:t>
              </m:r>
              <m:sSup>
                <m:sSupPr>
                  <m:ctrlPr>
                    <w:rPr>
                      <w:rFonts w:ascii="Cambria Math" w:hAnsi="Cambria Math"/>
                    </w:rPr>
                  </m:ctrlPr>
                </m:sSupPr>
                <m:e>
                  <m:r>
                    <m:rPr>
                      <m:sty m:val="p"/>
                    </m:rPr>
                    <w:rPr>
                      <w:rFonts w:ascii="Cambria Math" w:hAnsi="Cambria Math"/>
                    </w:rPr>
                    <m:t>Χ</m:t>
                  </m:r>
                </m:e>
                <m:sup>
                  <m:r>
                    <w:rPr>
                      <w:rFonts w:ascii="Cambria Math" w:hAnsi="Cambria Math"/>
                    </w:rPr>
                    <m:t>2</m:t>
                  </m:r>
                </m:sup>
              </m:sSup>
              <m:r>
                <w:rPr>
                  <w:rFonts w:ascii="Cambria Math" w:hAnsi="Cambria Math"/>
                </w:rPr>
                <m:t>-</m:t>
              </m:r>
              <m:sSup>
                <m:sSupPr>
                  <m:ctrlPr>
                    <w:rPr>
                      <w:rFonts w:ascii="Cambria Math" w:hAnsi="Cambria Math"/>
                    </w:rPr>
                  </m:ctrlPr>
                </m:sSupPr>
                <m:e>
                  <m:d>
                    <m:dPr>
                      <m:ctrlPr>
                        <w:rPr>
                          <w:rFonts w:ascii="Cambria Math" w:hAnsi="Cambria Math"/>
                        </w:rPr>
                      </m:ctrlPr>
                    </m:dPr>
                    <m:e>
                      <m:r>
                        <m:rPr>
                          <m:sty m:val="p"/>
                        </m:rPr>
                        <w:rPr>
                          <w:rFonts w:ascii="Cambria Math" w:hAnsi="Cambria Math"/>
                        </w:rPr>
                        <m:t>ΣΧ</m:t>
                      </m:r>
                    </m:e>
                  </m:d>
                </m:e>
                <m:sup>
                  <m:r>
                    <w:rPr>
                      <w:rFonts w:ascii="Cambria Math" w:hAnsi="Cambria Math"/>
                    </w:rPr>
                    <m:t>2</m:t>
                  </m:r>
                </m:sup>
              </m:sSup>
            </m:den>
          </m:f>
        </m:oMath>
      </m:oMathPara>
    </w:p>
    <w:p w14:paraId="32439F3B" w14:textId="6D00DF20" w:rsidR="73F31BAE" w:rsidRDefault="73F31BAE" w:rsidP="73F31BAE">
      <w:pPr>
        <w:ind w:right="-20"/>
        <w:jc w:val="center"/>
        <w:rPr>
          <w:b/>
          <w:bCs/>
        </w:rPr>
      </w:pPr>
    </w:p>
    <w:p w14:paraId="7742F08B" w14:textId="17E42919" w:rsidR="73F31BAE" w:rsidRDefault="73F31BAE" w:rsidP="73F31BAE">
      <w:pPr>
        <w:ind w:right="-20"/>
        <w:jc w:val="center"/>
      </w:pPr>
      <m:oMathPara>
        <m:oMath>
          <m:r>
            <w:rPr>
              <w:rFonts w:ascii="Cambria Math" w:hAnsi="Cambria Math"/>
            </w:rPr>
            <m:t>β=</m:t>
          </m:r>
          <m:f>
            <m:fPr>
              <m:ctrlPr>
                <w:rPr>
                  <w:rFonts w:ascii="Cambria Math" w:hAnsi="Cambria Math"/>
                </w:rPr>
              </m:ctrlPr>
            </m:fPr>
            <m:num>
              <m:r>
                <w:rPr>
                  <w:rFonts w:ascii="Cambria Math" w:hAnsi="Cambria Math"/>
                </w:rPr>
                <m:t>10⋅91802.759-23.2⋅38509.98</m:t>
              </m:r>
            </m:num>
            <m:den>
              <m:r>
                <w:rPr>
                  <w:rFonts w:ascii="Cambria Math" w:hAnsi="Cambria Math"/>
                </w:rPr>
                <m:t>10⋅93.3-</m:t>
              </m:r>
              <m:sSup>
                <m:sSupPr>
                  <m:ctrlPr>
                    <w:rPr>
                      <w:rFonts w:ascii="Cambria Math" w:hAnsi="Cambria Math"/>
                    </w:rPr>
                  </m:ctrlPr>
                </m:sSupPr>
                <m:e>
                  <m:d>
                    <m:dPr>
                      <m:ctrlPr>
                        <w:rPr>
                          <w:rFonts w:ascii="Cambria Math" w:hAnsi="Cambria Math"/>
                        </w:rPr>
                      </m:ctrlPr>
                    </m:dPr>
                    <m:e>
                      <m:r>
                        <w:rPr>
                          <w:rFonts w:ascii="Cambria Math" w:hAnsi="Cambria Math"/>
                        </w:rPr>
                        <m:t>23.2</m:t>
                      </m:r>
                    </m:e>
                  </m:d>
                </m:e>
                <m:sup>
                  <m:r>
                    <w:rPr>
                      <w:rFonts w:ascii="Cambria Math" w:hAnsi="Cambria Math"/>
                    </w:rPr>
                    <m:t>2</m:t>
                  </m:r>
                </m:sup>
              </m:sSup>
            </m:den>
          </m:f>
          <m:r>
            <w:rPr>
              <w:rFonts w:ascii="Cambria Math" w:hAnsi="Cambria Math"/>
            </w:rPr>
            <m:t>≈62.31</m:t>
          </m:r>
        </m:oMath>
      </m:oMathPara>
    </w:p>
    <w:p w14:paraId="1F301BCC" w14:textId="2A9E6D57" w:rsidR="73F31BAE" w:rsidRDefault="73F31BAE" w:rsidP="73F31BAE">
      <w:pPr>
        <w:ind w:right="-20"/>
        <w:jc w:val="center"/>
        <w:rPr>
          <w:b/>
          <w:bCs/>
        </w:rPr>
      </w:pPr>
    </w:p>
    <w:p w14:paraId="0EAA80EF" w14:textId="158E902A" w:rsidR="73F31BAE" w:rsidRDefault="73F31BAE" w:rsidP="73F31BAE">
      <w:pPr>
        <w:ind w:right="-20"/>
        <w:rPr>
          <w:b/>
          <w:bCs/>
        </w:rPr>
      </w:pPr>
    </w:p>
    <w:p w14:paraId="6202D72F" w14:textId="2C0C62B8" w:rsidR="2B6CBFB9" w:rsidRDefault="2B6CBFB9" w:rsidP="73F31BAE">
      <w:pPr>
        <w:ind w:right="-20"/>
      </w:pPr>
      <w:r w:rsidRPr="73F31BAE">
        <w:rPr>
          <w:b/>
          <w:bCs/>
        </w:rPr>
        <w:lastRenderedPageBreak/>
        <w:t xml:space="preserve">Step 4: </w:t>
      </w:r>
      <w:r>
        <w:t xml:space="preserve">Substitute </w:t>
      </w:r>
      <m:oMath>
        <m:r>
          <w:rPr>
            <w:rFonts w:ascii="Cambria Math" w:hAnsi="Cambria Math"/>
          </w:rPr>
          <m:t>α </m:t>
        </m:r>
      </m:oMath>
      <w:r w:rsidR="6FA847D4">
        <w:t xml:space="preserve">    </w:t>
      </w:r>
      <w:r w:rsidR="7F776B91">
        <w:t xml:space="preserve">and </w:t>
      </w:r>
      <m:oMath>
        <m:r>
          <w:rPr>
            <w:rFonts w:ascii="Cambria Math" w:hAnsi="Cambria Math"/>
          </w:rPr>
          <m:t>β </m:t>
        </m:r>
      </m:oMath>
      <w:r w:rsidR="2B414C19">
        <w:t xml:space="preserve"> </w:t>
      </w:r>
      <w:r w:rsidR="04C9DBF1">
        <w:t xml:space="preserve">   </w:t>
      </w:r>
      <w:r w:rsidR="2B414C19">
        <w:t>in regression equation formula:</w:t>
      </w:r>
    </w:p>
    <w:p w14:paraId="470E479F" w14:textId="0C72E783" w:rsidR="73F31BAE" w:rsidRDefault="73F31BAE" w:rsidP="73F31BAE">
      <w:pPr>
        <w:ind w:right="-20"/>
        <w:jc w:val="center"/>
      </w:pPr>
      <m:oMathPara>
        <m:oMath>
          <m:r>
            <w:rPr>
              <w:rFonts w:ascii="Cambria Math" w:hAnsi="Cambria Math"/>
            </w:rPr>
            <m:t>γ=α+β⋅χ </m:t>
          </m:r>
        </m:oMath>
      </m:oMathPara>
    </w:p>
    <w:p w14:paraId="136E0969" w14:textId="551C6B62" w:rsidR="73F31BAE" w:rsidRDefault="73F31BAE" w:rsidP="73F31BAE">
      <w:pPr>
        <w:ind w:right="-20"/>
        <w:jc w:val="center"/>
      </w:pPr>
      <m:oMathPara>
        <m:oMath>
          <m:r>
            <w:rPr>
              <w:rFonts w:ascii="Cambria Math" w:hAnsi="Cambria Math"/>
            </w:rPr>
            <m:t>γ=3706+62.31⋅χ </m:t>
          </m:r>
        </m:oMath>
      </m:oMathPara>
    </w:p>
    <w:p w14:paraId="59656D6A" w14:textId="7522697E" w:rsidR="50CFB2B6" w:rsidRDefault="50CFB2B6" w:rsidP="73F31BAE">
      <w:pPr>
        <w:pStyle w:val="Heading5"/>
        <w:spacing w:line="360" w:lineRule="auto"/>
        <w:rPr>
          <w:rFonts w:ascii="Arial" w:eastAsia="Arial" w:hAnsi="Arial" w:cs="Arial"/>
          <w:color w:val="auto"/>
        </w:rPr>
      </w:pPr>
      <w:bookmarkStart w:id="3" w:name="_Toc1346976924"/>
      <w:r w:rsidRPr="73F31BAE">
        <w:rPr>
          <w:rFonts w:ascii="Arial" w:eastAsia="Arial" w:hAnsi="Arial" w:cs="Arial"/>
          <w:b/>
          <w:bCs/>
          <w:color w:val="auto"/>
        </w:rPr>
        <w:t>For further Calculation s</w:t>
      </w:r>
      <w:r w:rsidR="6ECD91E7" w:rsidRPr="73F31BAE">
        <w:rPr>
          <w:rFonts w:ascii="Arial" w:eastAsia="Arial" w:hAnsi="Arial" w:cs="Arial"/>
          <w:b/>
          <w:bCs/>
          <w:color w:val="auto"/>
        </w:rPr>
        <w:t>ee Appendix no. 2)</w:t>
      </w:r>
      <w:bookmarkEnd w:id="3"/>
    </w:p>
    <w:p w14:paraId="5AD89194" w14:textId="2A674AA2" w:rsidR="0D9F9F9F" w:rsidRDefault="0D9F9F9F" w:rsidP="73F31BAE">
      <w:pPr>
        <w:spacing w:line="360" w:lineRule="auto"/>
        <w:ind w:right="-20"/>
        <w:jc w:val="both"/>
        <w:rPr>
          <w:rFonts w:ascii="Arial" w:eastAsia="Arial" w:hAnsi="Arial" w:cs="Arial"/>
        </w:rPr>
      </w:pPr>
      <w:r w:rsidRPr="73F31BAE">
        <w:rPr>
          <w:rFonts w:ascii="Arial" w:eastAsia="Arial" w:hAnsi="Arial" w:cs="Arial"/>
        </w:rPr>
        <w:t>The linear regression model revealed a moderate direct relationship between inflation rates and stock prices, with an R-squared value of 0.1863, indicating that 18.6% of the variability in stock prices is explained by inflation rates. Additionally, the study found that the slope of the regression line was statistically significant, indicating that a unit increase in inflation rates led to a corresponding increase in stock prices. However, the overall regression model did not provide a better fit than the model without the independent variable, suggesting that other factors may also influence stock prices.</w:t>
      </w:r>
    </w:p>
    <w:p w14:paraId="777A889F" w14:textId="40F1B9E2" w:rsidR="7358A89B" w:rsidRDefault="7358A89B" w:rsidP="73F31BAE">
      <w:pPr>
        <w:spacing w:line="360" w:lineRule="auto"/>
        <w:ind w:right="-20"/>
        <w:rPr>
          <w:rFonts w:ascii="Arial" w:eastAsia="Arial" w:hAnsi="Arial" w:cs="Arial"/>
        </w:rPr>
      </w:pPr>
      <w:r w:rsidRPr="73F31BAE">
        <w:rPr>
          <w:rFonts w:ascii="Arial" w:eastAsia="Arial" w:hAnsi="Arial" w:cs="Arial"/>
        </w:rPr>
        <w:t>The</w:t>
      </w:r>
      <w:r w:rsidR="7A3EB8EB" w:rsidRPr="73F31BAE">
        <w:rPr>
          <w:rFonts w:ascii="Arial" w:eastAsia="Arial" w:hAnsi="Arial" w:cs="Arial"/>
        </w:rPr>
        <w:t xml:space="preserve"> data presented sheds light on the correlation between the UK's inflation rate and the FTSE All-share Price of the London Stock Market, in addition to demonstrating the linear regression model's good fit. The moderate relationship between X and Y is indicated by the R-squared and correlation values, and the goodness of fit tests present further information about the model's functionality.</w:t>
      </w:r>
    </w:p>
    <w:p w14:paraId="000458D6" w14:textId="3771F814" w:rsidR="73F31BAE" w:rsidRDefault="73F31BAE" w:rsidP="73F31BAE">
      <w:pPr>
        <w:spacing w:line="360" w:lineRule="auto"/>
        <w:ind w:right="-20"/>
        <w:rPr>
          <w:rFonts w:ascii="Arial" w:eastAsia="Arial" w:hAnsi="Arial" w:cs="Arial"/>
        </w:rPr>
      </w:pPr>
    </w:p>
    <w:p w14:paraId="24E1136D" w14:textId="0BD0F971" w:rsidR="76DC359D" w:rsidRDefault="76DC359D" w:rsidP="73F31BAE">
      <w:pPr>
        <w:spacing w:line="360" w:lineRule="auto"/>
        <w:ind w:right="-20"/>
        <w:rPr>
          <w:rFonts w:ascii="Arial" w:eastAsia="Arial" w:hAnsi="Arial" w:cs="Arial"/>
        </w:rPr>
      </w:pPr>
      <w:r w:rsidRPr="73F31BAE">
        <w:rPr>
          <w:rFonts w:ascii="Arial" w:eastAsia="Arial" w:hAnsi="Arial" w:cs="Arial"/>
          <w:b/>
          <w:bCs/>
        </w:rPr>
        <w:t>4.3 Conclusion:</w:t>
      </w:r>
    </w:p>
    <w:p w14:paraId="39D214D8" w14:textId="55EC5B6D" w:rsidR="1C9C2C7C" w:rsidRDefault="1C9C2C7C" w:rsidP="73F31BAE">
      <w:pPr>
        <w:spacing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The analysis in the chapter encompasses a wide range of data, including historical trends in market capitalization, trading volume, and macroeconomic indicators, as well as statistical models such as linear regression to explore the relationships between variables. The findings reveal significant growth in the United Kingdom's market capitalization as a percentage of national product over the years 1980, 1990, and 1999. This growth reflects the increasing significance of the UK's capital market in contributing to the national economy. Furthermore, the trading volume in the UK experienced a remarkable surge, outpacing the growth rates of other developed and emerging countries. The substantial increase in trading volume reflects the significant growth and expansion of the UK's trade activities over this period. </w:t>
      </w:r>
    </w:p>
    <w:p w14:paraId="1BE9EE64" w14:textId="718C4620" w:rsidR="73F31BAE" w:rsidRDefault="73F31BAE" w:rsidP="73F31BAE">
      <w:pPr>
        <w:spacing w:line="360" w:lineRule="auto"/>
        <w:ind w:left="-20" w:right="-20"/>
        <w:jc w:val="both"/>
        <w:rPr>
          <w:rFonts w:ascii="Arial" w:eastAsia="Arial" w:hAnsi="Arial" w:cs="Arial"/>
          <w:color w:val="000000" w:themeColor="text1"/>
        </w:rPr>
      </w:pPr>
    </w:p>
    <w:p w14:paraId="297164CA" w14:textId="66896F81" w:rsidR="1C9C2C7C" w:rsidRDefault="1C9C2C7C" w:rsidP="73F31BAE">
      <w:pPr>
        <w:spacing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The analysis of the Bank of England base rate demonstrates the substantial variability of the Official Bank Rate over the years, influenced by domestic and global economic conditions. The rate has been used as a tool to manage inflation and support economic growth, with significant </w:t>
      </w:r>
      <w:r w:rsidRPr="73F31BAE">
        <w:rPr>
          <w:rFonts w:ascii="Arial" w:eastAsia="Arial" w:hAnsi="Arial" w:cs="Arial"/>
          <w:color w:val="000000" w:themeColor="text1"/>
        </w:rPr>
        <w:lastRenderedPageBreak/>
        <w:t xml:space="preserve">adjustments made during times of budgetary crisis and recovery. The intricate connection between interest rates and stock prices is impacted by variables such as market expectations, investor sentiment, and the economy's health. </w:t>
      </w:r>
    </w:p>
    <w:p w14:paraId="51466674" w14:textId="63930AD0" w:rsidR="1C9C2C7C" w:rsidRDefault="1C9C2C7C" w:rsidP="73F31BAE">
      <w:pPr>
        <w:spacing w:line="360" w:lineRule="auto"/>
        <w:ind w:left="-20" w:right="-20"/>
        <w:jc w:val="both"/>
        <w:rPr>
          <w:rFonts w:ascii="Arial" w:eastAsia="Arial" w:hAnsi="Arial" w:cs="Arial"/>
          <w:color w:val="000000" w:themeColor="text1"/>
        </w:rPr>
      </w:pPr>
      <w:r>
        <w:br/>
      </w:r>
      <w:r w:rsidRPr="73F31BAE">
        <w:rPr>
          <w:rFonts w:ascii="Arial" w:eastAsia="Arial" w:hAnsi="Arial" w:cs="Arial"/>
          <w:color w:val="000000" w:themeColor="text1"/>
        </w:rPr>
        <w:t>In conclusion, the chapter provides a thorough understanding of the trends and patterns in the stock market evolution in the United Kingdom, the influence of the Bank of England base rate on stock prices, and the relationship between trading volume and key economic indicators. The comprehensive analysis of the data and literature findings offers valuable insights for investors, analysts, and policymakers in understanding the dynamics of the UK stock market and its relationship with economic indicators.</w:t>
      </w:r>
    </w:p>
    <w:p w14:paraId="60AFFB32" w14:textId="06D5672B" w:rsidR="73F31BAE" w:rsidRDefault="73F31BAE" w:rsidP="73F31BAE">
      <w:pPr>
        <w:spacing w:line="360" w:lineRule="auto"/>
        <w:ind w:left="-20" w:right="-20"/>
        <w:jc w:val="both"/>
        <w:rPr>
          <w:rFonts w:ascii="Arial" w:eastAsia="Arial" w:hAnsi="Arial" w:cs="Arial"/>
          <w:color w:val="000000" w:themeColor="text1"/>
        </w:rPr>
      </w:pPr>
    </w:p>
    <w:p w14:paraId="476C195E" w14:textId="4ADAA510" w:rsidR="00FE1918" w:rsidRDefault="00FE1918" w:rsidP="73F31BAE">
      <w:pPr>
        <w:spacing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____________________________________________________________________________</w:t>
      </w:r>
    </w:p>
    <w:p w14:paraId="0E5F2BFC" w14:textId="5E4EF3D0" w:rsidR="73F31BAE" w:rsidRDefault="73F31BAE" w:rsidP="73F31BAE">
      <w:pPr>
        <w:ind w:right="-20"/>
        <w:rPr>
          <w:rFonts w:ascii="Arial" w:eastAsia="Arial" w:hAnsi="Arial" w:cs="Arial"/>
          <w:b/>
          <w:bCs/>
        </w:rPr>
      </w:pPr>
    </w:p>
    <w:p w14:paraId="31BCD50A" w14:textId="1E11C66E" w:rsidR="73F31BAE" w:rsidRDefault="73F31BAE">
      <w:r>
        <w:br w:type="page"/>
      </w:r>
    </w:p>
    <w:p w14:paraId="0DACB6A1" w14:textId="118D53D5" w:rsidR="60FBE44B" w:rsidRDefault="60FBE44B" w:rsidP="73F31BAE">
      <w:pPr>
        <w:pStyle w:val="NoSpacing"/>
        <w:spacing w:line="360" w:lineRule="auto"/>
        <w:jc w:val="center"/>
        <w:rPr>
          <w:rFonts w:ascii="Arial" w:eastAsia="Arial" w:hAnsi="Arial" w:cs="Arial"/>
          <w:b/>
          <w:bCs/>
          <w:sz w:val="40"/>
          <w:szCs w:val="40"/>
        </w:rPr>
      </w:pPr>
      <w:r w:rsidRPr="73F31BAE">
        <w:rPr>
          <w:rFonts w:ascii="Arial" w:eastAsia="Arial" w:hAnsi="Arial" w:cs="Arial"/>
          <w:b/>
          <w:bCs/>
          <w:sz w:val="40"/>
          <w:szCs w:val="40"/>
        </w:rPr>
        <w:lastRenderedPageBreak/>
        <w:t>Chapter 5: Conclusion</w:t>
      </w:r>
    </w:p>
    <w:p w14:paraId="4FBE8DC0" w14:textId="3551A888" w:rsidR="60FBE44B" w:rsidRDefault="60FBE44B" w:rsidP="73F31BAE">
      <w:pPr>
        <w:pStyle w:val="NoSpacing"/>
        <w:spacing w:line="360" w:lineRule="auto"/>
        <w:jc w:val="both"/>
        <w:rPr>
          <w:rFonts w:ascii="Arial" w:eastAsia="Arial" w:hAnsi="Arial" w:cs="Arial"/>
        </w:rPr>
      </w:pPr>
      <w:r w:rsidRPr="73F31BAE">
        <w:rPr>
          <w:rFonts w:ascii="Arial" w:eastAsia="Arial" w:hAnsi="Arial" w:cs="Arial"/>
          <w:b/>
          <w:bCs/>
        </w:rPr>
        <w:t>5.1 Introduction</w:t>
      </w:r>
      <w:r w:rsidRPr="73F31BAE">
        <w:rPr>
          <w:rFonts w:ascii="Arial" w:eastAsia="Arial" w:hAnsi="Arial" w:cs="Arial"/>
        </w:rPr>
        <w:t xml:space="preserve"> </w:t>
      </w:r>
    </w:p>
    <w:p w14:paraId="38C2345D" w14:textId="61E0E6D6" w:rsidR="60FBE44B" w:rsidRDefault="60FBE44B" w:rsidP="73F31BAE">
      <w:pPr>
        <w:spacing w:line="360" w:lineRule="auto"/>
        <w:ind w:left="-20" w:right="-20"/>
        <w:jc w:val="both"/>
        <w:rPr>
          <w:rFonts w:ascii="Arial" w:eastAsia="Arial" w:hAnsi="Arial" w:cs="Arial"/>
        </w:rPr>
      </w:pPr>
      <w:r w:rsidRPr="73F31BAE">
        <w:rPr>
          <w:rFonts w:ascii="Arial" w:eastAsia="Arial" w:hAnsi="Arial" w:cs="Arial"/>
        </w:rPr>
        <w:t>Chapter 5 presents a comprehensive conclusion of the research outcomes. Section 5.2 encapsulates the key findings of the study, while 5.3 draws conclusions based on the research questions posed. Additionally, 5.4 delineates the practical and theoretical implications derived from the research. The study's limitations are discussed in 5.5, and finally, 5.6 underscores recommendations for future research endeavors.</w:t>
      </w:r>
    </w:p>
    <w:p w14:paraId="46F0160F" w14:textId="5EECA515" w:rsidR="73F31BAE" w:rsidRDefault="73F31BAE" w:rsidP="73F31BAE">
      <w:pPr>
        <w:spacing w:after="0" w:line="360" w:lineRule="auto"/>
        <w:jc w:val="both"/>
        <w:rPr>
          <w:rFonts w:ascii="Arial" w:eastAsia="Arial" w:hAnsi="Arial" w:cs="Arial"/>
        </w:rPr>
      </w:pPr>
    </w:p>
    <w:p w14:paraId="78F09967" w14:textId="58314007" w:rsidR="60FBE44B" w:rsidRDefault="60FBE44B" w:rsidP="73F31BAE">
      <w:pPr>
        <w:pStyle w:val="NoSpacing"/>
        <w:spacing w:line="360" w:lineRule="auto"/>
        <w:jc w:val="both"/>
        <w:rPr>
          <w:rFonts w:ascii="Arial" w:eastAsia="Arial" w:hAnsi="Arial" w:cs="Arial"/>
          <w:b/>
          <w:bCs/>
        </w:rPr>
      </w:pPr>
      <w:r w:rsidRPr="73F31BAE">
        <w:rPr>
          <w:rFonts w:ascii="Arial" w:eastAsia="Arial" w:hAnsi="Arial" w:cs="Arial"/>
          <w:b/>
          <w:bCs/>
        </w:rPr>
        <w:t>5.2 Summary of main findings</w:t>
      </w:r>
    </w:p>
    <w:p w14:paraId="3EDA4A40" w14:textId="7C4C2ACE" w:rsidR="73F31BAE" w:rsidRDefault="73F31BAE" w:rsidP="73F31BAE">
      <w:pPr>
        <w:spacing w:after="0" w:line="360" w:lineRule="auto"/>
        <w:jc w:val="both"/>
        <w:rPr>
          <w:rFonts w:ascii="Arial" w:eastAsia="Arial" w:hAnsi="Arial" w:cs="Arial"/>
        </w:rPr>
      </w:pPr>
    </w:p>
    <w:p w14:paraId="5A55164D" w14:textId="5D1BA37C"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The main findings of the study are centered around the comprehensive analysis of the impact of interest rates on the stock market in the United Kingdom. The study aimed to provide valuable insights for investors, policymakers, and analysts by examining historical data, macroeconomic indicators, and the influence of the Bank of England's base rate on stock prices.</w:t>
      </w:r>
    </w:p>
    <w:p w14:paraId="75BA3459" w14:textId="6EFAF351"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The key findings and analyses from the study include:</w:t>
      </w:r>
    </w:p>
    <w:p w14:paraId="428F52E2" w14:textId="6AAC778A" w:rsidR="73F31BAE" w:rsidRDefault="73F31BAE" w:rsidP="73F31BAE">
      <w:pPr>
        <w:spacing w:after="0" w:line="360" w:lineRule="auto"/>
        <w:jc w:val="both"/>
        <w:rPr>
          <w:rFonts w:ascii="Arial" w:eastAsia="Arial" w:hAnsi="Arial" w:cs="Arial"/>
        </w:rPr>
      </w:pPr>
    </w:p>
    <w:p w14:paraId="51F1F1CF" w14:textId="3500CE05"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The comprehensive analysis of the evolution of stock markets, the influence of macroeconomic indicators on stock market performance, and the impact of the Bank of England's base rate on stock prices in the United Kingdom.</w:t>
      </w:r>
    </w:p>
    <w:p w14:paraId="19E1F79F" w14:textId="6FABA206" w:rsidR="73F31BAE" w:rsidRDefault="73F31BAE" w:rsidP="73F31BAE">
      <w:pPr>
        <w:spacing w:after="0" w:line="360" w:lineRule="auto"/>
        <w:jc w:val="both"/>
        <w:rPr>
          <w:rFonts w:ascii="Arial" w:eastAsia="Arial" w:hAnsi="Arial" w:cs="Arial"/>
        </w:rPr>
      </w:pPr>
    </w:p>
    <w:p w14:paraId="204D8F81" w14:textId="3075590A"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The identification of gaps in the existing literature, highlighting the need for further research to specifically address the causal relationship between interest rates and stock market returns, the implications of interest rate volatility, and the differential impact of short-term and long-term interest rates.</w:t>
      </w:r>
    </w:p>
    <w:p w14:paraId="40C842AF" w14:textId="21846B31" w:rsidR="73F31BAE" w:rsidRDefault="73F31BAE" w:rsidP="73F31BAE">
      <w:pPr>
        <w:spacing w:after="0" w:line="360" w:lineRule="auto"/>
        <w:jc w:val="both"/>
        <w:rPr>
          <w:rFonts w:ascii="Arial" w:eastAsia="Arial" w:hAnsi="Arial" w:cs="Arial"/>
        </w:rPr>
      </w:pPr>
    </w:p>
    <w:p w14:paraId="33AB4514" w14:textId="3FA1E7D5"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The potential contributions of the research to the fields of finance, economics, and monetary policy, providing nuanced insights that can inform investment decisions, guide policy formulation, and deepen the understanding of the economic dynamics at play in the United Kingdom's financial landscape.</w:t>
      </w:r>
    </w:p>
    <w:p w14:paraId="365F5882" w14:textId="6BFD7EF2"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These findings collectively contribute to a comprehensive understanding of the complex relationships between stock market dynamics, macroeconomic indicators, and monetary policies in the United Kingdom, offering valuable information for investors, policymakers, and analysts to make informed decisions and understand the complexities of the financial landscape</w:t>
      </w:r>
      <w:r w:rsidR="00CD52D8">
        <w:rPr>
          <w:rFonts w:ascii="Arial" w:eastAsia="Arial" w:hAnsi="Arial" w:cs="Arial"/>
        </w:rPr>
        <w:t>.</w:t>
      </w:r>
    </w:p>
    <w:p w14:paraId="375CB0BC" w14:textId="29FD5260" w:rsidR="73F31BAE" w:rsidRDefault="73F31BAE" w:rsidP="73F31BAE">
      <w:pPr>
        <w:spacing w:after="0" w:line="360" w:lineRule="auto"/>
        <w:jc w:val="both"/>
        <w:rPr>
          <w:rFonts w:ascii="Arial" w:eastAsia="Arial" w:hAnsi="Arial" w:cs="Arial"/>
        </w:rPr>
      </w:pPr>
    </w:p>
    <w:p w14:paraId="1434F928" w14:textId="556874B7" w:rsidR="60FBE44B" w:rsidRDefault="60FBE44B" w:rsidP="73F31BAE">
      <w:pPr>
        <w:pStyle w:val="NoSpacing"/>
        <w:spacing w:line="360" w:lineRule="auto"/>
        <w:jc w:val="both"/>
        <w:rPr>
          <w:rFonts w:ascii="Arial" w:eastAsia="Arial" w:hAnsi="Arial" w:cs="Arial"/>
          <w:b/>
          <w:bCs/>
        </w:rPr>
      </w:pPr>
      <w:r w:rsidRPr="73F31BAE">
        <w:rPr>
          <w:rFonts w:ascii="Arial" w:eastAsia="Arial" w:hAnsi="Arial" w:cs="Arial"/>
          <w:b/>
          <w:bCs/>
        </w:rPr>
        <w:t xml:space="preserve">5.3 Conclusion based on the research </w:t>
      </w:r>
      <w:proofErr w:type="gramStart"/>
      <w:r w:rsidRPr="73F31BAE">
        <w:rPr>
          <w:rFonts w:ascii="Arial" w:eastAsia="Arial" w:hAnsi="Arial" w:cs="Arial"/>
          <w:b/>
          <w:bCs/>
        </w:rPr>
        <w:t>questions</w:t>
      </w:r>
      <w:proofErr w:type="gramEnd"/>
    </w:p>
    <w:p w14:paraId="0881B50B" w14:textId="27E927B5" w:rsidR="73F31BAE" w:rsidRDefault="73F31BAE" w:rsidP="73F31BAE">
      <w:pPr>
        <w:spacing w:after="0" w:line="360" w:lineRule="auto"/>
        <w:jc w:val="both"/>
        <w:rPr>
          <w:rFonts w:ascii="Arial" w:eastAsia="Arial" w:hAnsi="Arial" w:cs="Arial"/>
        </w:rPr>
      </w:pPr>
    </w:p>
    <w:p w14:paraId="2D0A8912" w14:textId="4530AE32"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 xml:space="preserve">Based on the research questions and the comprehensive analysis of the impact of interest rates on the stock market in the United Kingdom, it can be concluded that the study holds significant academic and practical significance. </w:t>
      </w:r>
    </w:p>
    <w:p w14:paraId="22B01E6B" w14:textId="474F2FAC" w:rsidR="73F31BAE" w:rsidRDefault="73F31BAE" w:rsidP="73F31BAE">
      <w:pPr>
        <w:spacing w:after="0" w:line="360" w:lineRule="auto"/>
        <w:jc w:val="both"/>
        <w:rPr>
          <w:rFonts w:ascii="Arial" w:eastAsia="Arial" w:hAnsi="Arial" w:cs="Arial"/>
        </w:rPr>
      </w:pPr>
    </w:p>
    <w:p w14:paraId="7677CA6B" w14:textId="568896A7" w:rsidR="60FBE44B" w:rsidRDefault="60FBE44B" w:rsidP="73F31BAE">
      <w:pPr>
        <w:pStyle w:val="NoSpacing"/>
        <w:spacing w:line="360" w:lineRule="auto"/>
        <w:jc w:val="both"/>
        <w:rPr>
          <w:rFonts w:ascii="Arial" w:eastAsia="Arial" w:hAnsi="Arial" w:cs="Arial"/>
          <w:b/>
          <w:bCs/>
        </w:rPr>
      </w:pPr>
      <w:r w:rsidRPr="73F31BAE">
        <w:rPr>
          <w:rFonts w:ascii="Arial" w:eastAsia="Arial" w:hAnsi="Arial" w:cs="Arial"/>
          <w:b/>
          <w:bCs/>
        </w:rPr>
        <w:t>Changes in interest rates (e.g., Bank of England base rate) influence on stock prices in the United Kingdom.</w:t>
      </w:r>
    </w:p>
    <w:p w14:paraId="3958B1F3" w14:textId="117CFA70" w:rsidR="73F31BAE" w:rsidRDefault="73F31BAE" w:rsidP="73F31BAE">
      <w:pPr>
        <w:spacing w:after="0" w:line="360" w:lineRule="auto"/>
        <w:jc w:val="both"/>
        <w:rPr>
          <w:rFonts w:ascii="Arial" w:eastAsia="Arial" w:hAnsi="Arial" w:cs="Arial"/>
        </w:rPr>
      </w:pPr>
    </w:p>
    <w:p w14:paraId="421F0938" w14:textId="3AECBEA3" w:rsidR="60FBE44B" w:rsidRDefault="60FBE44B" w:rsidP="73F31BAE">
      <w:pPr>
        <w:spacing w:line="360" w:lineRule="auto"/>
        <w:ind w:left="-20" w:right="-20"/>
        <w:jc w:val="both"/>
        <w:rPr>
          <w:rFonts w:ascii="Arial" w:eastAsia="Arial" w:hAnsi="Arial" w:cs="Arial"/>
        </w:rPr>
      </w:pPr>
      <w:r w:rsidRPr="73F31BAE">
        <w:rPr>
          <w:rFonts w:ascii="Arial" w:eastAsia="Arial" w:hAnsi="Arial" w:cs="Arial"/>
        </w:rPr>
        <w:t xml:space="preserve">Changes in interest rates, particularly the Bank of England base rate, have a major influence on stock prices in the United Kingdom. Lower interest rates make borrowing more affordable, which can encourage more investment and consumer spending, potentially leading to increases in stock prices and business earnings. Conversely, higher interest rates can make borrowing more costly, potentially discouraging investment and consumer spending, which may result in decreased corporate profits and stock prices. </w:t>
      </w:r>
    </w:p>
    <w:p w14:paraId="76A69814" w14:textId="7BDB8C6E" w:rsidR="73F31BAE" w:rsidRDefault="73F31BAE" w:rsidP="73F31BAE">
      <w:pPr>
        <w:spacing w:line="360" w:lineRule="auto"/>
        <w:ind w:left="-20" w:right="-20"/>
        <w:jc w:val="both"/>
        <w:rPr>
          <w:rFonts w:ascii="Arial" w:eastAsia="Arial" w:hAnsi="Arial" w:cs="Arial"/>
        </w:rPr>
      </w:pPr>
    </w:p>
    <w:p w14:paraId="2A115ABE" w14:textId="333632C8" w:rsidR="60FBE44B" w:rsidRDefault="60FBE44B" w:rsidP="73F31BAE">
      <w:pPr>
        <w:spacing w:after="0" w:line="360" w:lineRule="auto"/>
        <w:jc w:val="both"/>
        <w:rPr>
          <w:rFonts w:ascii="Arial" w:eastAsia="Arial" w:hAnsi="Arial" w:cs="Arial"/>
        </w:rPr>
      </w:pPr>
      <w:r w:rsidRPr="73F31BAE">
        <w:rPr>
          <w:rFonts w:ascii="Arial" w:eastAsia="Arial" w:hAnsi="Arial" w:cs="Arial"/>
        </w:rPr>
        <w:t>The relationship between interest rates and stock prices is complex and influenced by several factors such as market expectations, investor sentiment, and the overall health of the economy.  Furthermore, the analysis of the Bank of England base rate demonstrates a modest inverse association with stock prices, indicating that stock values often tend to fall as bank rates rise and vice versa. However, the association is shaky, and stock prices could be more heavily influenced by other reasons. This understanding is crucial for investors, policymakers, and financial analysts in making informed decisions and understanding the dynamics of the UK stock market.</w:t>
      </w:r>
    </w:p>
    <w:p w14:paraId="23BB4671" w14:textId="31562339" w:rsidR="73F31BAE" w:rsidRDefault="73F31BAE" w:rsidP="73F31BAE">
      <w:pPr>
        <w:spacing w:line="360" w:lineRule="auto"/>
        <w:ind w:left="-20" w:right="-20"/>
        <w:jc w:val="both"/>
        <w:rPr>
          <w:rFonts w:ascii="Arial" w:eastAsia="Arial" w:hAnsi="Arial" w:cs="Arial"/>
        </w:rPr>
      </w:pPr>
    </w:p>
    <w:p w14:paraId="0CD35CA8" w14:textId="2316DF01" w:rsidR="60FBE44B" w:rsidRDefault="60FBE44B" w:rsidP="73F31BAE">
      <w:pPr>
        <w:pStyle w:val="NoSpacing"/>
        <w:spacing w:line="360" w:lineRule="auto"/>
        <w:jc w:val="both"/>
        <w:rPr>
          <w:rFonts w:ascii="Arial" w:eastAsia="Arial" w:hAnsi="Arial" w:cs="Arial"/>
          <w:b/>
          <w:bCs/>
        </w:rPr>
      </w:pPr>
      <w:r w:rsidRPr="73F31BAE">
        <w:rPr>
          <w:rFonts w:ascii="Arial" w:eastAsia="Arial" w:hAnsi="Arial" w:cs="Arial"/>
          <w:b/>
          <w:bCs/>
        </w:rPr>
        <w:t>The trading volume of the London Stock Exchange changes over time and contributing factors for a change.</w:t>
      </w:r>
    </w:p>
    <w:p w14:paraId="7F50EB57" w14:textId="631EED35" w:rsidR="73F31BAE" w:rsidRDefault="73F31BAE" w:rsidP="73F31BAE">
      <w:pPr>
        <w:spacing w:after="0" w:line="360" w:lineRule="auto"/>
        <w:jc w:val="both"/>
        <w:rPr>
          <w:rFonts w:ascii="Arial" w:eastAsia="Arial" w:hAnsi="Arial" w:cs="Arial"/>
        </w:rPr>
      </w:pPr>
    </w:p>
    <w:p w14:paraId="5BD9A51E" w14:textId="237E60B4" w:rsidR="60FBE44B" w:rsidRDefault="60FBE44B" w:rsidP="73F31BAE">
      <w:pPr>
        <w:spacing w:line="360" w:lineRule="auto"/>
        <w:ind w:left="-20" w:right="-20"/>
        <w:jc w:val="both"/>
        <w:rPr>
          <w:rFonts w:ascii="Arial" w:eastAsia="Arial" w:hAnsi="Arial" w:cs="Arial"/>
        </w:rPr>
      </w:pPr>
      <w:r w:rsidRPr="73F31BAE">
        <w:rPr>
          <w:rFonts w:ascii="Arial" w:eastAsia="Arial" w:hAnsi="Arial" w:cs="Arial"/>
        </w:rPr>
        <w:t xml:space="preserve">The trading volume of the London Stock Exchange (LSE) has undergone significant changes over time, influenced by a range of factors. Market capitalization, volatility, and the choice of stocks for option listings have all impacted the exchange's trading volume. Also, macroeconomic variables such as inflation, lending rates, and exchange rates have helped explain past variations in stock </w:t>
      </w:r>
      <w:r w:rsidRPr="73F31BAE">
        <w:rPr>
          <w:rFonts w:ascii="Arial" w:eastAsia="Arial" w:hAnsi="Arial" w:cs="Arial"/>
        </w:rPr>
        <w:lastRenderedPageBreak/>
        <w:t xml:space="preserve">trading volumes. The growth of electronic trading has also significantly impacted stock exchange markets, altering the volume of trading. </w:t>
      </w:r>
    </w:p>
    <w:p w14:paraId="64B35F2E" w14:textId="7C2D4394" w:rsidR="73F31BAE" w:rsidRDefault="73F31BAE" w:rsidP="73F31BAE">
      <w:pPr>
        <w:spacing w:line="360" w:lineRule="auto"/>
        <w:ind w:left="-20" w:right="-20"/>
        <w:jc w:val="both"/>
        <w:rPr>
          <w:rFonts w:ascii="Arial" w:eastAsia="Arial" w:hAnsi="Arial" w:cs="Arial"/>
        </w:rPr>
      </w:pPr>
    </w:p>
    <w:p w14:paraId="5D1963E0" w14:textId="73E52934" w:rsidR="60FBE44B" w:rsidRDefault="60FBE44B" w:rsidP="73F31BAE">
      <w:pPr>
        <w:spacing w:line="360" w:lineRule="auto"/>
        <w:ind w:left="-20" w:right="-20"/>
        <w:jc w:val="both"/>
        <w:rPr>
          <w:rFonts w:ascii="Arial" w:eastAsia="Arial" w:hAnsi="Arial" w:cs="Arial"/>
        </w:rPr>
      </w:pPr>
      <w:r w:rsidRPr="73F31BAE">
        <w:rPr>
          <w:rFonts w:ascii="Arial" w:eastAsia="Arial" w:hAnsi="Arial" w:cs="Arial"/>
        </w:rPr>
        <w:t>The introduction of new trading instruments and market events has impacted trading volume, the location of equity trading, and the length of a listing. Furthermore, the informational influence of electronic trading systems on the FTSE 100 stock index and its futures contracts has been observed to affect trading volume. The research also indicates that the liquidity supplied by the secondary market, even in the busiest side of the stock markets, has influenced trading volume. These factors collectively demonstrate the complex and multifaceted nature of the changes in trading volume on the London Stock Exchange over time.</w:t>
      </w:r>
    </w:p>
    <w:p w14:paraId="75BEB4B8" w14:textId="12A29FB1" w:rsidR="73F31BAE" w:rsidRDefault="73F31BAE" w:rsidP="73F31BAE">
      <w:pPr>
        <w:spacing w:line="360" w:lineRule="auto"/>
        <w:ind w:left="-20" w:right="-20"/>
        <w:jc w:val="both"/>
        <w:rPr>
          <w:rFonts w:ascii="Arial" w:eastAsia="Arial" w:hAnsi="Arial" w:cs="Arial"/>
        </w:rPr>
      </w:pPr>
    </w:p>
    <w:p w14:paraId="69A75159" w14:textId="6F187691" w:rsidR="60FBE44B" w:rsidRDefault="60FBE44B" w:rsidP="73F31BAE">
      <w:pPr>
        <w:spacing w:line="360" w:lineRule="auto"/>
        <w:ind w:left="-20" w:right="-20"/>
        <w:jc w:val="both"/>
        <w:rPr>
          <w:rFonts w:ascii="Arial" w:eastAsia="Arial" w:hAnsi="Arial" w:cs="Arial"/>
          <w:b/>
          <w:bCs/>
        </w:rPr>
      </w:pPr>
      <w:r w:rsidRPr="73F31BAE">
        <w:rPr>
          <w:rFonts w:ascii="Arial" w:eastAsia="Arial" w:hAnsi="Arial" w:cs="Arial"/>
          <w:b/>
          <w:bCs/>
        </w:rPr>
        <w:t>The key economic indicators such as inflation rate, unemployment rate, and GDP growth in the UK correlate with variations in the relationship between stock prices and trading volumes</w:t>
      </w:r>
      <w:r w:rsidR="7C691E40" w:rsidRPr="73F31BAE">
        <w:rPr>
          <w:rFonts w:ascii="Arial" w:eastAsia="Arial" w:hAnsi="Arial" w:cs="Arial"/>
          <w:b/>
          <w:bCs/>
        </w:rPr>
        <w:t>.</w:t>
      </w:r>
    </w:p>
    <w:p w14:paraId="05D9A098" w14:textId="0DFAC2DB" w:rsidR="73F31BAE" w:rsidRDefault="73F31BAE" w:rsidP="73F31BAE">
      <w:pPr>
        <w:spacing w:line="360" w:lineRule="auto"/>
        <w:ind w:left="-20" w:right="-20"/>
        <w:jc w:val="both"/>
        <w:rPr>
          <w:rFonts w:ascii="Arial" w:eastAsia="Arial" w:hAnsi="Arial" w:cs="Arial"/>
        </w:rPr>
      </w:pPr>
    </w:p>
    <w:p w14:paraId="7F0775F1" w14:textId="4488194B" w:rsidR="60FBE44B" w:rsidRDefault="60FBE44B" w:rsidP="73F31BAE">
      <w:pPr>
        <w:spacing w:after="0" w:line="360" w:lineRule="auto"/>
        <w:jc w:val="both"/>
        <w:rPr>
          <w:rFonts w:ascii="Arial" w:eastAsia="Arial" w:hAnsi="Arial" w:cs="Arial"/>
        </w:rPr>
      </w:pPr>
      <w:r w:rsidRPr="73F31BAE">
        <w:rPr>
          <w:rFonts w:ascii="Arial" w:eastAsia="Arial" w:hAnsi="Arial" w:cs="Arial"/>
        </w:rPr>
        <w:t>The key economic indicators such as inflation rate, unemployment rate, and GDP growth in the United Kingdom have a significant impact on the relationship between stock prices and trading volumes. In this research it has shown that these macroeconomic indicators influence the dynamics of the stock market. For example, a study found that real estate stock prices are impacted by inflation rates, GDP growth, and exchange rates (Quy, and Loi, 2020). Additionally, another study revealed an increase in unemployment rates negatively affects stock prices (</w:t>
      </w:r>
      <w:proofErr w:type="spellStart"/>
      <w:r w:rsidRPr="73F31BAE">
        <w:rPr>
          <w:rFonts w:ascii="Arial" w:eastAsia="Arial" w:hAnsi="Arial" w:cs="Arial"/>
        </w:rPr>
        <w:t>Anandasayanan</w:t>
      </w:r>
      <w:proofErr w:type="spellEnd"/>
      <w:r w:rsidRPr="73F31BAE">
        <w:rPr>
          <w:rFonts w:ascii="Arial" w:eastAsia="Arial" w:hAnsi="Arial" w:cs="Arial"/>
        </w:rPr>
        <w:t xml:space="preserve">, 2019). </w:t>
      </w:r>
    </w:p>
    <w:p w14:paraId="4075AA93" w14:textId="734CDB3B" w:rsidR="73F31BAE" w:rsidRDefault="73F31BAE" w:rsidP="73F31BAE">
      <w:pPr>
        <w:spacing w:after="0" w:line="360" w:lineRule="auto"/>
        <w:jc w:val="both"/>
        <w:rPr>
          <w:rFonts w:ascii="Arial" w:eastAsia="Arial" w:hAnsi="Arial" w:cs="Arial"/>
        </w:rPr>
      </w:pPr>
    </w:p>
    <w:p w14:paraId="3F960CAF" w14:textId="4633C0F8" w:rsidR="60FBE44B" w:rsidRDefault="60FBE44B" w:rsidP="73F31BAE">
      <w:pPr>
        <w:spacing w:before="180" w:after="0" w:line="360" w:lineRule="auto"/>
        <w:jc w:val="both"/>
        <w:rPr>
          <w:rFonts w:ascii="Arial" w:eastAsia="Arial" w:hAnsi="Arial" w:cs="Arial"/>
        </w:rPr>
      </w:pPr>
      <w:r w:rsidRPr="73F31BAE">
        <w:rPr>
          <w:rFonts w:ascii="Arial" w:eastAsia="Arial" w:hAnsi="Arial" w:cs="Arial"/>
        </w:rPr>
        <w:t>In summary, the key economic indicators such as inflation rate, unemployment rate, and GDP growth in the UK have a substantial correlation with variations in the relationship between stock prices and trading volumes. These indicators, along with other external factors, significantly influence the dynamics of the stock market.</w:t>
      </w:r>
    </w:p>
    <w:p w14:paraId="6439513C" w14:textId="1B696B47" w:rsidR="73F31BAE" w:rsidRDefault="73F31BAE" w:rsidP="73F31BAE">
      <w:pPr>
        <w:spacing w:line="360" w:lineRule="auto"/>
        <w:ind w:left="-20" w:right="-20"/>
        <w:jc w:val="both"/>
        <w:rPr>
          <w:rFonts w:ascii="Arial" w:eastAsia="Arial" w:hAnsi="Arial" w:cs="Arial"/>
        </w:rPr>
      </w:pPr>
    </w:p>
    <w:p w14:paraId="56C40B7C" w14:textId="1EF03C9A" w:rsidR="73F31BAE" w:rsidRDefault="73F31BAE" w:rsidP="73F31BAE">
      <w:pPr>
        <w:spacing w:line="360" w:lineRule="auto"/>
        <w:ind w:left="-20" w:right="-20"/>
        <w:jc w:val="both"/>
        <w:rPr>
          <w:rFonts w:ascii="Arial" w:eastAsia="Arial" w:hAnsi="Arial" w:cs="Arial"/>
        </w:rPr>
      </w:pPr>
    </w:p>
    <w:p w14:paraId="7BBACCC7" w14:textId="5EFFD5FE" w:rsidR="60FBE44B" w:rsidRDefault="60FBE44B" w:rsidP="73F31BAE">
      <w:pPr>
        <w:pStyle w:val="NoSpacing"/>
        <w:spacing w:after="160" w:line="360" w:lineRule="auto"/>
        <w:ind w:left="-20" w:right="-20"/>
        <w:jc w:val="both"/>
        <w:rPr>
          <w:rFonts w:ascii="Arial" w:eastAsia="Arial" w:hAnsi="Arial" w:cs="Arial"/>
          <w:b/>
          <w:bCs/>
        </w:rPr>
      </w:pPr>
      <w:r w:rsidRPr="73F31BAE">
        <w:rPr>
          <w:rFonts w:ascii="Arial" w:eastAsia="Arial" w:hAnsi="Arial" w:cs="Arial"/>
          <w:b/>
          <w:bCs/>
        </w:rPr>
        <w:lastRenderedPageBreak/>
        <w:t xml:space="preserve">The external factors </w:t>
      </w:r>
      <w:r w:rsidR="21DD95D2" w:rsidRPr="73F31BAE">
        <w:rPr>
          <w:rFonts w:ascii="Arial" w:eastAsia="Arial" w:hAnsi="Arial" w:cs="Arial"/>
          <w:b/>
          <w:bCs/>
        </w:rPr>
        <w:t>influence</w:t>
      </w:r>
      <w:r w:rsidRPr="73F31BAE">
        <w:rPr>
          <w:rFonts w:ascii="Arial" w:eastAsia="Arial" w:hAnsi="Arial" w:cs="Arial"/>
          <w:b/>
          <w:bCs/>
        </w:rPr>
        <w:t xml:space="preserve"> the relationship between the trading volumes and stock price of the United Kingdom's financial market</w:t>
      </w:r>
      <w:r w:rsidR="4F729633" w:rsidRPr="73F31BAE">
        <w:rPr>
          <w:rFonts w:ascii="Arial" w:eastAsia="Arial" w:hAnsi="Arial" w:cs="Arial"/>
          <w:b/>
          <w:bCs/>
        </w:rPr>
        <w:t>.</w:t>
      </w:r>
    </w:p>
    <w:p w14:paraId="62EE41F9" w14:textId="5E09CF04" w:rsidR="73F31BAE" w:rsidRDefault="73F31BAE" w:rsidP="73F31BAE">
      <w:pPr>
        <w:spacing w:line="360" w:lineRule="auto"/>
        <w:ind w:left="-20" w:right="-20"/>
        <w:jc w:val="both"/>
        <w:rPr>
          <w:rFonts w:ascii="Arial" w:eastAsia="Arial" w:hAnsi="Arial" w:cs="Arial"/>
        </w:rPr>
      </w:pPr>
    </w:p>
    <w:p w14:paraId="715C98AA" w14:textId="1CCCB0CF" w:rsidR="60FBE44B" w:rsidRDefault="60FBE44B" w:rsidP="73F31BAE">
      <w:pPr>
        <w:spacing w:line="360" w:lineRule="auto"/>
        <w:ind w:left="-20" w:right="-20"/>
        <w:jc w:val="both"/>
        <w:rPr>
          <w:rFonts w:ascii="Arial" w:eastAsia="Arial" w:hAnsi="Arial" w:cs="Arial"/>
        </w:rPr>
      </w:pPr>
      <w:r w:rsidRPr="73F31BAE">
        <w:rPr>
          <w:rFonts w:ascii="Arial" w:eastAsia="Arial" w:hAnsi="Arial" w:cs="Arial"/>
        </w:rPr>
        <w:t xml:space="preserve">External factors play a crucial role in influencing the relationship between trading volumes and stock prices in the United Kingdom's financial market. These factors encompass a wide range of influences, including market developments, macroeconomic circumstances, trading procedures, and the advancement of electronic trading. For instance, market capitalization, volatility, and the choice of stocks for option listings have all been identified as significant determinants of trading volume on the London Stock Exchange. </w:t>
      </w:r>
    </w:p>
    <w:p w14:paraId="24962266" w14:textId="282DEC77" w:rsidR="73F31BAE" w:rsidRDefault="73F31BAE" w:rsidP="73F31BAE">
      <w:pPr>
        <w:spacing w:line="360" w:lineRule="auto"/>
        <w:ind w:left="-20" w:right="-20"/>
        <w:jc w:val="both"/>
        <w:rPr>
          <w:rFonts w:ascii="Arial" w:eastAsia="Arial" w:hAnsi="Arial" w:cs="Arial"/>
        </w:rPr>
      </w:pPr>
    </w:p>
    <w:p w14:paraId="6647CC14" w14:textId="23684970" w:rsidR="60FBE44B" w:rsidRDefault="60FBE44B" w:rsidP="73F31BAE">
      <w:pPr>
        <w:spacing w:line="360" w:lineRule="auto"/>
        <w:ind w:left="-20" w:right="-20"/>
        <w:jc w:val="both"/>
        <w:rPr>
          <w:rFonts w:ascii="Arial" w:eastAsia="Arial" w:hAnsi="Arial" w:cs="Arial"/>
        </w:rPr>
      </w:pPr>
      <w:r w:rsidRPr="73F31BAE">
        <w:rPr>
          <w:rFonts w:ascii="Arial" w:eastAsia="Arial" w:hAnsi="Arial" w:cs="Arial"/>
        </w:rPr>
        <w:t>Additionally, macroeconomic variables such as inflation, lending rates, and exchange rates have been found to explain past variations in stock trading volumes. The growth of electronic trading also greatly impacted stock exchange markets, altering trading volume. Last but not the least, the introduction of new trading instruments and market events has been observed to impact trading volume, indicating the dynamic influence of external factors on the relationship between trading volumes and stock prices in the UK's financial market.</w:t>
      </w:r>
    </w:p>
    <w:p w14:paraId="287D341B" w14:textId="0DED094F" w:rsidR="73F31BAE" w:rsidRDefault="73F31BAE" w:rsidP="73F31BAE">
      <w:pPr>
        <w:spacing w:line="360" w:lineRule="auto"/>
        <w:ind w:left="-20" w:right="-20"/>
        <w:jc w:val="both"/>
        <w:rPr>
          <w:rFonts w:ascii="Arial" w:eastAsia="Arial" w:hAnsi="Arial" w:cs="Arial"/>
        </w:rPr>
      </w:pPr>
    </w:p>
    <w:p w14:paraId="2043DF5C" w14:textId="0F216C9C"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The study has addressed key research questions, including the influence of interest rates on stock prices, the correlation between economic indicators and variations in the relationship between stock prices and trading volumes, and the impact of global economic factors on the UK stock market and interest rates. By leveraging historical data, statistical analyses, and a comprehensive review of literature, the research has aimed to provide nuanced insights that can inform investment decisions, guide policy formulation, and deepen the understanding of the economic dynamics at play in the United Kingdom's financial landscape.</w:t>
      </w:r>
    </w:p>
    <w:p w14:paraId="5E3E0DC4" w14:textId="7DDC2C55" w:rsidR="73F31BAE" w:rsidRDefault="73F31BAE" w:rsidP="73F31BAE">
      <w:pPr>
        <w:spacing w:after="0" w:line="360" w:lineRule="auto"/>
        <w:jc w:val="both"/>
        <w:rPr>
          <w:rFonts w:ascii="Arial" w:eastAsia="Arial" w:hAnsi="Arial" w:cs="Arial"/>
        </w:rPr>
      </w:pPr>
    </w:p>
    <w:p w14:paraId="7A033C7F" w14:textId="359642EF" w:rsidR="60FBE44B" w:rsidRDefault="60FBE44B" w:rsidP="73F31BAE">
      <w:pPr>
        <w:pStyle w:val="NoSpacing"/>
        <w:spacing w:line="360" w:lineRule="auto"/>
        <w:jc w:val="both"/>
        <w:rPr>
          <w:rFonts w:ascii="Arial" w:eastAsia="Arial" w:hAnsi="Arial" w:cs="Arial"/>
          <w:b/>
          <w:bCs/>
        </w:rPr>
      </w:pPr>
      <w:r w:rsidRPr="73F31BAE">
        <w:rPr>
          <w:rFonts w:ascii="Arial" w:eastAsia="Arial" w:hAnsi="Arial" w:cs="Arial"/>
          <w:b/>
          <w:bCs/>
        </w:rPr>
        <w:t>5.4 Practical and theoretical Implications</w:t>
      </w:r>
    </w:p>
    <w:p w14:paraId="40E22E1F" w14:textId="45827855" w:rsidR="73F31BAE" w:rsidRDefault="73F31BAE" w:rsidP="73F31BAE">
      <w:pPr>
        <w:spacing w:after="0" w:line="360" w:lineRule="auto"/>
        <w:jc w:val="both"/>
        <w:rPr>
          <w:rFonts w:ascii="Arial" w:eastAsia="Arial" w:hAnsi="Arial" w:cs="Arial"/>
        </w:rPr>
      </w:pPr>
    </w:p>
    <w:p w14:paraId="493BD714" w14:textId="0AD5AD25"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 xml:space="preserve">Based on the research findings and analyses, the study provides practical and theoretical implications for further exploration and application in finance, economics, and monetary policy. The practical recommendations are aimed at guiding policymakers, investors, and market </w:t>
      </w:r>
      <w:r w:rsidRPr="73F31BAE">
        <w:rPr>
          <w:rFonts w:ascii="Arial" w:eastAsia="Arial" w:hAnsi="Arial" w:cs="Arial"/>
        </w:rPr>
        <w:lastRenderedPageBreak/>
        <w:t>participants, while the theoretical recommendations focus on advancing academic understanding and contributing to the development of empirical models and frameworks.</w:t>
      </w:r>
    </w:p>
    <w:p w14:paraId="66D6B5A2" w14:textId="2D5E6799" w:rsidR="73F31BAE" w:rsidRDefault="73F31BAE" w:rsidP="73F31BAE">
      <w:pPr>
        <w:spacing w:after="0" w:line="360" w:lineRule="auto"/>
        <w:jc w:val="both"/>
        <w:rPr>
          <w:rFonts w:ascii="Arial" w:eastAsia="Arial" w:hAnsi="Arial" w:cs="Arial"/>
        </w:rPr>
      </w:pPr>
    </w:p>
    <w:p w14:paraId="005D6893" w14:textId="3393C48D"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Practical Implications:</w:t>
      </w:r>
    </w:p>
    <w:p w14:paraId="2C992D60" w14:textId="148D2F92" w:rsidR="73F31BAE" w:rsidRDefault="73F31BAE" w:rsidP="73F31BAE">
      <w:pPr>
        <w:spacing w:after="0" w:line="360" w:lineRule="auto"/>
        <w:jc w:val="both"/>
        <w:rPr>
          <w:rFonts w:ascii="Arial" w:eastAsia="Arial" w:hAnsi="Arial" w:cs="Arial"/>
        </w:rPr>
      </w:pPr>
    </w:p>
    <w:p w14:paraId="53B68F4C" w14:textId="55561554"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Policymakers and investors should consider the impact of interest rates on stock market performance when formulating monetary policies and making investment decisions. This includes monitoring the relationship between interest rates and stock prices and understanding the implications of interest rate volatility and the differential impact of short- and long-term interest rates on market behavior.</w:t>
      </w:r>
    </w:p>
    <w:p w14:paraId="203AC777" w14:textId="49DE039E" w:rsidR="73F31BAE" w:rsidRDefault="73F31BAE" w:rsidP="73F31BAE">
      <w:pPr>
        <w:spacing w:after="0" w:line="360" w:lineRule="auto"/>
        <w:jc w:val="both"/>
        <w:rPr>
          <w:rFonts w:ascii="Arial" w:eastAsia="Arial" w:hAnsi="Arial" w:cs="Arial"/>
        </w:rPr>
      </w:pPr>
    </w:p>
    <w:p w14:paraId="7BB41782" w14:textId="2A13FD8E"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Market participants should pay attention to global economic factors and external events, such as interest rate fluctuations and global financial crises, as these can significantly influence the dynamics of the stock market. Understanding the interconnectedness of the stock market with the overall economy is crucial for making informed decisions in response to external factors.</w:t>
      </w:r>
    </w:p>
    <w:p w14:paraId="49DEE845" w14:textId="223E51A8" w:rsidR="73F31BAE" w:rsidRDefault="73F31BAE" w:rsidP="73F31BAE">
      <w:pPr>
        <w:spacing w:after="0" w:line="360" w:lineRule="auto"/>
        <w:jc w:val="both"/>
        <w:rPr>
          <w:rFonts w:ascii="Arial" w:eastAsia="Arial" w:hAnsi="Arial" w:cs="Arial"/>
        </w:rPr>
      </w:pPr>
    </w:p>
    <w:p w14:paraId="41AB3D16" w14:textId="29D48B33"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Researchers and academics should focus on addressing the identified gaps in the literature, specifically exploring the causal relationship between interest rates and stock market returns, the implications of interest rate volatility, and the combined influence of macroeconomic variables. Further research endeavors can contribute to a more nuanced understanding of the relationship between interest rates and stock market performance.</w:t>
      </w:r>
    </w:p>
    <w:p w14:paraId="73E5997B" w14:textId="2D1358AF" w:rsidR="73F31BAE" w:rsidRDefault="73F31BAE" w:rsidP="73F31BAE">
      <w:pPr>
        <w:spacing w:after="0" w:line="360" w:lineRule="auto"/>
        <w:jc w:val="both"/>
        <w:rPr>
          <w:rFonts w:ascii="Arial" w:eastAsia="Arial" w:hAnsi="Arial" w:cs="Arial"/>
        </w:rPr>
      </w:pPr>
    </w:p>
    <w:p w14:paraId="52DBF920" w14:textId="144736E4"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Theoretical Implications:</w:t>
      </w:r>
    </w:p>
    <w:p w14:paraId="73153D51" w14:textId="5DC877EB" w:rsidR="73F31BAE" w:rsidRDefault="73F31BAE" w:rsidP="73F31BAE">
      <w:pPr>
        <w:spacing w:after="0" w:line="360" w:lineRule="auto"/>
        <w:jc w:val="both"/>
        <w:rPr>
          <w:rFonts w:ascii="Arial" w:eastAsia="Arial" w:hAnsi="Arial" w:cs="Arial"/>
        </w:rPr>
      </w:pPr>
    </w:p>
    <w:p w14:paraId="3CE41B24" w14:textId="3D118A77" w:rsidR="60FBE44B" w:rsidRDefault="60FBE44B" w:rsidP="73F31BAE">
      <w:pPr>
        <w:spacing w:after="0" w:line="360" w:lineRule="auto"/>
        <w:ind w:right="-20"/>
        <w:jc w:val="both"/>
        <w:rPr>
          <w:rFonts w:ascii="Arial" w:eastAsia="Arial" w:hAnsi="Arial" w:cs="Arial"/>
        </w:rPr>
      </w:pPr>
      <w:r w:rsidRPr="73F31BAE">
        <w:rPr>
          <w:rFonts w:ascii="Arial" w:eastAsia="Arial" w:hAnsi="Arial" w:cs="Arial"/>
        </w:rPr>
        <w:t>The present study investigating the influence of interest rates on stocks in the United States utilized a quantitative research approach, employing regression analysis. Nevertheless, it is advisable for future research to explore the same subject employing an alternative research methodology, such as a qualitative approach.</w:t>
      </w:r>
    </w:p>
    <w:p w14:paraId="6168AAC6" w14:textId="554806AA" w:rsidR="73F31BAE" w:rsidRDefault="73F31BAE" w:rsidP="73F31BAE">
      <w:pPr>
        <w:spacing w:after="0" w:line="360" w:lineRule="auto"/>
        <w:ind w:right="-20"/>
        <w:jc w:val="both"/>
        <w:rPr>
          <w:rFonts w:ascii="Arial" w:eastAsia="Arial" w:hAnsi="Arial" w:cs="Arial"/>
        </w:rPr>
      </w:pPr>
    </w:p>
    <w:p w14:paraId="472DCF80" w14:textId="5F3D73EC" w:rsidR="60FBE44B" w:rsidRDefault="60FBE44B" w:rsidP="73F31BAE">
      <w:pPr>
        <w:spacing w:after="0" w:line="360" w:lineRule="auto"/>
        <w:ind w:right="-20"/>
        <w:jc w:val="both"/>
        <w:rPr>
          <w:rFonts w:ascii="Arial" w:eastAsia="Arial" w:hAnsi="Arial" w:cs="Arial"/>
        </w:rPr>
      </w:pPr>
      <w:r w:rsidRPr="73F31BAE">
        <w:rPr>
          <w:rFonts w:ascii="Arial" w:eastAsia="Arial" w:hAnsi="Arial" w:cs="Arial"/>
        </w:rPr>
        <w:t>While the current study relied on secondary data, prospective investigations could enhance the research by incorporating interviews or surveys with investors and policymakers.</w:t>
      </w:r>
    </w:p>
    <w:p w14:paraId="4B779715" w14:textId="054866F9" w:rsidR="73F31BAE" w:rsidRDefault="73F31BAE" w:rsidP="73F31BAE">
      <w:pPr>
        <w:spacing w:after="0" w:line="360" w:lineRule="auto"/>
        <w:jc w:val="both"/>
        <w:rPr>
          <w:rFonts w:ascii="Arial" w:eastAsia="Arial" w:hAnsi="Arial" w:cs="Arial"/>
        </w:rPr>
      </w:pPr>
    </w:p>
    <w:p w14:paraId="3821BBD4" w14:textId="6239C2B0"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 xml:space="preserve">In conclusion, the practical and theoretical recommendations derived from the research findings aim to provide valuable guidance for policymakers, investors, researchers, and academics, </w:t>
      </w:r>
      <w:r w:rsidRPr="73F31BAE">
        <w:rPr>
          <w:rFonts w:ascii="Arial" w:eastAsia="Arial" w:hAnsi="Arial" w:cs="Arial"/>
        </w:rPr>
        <w:lastRenderedPageBreak/>
        <w:t>contributing to a deeper understanding of the complex relationships between interest rates and stock market dynamics in the United Kingdom.</w:t>
      </w:r>
    </w:p>
    <w:p w14:paraId="48700907" w14:textId="3C86FCE4" w:rsidR="73F31BAE" w:rsidRDefault="73F31BAE" w:rsidP="73F31BAE">
      <w:pPr>
        <w:spacing w:after="0" w:line="360" w:lineRule="auto"/>
        <w:jc w:val="both"/>
        <w:rPr>
          <w:rFonts w:ascii="Arial" w:eastAsia="Arial" w:hAnsi="Arial" w:cs="Arial"/>
        </w:rPr>
      </w:pPr>
    </w:p>
    <w:p w14:paraId="1C99FA67" w14:textId="2BF462A3" w:rsidR="60FBE44B" w:rsidRDefault="60FBE44B" w:rsidP="73F31BAE">
      <w:pPr>
        <w:pStyle w:val="NoSpacing"/>
        <w:spacing w:line="360" w:lineRule="auto"/>
        <w:jc w:val="both"/>
        <w:rPr>
          <w:rFonts w:ascii="Arial" w:eastAsia="Arial" w:hAnsi="Arial" w:cs="Arial"/>
          <w:b/>
          <w:bCs/>
        </w:rPr>
      </w:pPr>
      <w:r w:rsidRPr="73F31BAE">
        <w:rPr>
          <w:rFonts w:ascii="Arial" w:eastAsia="Arial" w:hAnsi="Arial" w:cs="Arial"/>
          <w:b/>
          <w:bCs/>
        </w:rPr>
        <w:t>5.5 Limitations of the Research</w:t>
      </w:r>
    </w:p>
    <w:p w14:paraId="71AF0151" w14:textId="070C3544" w:rsidR="73F31BAE" w:rsidRDefault="73F31BAE" w:rsidP="73F31BAE">
      <w:pPr>
        <w:spacing w:after="0" w:line="360" w:lineRule="auto"/>
        <w:jc w:val="both"/>
        <w:rPr>
          <w:rFonts w:ascii="Arial" w:eastAsia="Arial" w:hAnsi="Arial" w:cs="Arial"/>
        </w:rPr>
      </w:pPr>
    </w:p>
    <w:p w14:paraId="2C38B6DB" w14:textId="3D62D17B" w:rsidR="60FBE44B" w:rsidRDefault="60FBE44B" w:rsidP="73F31BAE">
      <w:pPr>
        <w:spacing w:after="0" w:line="360" w:lineRule="auto"/>
        <w:ind w:left="-20" w:right="-20"/>
        <w:jc w:val="both"/>
        <w:rPr>
          <w:rFonts w:ascii="Arial" w:eastAsia="Arial" w:hAnsi="Arial" w:cs="Arial"/>
        </w:rPr>
      </w:pPr>
      <w:r w:rsidRPr="73F31BAE">
        <w:rPr>
          <w:rFonts w:ascii="Arial" w:eastAsia="Arial" w:hAnsi="Arial" w:cs="Arial"/>
        </w:rPr>
        <w:t>In the context of investigating the impact of interest rates on the stock market in the United Kingdom, potential limitations may include the reliance on historical data, the complexity of modeling the relationship between interest rates and stock market performance, and the challenges associated with predicting market behavior based on macroeconomic variables. The study encounters limitations primarily due to challenges in accessing pertinent data. This constraint extends to the availability of relevant data and the accessibility of appropriate analytical systems for the study.</w:t>
      </w:r>
    </w:p>
    <w:p w14:paraId="7DF0222F" w14:textId="443CC402" w:rsidR="73F31BAE" w:rsidRDefault="73F31BAE" w:rsidP="73F31BAE">
      <w:pPr>
        <w:spacing w:after="0" w:line="360" w:lineRule="auto"/>
        <w:ind w:left="-20" w:right="-20"/>
        <w:jc w:val="both"/>
        <w:rPr>
          <w:rFonts w:ascii="Arial" w:eastAsia="Arial" w:hAnsi="Arial" w:cs="Arial"/>
        </w:rPr>
      </w:pPr>
    </w:p>
    <w:p w14:paraId="6A395159" w14:textId="340C85E0"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 xml:space="preserve">Furthermore, the study's focus on quantitative research methods and linear regression analysis may limit the exploration of qualitative aspects and non-linear relationships within the stock market. Additionally, the use of historical data may not fully capture the potential impact of unprecedented events or structural changes in the financial markets. </w:t>
      </w:r>
    </w:p>
    <w:p w14:paraId="42667678" w14:textId="11171D17" w:rsidR="73F31BAE" w:rsidRDefault="73F31BAE" w:rsidP="73F31BAE">
      <w:pPr>
        <w:spacing w:after="0" w:line="360" w:lineRule="auto"/>
        <w:jc w:val="both"/>
        <w:rPr>
          <w:rFonts w:ascii="Arial" w:eastAsia="Arial" w:hAnsi="Arial" w:cs="Arial"/>
        </w:rPr>
      </w:pPr>
    </w:p>
    <w:p w14:paraId="384C9080" w14:textId="43F2EC1F"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It is essential for researchers to recognize and address these limitations, as they can impact the generalizability and applicability of the study's findings. Future research endeavors should aim to mitigate these limitations by incorporating a broader range of research methods, considering the dynamic nature of financial markets, and accounting for potential outliers or anomalies in the data.</w:t>
      </w:r>
    </w:p>
    <w:p w14:paraId="123B2AD1" w14:textId="0BF6FFA5" w:rsidR="73F31BAE" w:rsidRDefault="73F31BAE" w:rsidP="73F31BAE">
      <w:pPr>
        <w:spacing w:after="0" w:line="360" w:lineRule="auto"/>
        <w:jc w:val="both"/>
        <w:rPr>
          <w:rFonts w:ascii="Arial" w:eastAsia="Arial" w:hAnsi="Arial" w:cs="Arial"/>
        </w:rPr>
      </w:pPr>
    </w:p>
    <w:p w14:paraId="1CDF7B5A" w14:textId="6CF4A373" w:rsidR="60FBE44B" w:rsidRDefault="60FBE44B" w:rsidP="73F31BAE">
      <w:pPr>
        <w:pStyle w:val="NoSpacing"/>
        <w:spacing w:line="360" w:lineRule="auto"/>
        <w:jc w:val="both"/>
        <w:rPr>
          <w:rFonts w:ascii="Arial" w:eastAsia="Arial" w:hAnsi="Arial" w:cs="Arial"/>
          <w:b/>
          <w:bCs/>
        </w:rPr>
      </w:pPr>
      <w:r w:rsidRPr="73F31BAE">
        <w:rPr>
          <w:rFonts w:ascii="Arial" w:eastAsia="Arial" w:hAnsi="Arial" w:cs="Arial"/>
          <w:b/>
          <w:bCs/>
        </w:rPr>
        <w:t>5.6 Recommendation for future work</w:t>
      </w:r>
    </w:p>
    <w:p w14:paraId="04B9FDE9" w14:textId="2825EC9D" w:rsidR="73F31BAE" w:rsidRDefault="73F31BAE" w:rsidP="73F31BAE">
      <w:pPr>
        <w:spacing w:after="0" w:line="360" w:lineRule="auto"/>
        <w:jc w:val="both"/>
        <w:rPr>
          <w:rFonts w:ascii="Arial" w:eastAsia="Arial" w:hAnsi="Arial" w:cs="Arial"/>
        </w:rPr>
      </w:pPr>
    </w:p>
    <w:p w14:paraId="75FB3BB8" w14:textId="757FCC88"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 xml:space="preserve">Based on the extensive analysis of the impact of interest rates on the stock market in the United Kingdom, the study provides valuable insights and identifies key gaps in the existing literature. </w:t>
      </w:r>
    </w:p>
    <w:p w14:paraId="601864CA" w14:textId="570B6BBE" w:rsidR="73F31BAE" w:rsidRDefault="73F31BAE" w:rsidP="73F31BAE">
      <w:pPr>
        <w:spacing w:after="0" w:line="360" w:lineRule="auto"/>
        <w:jc w:val="both"/>
        <w:rPr>
          <w:rFonts w:ascii="Arial" w:eastAsia="Arial" w:hAnsi="Arial" w:cs="Arial"/>
        </w:rPr>
      </w:pPr>
    </w:p>
    <w:p w14:paraId="1CA95FA8" w14:textId="1F7B51A5"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The following recommendations for future work can be derived from the study:</w:t>
      </w:r>
    </w:p>
    <w:p w14:paraId="61843118" w14:textId="0C846A0F" w:rsidR="73F31BAE" w:rsidRDefault="73F31BAE" w:rsidP="73F31BAE">
      <w:pPr>
        <w:spacing w:after="0" w:line="360" w:lineRule="auto"/>
        <w:jc w:val="both"/>
        <w:rPr>
          <w:rFonts w:ascii="Arial" w:eastAsia="Arial" w:hAnsi="Arial" w:cs="Arial"/>
        </w:rPr>
      </w:pPr>
    </w:p>
    <w:p w14:paraId="46170765" w14:textId="29B7B9A2"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 xml:space="preserve">Future research should specifically focus on addressing the identified gaps in the literature, including the causal relationship between interest rates and stock market returns, the implications of interest rate volatility, and the differential impact of short-term and long-term interest rates. </w:t>
      </w:r>
      <w:r w:rsidRPr="73F31BAE">
        <w:rPr>
          <w:rFonts w:ascii="Arial" w:eastAsia="Arial" w:hAnsi="Arial" w:cs="Arial"/>
        </w:rPr>
        <w:lastRenderedPageBreak/>
        <w:t>Additionally, there is a need for more focused research that delves into the unique dynamics of the UK stock market in response to interest rate movements.</w:t>
      </w:r>
    </w:p>
    <w:p w14:paraId="70F80D3A" w14:textId="0C4157DA" w:rsidR="73F31BAE" w:rsidRDefault="73F31BAE" w:rsidP="73F31BAE">
      <w:pPr>
        <w:spacing w:after="0" w:line="360" w:lineRule="auto"/>
        <w:jc w:val="both"/>
        <w:rPr>
          <w:rFonts w:ascii="Arial" w:eastAsia="Arial" w:hAnsi="Arial" w:cs="Arial"/>
        </w:rPr>
      </w:pPr>
    </w:p>
    <w:p w14:paraId="7C5881C0" w14:textId="1BA68B7F"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Further research should aim to provide an understanding of the combined influence of macroeconomic variables, the spillover effects of short-term interest rates, and the sector-specific response of industry stock returns to market risks in the UK. This will contribute to a more nuanced understanding of stock market behavior and the impact of interest rates.</w:t>
      </w:r>
    </w:p>
    <w:p w14:paraId="21D85FD8" w14:textId="641EEECB" w:rsidR="73F31BAE" w:rsidRDefault="73F31BAE" w:rsidP="73F31BAE">
      <w:pPr>
        <w:spacing w:after="0" w:line="360" w:lineRule="auto"/>
        <w:jc w:val="both"/>
        <w:rPr>
          <w:rFonts w:ascii="Arial" w:eastAsia="Arial" w:hAnsi="Arial" w:cs="Arial"/>
        </w:rPr>
      </w:pPr>
    </w:p>
    <w:p w14:paraId="64893270" w14:textId="1ED8798C"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Future research should continue to analyze the impact of global economic factors on the UK stock market and interest rates. Understanding the interconnectedness of the UK market with international economic trends is crucial for providing valuable insights into the dynamics of the UK stock market and aiding investors, policymakers, and researchers in making informed decisions.</w:t>
      </w:r>
    </w:p>
    <w:p w14:paraId="1F42A944" w14:textId="6ED052D6" w:rsidR="73F31BAE" w:rsidRDefault="73F31BAE" w:rsidP="73F31BAE">
      <w:pPr>
        <w:spacing w:after="0" w:line="360" w:lineRule="auto"/>
        <w:jc w:val="both"/>
        <w:rPr>
          <w:rFonts w:ascii="Arial" w:eastAsia="Arial" w:hAnsi="Arial" w:cs="Arial"/>
        </w:rPr>
      </w:pPr>
    </w:p>
    <w:p w14:paraId="534BC5D4" w14:textId="1E8AB834" w:rsidR="60FBE44B" w:rsidRDefault="60FBE44B" w:rsidP="73F31BAE">
      <w:pPr>
        <w:pStyle w:val="NoSpacing"/>
        <w:spacing w:line="360" w:lineRule="auto"/>
        <w:jc w:val="both"/>
        <w:rPr>
          <w:rFonts w:ascii="Arial" w:eastAsia="Arial" w:hAnsi="Arial" w:cs="Arial"/>
        </w:rPr>
      </w:pPr>
      <w:r w:rsidRPr="73F31BAE">
        <w:rPr>
          <w:rFonts w:ascii="Arial" w:eastAsia="Arial" w:hAnsi="Arial" w:cs="Arial"/>
        </w:rPr>
        <w:t>The recommendations for future work aim to address the identified gaps in the literature, provide a comprehensive understanding of the relationship between interest rates and stock market performance, and contribute to the advancement of knowledge in the field of finance, economics, and monetary policy.</w:t>
      </w:r>
    </w:p>
    <w:p w14:paraId="26E83FE4" w14:textId="30198266" w:rsidR="73F31BAE" w:rsidRDefault="73F31BAE" w:rsidP="73F31BAE">
      <w:pPr>
        <w:spacing w:after="0" w:line="360" w:lineRule="auto"/>
        <w:jc w:val="both"/>
        <w:rPr>
          <w:rFonts w:ascii="Arial" w:eastAsia="Arial" w:hAnsi="Arial" w:cs="Arial"/>
        </w:rPr>
      </w:pPr>
    </w:p>
    <w:p w14:paraId="42D577CB" w14:textId="33AB4410" w:rsidR="60FBE44B" w:rsidRDefault="60FBE44B" w:rsidP="73F31BAE">
      <w:pPr>
        <w:pStyle w:val="NoSpacing"/>
        <w:spacing w:line="360" w:lineRule="auto"/>
        <w:jc w:val="both"/>
        <w:rPr>
          <w:rFonts w:ascii="Arial" w:eastAsia="Arial" w:hAnsi="Arial" w:cs="Arial"/>
          <w:b/>
          <w:bCs/>
        </w:rPr>
      </w:pPr>
      <w:r w:rsidRPr="73F31BAE">
        <w:rPr>
          <w:rFonts w:ascii="Arial" w:eastAsia="Arial" w:hAnsi="Arial" w:cs="Arial"/>
          <w:b/>
          <w:bCs/>
        </w:rPr>
        <w:t>5.7 Conclusion</w:t>
      </w:r>
    </w:p>
    <w:p w14:paraId="1B4A99C9" w14:textId="49AB4823" w:rsidR="73F31BAE" w:rsidRDefault="73F31BAE" w:rsidP="73F31BAE">
      <w:pPr>
        <w:spacing w:after="0" w:line="360" w:lineRule="auto"/>
        <w:jc w:val="both"/>
        <w:rPr>
          <w:rFonts w:ascii="Arial" w:eastAsia="Arial" w:hAnsi="Arial" w:cs="Arial"/>
        </w:rPr>
      </w:pPr>
    </w:p>
    <w:p w14:paraId="1EA3A218" w14:textId="5DC9159A" w:rsidR="60FBE44B" w:rsidRDefault="60FBE44B" w:rsidP="73F31BAE">
      <w:pPr>
        <w:spacing w:line="360" w:lineRule="auto"/>
        <w:ind w:left="-20" w:right="-20"/>
        <w:jc w:val="both"/>
        <w:rPr>
          <w:rFonts w:ascii="Arial" w:eastAsia="Arial" w:hAnsi="Arial" w:cs="Arial"/>
        </w:rPr>
      </w:pPr>
      <w:r w:rsidRPr="73F31BAE">
        <w:rPr>
          <w:rFonts w:ascii="Arial" w:eastAsia="Arial" w:hAnsi="Arial" w:cs="Arial"/>
        </w:rPr>
        <w:t xml:space="preserve">In conclusion, the comprehensive analysis of the impact of interest rates on the stock market in the United Kingdom has yielded valuable insights for investors, policymakers, and analysts. The study's main findings have contributed to a deeper understanding of the complex relationships between stock market dynamics, macroeconomic indicators, and monetary policies in the UK. The research has highlighted the major influence of interest rates, particularly the Bank of England base rate, on stock prices, emphasizing the need for monitoring the relationship between interest rates and stock prices and understanding the implications of interest rate volatility. Additionally, the study has underscored the role of key economic indicators such as inflation rate, unemployment rate, and GDP growth in influencing the dynamics of the stock market, providing practical and theoretical implications for further exploration and application in finance, economics, and monetary policy. </w:t>
      </w:r>
    </w:p>
    <w:p w14:paraId="5489FE84" w14:textId="3E72464B" w:rsidR="60FBE44B" w:rsidRDefault="60FBE44B" w:rsidP="73F31BAE">
      <w:pPr>
        <w:spacing w:line="360" w:lineRule="auto"/>
        <w:ind w:left="-20" w:right="-20"/>
        <w:jc w:val="both"/>
        <w:rPr>
          <w:rFonts w:ascii="Arial" w:eastAsia="Arial" w:hAnsi="Arial" w:cs="Arial"/>
        </w:rPr>
      </w:pPr>
      <w:r w:rsidRPr="73F31BAE">
        <w:rPr>
          <w:rFonts w:ascii="Arial" w:eastAsia="Arial" w:hAnsi="Arial" w:cs="Arial"/>
        </w:rPr>
        <w:t xml:space="preserve">However, it is important to acknowledge the limitations of the research, including the reliance on historical data, the complexity of modeling the relationship between interest rates and stock </w:t>
      </w:r>
      <w:r w:rsidRPr="73F31BAE">
        <w:rPr>
          <w:rFonts w:ascii="Arial" w:eastAsia="Arial" w:hAnsi="Arial" w:cs="Arial"/>
        </w:rPr>
        <w:lastRenderedPageBreak/>
        <w:t>market performance, and the challenges associated with predicting market behavior based on macroeconomic variables. Future research endeavors should aim to address these limitations and focus on exploring the identified gaps in the literature, providing a more nuanced understanding of the relationship between interest rates and stock market performance, and contributing to the advancement of knowledge in the field of finance, economics, and monetary policy.</w:t>
      </w:r>
    </w:p>
    <w:p w14:paraId="005BA3EC" w14:textId="4CF550E5" w:rsidR="73F31BAE" w:rsidRDefault="73F31BAE" w:rsidP="73F31BAE">
      <w:pPr>
        <w:spacing w:line="360" w:lineRule="auto"/>
        <w:ind w:left="-20" w:right="-20"/>
        <w:jc w:val="both"/>
        <w:rPr>
          <w:rFonts w:ascii="Arial" w:eastAsia="Arial" w:hAnsi="Arial" w:cs="Arial"/>
        </w:rPr>
      </w:pPr>
    </w:p>
    <w:p w14:paraId="0E7285BA" w14:textId="3B701668" w:rsidR="519E5EC1" w:rsidRDefault="519E5EC1" w:rsidP="73F31BAE">
      <w:pPr>
        <w:spacing w:after="0" w:line="360" w:lineRule="auto"/>
        <w:jc w:val="both"/>
        <w:rPr>
          <w:rFonts w:ascii="Arial" w:eastAsia="Arial" w:hAnsi="Arial" w:cs="Arial"/>
        </w:rPr>
      </w:pPr>
      <w:r w:rsidRPr="73F31BAE">
        <w:rPr>
          <w:rFonts w:ascii="Arial" w:eastAsia="Arial" w:hAnsi="Arial" w:cs="Arial"/>
        </w:rPr>
        <w:t>__________________________________________________________________________</w:t>
      </w:r>
    </w:p>
    <w:p w14:paraId="7D35F60A" w14:textId="5B50AF74" w:rsidR="73F31BAE" w:rsidRDefault="73F31BAE" w:rsidP="73F31BAE">
      <w:pPr>
        <w:jc w:val="both"/>
      </w:pPr>
      <w:r>
        <w:br w:type="page"/>
      </w:r>
    </w:p>
    <w:p w14:paraId="50770699" w14:textId="1B55A502" w:rsidR="76298CDB" w:rsidRDefault="76298CDB" w:rsidP="73F31BAE">
      <w:pPr>
        <w:spacing w:after="0"/>
        <w:ind w:left="-20" w:right="-20"/>
        <w:jc w:val="center"/>
        <w:rPr>
          <w:rFonts w:ascii="Arial" w:eastAsia="Arial" w:hAnsi="Arial" w:cs="Arial"/>
          <w:b/>
          <w:bCs/>
          <w:color w:val="000000" w:themeColor="text1"/>
          <w:sz w:val="40"/>
          <w:szCs w:val="40"/>
        </w:rPr>
      </w:pPr>
      <w:r w:rsidRPr="73F31BAE">
        <w:rPr>
          <w:rFonts w:ascii="Arial" w:eastAsia="Arial" w:hAnsi="Arial" w:cs="Arial"/>
          <w:b/>
          <w:bCs/>
          <w:color w:val="000000" w:themeColor="text1"/>
        </w:rPr>
        <w:lastRenderedPageBreak/>
        <w:t>List of References</w:t>
      </w:r>
    </w:p>
    <w:p w14:paraId="3FAFAD8F" w14:textId="417BEB37" w:rsidR="00D62726" w:rsidRPr="00D62726" w:rsidRDefault="76298CDB" w:rsidP="00D62726">
      <w:pPr>
        <w:spacing w:after="0"/>
        <w:ind w:left="-20" w:right="-20"/>
        <w:jc w:val="center"/>
      </w:pPr>
      <w:r w:rsidRPr="73F31BAE">
        <w:rPr>
          <w:rFonts w:ascii="Arial" w:eastAsia="Arial" w:hAnsi="Arial" w:cs="Arial"/>
          <w:b/>
          <w:bCs/>
          <w:color w:val="000000" w:themeColor="text1"/>
        </w:rPr>
        <w:t xml:space="preserve"> </w:t>
      </w:r>
    </w:p>
    <w:p w14:paraId="51A213E6"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Abhyankar, A., Ghosh, D., Levin, E. J., and </w:t>
      </w:r>
      <w:proofErr w:type="spellStart"/>
      <w:r w:rsidRPr="73F31BAE">
        <w:rPr>
          <w:rFonts w:ascii="Arial" w:eastAsia="Arial" w:hAnsi="Arial" w:cs="Arial"/>
          <w:color w:val="000000" w:themeColor="text1"/>
        </w:rPr>
        <w:t>Limmack</w:t>
      </w:r>
      <w:proofErr w:type="spellEnd"/>
      <w:r w:rsidRPr="73F31BAE">
        <w:rPr>
          <w:rFonts w:ascii="Arial" w:eastAsia="Arial" w:hAnsi="Arial" w:cs="Arial"/>
          <w:color w:val="000000" w:themeColor="text1"/>
        </w:rPr>
        <w:t xml:space="preserve">, R. J. (1997). </w:t>
      </w:r>
      <w:r w:rsidRPr="73F31BAE">
        <w:rPr>
          <w:rFonts w:ascii="Arial" w:eastAsia="Arial" w:hAnsi="Arial" w:cs="Arial"/>
          <w:i/>
          <w:iCs/>
          <w:color w:val="000000" w:themeColor="text1"/>
        </w:rPr>
        <w:t xml:space="preserve">Bid‐ask spreads, trading volume and volatility: intra‐day evidence from the </w:t>
      </w:r>
      <w:proofErr w:type="spellStart"/>
      <w:r w:rsidRPr="73F31BAE">
        <w:rPr>
          <w:rFonts w:ascii="Arial" w:eastAsia="Arial" w:hAnsi="Arial" w:cs="Arial"/>
          <w:i/>
          <w:iCs/>
          <w:color w:val="000000" w:themeColor="text1"/>
        </w:rPr>
        <w:t>london</w:t>
      </w:r>
      <w:proofErr w:type="spellEnd"/>
      <w:r w:rsidRPr="73F31BAE">
        <w:rPr>
          <w:rFonts w:ascii="Arial" w:eastAsia="Arial" w:hAnsi="Arial" w:cs="Arial"/>
          <w:i/>
          <w:iCs/>
          <w:color w:val="000000" w:themeColor="text1"/>
        </w:rPr>
        <w:t xml:space="preserve"> stock exchange.</w:t>
      </w:r>
      <w:r w:rsidRPr="73F31BAE">
        <w:rPr>
          <w:rFonts w:ascii="Arial" w:eastAsia="Arial" w:hAnsi="Arial" w:cs="Arial"/>
          <w:color w:val="000000" w:themeColor="text1"/>
        </w:rPr>
        <w:t xml:space="preserve"> Journal of Business Finance &amp;Amp; Accounting, 24(3), 343-362. </w:t>
      </w:r>
    </w:p>
    <w:p w14:paraId="50323AA4" w14:textId="77777777" w:rsidR="00D62726" w:rsidRDefault="00D62726" w:rsidP="73F31BAE">
      <w:pPr>
        <w:rPr>
          <w:rFonts w:ascii="Arial" w:eastAsia="Arial" w:hAnsi="Arial" w:cs="Arial"/>
          <w:color w:val="000000" w:themeColor="text1"/>
        </w:rPr>
      </w:pPr>
    </w:p>
    <w:p w14:paraId="51E24D4C" w14:textId="51657526"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Aboud, A. and Karlsen, M. (2019) </w:t>
      </w:r>
      <w:r w:rsidRPr="73F31BAE">
        <w:rPr>
          <w:rFonts w:ascii="Arial" w:eastAsia="Arial" w:hAnsi="Arial" w:cs="Arial"/>
          <w:i/>
          <w:iCs/>
          <w:color w:val="000000" w:themeColor="text1"/>
        </w:rPr>
        <w:t xml:space="preserve">Changes in liquidity associated with removal of companies from the FTSE 100 index. </w:t>
      </w:r>
      <w:r w:rsidRPr="73F31BAE">
        <w:rPr>
          <w:rFonts w:ascii="Arial" w:eastAsia="Arial" w:hAnsi="Arial" w:cs="Arial"/>
          <w:color w:val="000000" w:themeColor="text1"/>
        </w:rPr>
        <w:t>International Journal of Managerial and Financial Accounting, 11(1), pp.38-56.</w:t>
      </w:r>
    </w:p>
    <w:p w14:paraId="4E5F92A9" w14:textId="77777777" w:rsidR="00D62726" w:rsidRDefault="00D62726" w:rsidP="73F31BAE">
      <w:pPr>
        <w:rPr>
          <w:rFonts w:ascii="Arial" w:eastAsia="Arial" w:hAnsi="Arial" w:cs="Arial"/>
          <w:color w:val="000000" w:themeColor="text1"/>
        </w:rPr>
      </w:pPr>
    </w:p>
    <w:p w14:paraId="71BC4847"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Alam, M.M. and Uddin, G. (2009) </w:t>
      </w:r>
      <w:r w:rsidRPr="73F31BAE">
        <w:rPr>
          <w:rFonts w:ascii="Arial" w:eastAsia="Arial" w:hAnsi="Arial" w:cs="Arial"/>
          <w:i/>
          <w:iCs/>
          <w:color w:val="000000" w:themeColor="text1"/>
        </w:rPr>
        <w:t>Relationship between interest rate and stock price: empirical evidence from developed and developing countries.</w:t>
      </w:r>
      <w:r w:rsidRPr="73F31BAE">
        <w:rPr>
          <w:rFonts w:ascii="Arial" w:eastAsia="Arial" w:hAnsi="Arial" w:cs="Arial"/>
          <w:color w:val="000000" w:themeColor="text1"/>
        </w:rPr>
        <w:t xml:space="preserve"> International Journal of Business and Management (ISSN 1833-3850), 4(3), pp. 43-51. </w:t>
      </w:r>
    </w:p>
    <w:p w14:paraId="2BD423AC" w14:textId="77777777" w:rsidR="00D62726" w:rsidRDefault="00D62726" w:rsidP="73F31BAE">
      <w:pPr>
        <w:spacing w:after="0" w:line="360" w:lineRule="auto"/>
        <w:ind w:left="-20" w:right="-20"/>
        <w:jc w:val="both"/>
        <w:rPr>
          <w:rFonts w:ascii="Arial" w:eastAsia="Arial" w:hAnsi="Arial" w:cs="Arial"/>
          <w:color w:val="000000" w:themeColor="text1"/>
        </w:rPr>
      </w:pPr>
    </w:p>
    <w:p w14:paraId="5F2DCCAB" w14:textId="77777777" w:rsidR="00D62726" w:rsidRDefault="00D62726" w:rsidP="73F31BAE">
      <w:pPr>
        <w:spacing w:after="0" w:line="360" w:lineRule="auto"/>
        <w:ind w:left="-20" w:right="-20"/>
        <w:jc w:val="both"/>
        <w:rPr>
          <w:rFonts w:ascii="Arial" w:eastAsia="Arial" w:hAnsi="Arial" w:cs="Arial"/>
          <w:color w:val="000000" w:themeColor="text1"/>
        </w:rPr>
      </w:pPr>
      <w:proofErr w:type="spellStart"/>
      <w:r w:rsidRPr="73F31BAE">
        <w:rPr>
          <w:rFonts w:ascii="Arial" w:eastAsia="Arial" w:hAnsi="Arial" w:cs="Arial"/>
          <w:color w:val="000000" w:themeColor="text1"/>
        </w:rPr>
        <w:t>Alfaris</w:t>
      </w:r>
      <w:proofErr w:type="spellEnd"/>
      <w:r w:rsidRPr="73F31BAE">
        <w:rPr>
          <w:rFonts w:ascii="Arial" w:eastAsia="Arial" w:hAnsi="Arial" w:cs="Arial"/>
          <w:color w:val="000000" w:themeColor="text1"/>
        </w:rPr>
        <w:t xml:space="preserve">, L., </w:t>
      </w:r>
      <w:proofErr w:type="spellStart"/>
      <w:r w:rsidRPr="73F31BAE">
        <w:rPr>
          <w:rFonts w:ascii="Arial" w:eastAsia="Arial" w:hAnsi="Arial" w:cs="Arial"/>
          <w:color w:val="000000" w:themeColor="text1"/>
        </w:rPr>
        <w:t>Siagian</w:t>
      </w:r>
      <w:proofErr w:type="spellEnd"/>
      <w:r w:rsidRPr="73F31BAE">
        <w:rPr>
          <w:rFonts w:ascii="Arial" w:eastAsia="Arial" w:hAnsi="Arial" w:cs="Arial"/>
          <w:color w:val="000000" w:themeColor="text1"/>
        </w:rPr>
        <w:t xml:space="preserve">, R. C., Nasution, B., Sinaga, G. H. D., &amp; Indah, I. (2022). </w:t>
      </w:r>
      <w:r w:rsidRPr="73F31BAE">
        <w:rPr>
          <w:rFonts w:ascii="Arial" w:eastAsia="Arial" w:hAnsi="Arial" w:cs="Arial"/>
          <w:i/>
          <w:iCs/>
          <w:color w:val="000000" w:themeColor="text1"/>
        </w:rPr>
        <w:t xml:space="preserve">Non-linear regression and bisection method numerical analysis of humidity and temperature relationships. </w:t>
      </w:r>
      <w:proofErr w:type="spellStart"/>
      <w:r w:rsidRPr="73F31BAE">
        <w:rPr>
          <w:rFonts w:ascii="Arial" w:eastAsia="Arial" w:hAnsi="Arial" w:cs="Arial"/>
          <w:color w:val="000000" w:themeColor="text1"/>
        </w:rPr>
        <w:t>Jurnal</w:t>
      </w:r>
      <w:proofErr w:type="spellEnd"/>
      <w:r w:rsidRPr="73F31BAE">
        <w:rPr>
          <w:rFonts w:ascii="Arial" w:eastAsia="Arial" w:hAnsi="Arial" w:cs="Arial"/>
          <w:color w:val="000000" w:themeColor="text1"/>
        </w:rPr>
        <w:t xml:space="preserve"> Pendidikan </w:t>
      </w:r>
      <w:proofErr w:type="spellStart"/>
      <w:r w:rsidRPr="73F31BAE">
        <w:rPr>
          <w:rFonts w:ascii="Arial" w:eastAsia="Arial" w:hAnsi="Arial" w:cs="Arial"/>
          <w:color w:val="000000" w:themeColor="text1"/>
        </w:rPr>
        <w:t>Fisika</w:t>
      </w:r>
      <w:proofErr w:type="spellEnd"/>
      <w:r w:rsidRPr="73F31BAE">
        <w:rPr>
          <w:rFonts w:ascii="Arial" w:eastAsia="Arial" w:hAnsi="Arial" w:cs="Arial"/>
          <w:color w:val="000000" w:themeColor="text1"/>
        </w:rPr>
        <w:t xml:space="preserve"> Dan </w:t>
      </w:r>
      <w:proofErr w:type="spellStart"/>
      <w:r w:rsidRPr="73F31BAE">
        <w:rPr>
          <w:rFonts w:ascii="Arial" w:eastAsia="Arial" w:hAnsi="Arial" w:cs="Arial"/>
          <w:color w:val="000000" w:themeColor="text1"/>
        </w:rPr>
        <w:t>Teknologi</w:t>
      </w:r>
      <w:proofErr w:type="spellEnd"/>
      <w:r w:rsidRPr="73F31BAE">
        <w:rPr>
          <w:rFonts w:ascii="Arial" w:eastAsia="Arial" w:hAnsi="Arial" w:cs="Arial"/>
          <w:color w:val="000000" w:themeColor="text1"/>
        </w:rPr>
        <w:t xml:space="preserve">, 8(2), 238-244. </w:t>
      </w:r>
    </w:p>
    <w:p w14:paraId="56E92C9A" w14:textId="77777777" w:rsidR="00D62726" w:rsidRDefault="00D62726" w:rsidP="73F31BAE">
      <w:pPr>
        <w:spacing w:after="0" w:line="360" w:lineRule="auto"/>
        <w:ind w:left="-20" w:right="-20"/>
        <w:jc w:val="both"/>
      </w:pPr>
    </w:p>
    <w:p w14:paraId="7B11A624"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Al-Naif, K.L. (2017) </w:t>
      </w:r>
      <w:r w:rsidRPr="73F31BAE">
        <w:rPr>
          <w:rFonts w:ascii="Arial" w:eastAsia="Arial" w:hAnsi="Arial" w:cs="Arial"/>
          <w:i/>
          <w:iCs/>
          <w:color w:val="000000" w:themeColor="text1"/>
        </w:rPr>
        <w:t>The relationship between interest rate and stock market index: Empirical evidence from Arabian countries.</w:t>
      </w:r>
      <w:r w:rsidRPr="73F31BAE">
        <w:rPr>
          <w:rFonts w:ascii="Arial" w:eastAsia="Arial" w:hAnsi="Arial" w:cs="Arial"/>
          <w:color w:val="000000" w:themeColor="text1"/>
        </w:rPr>
        <w:t xml:space="preserve"> Research Journal of Finance and Accounting, 8(4), pp.181-191. </w:t>
      </w:r>
    </w:p>
    <w:p w14:paraId="037F8F7D" w14:textId="77777777" w:rsidR="00D62726" w:rsidRDefault="00D62726" w:rsidP="73F31BAE">
      <w:pPr>
        <w:spacing w:after="0" w:line="360" w:lineRule="auto"/>
        <w:ind w:left="-20" w:right="-20"/>
        <w:jc w:val="both"/>
      </w:pPr>
    </w:p>
    <w:p w14:paraId="6F1FB41A" w14:textId="77777777" w:rsidR="00D62726" w:rsidRDefault="00D62726" w:rsidP="73F31BAE">
      <w:pPr>
        <w:spacing w:after="0" w:line="360" w:lineRule="auto"/>
        <w:ind w:left="-20" w:right="-20"/>
        <w:jc w:val="both"/>
        <w:rPr>
          <w:rFonts w:ascii="Arial" w:eastAsia="Arial" w:hAnsi="Arial" w:cs="Arial"/>
          <w:color w:val="000000" w:themeColor="text1"/>
        </w:rPr>
      </w:pPr>
      <w:proofErr w:type="spellStart"/>
      <w:r w:rsidRPr="73F31BAE">
        <w:rPr>
          <w:rFonts w:ascii="Arial" w:eastAsia="Arial" w:hAnsi="Arial" w:cs="Arial"/>
          <w:color w:val="000000" w:themeColor="text1"/>
        </w:rPr>
        <w:t>Amaefula</w:t>
      </w:r>
      <w:proofErr w:type="spellEnd"/>
      <w:r w:rsidRPr="73F31BAE">
        <w:rPr>
          <w:rFonts w:ascii="Arial" w:eastAsia="Arial" w:hAnsi="Arial" w:cs="Arial"/>
          <w:color w:val="000000" w:themeColor="text1"/>
        </w:rPr>
        <w:t xml:space="preserve">, C. G. and Asare, B. K. (2013). </w:t>
      </w:r>
      <w:r w:rsidRPr="73F31BAE">
        <w:rPr>
          <w:rFonts w:ascii="Arial" w:eastAsia="Arial" w:hAnsi="Arial" w:cs="Arial"/>
          <w:i/>
          <w:iCs/>
          <w:color w:val="000000" w:themeColor="text1"/>
        </w:rPr>
        <w:t>Predictive impacts of interest rate dynamics and global financial crises on stock returns and volatility: a Nigerian context.</w:t>
      </w:r>
      <w:r w:rsidRPr="73F31BAE">
        <w:rPr>
          <w:rFonts w:ascii="Arial" w:eastAsia="Arial" w:hAnsi="Arial" w:cs="Arial"/>
          <w:color w:val="000000" w:themeColor="text1"/>
        </w:rPr>
        <w:t xml:space="preserve"> IOSR Journal of Economics and Finance, 1(1), 62-66. </w:t>
      </w:r>
    </w:p>
    <w:p w14:paraId="3BB0DE42" w14:textId="77777777" w:rsidR="00D62726" w:rsidRDefault="00D62726" w:rsidP="73F31BAE">
      <w:pPr>
        <w:spacing w:after="0" w:line="360" w:lineRule="auto"/>
        <w:ind w:left="-20" w:right="-20"/>
        <w:jc w:val="both"/>
      </w:pPr>
    </w:p>
    <w:p w14:paraId="2E4D418F" w14:textId="77777777" w:rsidR="00D62726" w:rsidRDefault="00D62726" w:rsidP="73F31BAE">
      <w:pPr>
        <w:rPr>
          <w:rFonts w:ascii="Arial" w:eastAsia="Arial" w:hAnsi="Arial" w:cs="Arial"/>
          <w:color w:val="000000" w:themeColor="text1"/>
        </w:rPr>
      </w:pPr>
      <w:proofErr w:type="spellStart"/>
      <w:r w:rsidRPr="73F31BAE">
        <w:rPr>
          <w:rFonts w:ascii="Arial" w:eastAsia="Arial" w:hAnsi="Arial" w:cs="Arial"/>
          <w:color w:val="000000" w:themeColor="text1"/>
        </w:rPr>
        <w:t>Anandasayanan</w:t>
      </w:r>
      <w:proofErr w:type="spellEnd"/>
      <w:r w:rsidRPr="73F31BAE">
        <w:rPr>
          <w:rFonts w:ascii="Arial" w:eastAsia="Arial" w:hAnsi="Arial" w:cs="Arial"/>
          <w:color w:val="000000" w:themeColor="text1"/>
        </w:rPr>
        <w:t xml:space="preserve">, S. (2019). </w:t>
      </w:r>
      <w:r w:rsidRPr="73F31BAE">
        <w:rPr>
          <w:rFonts w:ascii="Arial" w:eastAsia="Arial" w:hAnsi="Arial" w:cs="Arial"/>
          <w:i/>
          <w:iCs/>
          <w:color w:val="000000" w:themeColor="text1"/>
        </w:rPr>
        <w:t xml:space="preserve">Macro-economic variables and stock prices: empirical evidence from Sri Lanka. </w:t>
      </w:r>
      <w:r w:rsidRPr="73F31BAE">
        <w:rPr>
          <w:rFonts w:ascii="Arial" w:eastAsia="Arial" w:hAnsi="Arial" w:cs="Arial"/>
          <w:color w:val="000000" w:themeColor="text1"/>
        </w:rPr>
        <w:t xml:space="preserve">International Journal of Accounting and Financial Reporting, 9(4), 148. </w:t>
      </w:r>
    </w:p>
    <w:p w14:paraId="678E8B98" w14:textId="77777777" w:rsidR="00D62726" w:rsidRDefault="00D62726" w:rsidP="73F31BAE">
      <w:pPr>
        <w:rPr>
          <w:rFonts w:ascii="Arial" w:eastAsia="Arial" w:hAnsi="Arial" w:cs="Arial"/>
          <w:color w:val="000000" w:themeColor="text1"/>
        </w:rPr>
      </w:pPr>
    </w:p>
    <w:p w14:paraId="64D8C504"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Anderson, A. and Dyl, E. A. (2005). </w:t>
      </w:r>
      <w:r w:rsidRPr="73F31BAE">
        <w:rPr>
          <w:rFonts w:ascii="Arial" w:eastAsia="Arial" w:hAnsi="Arial" w:cs="Arial"/>
          <w:i/>
          <w:iCs/>
          <w:color w:val="000000" w:themeColor="text1"/>
        </w:rPr>
        <w:t xml:space="preserve">Market structure and trading volume. </w:t>
      </w:r>
      <w:r w:rsidRPr="73F31BAE">
        <w:rPr>
          <w:rFonts w:ascii="Arial" w:eastAsia="Arial" w:hAnsi="Arial" w:cs="Arial"/>
          <w:color w:val="000000" w:themeColor="text1"/>
        </w:rPr>
        <w:t xml:space="preserve">Journal of Financial Research, 28(1), 115-131. </w:t>
      </w:r>
    </w:p>
    <w:p w14:paraId="0478CE35" w14:textId="77777777" w:rsidR="00D62726" w:rsidRDefault="00D62726" w:rsidP="73F31BAE">
      <w:pPr>
        <w:rPr>
          <w:rFonts w:ascii="Arial" w:eastAsia="Arial" w:hAnsi="Arial" w:cs="Arial"/>
          <w:color w:val="000000" w:themeColor="text1"/>
        </w:rPr>
      </w:pPr>
    </w:p>
    <w:p w14:paraId="6B0B21E3"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Andersson, F. and Fogelberg, R. (2023) </w:t>
      </w:r>
      <w:r w:rsidRPr="73F31BAE">
        <w:rPr>
          <w:rFonts w:ascii="Arial" w:eastAsia="Arial" w:hAnsi="Arial" w:cs="Arial"/>
          <w:i/>
          <w:iCs/>
          <w:color w:val="000000" w:themeColor="text1"/>
        </w:rPr>
        <w:t xml:space="preserve">Interest rates and their impact on the stock market: Evidence from Sweden. Available at: </w:t>
      </w:r>
      <w:hyperlink r:id="rId13">
        <w:r w:rsidRPr="73F31BAE">
          <w:rPr>
            <w:rStyle w:val="Hyperlink"/>
            <w:rFonts w:ascii="Arial" w:eastAsia="Arial" w:hAnsi="Arial" w:cs="Arial"/>
            <w:i/>
            <w:iCs/>
            <w:color w:val="000000" w:themeColor="text1"/>
          </w:rPr>
          <w:t>https://www.diva-portal.org/smash/get/diva2:1779178/FULLTEXT01.pdf</w:t>
        </w:r>
      </w:hyperlink>
      <w:r w:rsidRPr="73F31BAE">
        <w:rPr>
          <w:rFonts w:ascii="Arial" w:eastAsia="Arial" w:hAnsi="Arial" w:cs="Arial"/>
          <w:i/>
          <w:iCs/>
          <w:color w:val="000000" w:themeColor="text1"/>
        </w:rPr>
        <w:t xml:space="preserve">  (</w:t>
      </w:r>
      <w:r w:rsidRPr="73F31BAE">
        <w:rPr>
          <w:rFonts w:ascii="Arial" w:eastAsia="Arial" w:hAnsi="Arial" w:cs="Arial"/>
          <w:color w:val="000000" w:themeColor="text1"/>
        </w:rPr>
        <w:t xml:space="preserve">Accessed on: 18th October 2023) </w:t>
      </w:r>
    </w:p>
    <w:p w14:paraId="66D92AA3" w14:textId="77777777" w:rsidR="00D62726" w:rsidRDefault="00D62726" w:rsidP="73F31BAE">
      <w:pPr>
        <w:spacing w:after="0" w:line="360" w:lineRule="auto"/>
        <w:ind w:left="-20" w:right="-20"/>
        <w:jc w:val="both"/>
      </w:pPr>
    </w:p>
    <w:p w14:paraId="251FEFD6"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lastRenderedPageBreak/>
        <w:t>Baker, M. and Wurgler, J. (2006) I</w:t>
      </w:r>
      <w:r w:rsidRPr="73F31BAE">
        <w:rPr>
          <w:rFonts w:ascii="Arial" w:eastAsia="Arial" w:hAnsi="Arial" w:cs="Arial"/>
          <w:i/>
          <w:iCs/>
          <w:color w:val="000000" w:themeColor="text1"/>
        </w:rPr>
        <w:t>nvestor sentiment and the cross</w:t>
      </w:r>
      <w:r w:rsidRPr="73F31BAE">
        <w:rPr>
          <w:rFonts w:ascii="Cambria Math" w:eastAsia="Cambria Math" w:hAnsi="Cambria Math" w:cs="Cambria Math"/>
          <w:i/>
          <w:iCs/>
          <w:color w:val="000000" w:themeColor="text1"/>
        </w:rPr>
        <w:t>‐</w:t>
      </w:r>
      <w:r w:rsidRPr="73F31BAE">
        <w:rPr>
          <w:rFonts w:ascii="Arial" w:eastAsia="Arial" w:hAnsi="Arial" w:cs="Arial"/>
          <w:i/>
          <w:iCs/>
          <w:color w:val="000000" w:themeColor="text1"/>
        </w:rPr>
        <w:t>section of stock returns.</w:t>
      </w:r>
      <w:r w:rsidRPr="73F31BAE">
        <w:rPr>
          <w:rFonts w:ascii="Arial" w:eastAsia="Arial" w:hAnsi="Arial" w:cs="Arial"/>
          <w:color w:val="000000" w:themeColor="text1"/>
        </w:rPr>
        <w:t xml:space="preserve"> The journal of Finance, 61(4), pp.1645-1680. Available at: </w:t>
      </w:r>
      <w:hyperlink r:id="rId14">
        <w:r w:rsidRPr="73F31BAE">
          <w:rPr>
            <w:rStyle w:val="Hyperlink"/>
            <w:rFonts w:ascii="Arial" w:eastAsia="Arial" w:hAnsi="Arial" w:cs="Arial"/>
            <w:color w:val="000000" w:themeColor="text1"/>
          </w:rPr>
          <w:t>https://www.nber.org/system/files/working_papers/w10449/w10449.pdf</w:t>
        </w:r>
      </w:hyperlink>
      <w:r w:rsidRPr="73F31BAE">
        <w:rPr>
          <w:rFonts w:ascii="Arial" w:eastAsia="Arial" w:hAnsi="Arial" w:cs="Arial"/>
          <w:color w:val="000000" w:themeColor="text1"/>
        </w:rPr>
        <w:t xml:space="preserve">  </w:t>
      </w:r>
    </w:p>
    <w:p w14:paraId="6F8737A1" w14:textId="77777777" w:rsidR="00D62726" w:rsidRDefault="00D62726" w:rsidP="73F31BAE">
      <w:pPr>
        <w:spacing w:after="0" w:line="360" w:lineRule="auto"/>
        <w:ind w:left="-20" w:right="-20"/>
        <w:jc w:val="both"/>
      </w:pPr>
    </w:p>
    <w:p w14:paraId="5540ADA5" w14:textId="77777777" w:rsidR="00D62726" w:rsidRDefault="00D62726" w:rsidP="73F31BAE">
      <w:pPr>
        <w:jc w:val="both"/>
        <w:rPr>
          <w:rFonts w:ascii="Arial" w:eastAsia="Arial" w:hAnsi="Arial" w:cs="Arial"/>
          <w:color w:val="000000" w:themeColor="text1"/>
        </w:rPr>
      </w:pPr>
      <w:r w:rsidRPr="73F31BAE">
        <w:rPr>
          <w:rFonts w:ascii="Arial" w:eastAsia="Arial" w:hAnsi="Arial" w:cs="Arial"/>
          <w:color w:val="000000" w:themeColor="text1"/>
        </w:rPr>
        <w:t xml:space="preserve">Balog, I. I. (2020). </w:t>
      </w:r>
      <w:r w:rsidRPr="73F31BAE">
        <w:rPr>
          <w:rFonts w:ascii="Arial" w:eastAsia="Arial" w:hAnsi="Arial" w:cs="Arial"/>
          <w:i/>
          <w:iCs/>
          <w:color w:val="000000" w:themeColor="text1"/>
        </w:rPr>
        <w:t>Quantitative and qualitative methods in economic research in the 21st century.</w:t>
      </w:r>
      <w:r w:rsidRPr="73F31BAE">
        <w:rPr>
          <w:rFonts w:ascii="Arial" w:eastAsia="Arial" w:hAnsi="Arial" w:cs="Arial"/>
          <w:color w:val="000000" w:themeColor="text1"/>
        </w:rPr>
        <w:t xml:space="preserve"> The Challenges of Analyzing Social and Economic Processes in the 21st Century. </w:t>
      </w:r>
    </w:p>
    <w:p w14:paraId="6485D0F2" w14:textId="77777777" w:rsidR="00D62726" w:rsidRDefault="00D62726" w:rsidP="73F31BAE">
      <w:pPr>
        <w:jc w:val="both"/>
        <w:rPr>
          <w:rFonts w:ascii="Arial" w:eastAsia="Arial" w:hAnsi="Arial" w:cs="Arial"/>
          <w:color w:val="000000" w:themeColor="text1"/>
        </w:rPr>
      </w:pPr>
    </w:p>
    <w:p w14:paraId="2D528908"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Bank of England (2023) </w:t>
      </w:r>
      <w:r w:rsidRPr="73F31BAE">
        <w:rPr>
          <w:rFonts w:ascii="Arial" w:eastAsia="Arial" w:hAnsi="Arial" w:cs="Arial"/>
          <w:i/>
          <w:iCs/>
          <w:color w:val="000000" w:themeColor="text1"/>
        </w:rPr>
        <w:t xml:space="preserve">Interest rates and bank rates. </w:t>
      </w:r>
      <w:r w:rsidRPr="73F31BAE">
        <w:rPr>
          <w:rFonts w:ascii="Arial" w:eastAsia="Arial" w:hAnsi="Arial" w:cs="Arial"/>
          <w:color w:val="000000" w:themeColor="text1"/>
        </w:rPr>
        <w:t xml:space="preserve">Available at: </w:t>
      </w:r>
      <w:hyperlink r:id="rId15">
        <w:r w:rsidRPr="73F31BAE">
          <w:rPr>
            <w:rStyle w:val="Hyperlink"/>
            <w:rFonts w:ascii="Arial" w:eastAsia="Arial" w:hAnsi="Arial" w:cs="Arial"/>
          </w:rPr>
          <w:t>https://www.bankofengland.co.uk/monetary-policy/the-interest-rate-bank-rate</w:t>
        </w:r>
      </w:hyperlink>
      <w:r w:rsidRPr="73F31BAE">
        <w:rPr>
          <w:rFonts w:ascii="Arial" w:eastAsia="Arial" w:hAnsi="Arial" w:cs="Arial"/>
          <w:color w:val="000000" w:themeColor="text1"/>
        </w:rPr>
        <w:t xml:space="preserve"> </w:t>
      </w:r>
    </w:p>
    <w:p w14:paraId="3389F641" w14:textId="77777777" w:rsidR="00D62726" w:rsidRDefault="00D62726" w:rsidP="73F31BAE">
      <w:pPr>
        <w:rPr>
          <w:rFonts w:ascii="Arial" w:eastAsia="Arial" w:hAnsi="Arial" w:cs="Arial"/>
          <w:color w:val="000000" w:themeColor="text1"/>
        </w:rPr>
      </w:pPr>
    </w:p>
    <w:p w14:paraId="525FB592"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Bank of England (2023) </w:t>
      </w:r>
      <w:r w:rsidRPr="73F31BAE">
        <w:rPr>
          <w:rFonts w:ascii="Arial" w:eastAsia="Arial" w:hAnsi="Arial" w:cs="Arial"/>
          <w:i/>
          <w:iCs/>
          <w:color w:val="000000" w:themeColor="text1"/>
        </w:rPr>
        <w:t xml:space="preserve">Monetary Policy. </w:t>
      </w:r>
      <w:r w:rsidRPr="73F31BAE">
        <w:rPr>
          <w:rFonts w:ascii="Arial" w:eastAsia="Arial" w:hAnsi="Arial" w:cs="Arial"/>
          <w:color w:val="000000" w:themeColor="text1"/>
        </w:rPr>
        <w:t xml:space="preserve">Available at: </w:t>
      </w:r>
      <w:hyperlink r:id="rId16">
        <w:r w:rsidRPr="73F31BAE">
          <w:rPr>
            <w:rStyle w:val="Hyperlink"/>
            <w:rFonts w:ascii="Arial" w:eastAsia="Arial" w:hAnsi="Arial" w:cs="Arial"/>
            <w:color w:val="000000" w:themeColor="text1"/>
          </w:rPr>
          <w:t>https://www.bankofengland.co.uk/monetary-policy</w:t>
        </w:r>
      </w:hyperlink>
      <w:r w:rsidRPr="73F31BAE">
        <w:rPr>
          <w:rFonts w:ascii="Arial" w:eastAsia="Arial" w:hAnsi="Arial" w:cs="Arial"/>
          <w:color w:val="000000" w:themeColor="text1"/>
        </w:rPr>
        <w:t xml:space="preserve"> (Accessed on: 8</w:t>
      </w:r>
      <w:r w:rsidRPr="73F31BAE">
        <w:rPr>
          <w:rFonts w:ascii="Arial" w:eastAsia="Arial" w:hAnsi="Arial" w:cs="Arial"/>
          <w:color w:val="000000" w:themeColor="text1"/>
          <w:vertAlign w:val="superscript"/>
        </w:rPr>
        <w:t>th</w:t>
      </w:r>
      <w:r w:rsidRPr="73F31BAE">
        <w:rPr>
          <w:rFonts w:ascii="Arial" w:eastAsia="Arial" w:hAnsi="Arial" w:cs="Arial"/>
          <w:color w:val="000000" w:themeColor="text1"/>
        </w:rPr>
        <w:t xml:space="preserve"> October 2023) </w:t>
      </w:r>
    </w:p>
    <w:p w14:paraId="25269D6C" w14:textId="77777777" w:rsidR="00D62726" w:rsidRDefault="00D62726" w:rsidP="73F31BAE">
      <w:pPr>
        <w:spacing w:after="0" w:line="360" w:lineRule="auto"/>
        <w:ind w:left="-20" w:right="-20"/>
        <w:jc w:val="both"/>
      </w:pPr>
    </w:p>
    <w:p w14:paraId="3CC58EB0"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Bekaert, G. and Harvey, C.R. (1997)</w:t>
      </w:r>
      <w:r w:rsidRPr="73F31BAE">
        <w:rPr>
          <w:rFonts w:ascii="Arial" w:eastAsia="Arial" w:hAnsi="Arial" w:cs="Arial"/>
          <w:i/>
          <w:iCs/>
          <w:color w:val="000000" w:themeColor="text1"/>
        </w:rPr>
        <w:t xml:space="preserve"> Emerging equity market volatility.</w:t>
      </w:r>
      <w:r w:rsidRPr="73F31BAE">
        <w:rPr>
          <w:rFonts w:ascii="Arial" w:eastAsia="Arial" w:hAnsi="Arial" w:cs="Arial"/>
          <w:color w:val="000000" w:themeColor="text1"/>
        </w:rPr>
        <w:t xml:space="preserve"> Journal of Financial economics, 43(1), pp.29-77. Available at: </w:t>
      </w:r>
      <w:hyperlink r:id="rId17">
        <w:r w:rsidRPr="73F31BAE">
          <w:rPr>
            <w:rStyle w:val="Hyperlink"/>
            <w:rFonts w:ascii="Arial" w:eastAsia="Arial" w:hAnsi="Arial" w:cs="Arial"/>
            <w:color w:val="000000" w:themeColor="text1"/>
          </w:rPr>
          <w:t>https://www.nber.org/system/files/working_papers/w5307/w5307.pdf</w:t>
        </w:r>
      </w:hyperlink>
      <w:r w:rsidRPr="73F31BAE">
        <w:rPr>
          <w:rFonts w:ascii="Arial" w:eastAsia="Arial" w:hAnsi="Arial" w:cs="Arial"/>
          <w:color w:val="000000" w:themeColor="text1"/>
        </w:rPr>
        <w:t xml:space="preserve">  </w:t>
      </w:r>
    </w:p>
    <w:p w14:paraId="128E4733" w14:textId="77777777" w:rsidR="00D62726" w:rsidRDefault="00D62726" w:rsidP="73F31BAE">
      <w:pPr>
        <w:spacing w:after="0" w:line="360" w:lineRule="auto"/>
        <w:ind w:left="-20" w:right="-20"/>
        <w:jc w:val="both"/>
      </w:pPr>
    </w:p>
    <w:p w14:paraId="01FFB7F4" w14:textId="77777777" w:rsidR="00D62726" w:rsidRDefault="00D62726" w:rsidP="73F31BAE">
      <w:pPr>
        <w:jc w:val="both"/>
        <w:rPr>
          <w:rFonts w:ascii="Arial" w:eastAsia="Arial" w:hAnsi="Arial" w:cs="Arial"/>
          <w:color w:val="000000" w:themeColor="text1"/>
        </w:rPr>
      </w:pPr>
      <w:proofErr w:type="spellStart"/>
      <w:r w:rsidRPr="73F31BAE">
        <w:rPr>
          <w:rFonts w:ascii="Arial" w:eastAsia="Arial" w:hAnsi="Arial" w:cs="Arial"/>
          <w:color w:val="000000" w:themeColor="text1"/>
        </w:rPr>
        <w:t>Bekiros</w:t>
      </w:r>
      <w:proofErr w:type="spellEnd"/>
      <w:r w:rsidRPr="73F31BAE">
        <w:rPr>
          <w:rFonts w:ascii="Arial" w:eastAsia="Arial" w:hAnsi="Arial" w:cs="Arial"/>
          <w:color w:val="000000" w:themeColor="text1"/>
        </w:rPr>
        <w:t xml:space="preserve">, S. and Gupta, R. (2015). </w:t>
      </w:r>
      <w:r w:rsidRPr="73F31BAE">
        <w:rPr>
          <w:rFonts w:ascii="Arial" w:eastAsia="Arial" w:hAnsi="Arial" w:cs="Arial"/>
          <w:i/>
          <w:iCs/>
          <w:color w:val="000000" w:themeColor="text1"/>
        </w:rPr>
        <w:t>Predicting stock returns and volatility using consumption-aggregate wealth ratios: a nonlinear approach.</w:t>
      </w:r>
      <w:r w:rsidRPr="73F31BAE">
        <w:rPr>
          <w:rFonts w:ascii="Arial" w:eastAsia="Arial" w:hAnsi="Arial" w:cs="Arial"/>
          <w:color w:val="000000" w:themeColor="text1"/>
        </w:rPr>
        <w:t xml:space="preserve"> Economics Letters, 131, 83-85. </w:t>
      </w:r>
    </w:p>
    <w:p w14:paraId="0E4250C7" w14:textId="77777777" w:rsidR="00D62726" w:rsidRDefault="00D62726" w:rsidP="73F31BAE">
      <w:pPr>
        <w:jc w:val="both"/>
        <w:rPr>
          <w:rFonts w:ascii="Arial" w:eastAsia="Arial" w:hAnsi="Arial" w:cs="Arial"/>
          <w:color w:val="000000" w:themeColor="text1"/>
        </w:rPr>
      </w:pPr>
    </w:p>
    <w:p w14:paraId="4A40C017"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Bernanke, B. S., &amp; Kuttner, K. N. (2005). </w:t>
      </w:r>
      <w:r w:rsidRPr="73F31BAE">
        <w:rPr>
          <w:rFonts w:ascii="Arial" w:eastAsia="Arial" w:hAnsi="Arial" w:cs="Arial"/>
          <w:i/>
          <w:iCs/>
          <w:color w:val="000000" w:themeColor="text1"/>
        </w:rPr>
        <w:t xml:space="preserve">What Explains the Stock Market's Reaction to Federal Reserve Policy? </w:t>
      </w:r>
      <w:r w:rsidRPr="73F31BAE">
        <w:rPr>
          <w:rFonts w:ascii="Arial" w:eastAsia="Arial" w:hAnsi="Arial" w:cs="Arial"/>
          <w:color w:val="000000" w:themeColor="text1"/>
        </w:rPr>
        <w:t xml:space="preserve">The Journal of Finance, 60(3), 1221-1257. Available at: </w:t>
      </w:r>
      <w:hyperlink r:id="rId18">
        <w:r w:rsidRPr="73F31BAE">
          <w:rPr>
            <w:rStyle w:val="Hyperlink"/>
            <w:rFonts w:ascii="Arial" w:eastAsia="Arial" w:hAnsi="Arial" w:cs="Arial"/>
            <w:color w:val="000000" w:themeColor="text1"/>
          </w:rPr>
          <w:t>https://www.nber.org/system/files/working_papers/w10402/w10402.pdf</w:t>
        </w:r>
      </w:hyperlink>
      <w:r w:rsidRPr="73F31BAE">
        <w:rPr>
          <w:rFonts w:ascii="Arial" w:eastAsia="Arial" w:hAnsi="Arial" w:cs="Arial"/>
          <w:color w:val="000000" w:themeColor="text1"/>
        </w:rPr>
        <w:t xml:space="preserve"> (Accessed on: 8</w:t>
      </w:r>
      <w:r w:rsidRPr="73F31BAE">
        <w:rPr>
          <w:rFonts w:ascii="Arial" w:eastAsia="Arial" w:hAnsi="Arial" w:cs="Arial"/>
          <w:color w:val="000000" w:themeColor="text1"/>
          <w:vertAlign w:val="superscript"/>
        </w:rPr>
        <w:t>th</w:t>
      </w:r>
      <w:r w:rsidRPr="73F31BAE">
        <w:rPr>
          <w:rFonts w:ascii="Arial" w:eastAsia="Arial" w:hAnsi="Arial" w:cs="Arial"/>
          <w:color w:val="000000" w:themeColor="text1"/>
        </w:rPr>
        <w:t xml:space="preserve"> November’2023) </w:t>
      </w:r>
    </w:p>
    <w:p w14:paraId="1FA10212" w14:textId="77777777" w:rsidR="00D62726" w:rsidRDefault="00D62726" w:rsidP="73F31BAE">
      <w:pPr>
        <w:spacing w:after="0" w:line="360" w:lineRule="auto"/>
        <w:ind w:left="-20" w:right="-20"/>
        <w:jc w:val="both"/>
      </w:pPr>
    </w:p>
    <w:p w14:paraId="311611E5" w14:textId="77777777" w:rsidR="00D62726" w:rsidRDefault="00D62726" w:rsidP="73F31BAE">
      <w:pPr>
        <w:jc w:val="both"/>
        <w:rPr>
          <w:rFonts w:ascii="Arial" w:eastAsia="Arial" w:hAnsi="Arial" w:cs="Arial"/>
          <w:i/>
          <w:iCs/>
          <w:color w:val="000000" w:themeColor="text1"/>
        </w:rPr>
      </w:pPr>
      <w:r w:rsidRPr="73F31BAE">
        <w:rPr>
          <w:rFonts w:ascii="Arial" w:eastAsia="Arial" w:hAnsi="Arial" w:cs="Arial"/>
          <w:color w:val="000000" w:themeColor="text1"/>
        </w:rPr>
        <w:t xml:space="preserve">Blersch, R., Franchuk, N., Lucas, M. K., Nord, C., </w:t>
      </w:r>
      <w:proofErr w:type="spellStart"/>
      <w:r w:rsidRPr="73F31BAE">
        <w:rPr>
          <w:rFonts w:ascii="Arial" w:eastAsia="Arial" w:hAnsi="Arial" w:cs="Arial"/>
          <w:color w:val="000000" w:themeColor="text1"/>
        </w:rPr>
        <w:t>Varsanyi</w:t>
      </w:r>
      <w:proofErr w:type="spellEnd"/>
      <w:r w:rsidRPr="73F31BAE">
        <w:rPr>
          <w:rFonts w:ascii="Arial" w:eastAsia="Arial" w:hAnsi="Arial" w:cs="Arial"/>
          <w:color w:val="000000" w:themeColor="text1"/>
        </w:rPr>
        <w:t xml:space="preserve">, S., and Bonnell, T. (2021). </w:t>
      </w:r>
      <w:r w:rsidRPr="73F31BAE">
        <w:rPr>
          <w:rFonts w:ascii="Arial" w:eastAsia="Arial" w:hAnsi="Arial" w:cs="Arial"/>
          <w:i/>
          <w:iCs/>
          <w:color w:val="000000" w:themeColor="text1"/>
        </w:rPr>
        <w:t>Causal analysis as a bridge between qualitative and quantitative research.</w:t>
      </w:r>
    </w:p>
    <w:p w14:paraId="6B8E4109" w14:textId="77777777" w:rsidR="00D62726" w:rsidRDefault="00D62726" w:rsidP="73F31BAE">
      <w:pPr>
        <w:jc w:val="both"/>
        <w:rPr>
          <w:rFonts w:ascii="Arial" w:eastAsia="Arial" w:hAnsi="Arial" w:cs="Arial"/>
          <w:color w:val="000000" w:themeColor="text1"/>
        </w:rPr>
      </w:pPr>
    </w:p>
    <w:p w14:paraId="36B93903" w14:textId="77777777" w:rsidR="00D62726" w:rsidRDefault="00D62726" w:rsidP="73F31BAE">
      <w:pPr>
        <w:rPr>
          <w:rFonts w:ascii="Arial" w:eastAsia="Arial" w:hAnsi="Arial" w:cs="Arial"/>
          <w:color w:val="000000" w:themeColor="text1"/>
        </w:rPr>
      </w:pPr>
      <w:proofErr w:type="spellStart"/>
      <w:r w:rsidRPr="73F31BAE">
        <w:rPr>
          <w:rFonts w:ascii="Arial" w:eastAsia="Arial" w:hAnsi="Arial" w:cs="Arial"/>
          <w:color w:val="000000" w:themeColor="text1"/>
        </w:rPr>
        <w:t>Boutchkova</w:t>
      </w:r>
      <w:proofErr w:type="spellEnd"/>
      <w:r w:rsidRPr="73F31BAE">
        <w:rPr>
          <w:rFonts w:ascii="Arial" w:eastAsia="Arial" w:hAnsi="Arial" w:cs="Arial"/>
          <w:color w:val="000000" w:themeColor="text1"/>
        </w:rPr>
        <w:t xml:space="preserve">, M.K. and Megginson, W.L. (2000) </w:t>
      </w:r>
      <w:r w:rsidRPr="73F31BAE">
        <w:rPr>
          <w:rFonts w:ascii="Arial" w:eastAsia="Arial" w:hAnsi="Arial" w:cs="Arial"/>
          <w:i/>
          <w:iCs/>
          <w:color w:val="000000" w:themeColor="text1"/>
        </w:rPr>
        <w:t xml:space="preserve">Privatization and the rise of global capital markets. </w:t>
      </w:r>
      <w:r w:rsidRPr="73F31BAE">
        <w:rPr>
          <w:rFonts w:ascii="Arial" w:eastAsia="Arial" w:hAnsi="Arial" w:cs="Arial"/>
          <w:color w:val="000000" w:themeColor="text1"/>
        </w:rPr>
        <w:t>Financial Management, pp.31-75.</w:t>
      </w:r>
    </w:p>
    <w:p w14:paraId="05FA6B93" w14:textId="77777777" w:rsidR="00D62726" w:rsidRDefault="00D62726" w:rsidP="73F31BAE">
      <w:pPr>
        <w:rPr>
          <w:rFonts w:ascii="Arial" w:eastAsia="Arial" w:hAnsi="Arial" w:cs="Arial"/>
          <w:color w:val="000000" w:themeColor="text1"/>
        </w:rPr>
      </w:pPr>
    </w:p>
    <w:p w14:paraId="7ACCF21E"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Bredin, D., Gavin, C. and O'Reilly, G. (2005)</w:t>
      </w:r>
      <w:r w:rsidRPr="73F31BAE">
        <w:rPr>
          <w:rFonts w:ascii="Arial" w:eastAsia="Arial" w:hAnsi="Arial" w:cs="Arial"/>
          <w:i/>
          <w:iCs/>
          <w:color w:val="000000" w:themeColor="text1"/>
        </w:rPr>
        <w:t xml:space="preserve"> US monetary policy announcements and Irish stock market volatility.</w:t>
      </w:r>
      <w:r w:rsidRPr="73F31BAE">
        <w:rPr>
          <w:rFonts w:ascii="Arial" w:eastAsia="Arial" w:hAnsi="Arial" w:cs="Arial"/>
          <w:color w:val="000000" w:themeColor="text1"/>
        </w:rPr>
        <w:t xml:space="preserve"> Applied Financial Economics, 15(17), pp.1243-1250. </w:t>
      </w:r>
    </w:p>
    <w:p w14:paraId="0408554E" w14:textId="77777777" w:rsidR="00D62726" w:rsidRDefault="00D62726" w:rsidP="73F31BAE">
      <w:pPr>
        <w:spacing w:after="0" w:line="360" w:lineRule="auto"/>
        <w:ind w:left="-20" w:right="-20"/>
        <w:jc w:val="both"/>
      </w:pPr>
    </w:p>
    <w:p w14:paraId="2371546C"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lastRenderedPageBreak/>
        <w:t xml:space="preserve">Brewer, J.D., and Miller, R.L. (2003) </w:t>
      </w:r>
      <w:r w:rsidRPr="73F31BAE">
        <w:rPr>
          <w:rFonts w:ascii="Arial" w:eastAsia="Arial" w:hAnsi="Arial" w:cs="Arial"/>
          <w:i/>
          <w:iCs/>
          <w:color w:val="000000" w:themeColor="text1"/>
        </w:rPr>
        <w:t>The AZ of social research: a dictionary of key social science research concepts.</w:t>
      </w:r>
      <w:r w:rsidRPr="73F31BAE">
        <w:rPr>
          <w:rFonts w:ascii="Arial" w:eastAsia="Arial" w:hAnsi="Arial" w:cs="Arial"/>
          <w:color w:val="000000" w:themeColor="text1"/>
        </w:rPr>
        <w:t xml:space="preserve"> The AZ of Social Research, pp.1-346. </w:t>
      </w:r>
    </w:p>
    <w:p w14:paraId="4E0B70FA" w14:textId="77777777" w:rsidR="00D62726" w:rsidRDefault="00D62726" w:rsidP="73F31BAE">
      <w:pPr>
        <w:spacing w:after="0" w:line="360" w:lineRule="auto"/>
        <w:ind w:left="-20" w:right="-20"/>
        <w:jc w:val="both"/>
      </w:pPr>
    </w:p>
    <w:p w14:paraId="4DC07FE3"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Cai, C. X., Harris, J. H., Hudson, R., &amp; Keasey, K. (2013). </w:t>
      </w:r>
      <w:r w:rsidRPr="73F31BAE">
        <w:rPr>
          <w:rFonts w:ascii="Arial" w:eastAsia="Arial" w:hAnsi="Arial" w:cs="Arial"/>
          <w:i/>
          <w:iCs/>
          <w:color w:val="000000" w:themeColor="text1"/>
        </w:rPr>
        <w:t>Informed trading and market structure.</w:t>
      </w:r>
      <w:r w:rsidRPr="73F31BAE">
        <w:rPr>
          <w:rFonts w:ascii="Arial" w:eastAsia="Arial" w:hAnsi="Arial" w:cs="Arial"/>
          <w:color w:val="000000" w:themeColor="text1"/>
        </w:rPr>
        <w:t xml:space="preserve"> European Financial Management, 21(1), 148-177. </w:t>
      </w:r>
    </w:p>
    <w:p w14:paraId="3BAAB412" w14:textId="77777777" w:rsidR="00D62726" w:rsidRDefault="00D62726" w:rsidP="73F31BAE">
      <w:pPr>
        <w:rPr>
          <w:rFonts w:ascii="Arial" w:eastAsia="Arial" w:hAnsi="Arial" w:cs="Arial"/>
          <w:color w:val="000000" w:themeColor="text1"/>
        </w:rPr>
      </w:pPr>
    </w:p>
    <w:p w14:paraId="6CF6FA55"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Campbell, G., Rogers, M. and Turner, J.D., (2016) </w:t>
      </w:r>
      <w:r w:rsidRPr="73F31BAE">
        <w:rPr>
          <w:rFonts w:ascii="Arial" w:eastAsia="Arial" w:hAnsi="Arial" w:cs="Arial"/>
          <w:i/>
          <w:iCs/>
          <w:color w:val="000000" w:themeColor="text1"/>
        </w:rPr>
        <w:t>The rise and decline of the UK's provincial stock markets, 1869-1929</w:t>
      </w:r>
      <w:r w:rsidRPr="73F31BAE">
        <w:rPr>
          <w:rFonts w:ascii="Arial" w:eastAsia="Arial" w:hAnsi="Arial" w:cs="Arial"/>
          <w:color w:val="000000" w:themeColor="text1"/>
        </w:rPr>
        <w:t xml:space="preserve"> (No. 2016-03). QUCEH Working Paper Series. Available at: </w:t>
      </w:r>
      <w:hyperlink r:id="rId19">
        <w:r w:rsidRPr="73F31BAE">
          <w:rPr>
            <w:rStyle w:val="Hyperlink"/>
            <w:rFonts w:ascii="Arial" w:eastAsia="Arial" w:hAnsi="Arial" w:cs="Arial"/>
            <w:color w:val="000000" w:themeColor="text1"/>
          </w:rPr>
          <w:t>https://www.econstor.eu/bitstream/10419/141821/1/859906256.pdf</w:t>
        </w:r>
      </w:hyperlink>
      <w:r w:rsidRPr="73F31BAE">
        <w:rPr>
          <w:rFonts w:ascii="Arial" w:eastAsia="Arial" w:hAnsi="Arial" w:cs="Arial"/>
          <w:color w:val="000000" w:themeColor="text1"/>
        </w:rPr>
        <w:t xml:space="preserve">  </w:t>
      </w:r>
    </w:p>
    <w:p w14:paraId="6749EF61" w14:textId="77777777" w:rsidR="00D62726" w:rsidRDefault="00D62726" w:rsidP="73F31BAE">
      <w:pPr>
        <w:spacing w:after="0" w:line="360" w:lineRule="auto"/>
        <w:ind w:left="-20" w:right="-20"/>
        <w:jc w:val="both"/>
      </w:pPr>
    </w:p>
    <w:p w14:paraId="59EE8B09"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Campbell, J. Y., &amp; Shiller, R. J. (1988). </w:t>
      </w:r>
      <w:r w:rsidRPr="73F31BAE">
        <w:rPr>
          <w:rFonts w:ascii="Arial" w:eastAsia="Arial" w:hAnsi="Arial" w:cs="Arial"/>
          <w:i/>
          <w:iCs/>
          <w:color w:val="000000" w:themeColor="text1"/>
        </w:rPr>
        <w:t>Stock Prices, Earnings, and Expected Dividends.</w:t>
      </w:r>
      <w:r w:rsidRPr="73F31BAE">
        <w:rPr>
          <w:rFonts w:ascii="Arial" w:eastAsia="Arial" w:hAnsi="Arial" w:cs="Arial"/>
          <w:color w:val="000000" w:themeColor="text1"/>
        </w:rPr>
        <w:t xml:space="preserve"> The Journal of Finance, 43(3), 661-676. Available at: </w:t>
      </w:r>
      <w:hyperlink r:id="rId20">
        <w:r w:rsidRPr="73F31BAE">
          <w:rPr>
            <w:rStyle w:val="Hyperlink"/>
            <w:rFonts w:ascii="Arial" w:eastAsia="Arial" w:hAnsi="Arial" w:cs="Arial"/>
            <w:color w:val="000000" w:themeColor="text1"/>
          </w:rPr>
          <w:t>https://www.nber.org/system/files/working_papers/w2511/w2511.pdf</w:t>
        </w:r>
      </w:hyperlink>
      <w:r w:rsidRPr="73F31BAE">
        <w:rPr>
          <w:rFonts w:ascii="Arial" w:eastAsia="Arial" w:hAnsi="Arial" w:cs="Arial"/>
          <w:color w:val="000000" w:themeColor="text1"/>
        </w:rPr>
        <w:t xml:space="preserve"> (Accessed on: 8</w:t>
      </w:r>
      <w:r w:rsidRPr="73F31BAE">
        <w:rPr>
          <w:rFonts w:ascii="Arial" w:eastAsia="Arial" w:hAnsi="Arial" w:cs="Arial"/>
          <w:color w:val="000000" w:themeColor="text1"/>
          <w:vertAlign w:val="superscript"/>
        </w:rPr>
        <w:t>th</w:t>
      </w:r>
      <w:r w:rsidRPr="73F31BAE">
        <w:rPr>
          <w:rFonts w:ascii="Arial" w:eastAsia="Arial" w:hAnsi="Arial" w:cs="Arial"/>
          <w:color w:val="000000" w:themeColor="text1"/>
        </w:rPr>
        <w:t xml:space="preserve"> November’2023) </w:t>
      </w:r>
    </w:p>
    <w:p w14:paraId="05D25C52" w14:textId="77777777" w:rsidR="00D62726" w:rsidRDefault="00D62726" w:rsidP="73F31BAE">
      <w:pPr>
        <w:spacing w:after="0" w:line="360" w:lineRule="auto"/>
        <w:ind w:left="-20" w:right="-20"/>
        <w:jc w:val="both"/>
      </w:pPr>
    </w:p>
    <w:p w14:paraId="2F58B15C"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Campbell, J.Y. and Shiller, R.J. (1989) </w:t>
      </w:r>
      <w:r w:rsidRPr="73F31BAE">
        <w:rPr>
          <w:rFonts w:ascii="Arial" w:eastAsia="Arial" w:hAnsi="Arial" w:cs="Arial"/>
          <w:i/>
          <w:iCs/>
          <w:color w:val="000000" w:themeColor="text1"/>
        </w:rPr>
        <w:t xml:space="preserve">Yield spreads and interest rate movements. </w:t>
      </w:r>
      <w:r w:rsidRPr="73F31BAE">
        <w:rPr>
          <w:rFonts w:ascii="Arial" w:eastAsia="Arial" w:hAnsi="Arial" w:cs="Arial"/>
          <w:color w:val="000000" w:themeColor="text1"/>
        </w:rPr>
        <w:t xml:space="preserve">Available at: </w:t>
      </w:r>
      <w:hyperlink r:id="rId21">
        <w:r w:rsidRPr="73F31BAE">
          <w:rPr>
            <w:rStyle w:val="Hyperlink"/>
            <w:rFonts w:ascii="Arial" w:eastAsia="Arial" w:hAnsi="Arial" w:cs="Arial"/>
            <w:color w:val="000000" w:themeColor="text1"/>
          </w:rPr>
          <w:t>https://www.nber.org/system/files/working_papers/w3153/w3153.pdf</w:t>
        </w:r>
      </w:hyperlink>
      <w:r w:rsidRPr="73F31BAE">
        <w:rPr>
          <w:rFonts w:ascii="Arial" w:eastAsia="Arial" w:hAnsi="Arial" w:cs="Arial"/>
          <w:color w:val="000000" w:themeColor="text1"/>
        </w:rPr>
        <w:t xml:space="preserve">  </w:t>
      </w:r>
    </w:p>
    <w:p w14:paraId="2A0C0731" w14:textId="77777777" w:rsidR="00D62726" w:rsidRDefault="00D62726" w:rsidP="73F31BAE">
      <w:pPr>
        <w:spacing w:after="0" w:line="360" w:lineRule="auto"/>
        <w:ind w:left="-20" w:right="-20"/>
        <w:jc w:val="both"/>
      </w:pPr>
    </w:p>
    <w:p w14:paraId="7898EF22"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Campbell, J.Y., Grossman, S.J. and Wang, J. (1993) </w:t>
      </w:r>
      <w:r w:rsidRPr="73F31BAE">
        <w:rPr>
          <w:rFonts w:ascii="Arial" w:eastAsia="Arial" w:hAnsi="Arial" w:cs="Arial"/>
          <w:i/>
          <w:iCs/>
          <w:color w:val="000000" w:themeColor="text1"/>
        </w:rPr>
        <w:t>Trading volume and serial correlation in stock returns.</w:t>
      </w:r>
      <w:r w:rsidRPr="73F31BAE">
        <w:rPr>
          <w:rFonts w:ascii="Arial" w:eastAsia="Arial" w:hAnsi="Arial" w:cs="Arial"/>
          <w:color w:val="000000" w:themeColor="text1"/>
        </w:rPr>
        <w:t xml:space="preserve"> The Quarterly Journal of Economics, 108(4), pp.905-939. Available at: </w:t>
      </w:r>
      <w:hyperlink r:id="rId22">
        <w:r w:rsidRPr="73F31BAE">
          <w:rPr>
            <w:rStyle w:val="Hyperlink"/>
            <w:rFonts w:ascii="Arial" w:eastAsia="Arial" w:hAnsi="Arial" w:cs="Arial"/>
            <w:color w:val="000000" w:themeColor="text1"/>
          </w:rPr>
          <w:t>https://www.nber.org/system/files/working_papers/w4193/w4193.pdf</w:t>
        </w:r>
      </w:hyperlink>
      <w:r w:rsidRPr="73F31BAE">
        <w:rPr>
          <w:rFonts w:ascii="Arial" w:eastAsia="Arial" w:hAnsi="Arial" w:cs="Arial"/>
          <w:color w:val="000000" w:themeColor="text1"/>
        </w:rPr>
        <w:t xml:space="preserve"> (Accessed on: 9</w:t>
      </w:r>
      <w:r w:rsidRPr="73F31BAE">
        <w:rPr>
          <w:rFonts w:ascii="Arial" w:eastAsia="Arial" w:hAnsi="Arial" w:cs="Arial"/>
          <w:color w:val="000000" w:themeColor="text1"/>
          <w:vertAlign w:val="superscript"/>
        </w:rPr>
        <w:t>th</w:t>
      </w:r>
      <w:r w:rsidRPr="73F31BAE">
        <w:rPr>
          <w:rFonts w:ascii="Arial" w:eastAsia="Arial" w:hAnsi="Arial" w:cs="Arial"/>
          <w:color w:val="000000" w:themeColor="text1"/>
        </w:rPr>
        <w:t xml:space="preserve"> November’2023) </w:t>
      </w:r>
    </w:p>
    <w:p w14:paraId="0AFF580D" w14:textId="77777777" w:rsidR="00D62726" w:rsidRDefault="00D62726" w:rsidP="73F31BAE">
      <w:pPr>
        <w:spacing w:after="0" w:line="360" w:lineRule="auto"/>
        <w:ind w:left="-20" w:right="-20"/>
        <w:jc w:val="both"/>
      </w:pPr>
    </w:p>
    <w:p w14:paraId="1E1AEDF4"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Carollo, A., Vaglica, G., Lillo, F., &amp; Mantegna, R. N. (2012). </w:t>
      </w:r>
      <w:r w:rsidRPr="73F31BAE">
        <w:rPr>
          <w:rFonts w:ascii="Arial" w:eastAsia="Arial" w:hAnsi="Arial" w:cs="Arial"/>
          <w:i/>
          <w:iCs/>
          <w:color w:val="000000" w:themeColor="text1"/>
        </w:rPr>
        <w:t xml:space="preserve">Trading activity and price impact in parallel markets: sets vs. off-book market at the </w:t>
      </w:r>
      <w:proofErr w:type="spellStart"/>
      <w:r w:rsidRPr="73F31BAE">
        <w:rPr>
          <w:rFonts w:ascii="Arial" w:eastAsia="Arial" w:hAnsi="Arial" w:cs="Arial"/>
          <w:i/>
          <w:iCs/>
          <w:color w:val="000000" w:themeColor="text1"/>
        </w:rPr>
        <w:t>london</w:t>
      </w:r>
      <w:proofErr w:type="spellEnd"/>
      <w:r w:rsidRPr="73F31BAE">
        <w:rPr>
          <w:rFonts w:ascii="Arial" w:eastAsia="Arial" w:hAnsi="Arial" w:cs="Arial"/>
          <w:i/>
          <w:iCs/>
          <w:color w:val="000000" w:themeColor="text1"/>
        </w:rPr>
        <w:t xml:space="preserve"> stock exchange.</w:t>
      </w:r>
      <w:r w:rsidRPr="73F31BAE">
        <w:rPr>
          <w:rFonts w:ascii="Arial" w:eastAsia="Arial" w:hAnsi="Arial" w:cs="Arial"/>
          <w:color w:val="000000" w:themeColor="text1"/>
        </w:rPr>
        <w:t xml:space="preserve"> Quantitative Finance, 12(4), 517-530. </w:t>
      </w:r>
    </w:p>
    <w:p w14:paraId="6BBB0DF9" w14:textId="77777777" w:rsidR="00D62726" w:rsidRDefault="00D62726" w:rsidP="73F31BAE">
      <w:pPr>
        <w:rPr>
          <w:rFonts w:ascii="Arial" w:eastAsia="Arial" w:hAnsi="Arial" w:cs="Arial"/>
          <w:color w:val="000000" w:themeColor="text1"/>
        </w:rPr>
      </w:pPr>
    </w:p>
    <w:p w14:paraId="0A277433" w14:textId="77777777" w:rsidR="00D62726" w:rsidRDefault="00D62726" w:rsidP="73F31BAE">
      <w:pPr>
        <w:jc w:val="both"/>
        <w:rPr>
          <w:rFonts w:ascii="Arial" w:eastAsia="Arial" w:hAnsi="Arial" w:cs="Arial"/>
          <w:color w:val="000000" w:themeColor="text1"/>
        </w:rPr>
      </w:pPr>
      <w:proofErr w:type="spellStart"/>
      <w:r w:rsidRPr="73F31BAE">
        <w:rPr>
          <w:rFonts w:ascii="Arial" w:eastAsia="Arial" w:hAnsi="Arial" w:cs="Arial"/>
          <w:color w:val="000000" w:themeColor="text1"/>
        </w:rPr>
        <w:t>Chaffai</w:t>
      </w:r>
      <w:proofErr w:type="spellEnd"/>
      <w:r w:rsidRPr="73F31BAE">
        <w:rPr>
          <w:rFonts w:ascii="Arial" w:eastAsia="Arial" w:hAnsi="Arial" w:cs="Arial"/>
          <w:color w:val="000000" w:themeColor="text1"/>
        </w:rPr>
        <w:t xml:space="preserve">, M. and </w:t>
      </w:r>
      <w:proofErr w:type="spellStart"/>
      <w:r w:rsidRPr="73F31BAE">
        <w:rPr>
          <w:rFonts w:ascii="Arial" w:eastAsia="Arial" w:hAnsi="Arial" w:cs="Arial"/>
          <w:color w:val="000000" w:themeColor="text1"/>
        </w:rPr>
        <w:t>Medhioub</w:t>
      </w:r>
      <w:proofErr w:type="spellEnd"/>
      <w:r w:rsidRPr="73F31BAE">
        <w:rPr>
          <w:rFonts w:ascii="Arial" w:eastAsia="Arial" w:hAnsi="Arial" w:cs="Arial"/>
          <w:color w:val="000000" w:themeColor="text1"/>
        </w:rPr>
        <w:t xml:space="preserve">, I. (2018). </w:t>
      </w:r>
      <w:r w:rsidRPr="73F31BAE">
        <w:rPr>
          <w:rFonts w:ascii="Arial" w:eastAsia="Arial" w:hAnsi="Arial" w:cs="Arial"/>
          <w:i/>
          <w:iCs/>
          <w:color w:val="000000" w:themeColor="text1"/>
        </w:rPr>
        <w:t xml:space="preserve">Herding behavior in </w:t>
      </w:r>
      <w:proofErr w:type="spellStart"/>
      <w:r w:rsidRPr="73F31BAE">
        <w:rPr>
          <w:rFonts w:ascii="Arial" w:eastAsia="Arial" w:hAnsi="Arial" w:cs="Arial"/>
          <w:i/>
          <w:iCs/>
          <w:color w:val="000000" w:themeColor="text1"/>
        </w:rPr>
        <w:t>islamic</w:t>
      </w:r>
      <w:proofErr w:type="spellEnd"/>
      <w:r w:rsidRPr="73F31BAE">
        <w:rPr>
          <w:rFonts w:ascii="Arial" w:eastAsia="Arial" w:hAnsi="Arial" w:cs="Arial"/>
          <w:i/>
          <w:iCs/>
          <w:color w:val="000000" w:themeColor="text1"/>
        </w:rPr>
        <w:t xml:space="preserve"> </w:t>
      </w:r>
      <w:proofErr w:type="spellStart"/>
      <w:r w:rsidRPr="73F31BAE">
        <w:rPr>
          <w:rFonts w:ascii="Arial" w:eastAsia="Arial" w:hAnsi="Arial" w:cs="Arial"/>
          <w:i/>
          <w:iCs/>
          <w:color w:val="000000" w:themeColor="text1"/>
        </w:rPr>
        <w:t>gcc</w:t>
      </w:r>
      <w:proofErr w:type="spellEnd"/>
      <w:r w:rsidRPr="73F31BAE">
        <w:rPr>
          <w:rFonts w:ascii="Arial" w:eastAsia="Arial" w:hAnsi="Arial" w:cs="Arial"/>
          <w:i/>
          <w:iCs/>
          <w:color w:val="000000" w:themeColor="text1"/>
        </w:rPr>
        <w:t xml:space="preserve"> stock market: a daily analysis.</w:t>
      </w:r>
      <w:r w:rsidRPr="73F31BAE">
        <w:rPr>
          <w:rFonts w:ascii="Arial" w:eastAsia="Arial" w:hAnsi="Arial" w:cs="Arial"/>
          <w:color w:val="000000" w:themeColor="text1"/>
        </w:rPr>
        <w:t xml:space="preserve"> International Journal of Islamic and Middle Eastern Finance and Management, 11(2), 182-193. </w:t>
      </w:r>
    </w:p>
    <w:p w14:paraId="5100AC84" w14:textId="77777777" w:rsidR="00D62726" w:rsidRDefault="00D62726" w:rsidP="73F31BAE">
      <w:pPr>
        <w:jc w:val="both"/>
        <w:rPr>
          <w:rFonts w:ascii="Arial" w:eastAsia="Arial" w:hAnsi="Arial" w:cs="Arial"/>
          <w:color w:val="000000" w:themeColor="text1"/>
        </w:rPr>
      </w:pPr>
    </w:p>
    <w:p w14:paraId="26A171BD"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Cheffins, B.R. and Reddy, B.V., (2023)</w:t>
      </w:r>
      <w:r w:rsidRPr="73F31BAE">
        <w:rPr>
          <w:rFonts w:ascii="Arial" w:eastAsia="Arial" w:hAnsi="Arial" w:cs="Arial"/>
          <w:i/>
          <w:iCs/>
          <w:color w:val="000000" w:themeColor="text1"/>
        </w:rPr>
        <w:t xml:space="preserve"> Law and Stock Market Development in the UK over Time: An Uneasy Match.</w:t>
      </w:r>
      <w:r w:rsidRPr="73F31BAE">
        <w:rPr>
          <w:rFonts w:ascii="Arial" w:eastAsia="Arial" w:hAnsi="Arial" w:cs="Arial"/>
          <w:color w:val="000000" w:themeColor="text1"/>
        </w:rPr>
        <w:t xml:space="preserve"> Oxford Journal of Legal Studies, Forthcoming.  </w:t>
      </w:r>
    </w:p>
    <w:p w14:paraId="38A5D1FC" w14:textId="77777777" w:rsidR="00D62726" w:rsidRDefault="00D62726" w:rsidP="73F31BAE">
      <w:pPr>
        <w:spacing w:after="0" w:line="360" w:lineRule="auto"/>
        <w:ind w:left="-20" w:right="-20"/>
        <w:jc w:val="both"/>
      </w:pPr>
    </w:p>
    <w:p w14:paraId="1A9535C1"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lastRenderedPageBreak/>
        <w:t xml:space="preserve">Chege, G. and Kirika, S. K. (2021). </w:t>
      </w:r>
      <w:r w:rsidRPr="73F31BAE">
        <w:rPr>
          <w:rFonts w:ascii="Arial" w:eastAsia="Arial" w:hAnsi="Arial" w:cs="Arial"/>
          <w:i/>
          <w:iCs/>
          <w:color w:val="000000" w:themeColor="text1"/>
        </w:rPr>
        <w:t>Effect of macroeconomic factors on trading volumes of manufacturing and allied companies listed in Nairobi securities exchange.</w:t>
      </w:r>
      <w:r w:rsidRPr="73F31BAE">
        <w:rPr>
          <w:rFonts w:ascii="Arial" w:eastAsia="Arial" w:hAnsi="Arial" w:cs="Arial"/>
          <w:color w:val="000000" w:themeColor="text1"/>
        </w:rPr>
        <w:t xml:space="preserve"> International Journal of Finance and Accounting, 6(1), 32-52. </w:t>
      </w:r>
    </w:p>
    <w:p w14:paraId="535394C2" w14:textId="77777777" w:rsidR="00D62726" w:rsidRDefault="00D62726" w:rsidP="73F31BAE">
      <w:pPr>
        <w:rPr>
          <w:rFonts w:ascii="Arial" w:eastAsia="Arial" w:hAnsi="Arial" w:cs="Arial"/>
          <w:color w:val="000000" w:themeColor="text1"/>
        </w:rPr>
      </w:pPr>
    </w:p>
    <w:p w14:paraId="693BFBA3"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Chen, G., Firth, M., and Rui, O. M. (2001). </w:t>
      </w:r>
      <w:r w:rsidRPr="73F31BAE">
        <w:rPr>
          <w:rFonts w:ascii="Arial" w:eastAsia="Arial" w:hAnsi="Arial" w:cs="Arial"/>
          <w:i/>
          <w:iCs/>
          <w:color w:val="000000" w:themeColor="text1"/>
        </w:rPr>
        <w:t xml:space="preserve">The dynamic relation between stock returns, trading volume, and volatility. </w:t>
      </w:r>
      <w:r w:rsidRPr="73F31BAE">
        <w:rPr>
          <w:rFonts w:ascii="Arial" w:eastAsia="Arial" w:hAnsi="Arial" w:cs="Arial"/>
          <w:color w:val="000000" w:themeColor="text1"/>
        </w:rPr>
        <w:t xml:space="preserve">Financial Review, 36(3), 153-174. </w:t>
      </w:r>
    </w:p>
    <w:p w14:paraId="408C5619" w14:textId="77777777" w:rsidR="00D62726" w:rsidRDefault="00D62726" w:rsidP="73F31BAE">
      <w:pPr>
        <w:rPr>
          <w:rFonts w:ascii="Arial" w:eastAsia="Arial" w:hAnsi="Arial" w:cs="Arial"/>
          <w:color w:val="000000" w:themeColor="text1"/>
        </w:rPr>
      </w:pPr>
    </w:p>
    <w:p w14:paraId="3D3183D7"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Chen, N. F., Roll, R., &amp; Ross, S. A. (1986). </w:t>
      </w:r>
      <w:r w:rsidRPr="73F31BAE">
        <w:rPr>
          <w:rFonts w:ascii="Arial" w:eastAsia="Arial" w:hAnsi="Arial" w:cs="Arial"/>
          <w:i/>
          <w:iCs/>
          <w:color w:val="000000" w:themeColor="text1"/>
        </w:rPr>
        <w:t>Economic Forces and the Stock Market.</w:t>
      </w:r>
      <w:r w:rsidRPr="73F31BAE">
        <w:rPr>
          <w:rFonts w:ascii="Arial" w:eastAsia="Arial" w:hAnsi="Arial" w:cs="Arial"/>
          <w:color w:val="000000" w:themeColor="text1"/>
        </w:rPr>
        <w:t xml:space="preserve"> The Journal of Business, 59(3), 383-403. Available at: </w:t>
      </w:r>
      <w:hyperlink r:id="rId23">
        <w:r w:rsidRPr="73F31BAE">
          <w:rPr>
            <w:rStyle w:val="Hyperlink"/>
            <w:rFonts w:ascii="Arial" w:eastAsia="Arial" w:hAnsi="Arial" w:cs="Arial"/>
            <w:color w:val="000000" w:themeColor="text1"/>
          </w:rPr>
          <w:t>http://fdjpkc.fudan.edu.cn/_upload/article/files/3f/58/2bfaa4934d989d5a49fbaf456e60/54445370-cb1c-4a75-8c2b-5322ee3e2f78.pdf</w:t>
        </w:r>
      </w:hyperlink>
      <w:r w:rsidRPr="73F31BAE">
        <w:rPr>
          <w:rFonts w:ascii="Arial" w:eastAsia="Arial" w:hAnsi="Arial" w:cs="Arial"/>
          <w:color w:val="000000" w:themeColor="text1"/>
        </w:rPr>
        <w:t xml:space="preserve"> (Accessed on: 8</w:t>
      </w:r>
      <w:r w:rsidRPr="73F31BAE">
        <w:rPr>
          <w:rFonts w:ascii="Arial" w:eastAsia="Arial" w:hAnsi="Arial" w:cs="Arial"/>
          <w:color w:val="000000" w:themeColor="text1"/>
          <w:vertAlign w:val="superscript"/>
        </w:rPr>
        <w:t>th</w:t>
      </w:r>
      <w:r w:rsidRPr="73F31BAE">
        <w:rPr>
          <w:rFonts w:ascii="Arial" w:eastAsia="Arial" w:hAnsi="Arial" w:cs="Arial"/>
          <w:color w:val="000000" w:themeColor="text1"/>
        </w:rPr>
        <w:t xml:space="preserve"> November’2023) </w:t>
      </w:r>
    </w:p>
    <w:p w14:paraId="57BD4CB4" w14:textId="77777777" w:rsidR="00D62726" w:rsidRDefault="00D62726" w:rsidP="73F31BAE">
      <w:pPr>
        <w:spacing w:after="0" w:line="360" w:lineRule="auto"/>
        <w:ind w:left="-20" w:right="-20"/>
        <w:jc w:val="both"/>
      </w:pPr>
    </w:p>
    <w:p w14:paraId="2F9BB0F7"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Chen, N.F., Roll, R. and Ross, S.A. (1986)</w:t>
      </w:r>
      <w:r w:rsidRPr="73F31BAE">
        <w:rPr>
          <w:rFonts w:ascii="Arial" w:eastAsia="Arial" w:hAnsi="Arial" w:cs="Arial"/>
          <w:i/>
          <w:iCs/>
          <w:color w:val="000000" w:themeColor="text1"/>
        </w:rPr>
        <w:t xml:space="preserve"> Economic forces and the stock market. </w:t>
      </w:r>
      <w:r w:rsidRPr="73F31BAE">
        <w:rPr>
          <w:rFonts w:ascii="Arial" w:eastAsia="Arial" w:hAnsi="Arial" w:cs="Arial"/>
          <w:color w:val="000000" w:themeColor="text1"/>
        </w:rPr>
        <w:t xml:space="preserve">Journal of business, pp.383-403. </w:t>
      </w:r>
    </w:p>
    <w:p w14:paraId="3A84FD24" w14:textId="77777777" w:rsidR="00D62726" w:rsidRDefault="00D62726" w:rsidP="73F31BAE">
      <w:pPr>
        <w:spacing w:after="0" w:line="360" w:lineRule="auto"/>
        <w:ind w:left="-20" w:right="-20"/>
        <w:jc w:val="both"/>
      </w:pPr>
    </w:p>
    <w:p w14:paraId="02E0AFC1"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Chen, S.S. (2012) </w:t>
      </w:r>
      <w:r w:rsidRPr="73F31BAE">
        <w:rPr>
          <w:rFonts w:ascii="Arial" w:eastAsia="Arial" w:hAnsi="Arial" w:cs="Arial"/>
          <w:i/>
          <w:iCs/>
          <w:color w:val="000000" w:themeColor="text1"/>
        </w:rPr>
        <w:t>Revisiting the empirical linkages between stock returns and trading volume.</w:t>
      </w:r>
      <w:r w:rsidRPr="73F31BAE">
        <w:rPr>
          <w:rFonts w:ascii="Arial" w:eastAsia="Arial" w:hAnsi="Arial" w:cs="Arial"/>
          <w:color w:val="000000" w:themeColor="text1"/>
        </w:rPr>
        <w:t xml:space="preserve"> Journal of Banking &amp; Finance, 36(6), pp.1781-1788. Available at: </w:t>
      </w:r>
      <w:hyperlink r:id="rId24">
        <w:r w:rsidRPr="73F31BAE">
          <w:rPr>
            <w:rStyle w:val="Hyperlink"/>
            <w:rFonts w:ascii="Arial" w:eastAsia="Arial" w:hAnsi="Arial" w:cs="Arial"/>
            <w:color w:val="000000" w:themeColor="text1"/>
          </w:rPr>
          <w:t>https://mpra.ub.uni-muenchen.de/36897/1/MPRA_paper_36897.pdf</w:t>
        </w:r>
      </w:hyperlink>
      <w:r w:rsidRPr="73F31BAE">
        <w:rPr>
          <w:rFonts w:ascii="Arial" w:eastAsia="Arial" w:hAnsi="Arial" w:cs="Arial"/>
          <w:color w:val="000000" w:themeColor="text1"/>
        </w:rPr>
        <w:t xml:space="preserve"> (Accessed on: 9</w:t>
      </w:r>
      <w:r w:rsidRPr="73F31BAE">
        <w:rPr>
          <w:rFonts w:ascii="Arial" w:eastAsia="Arial" w:hAnsi="Arial" w:cs="Arial"/>
          <w:color w:val="000000" w:themeColor="text1"/>
          <w:vertAlign w:val="superscript"/>
        </w:rPr>
        <w:t>th</w:t>
      </w:r>
      <w:r w:rsidRPr="73F31BAE">
        <w:rPr>
          <w:rFonts w:ascii="Arial" w:eastAsia="Arial" w:hAnsi="Arial" w:cs="Arial"/>
          <w:color w:val="000000" w:themeColor="text1"/>
        </w:rPr>
        <w:t xml:space="preserve"> November’2023) </w:t>
      </w:r>
    </w:p>
    <w:p w14:paraId="0957FE22" w14:textId="77777777" w:rsidR="00D62726" w:rsidRDefault="00D62726" w:rsidP="73F31BAE">
      <w:pPr>
        <w:spacing w:after="0" w:line="360" w:lineRule="auto"/>
        <w:ind w:left="-20" w:right="-20"/>
        <w:jc w:val="both"/>
      </w:pPr>
    </w:p>
    <w:p w14:paraId="00C31F30" w14:textId="77777777" w:rsidR="00D62726" w:rsidRDefault="00D62726" w:rsidP="73F31BAE">
      <w:pPr>
        <w:spacing w:after="0" w:line="360" w:lineRule="auto"/>
        <w:ind w:left="-20" w:right="-20"/>
        <w:jc w:val="both"/>
        <w:rPr>
          <w:rFonts w:ascii="Arial" w:eastAsia="Arial" w:hAnsi="Arial" w:cs="Arial"/>
          <w:color w:val="000000" w:themeColor="text1"/>
        </w:rPr>
      </w:pPr>
      <w:proofErr w:type="spellStart"/>
      <w:r w:rsidRPr="73F31BAE">
        <w:rPr>
          <w:rFonts w:ascii="Arial" w:eastAsia="Arial" w:hAnsi="Arial" w:cs="Arial"/>
          <w:color w:val="000000" w:themeColor="text1"/>
        </w:rPr>
        <w:t>Chikwira</w:t>
      </w:r>
      <w:proofErr w:type="spellEnd"/>
      <w:r w:rsidRPr="73F31BAE">
        <w:rPr>
          <w:rFonts w:ascii="Arial" w:eastAsia="Arial" w:hAnsi="Arial" w:cs="Arial"/>
          <w:color w:val="000000" w:themeColor="text1"/>
        </w:rPr>
        <w:t xml:space="preserve">, C. and Mohammed, J.I., (2023) </w:t>
      </w:r>
      <w:r w:rsidRPr="73F31BAE">
        <w:rPr>
          <w:rFonts w:ascii="Arial" w:eastAsia="Arial" w:hAnsi="Arial" w:cs="Arial"/>
          <w:i/>
          <w:iCs/>
          <w:color w:val="000000" w:themeColor="text1"/>
        </w:rPr>
        <w:t>The Impact of the Stock Market on Liquidity and Economic Growth: Evidence of Volatile Market.</w:t>
      </w:r>
      <w:r w:rsidRPr="73F31BAE">
        <w:rPr>
          <w:rFonts w:ascii="Arial" w:eastAsia="Arial" w:hAnsi="Arial" w:cs="Arial"/>
          <w:color w:val="000000" w:themeColor="text1"/>
        </w:rPr>
        <w:t xml:space="preserve"> </w:t>
      </w:r>
      <w:r w:rsidRPr="73F31BAE">
        <w:rPr>
          <w:rFonts w:ascii="Arial" w:eastAsia="Arial" w:hAnsi="Arial" w:cs="Arial"/>
          <w:i/>
          <w:iCs/>
          <w:color w:val="000000" w:themeColor="text1"/>
        </w:rPr>
        <w:t>Economies</w:t>
      </w:r>
      <w:r w:rsidRPr="73F31BAE">
        <w:rPr>
          <w:rFonts w:ascii="Arial" w:eastAsia="Arial" w:hAnsi="Arial" w:cs="Arial"/>
          <w:color w:val="000000" w:themeColor="text1"/>
        </w:rPr>
        <w:t xml:space="preserve">, </w:t>
      </w:r>
      <w:r w:rsidRPr="73F31BAE">
        <w:rPr>
          <w:rFonts w:ascii="Arial" w:eastAsia="Arial" w:hAnsi="Arial" w:cs="Arial"/>
          <w:i/>
          <w:iCs/>
          <w:color w:val="000000" w:themeColor="text1"/>
        </w:rPr>
        <w:t>11</w:t>
      </w:r>
      <w:r w:rsidRPr="73F31BAE">
        <w:rPr>
          <w:rFonts w:ascii="Arial" w:eastAsia="Arial" w:hAnsi="Arial" w:cs="Arial"/>
          <w:color w:val="000000" w:themeColor="text1"/>
        </w:rPr>
        <w:t xml:space="preserve">(6), p.155. Available at: </w:t>
      </w:r>
      <w:hyperlink r:id="rId25">
        <w:r w:rsidRPr="73F31BAE">
          <w:rPr>
            <w:rStyle w:val="Hyperlink"/>
            <w:rFonts w:ascii="Arial" w:eastAsia="Arial" w:hAnsi="Arial" w:cs="Arial"/>
            <w:color w:val="000000" w:themeColor="text1"/>
          </w:rPr>
          <w:t>https://www.mdpi.com/2227-7099/11/6/155/pdf</w:t>
        </w:r>
      </w:hyperlink>
      <w:r w:rsidRPr="73F31BAE">
        <w:rPr>
          <w:rFonts w:ascii="Arial" w:eastAsia="Arial" w:hAnsi="Arial" w:cs="Arial"/>
          <w:color w:val="000000" w:themeColor="text1"/>
        </w:rPr>
        <w:t xml:space="preserve">  </w:t>
      </w:r>
    </w:p>
    <w:p w14:paraId="657E2B5F" w14:textId="77777777" w:rsidR="00D62726" w:rsidRDefault="00D62726" w:rsidP="73F31BAE">
      <w:pPr>
        <w:spacing w:after="0" w:line="360" w:lineRule="auto"/>
        <w:ind w:left="-20" w:right="-20"/>
        <w:jc w:val="both"/>
      </w:pPr>
    </w:p>
    <w:p w14:paraId="58901E06"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Cohen, L., Manion, L. and Morrison, K. (2002) </w:t>
      </w:r>
      <w:r w:rsidRPr="73F31BAE">
        <w:rPr>
          <w:rFonts w:ascii="Arial" w:eastAsia="Arial" w:hAnsi="Arial" w:cs="Arial"/>
          <w:i/>
          <w:iCs/>
          <w:color w:val="000000" w:themeColor="text1"/>
        </w:rPr>
        <w:t>Research methods in education</w:t>
      </w:r>
      <w:r w:rsidRPr="73F31BAE">
        <w:rPr>
          <w:rFonts w:ascii="Arial" w:eastAsia="Arial" w:hAnsi="Arial" w:cs="Arial"/>
          <w:color w:val="000000" w:themeColor="text1"/>
        </w:rPr>
        <w:t xml:space="preserve">. Routledge. </w:t>
      </w:r>
    </w:p>
    <w:p w14:paraId="68931ADC" w14:textId="77777777" w:rsidR="00D62726" w:rsidRDefault="00D62726" w:rsidP="73F31BAE">
      <w:pPr>
        <w:spacing w:after="0" w:line="360" w:lineRule="auto"/>
        <w:ind w:left="-20" w:right="-20"/>
        <w:jc w:val="both"/>
      </w:pPr>
    </w:p>
    <w:p w14:paraId="2BDCB5C0"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Cutler, J. (2023) </w:t>
      </w:r>
      <w:r w:rsidRPr="73F31BAE">
        <w:rPr>
          <w:rFonts w:ascii="Arial" w:eastAsia="Arial" w:hAnsi="Arial" w:cs="Arial"/>
          <w:i/>
          <w:iCs/>
          <w:color w:val="000000" w:themeColor="text1"/>
        </w:rPr>
        <w:t xml:space="preserve">London stock exchange group on track after strong third quarter. </w:t>
      </w:r>
      <w:r w:rsidRPr="73F31BAE">
        <w:rPr>
          <w:rFonts w:ascii="Arial" w:eastAsia="Arial" w:hAnsi="Arial" w:cs="Arial"/>
          <w:color w:val="000000" w:themeColor="text1"/>
        </w:rPr>
        <w:t xml:space="preserve">Available at: </w:t>
      </w:r>
      <w:hyperlink r:id="rId26">
        <w:r w:rsidRPr="73F31BAE">
          <w:rPr>
            <w:rStyle w:val="Hyperlink"/>
            <w:rFonts w:ascii="Arial" w:eastAsia="Arial" w:hAnsi="Arial" w:cs="Arial"/>
            <w:color w:val="000000" w:themeColor="text1"/>
          </w:rPr>
          <w:t>https://www.proactiveinvestors.co.uk/companies/news/1030292/london-stock-exchange-group-on-track-after-strong-third-quarter-1030292.html</w:t>
        </w:r>
      </w:hyperlink>
      <w:r w:rsidRPr="73F31BAE">
        <w:rPr>
          <w:rFonts w:ascii="Arial" w:eastAsia="Arial" w:hAnsi="Arial" w:cs="Arial"/>
          <w:color w:val="000000" w:themeColor="text1"/>
        </w:rPr>
        <w:t xml:space="preserve">  </w:t>
      </w:r>
    </w:p>
    <w:p w14:paraId="65AE48AE" w14:textId="77777777" w:rsidR="00D62726" w:rsidRDefault="00D62726" w:rsidP="73F31BAE">
      <w:pPr>
        <w:spacing w:after="0" w:line="360" w:lineRule="auto"/>
        <w:ind w:left="-20" w:right="-20"/>
        <w:jc w:val="both"/>
      </w:pPr>
    </w:p>
    <w:p w14:paraId="4D354ADC"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Denzin, N.K. and Lincoln, Y.S. eds. (2011) </w:t>
      </w:r>
      <w:r w:rsidRPr="73F31BAE">
        <w:rPr>
          <w:rFonts w:ascii="Arial" w:eastAsia="Arial" w:hAnsi="Arial" w:cs="Arial"/>
          <w:i/>
          <w:iCs/>
          <w:color w:val="000000" w:themeColor="text1"/>
        </w:rPr>
        <w:t>The Sage handbook of qualitative research</w:t>
      </w:r>
      <w:r w:rsidRPr="73F31BAE">
        <w:rPr>
          <w:rFonts w:ascii="Arial" w:eastAsia="Arial" w:hAnsi="Arial" w:cs="Arial"/>
          <w:color w:val="000000" w:themeColor="text1"/>
        </w:rPr>
        <w:t xml:space="preserve">. Sage. </w:t>
      </w:r>
    </w:p>
    <w:p w14:paraId="5324B30C" w14:textId="77777777" w:rsidR="00D62726" w:rsidRDefault="00D62726" w:rsidP="73F31BAE">
      <w:pPr>
        <w:spacing w:after="0" w:line="360" w:lineRule="auto"/>
        <w:ind w:left="-20" w:right="-20"/>
        <w:jc w:val="both"/>
      </w:pPr>
    </w:p>
    <w:p w14:paraId="1085B809"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Dodd, O. (2011). </w:t>
      </w:r>
      <w:r w:rsidRPr="73F31BAE">
        <w:rPr>
          <w:rFonts w:ascii="Arial" w:eastAsia="Arial" w:hAnsi="Arial" w:cs="Arial"/>
          <w:i/>
          <w:iCs/>
          <w:color w:val="000000" w:themeColor="text1"/>
        </w:rPr>
        <w:t>What determines the location of equity trading? Evidence from stocks cross-listed in various markets.</w:t>
      </w:r>
      <w:r w:rsidRPr="73F31BAE">
        <w:rPr>
          <w:rFonts w:ascii="Arial" w:eastAsia="Arial" w:hAnsi="Arial" w:cs="Arial"/>
          <w:color w:val="000000" w:themeColor="text1"/>
        </w:rPr>
        <w:t xml:space="preserve"> SSRN Electronic Journal. </w:t>
      </w:r>
    </w:p>
    <w:p w14:paraId="7A7BCD14" w14:textId="77777777" w:rsidR="00D62726" w:rsidRDefault="00D62726" w:rsidP="73F31BAE">
      <w:pPr>
        <w:rPr>
          <w:rFonts w:ascii="Arial" w:eastAsia="Arial" w:hAnsi="Arial" w:cs="Arial"/>
          <w:color w:val="000000" w:themeColor="text1"/>
        </w:rPr>
      </w:pPr>
    </w:p>
    <w:p w14:paraId="74F1EA23"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lastRenderedPageBreak/>
        <w:t xml:space="preserve">Fama, E. F., &amp; French, K. R. (1989). </w:t>
      </w:r>
      <w:r w:rsidRPr="73F31BAE">
        <w:rPr>
          <w:rFonts w:ascii="Arial" w:eastAsia="Arial" w:hAnsi="Arial" w:cs="Arial"/>
          <w:i/>
          <w:iCs/>
          <w:color w:val="000000" w:themeColor="text1"/>
        </w:rPr>
        <w:t>Business Conditions and Expected Returns on Stocks and Bonds.</w:t>
      </w:r>
      <w:r w:rsidRPr="73F31BAE">
        <w:rPr>
          <w:rFonts w:ascii="Arial" w:eastAsia="Arial" w:hAnsi="Arial" w:cs="Arial"/>
          <w:color w:val="000000" w:themeColor="text1"/>
        </w:rPr>
        <w:t xml:space="preserve"> The Journal of Financial Economics, 25(1), 23-49. Available at: </w:t>
      </w:r>
      <w:hyperlink r:id="rId27">
        <w:r w:rsidRPr="73F31BAE">
          <w:rPr>
            <w:rStyle w:val="Hyperlink"/>
            <w:rFonts w:ascii="Arial" w:eastAsia="Arial" w:hAnsi="Arial" w:cs="Arial"/>
            <w:color w:val="000000" w:themeColor="text1"/>
          </w:rPr>
          <w:t>http://pages.stern.nyu.edu/~dbackus/GE_asset_pricing/FamaFrench%20bus%20conds%20JFE%2089.PDF</w:t>
        </w:r>
      </w:hyperlink>
      <w:r w:rsidRPr="73F31BAE">
        <w:rPr>
          <w:rFonts w:ascii="Arial" w:eastAsia="Arial" w:hAnsi="Arial" w:cs="Arial"/>
          <w:color w:val="000000" w:themeColor="text1"/>
        </w:rPr>
        <w:t xml:space="preserve"> (Accessed on: 8</w:t>
      </w:r>
      <w:r w:rsidRPr="73F31BAE">
        <w:rPr>
          <w:rFonts w:ascii="Arial" w:eastAsia="Arial" w:hAnsi="Arial" w:cs="Arial"/>
          <w:color w:val="000000" w:themeColor="text1"/>
          <w:vertAlign w:val="superscript"/>
        </w:rPr>
        <w:t>th</w:t>
      </w:r>
      <w:r w:rsidRPr="73F31BAE">
        <w:rPr>
          <w:rFonts w:ascii="Arial" w:eastAsia="Arial" w:hAnsi="Arial" w:cs="Arial"/>
          <w:color w:val="000000" w:themeColor="text1"/>
        </w:rPr>
        <w:t xml:space="preserve"> November’2023) </w:t>
      </w:r>
    </w:p>
    <w:p w14:paraId="0C386A37" w14:textId="77777777" w:rsidR="00D62726" w:rsidRDefault="00D62726" w:rsidP="73F31BAE">
      <w:pPr>
        <w:spacing w:after="0" w:line="360" w:lineRule="auto"/>
        <w:ind w:left="-20" w:right="-20"/>
        <w:jc w:val="both"/>
      </w:pPr>
    </w:p>
    <w:p w14:paraId="7FB03BBE"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Fama, E.F. (1981) </w:t>
      </w:r>
      <w:r w:rsidRPr="73F31BAE">
        <w:rPr>
          <w:rFonts w:ascii="Arial" w:eastAsia="Arial" w:hAnsi="Arial" w:cs="Arial"/>
          <w:i/>
          <w:iCs/>
          <w:color w:val="000000" w:themeColor="text1"/>
        </w:rPr>
        <w:t>Stock returns, real activity, inflation, and money.</w:t>
      </w:r>
      <w:r w:rsidRPr="73F31BAE">
        <w:rPr>
          <w:rFonts w:ascii="Arial" w:eastAsia="Arial" w:hAnsi="Arial" w:cs="Arial"/>
          <w:color w:val="000000" w:themeColor="text1"/>
        </w:rPr>
        <w:t xml:space="preserve"> The American economic review, 71(4), pp.545-565.  </w:t>
      </w:r>
    </w:p>
    <w:p w14:paraId="63940F96" w14:textId="77777777" w:rsidR="00D62726" w:rsidRDefault="00D62726" w:rsidP="73F31BAE">
      <w:pPr>
        <w:spacing w:after="0" w:line="360" w:lineRule="auto"/>
        <w:ind w:left="-20" w:right="-20"/>
        <w:jc w:val="both"/>
      </w:pPr>
    </w:p>
    <w:p w14:paraId="26F0F21E"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Fama, E.F. and French, K.R. (1989)</w:t>
      </w:r>
      <w:r w:rsidRPr="73F31BAE">
        <w:rPr>
          <w:rFonts w:ascii="Arial" w:eastAsia="Arial" w:hAnsi="Arial" w:cs="Arial"/>
          <w:i/>
          <w:iCs/>
          <w:color w:val="000000" w:themeColor="text1"/>
        </w:rPr>
        <w:t xml:space="preserve"> Business conditions and expected returns on stocks and bonds. </w:t>
      </w:r>
      <w:r w:rsidRPr="73F31BAE">
        <w:rPr>
          <w:rFonts w:ascii="Arial" w:eastAsia="Arial" w:hAnsi="Arial" w:cs="Arial"/>
          <w:color w:val="000000" w:themeColor="text1"/>
        </w:rPr>
        <w:t xml:space="preserve">Journal of financial economics, 25(1), pp.23-49. Available at: </w:t>
      </w:r>
      <w:hyperlink r:id="rId28">
        <w:r w:rsidRPr="73F31BAE">
          <w:rPr>
            <w:rStyle w:val="Hyperlink"/>
            <w:rFonts w:ascii="Arial" w:eastAsia="Arial" w:hAnsi="Arial" w:cs="Arial"/>
            <w:color w:val="000000" w:themeColor="text1"/>
          </w:rPr>
          <w:t>https://pages.stern.nyu.edu/~dbackus/GE_asset_pricing/FamaFrench%20bus%20conds%20JFE%2089.PDF</w:t>
        </w:r>
      </w:hyperlink>
      <w:r w:rsidRPr="73F31BAE">
        <w:rPr>
          <w:rFonts w:ascii="Arial" w:eastAsia="Arial" w:hAnsi="Arial" w:cs="Arial"/>
          <w:color w:val="000000" w:themeColor="text1"/>
        </w:rPr>
        <w:t xml:space="preserve">  </w:t>
      </w:r>
    </w:p>
    <w:p w14:paraId="66ED4033" w14:textId="77777777" w:rsidR="00D62726" w:rsidRDefault="00D62726" w:rsidP="73F31BAE">
      <w:pPr>
        <w:spacing w:after="0" w:line="360" w:lineRule="auto"/>
        <w:ind w:left="-20" w:right="-20"/>
        <w:jc w:val="both"/>
      </w:pPr>
    </w:p>
    <w:p w14:paraId="048539C0"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Fernandes, M. and </w:t>
      </w:r>
      <w:proofErr w:type="spellStart"/>
      <w:r w:rsidRPr="73F31BAE">
        <w:rPr>
          <w:rFonts w:ascii="Arial" w:eastAsia="Arial" w:hAnsi="Arial" w:cs="Arial"/>
          <w:color w:val="000000" w:themeColor="text1"/>
        </w:rPr>
        <w:t>Mergulhao</w:t>
      </w:r>
      <w:proofErr w:type="spellEnd"/>
      <w:r w:rsidRPr="73F31BAE">
        <w:rPr>
          <w:rFonts w:ascii="Arial" w:eastAsia="Arial" w:hAnsi="Arial" w:cs="Arial"/>
          <w:color w:val="000000" w:themeColor="text1"/>
        </w:rPr>
        <w:t xml:space="preserve">, J. (2016). </w:t>
      </w:r>
      <w:r w:rsidRPr="73F31BAE">
        <w:rPr>
          <w:rFonts w:ascii="Arial" w:eastAsia="Arial" w:hAnsi="Arial" w:cs="Arial"/>
          <w:i/>
          <w:iCs/>
          <w:color w:val="000000" w:themeColor="text1"/>
        </w:rPr>
        <w:t xml:space="preserve">Anticipatory effects in the </w:t>
      </w:r>
      <w:proofErr w:type="spellStart"/>
      <w:proofErr w:type="gramStart"/>
      <w:r w:rsidRPr="73F31BAE">
        <w:rPr>
          <w:rFonts w:ascii="Arial" w:eastAsia="Arial" w:hAnsi="Arial" w:cs="Arial"/>
          <w:i/>
          <w:iCs/>
          <w:color w:val="000000" w:themeColor="text1"/>
        </w:rPr>
        <w:t>ftse</w:t>
      </w:r>
      <w:proofErr w:type="spellEnd"/>
      <w:proofErr w:type="gramEnd"/>
      <w:r w:rsidRPr="73F31BAE">
        <w:rPr>
          <w:rFonts w:ascii="Arial" w:eastAsia="Arial" w:hAnsi="Arial" w:cs="Arial"/>
          <w:i/>
          <w:iCs/>
          <w:color w:val="000000" w:themeColor="text1"/>
        </w:rPr>
        <w:t xml:space="preserve"> 100 index revisions.</w:t>
      </w:r>
      <w:r w:rsidRPr="73F31BAE">
        <w:rPr>
          <w:rFonts w:ascii="Arial" w:eastAsia="Arial" w:hAnsi="Arial" w:cs="Arial"/>
          <w:color w:val="000000" w:themeColor="text1"/>
        </w:rPr>
        <w:t xml:space="preserve"> Journal of Empirical Finance, 37, 79-90. </w:t>
      </w:r>
    </w:p>
    <w:p w14:paraId="3A25F001" w14:textId="77777777" w:rsidR="00D62726" w:rsidRDefault="00D62726" w:rsidP="73F31BAE">
      <w:pPr>
        <w:rPr>
          <w:rFonts w:ascii="Arial" w:eastAsia="Arial" w:hAnsi="Arial" w:cs="Arial"/>
          <w:color w:val="000000" w:themeColor="text1"/>
        </w:rPr>
      </w:pPr>
    </w:p>
    <w:p w14:paraId="06052DDB"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Forbes, K. J. and </w:t>
      </w:r>
      <w:proofErr w:type="spellStart"/>
      <w:r w:rsidRPr="73F31BAE">
        <w:rPr>
          <w:rFonts w:ascii="Arial" w:eastAsia="Arial" w:hAnsi="Arial" w:cs="Arial"/>
          <w:color w:val="000000" w:themeColor="text1"/>
        </w:rPr>
        <w:t>Rigobón</w:t>
      </w:r>
      <w:proofErr w:type="spellEnd"/>
      <w:r w:rsidRPr="73F31BAE">
        <w:rPr>
          <w:rFonts w:ascii="Arial" w:eastAsia="Arial" w:hAnsi="Arial" w:cs="Arial"/>
          <w:color w:val="000000" w:themeColor="text1"/>
        </w:rPr>
        <w:t xml:space="preserve">, R. (2002). </w:t>
      </w:r>
      <w:r w:rsidRPr="73F31BAE">
        <w:rPr>
          <w:rFonts w:ascii="Arial" w:eastAsia="Arial" w:hAnsi="Arial" w:cs="Arial"/>
          <w:i/>
          <w:iCs/>
          <w:color w:val="000000" w:themeColor="text1"/>
        </w:rPr>
        <w:t xml:space="preserve">No contagion, only interdependence: measuring stock market </w:t>
      </w:r>
      <w:proofErr w:type="spellStart"/>
      <w:r w:rsidRPr="73F31BAE">
        <w:rPr>
          <w:rFonts w:ascii="Arial" w:eastAsia="Arial" w:hAnsi="Arial" w:cs="Arial"/>
          <w:i/>
          <w:iCs/>
          <w:color w:val="000000" w:themeColor="text1"/>
        </w:rPr>
        <w:t>comovements</w:t>
      </w:r>
      <w:proofErr w:type="spellEnd"/>
      <w:r w:rsidRPr="73F31BAE">
        <w:rPr>
          <w:rFonts w:ascii="Arial" w:eastAsia="Arial" w:hAnsi="Arial" w:cs="Arial"/>
          <w:i/>
          <w:iCs/>
          <w:color w:val="000000" w:themeColor="text1"/>
        </w:rPr>
        <w:t xml:space="preserve">. </w:t>
      </w:r>
      <w:r w:rsidRPr="73F31BAE">
        <w:rPr>
          <w:rFonts w:ascii="Arial" w:eastAsia="Arial" w:hAnsi="Arial" w:cs="Arial"/>
          <w:color w:val="000000" w:themeColor="text1"/>
        </w:rPr>
        <w:t xml:space="preserve">The Journal of Finance, 57(5), 2223-2261. </w:t>
      </w:r>
    </w:p>
    <w:p w14:paraId="14B6245D" w14:textId="77777777" w:rsidR="00D62726" w:rsidRDefault="00D62726" w:rsidP="73F31BAE">
      <w:pPr>
        <w:rPr>
          <w:rFonts w:ascii="Arial" w:eastAsia="Arial" w:hAnsi="Arial" w:cs="Arial"/>
          <w:color w:val="000000" w:themeColor="text1"/>
        </w:rPr>
      </w:pPr>
    </w:p>
    <w:p w14:paraId="0FBCD964"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Forbes, K. J., Kirkham, L., and Theodoridis, K. (2019). </w:t>
      </w:r>
      <w:r w:rsidRPr="73F31BAE">
        <w:rPr>
          <w:rFonts w:ascii="Arial" w:eastAsia="Arial" w:hAnsi="Arial" w:cs="Arial"/>
          <w:i/>
          <w:iCs/>
          <w:color w:val="000000" w:themeColor="text1"/>
        </w:rPr>
        <w:t xml:space="preserve">A trendy approach to </w:t>
      </w:r>
      <w:proofErr w:type="spellStart"/>
      <w:r w:rsidRPr="73F31BAE">
        <w:rPr>
          <w:rFonts w:ascii="Arial" w:eastAsia="Arial" w:hAnsi="Arial" w:cs="Arial"/>
          <w:i/>
          <w:iCs/>
          <w:color w:val="000000" w:themeColor="text1"/>
        </w:rPr>
        <w:t>Uk</w:t>
      </w:r>
      <w:proofErr w:type="spellEnd"/>
      <w:r w:rsidRPr="73F31BAE">
        <w:rPr>
          <w:rFonts w:ascii="Arial" w:eastAsia="Arial" w:hAnsi="Arial" w:cs="Arial"/>
          <w:i/>
          <w:iCs/>
          <w:color w:val="000000" w:themeColor="text1"/>
        </w:rPr>
        <w:t xml:space="preserve"> inflation dynamics1. </w:t>
      </w:r>
      <w:r w:rsidRPr="73F31BAE">
        <w:rPr>
          <w:rFonts w:ascii="Arial" w:eastAsia="Arial" w:hAnsi="Arial" w:cs="Arial"/>
          <w:color w:val="000000" w:themeColor="text1"/>
        </w:rPr>
        <w:t>The Manchester School, 89(S1), 23-75.</w:t>
      </w:r>
    </w:p>
    <w:p w14:paraId="7E22274E" w14:textId="77777777" w:rsidR="00D62726" w:rsidRDefault="00D62726" w:rsidP="73F31BAE">
      <w:pPr>
        <w:rPr>
          <w:rFonts w:ascii="Arial" w:eastAsia="Arial" w:hAnsi="Arial" w:cs="Arial"/>
          <w:color w:val="000000" w:themeColor="text1"/>
        </w:rPr>
      </w:pPr>
    </w:p>
    <w:p w14:paraId="5AEC98F5"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Forbes, K.J. and </w:t>
      </w:r>
      <w:proofErr w:type="spellStart"/>
      <w:r w:rsidRPr="73F31BAE">
        <w:rPr>
          <w:rFonts w:ascii="Arial" w:eastAsia="Arial" w:hAnsi="Arial" w:cs="Arial"/>
          <w:color w:val="000000" w:themeColor="text1"/>
        </w:rPr>
        <w:t>Rigobon</w:t>
      </w:r>
      <w:proofErr w:type="spellEnd"/>
      <w:r w:rsidRPr="73F31BAE">
        <w:rPr>
          <w:rFonts w:ascii="Arial" w:eastAsia="Arial" w:hAnsi="Arial" w:cs="Arial"/>
          <w:color w:val="000000" w:themeColor="text1"/>
        </w:rPr>
        <w:t xml:space="preserve">, R. (2002) </w:t>
      </w:r>
      <w:r w:rsidRPr="73F31BAE">
        <w:rPr>
          <w:rFonts w:ascii="Arial" w:eastAsia="Arial" w:hAnsi="Arial" w:cs="Arial"/>
          <w:i/>
          <w:iCs/>
          <w:color w:val="000000" w:themeColor="text1"/>
        </w:rPr>
        <w:t xml:space="preserve">No contagion, only interdependence: measuring stock market </w:t>
      </w:r>
      <w:proofErr w:type="spellStart"/>
      <w:r w:rsidRPr="73F31BAE">
        <w:rPr>
          <w:rFonts w:ascii="Arial" w:eastAsia="Arial" w:hAnsi="Arial" w:cs="Arial"/>
          <w:i/>
          <w:iCs/>
          <w:color w:val="000000" w:themeColor="text1"/>
        </w:rPr>
        <w:t>comovements</w:t>
      </w:r>
      <w:proofErr w:type="spellEnd"/>
      <w:r w:rsidRPr="73F31BAE">
        <w:rPr>
          <w:rFonts w:ascii="Arial" w:eastAsia="Arial" w:hAnsi="Arial" w:cs="Arial"/>
          <w:i/>
          <w:iCs/>
          <w:color w:val="000000" w:themeColor="text1"/>
        </w:rPr>
        <w:t xml:space="preserve">. </w:t>
      </w:r>
      <w:r w:rsidRPr="73F31BAE">
        <w:rPr>
          <w:rFonts w:ascii="Arial" w:eastAsia="Arial" w:hAnsi="Arial" w:cs="Arial"/>
          <w:color w:val="000000" w:themeColor="text1"/>
        </w:rPr>
        <w:t xml:space="preserve">The journal of Finance, 57(5), pp.2223-2261. Available at: </w:t>
      </w:r>
      <w:hyperlink r:id="rId29">
        <w:r w:rsidRPr="73F31BAE">
          <w:rPr>
            <w:rStyle w:val="Hyperlink"/>
            <w:rFonts w:ascii="Arial" w:eastAsia="Arial" w:hAnsi="Arial" w:cs="Arial"/>
            <w:color w:val="000000" w:themeColor="text1"/>
          </w:rPr>
          <w:t>https://www.nber.org/system/files/working_papers/w7267/w7267.pdf</w:t>
        </w:r>
      </w:hyperlink>
      <w:r w:rsidRPr="73F31BAE">
        <w:rPr>
          <w:rFonts w:ascii="Arial" w:eastAsia="Arial" w:hAnsi="Arial" w:cs="Arial"/>
          <w:color w:val="000000" w:themeColor="text1"/>
        </w:rPr>
        <w:t xml:space="preserve">  </w:t>
      </w:r>
    </w:p>
    <w:p w14:paraId="7317AE6F" w14:textId="77777777" w:rsidR="00D62726" w:rsidRDefault="00D62726" w:rsidP="73F31BAE">
      <w:pPr>
        <w:spacing w:after="0" w:line="360" w:lineRule="auto"/>
        <w:ind w:left="-20" w:right="-20"/>
        <w:jc w:val="both"/>
      </w:pPr>
    </w:p>
    <w:p w14:paraId="41B4E1B8" w14:textId="77777777" w:rsidR="00D62726" w:rsidRDefault="00D62726" w:rsidP="73F31BAE">
      <w:pPr>
        <w:rPr>
          <w:rFonts w:ascii="Arial" w:eastAsia="Arial" w:hAnsi="Arial" w:cs="Arial"/>
          <w:color w:val="000000" w:themeColor="text1"/>
        </w:rPr>
      </w:pPr>
      <w:proofErr w:type="spellStart"/>
      <w:r w:rsidRPr="73F31BAE">
        <w:rPr>
          <w:rFonts w:ascii="Arial" w:eastAsia="Arial" w:hAnsi="Arial" w:cs="Arial"/>
          <w:color w:val="000000" w:themeColor="text1"/>
        </w:rPr>
        <w:t>Frijns</w:t>
      </w:r>
      <w:proofErr w:type="spellEnd"/>
      <w:r w:rsidRPr="73F31BAE">
        <w:rPr>
          <w:rFonts w:ascii="Arial" w:eastAsia="Arial" w:hAnsi="Arial" w:cs="Arial"/>
          <w:color w:val="000000" w:themeColor="text1"/>
        </w:rPr>
        <w:t xml:space="preserve">, B. and </w:t>
      </w:r>
      <w:proofErr w:type="spellStart"/>
      <w:r w:rsidRPr="73F31BAE">
        <w:rPr>
          <w:rFonts w:ascii="Arial" w:eastAsia="Arial" w:hAnsi="Arial" w:cs="Arial"/>
          <w:color w:val="000000" w:themeColor="text1"/>
        </w:rPr>
        <w:t>Tse</w:t>
      </w:r>
      <w:proofErr w:type="spellEnd"/>
      <w:r w:rsidRPr="73F31BAE">
        <w:rPr>
          <w:rFonts w:ascii="Arial" w:eastAsia="Arial" w:hAnsi="Arial" w:cs="Arial"/>
          <w:color w:val="000000" w:themeColor="text1"/>
        </w:rPr>
        <w:t xml:space="preserve">, Y. (2015) </w:t>
      </w:r>
      <w:r w:rsidRPr="73F31BAE">
        <w:rPr>
          <w:rFonts w:ascii="Arial" w:eastAsia="Arial" w:hAnsi="Arial" w:cs="Arial"/>
          <w:i/>
          <w:iCs/>
          <w:color w:val="000000" w:themeColor="text1"/>
        </w:rPr>
        <w:t xml:space="preserve">The informativeness of trades and quotes in the FTSE 100 Index futures market. </w:t>
      </w:r>
      <w:r w:rsidRPr="73F31BAE">
        <w:rPr>
          <w:rFonts w:ascii="Arial" w:eastAsia="Arial" w:hAnsi="Arial" w:cs="Arial"/>
          <w:color w:val="000000" w:themeColor="text1"/>
        </w:rPr>
        <w:t>Journal of Futures Markets, 35(2), pp.105-126.</w:t>
      </w:r>
    </w:p>
    <w:p w14:paraId="02722DA9" w14:textId="77777777" w:rsidR="00D62726" w:rsidRDefault="00D62726" w:rsidP="73F31BAE">
      <w:pPr>
        <w:rPr>
          <w:rFonts w:ascii="Arial" w:eastAsia="Arial" w:hAnsi="Arial" w:cs="Arial"/>
          <w:color w:val="000000" w:themeColor="text1"/>
        </w:rPr>
      </w:pPr>
    </w:p>
    <w:p w14:paraId="53442D34"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Gao, J., Zhu, S., O’Sullivan, N. and Sherman, M. (2019) </w:t>
      </w:r>
      <w:r w:rsidRPr="73F31BAE">
        <w:rPr>
          <w:rFonts w:ascii="Arial" w:eastAsia="Arial" w:hAnsi="Arial" w:cs="Arial"/>
          <w:i/>
          <w:iCs/>
          <w:color w:val="000000" w:themeColor="text1"/>
        </w:rPr>
        <w:t>The role of economic uncertainty in UK stock returns.</w:t>
      </w:r>
      <w:r w:rsidRPr="73F31BAE">
        <w:rPr>
          <w:rFonts w:ascii="Arial" w:eastAsia="Arial" w:hAnsi="Arial" w:cs="Arial"/>
          <w:color w:val="000000" w:themeColor="text1"/>
        </w:rPr>
        <w:t xml:space="preserve"> Journal of Risk and Financial Management, 12(1), p.5. Available at: </w:t>
      </w:r>
      <w:hyperlink r:id="rId30">
        <w:r w:rsidRPr="73F31BAE">
          <w:rPr>
            <w:rStyle w:val="Hyperlink"/>
            <w:rFonts w:ascii="Arial" w:eastAsia="Arial" w:hAnsi="Arial" w:cs="Arial"/>
            <w:color w:val="000000" w:themeColor="text1"/>
          </w:rPr>
          <w:t>https://www.mdpi.com/1911-8074/12/1/5/pdf</w:t>
        </w:r>
      </w:hyperlink>
      <w:r w:rsidRPr="73F31BAE">
        <w:rPr>
          <w:rFonts w:ascii="Arial" w:eastAsia="Arial" w:hAnsi="Arial" w:cs="Arial"/>
          <w:color w:val="000000" w:themeColor="text1"/>
        </w:rPr>
        <w:t xml:space="preserve">  </w:t>
      </w:r>
    </w:p>
    <w:p w14:paraId="676D37ED" w14:textId="77777777" w:rsidR="00D62726" w:rsidRDefault="00D62726" w:rsidP="73F31BAE">
      <w:pPr>
        <w:spacing w:after="0" w:line="360" w:lineRule="auto"/>
        <w:ind w:left="-20" w:right="-20"/>
        <w:jc w:val="both"/>
      </w:pPr>
    </w:p>
    <w:p w14:paraId="79870A2A"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lastRenderedPageBreak/>
        <w:t xml:space="preserve">Göçer, İ. and </w:t>
      </w:r>
      <w:proofErr w:type="spellStart"/>
      <w:r w:rsidRPr="73F31BAE">
        <w:rPr>
          <w:rFonts w:ascii="Arial" w:eastAsia="Arial" w:hAnsi="Arial" w:cs="Arial"/>
          <w:color w:val="000000" w:themeColor="text1"/>
        </w:rPr>
        <w:t>Ongan</w:t>
      </w:r>
      <w:proofErr w:type="spellEnd"/>
      <w:r w:rsidRPr="73F31BAE">
        <w:rPr>
          <w:rFonts w:ascii="Arial" w:eastAsia="Arial" w:hAnsi="Arial" w:cs="Arial"/>
          <w:color w:val="000000" w:themeColor="text1"/>
        </w:rPr>
        <w:t xml:space="preserve">, S. (2020). </w:t>
      </w:r>
      <w:r w:rsidRPr="73F31BAE">
        <w:rPr>
          <w:rFonts w:ascii="Arial" w:eastAsia="Arial" w:hAnsi="Arial" w:cs="Arial"/>
          <w:i/>
          <w:iCs/>
          <w:color w:val="000000" w:themeColor="text1"/>
        </w:rPr>
        <w:t xml:space="preserve">The relationship between inflation and interest rates in the </w:t>
      </w:r>
      <w:proofErr w:type="spellStart"/>
      <w:r w:rsidRPr="73F31BAE">
        <w:rPr>
          <w:rFonts w:ascii="Arial" w:eastAsia="Arial" w:hAnsi="Arial" w:cs="Arial"/>
          <w:i/>
          <w:iCs/>
          <w:color w:val="000000" w:themeColor="text1"/>
        </w:rPr>
        <w:t>Uk</w:t>
      </w:r>
      <w:proofErr w:type="spellEnd"/>
      <w:r w:rsidRPr="73F31BAE">
        <w:rPr>
          <w:rFonts w:ascii="Arial" w:eastAsia="Arial" w:hAnsi="Arial" w:cs="Arial"/>
          <w:i/>
          <w:iCs/>
          <w:color w:val="000000" w:themeColor="text1"/>
        </w:rPr>
        <w:t xml:space="preserve">: the nonlinear ARDL approach. </w:t>
      </w:r>
      <w:r w:rsidRPr="73F31BAE">
        <w:rPr>
          <w:rFonts w:ascii="Arial" w:eastAsia="Arial" w:hAnsi="Arial" w:cs="Arial"/>
          <w:color w:val="000000" w:themeColor="text1"/>
        </w:rPr>
        <w:t xml:space="preserve">Journal of Central Banking Theory and Practice, 9(3), 77-86. </w:t>
      </w:r>
    </w:p>
    <w:p w14:paraId="09C0774B" w14:textId="77777777" w:rsidR="00D62726" w:rsidRDefault="00D62726" w:rsidP="73F31BAE">
      <w:pPr>
        <w:rPr>
          <w:rFonts w:ascii="Arial" w:eastAsia="Arial" w:hAnsi="Arial" w:cs="Arial"/>
          <w:color w:val="000000" w:themeColor="text1"/>
        </w:rPr>
      </w:pPr>
    </w:p>
    <w:p w14:paraId="4C9DEB23"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Goertzen, M.J. (2017) </w:t>
      </w:r>
      <w:r w:rsidRPr="73F31BAE">
        <w:rPr>
          <w:rFonts w:ascii="Arial" w:eastAsia="Arial" w:hAnsi="Arial" w:cs="Arial"/>
          <w:i/>
          <w:iCs/>
          <w:color w:val="000000" w:themeColor="text1"/>
        </w:rPr>
        <w:t>Introduction to quantitative research and data.</w:t>
      </w:r>
      <w:r w:rsidRPr="73F31BAE">
        <w:rPr>
          <w:rFonts w:ascii="Arial" w:eastAsia="Arial" w:hAnsi="Arial" w:cs="Arial"/>
          <w:color w:val="000000" w:themeColor="text1"/>
        </w:rPr>
        <w:t xml:space="preserve"> Library Technology Reports, 53(4), pp.12-18. </w:t>
      </w:r>
    </w:p>
    <w:p w14:paraId="09ACA74C" w14:textId="77777777" w:rsidR="00D62726" w:rsidRDefault="00D62726" w:rsidP="73F31BAE">
      <w:pPr>
        <w:spacing w:after="0" w:line="360" w:lineRule="auto"/>
        <w:ind w:left="-20" w:right="-20"/>
        <w:jc w:val="both"/>
      </w:pPr>
    </w:p>
    <w:p w14:paraId="61527D8C"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Gormsen, N.J. and </w:t>
      </w:r>
      <w:proofErr w:type="spellStart"/>
      <w:r w:rsidRPr="73F31BAE">
        <w:rPr>
          <w:rFonts w:ascii="Arial" w:eastAsia="Arial" w:hAnsi="Arial" w:cs="Arial"/>
          <w:color w:val="000000" w:themeColor="text1"/>
        </w:rPr>
        <w:t>Koijen</w:t>
      </w:r>
      <w:proofErr w:type="spellEnd"/>
      <w:r w:rsidRPr="73F31BAE">
        <w:rPr>
          <w:rFonts w:ascii="Arial" w:eastAsia="Arial" w:hAnsi="Arial" w:cs="Arial"/>
          <w:color w:val="000000" w:themeColor="text1"/>
        </w:rPr>
        <w:t xml:space="preserve">, R.S.J. (2020) </w:t>
      </w:r>
      <w:r w:rsidRPr="73F31BAE">
        <w:rPr>
          <w:rFonts w:ascii="Arial" w:eastAsia="Arial" w:hAnsi="Arial" w:cs="Arial"/>
          <w:i/>
          <w:iCs/>
          <w:color w:val="000000" w:themeColor="text1"/>
        </w:rPr>
        <w:t>‘Coronavirus: Impact on Stock Prices and Growth Expectations’,</w:t>
      </w:r>
      <w:r w:rsidRPr="73F31BAE">
        <w:rPr>
          <w:rFonts w:ascii="Arial" w:eastAsia="Arial" w:hAnsi="Arial" w:cs="Arial"/>
          <w:color w:val="000000" w:themeColor="text1"/>
        </w:rPr>
        <w:t xml:space="preserve"> Review of asset pricing studies, 10(4), pp. 574–597. Available at: </w:t>
      </w:r>
      <w:hyperlink r:id="rId31">
        <w:r w:rsidRPr="73F31BAE">
          <w:rPr>
            <w:rStyle w:val="Hyperlink"/>
            <w:rFonts w:ascii="Arial" w:eastAsia="Arial" w:hAnsi="Arial" w:cs="Arial"/>
            <w:color w:val="000000" w:themeColor="text1"/>
          </w:rPr>
          <w:t>https://doi.org/10.1093/rapstu/raaa013</w:t>
        </w:r>
      </w:hyperlink>
      <w:r w:rsidRPr="73F31BAE">
        <w:rPr>
          <w:rFonts w:ascii="Arial" w:eastAsia="Arial" w:hAnsi="Arial" w:cs="Arial"/>
          <w:color w:val="000000" w:themeColor="text1"/>
        </w:rPr>
        <w:t xml:space="preserve">.  </w:t>
      </w:r>
    </w:p>
    <w:p w14:paraId="2E28E245" w14:textId="77777777" w:rsidR="00D62726" w:rsidRDefault="00D62726" w:rsidP="73F31BAE">
      <w:pPr>
        <w:spacing w:after="0" w:line="360" w:lineRule="auto"/>
        <w:ind w:left="-20" w:right="-20"/>
        <w:jc w:val="both"/>
      </w:pPr>
    </w:p>
    <w:p w14:paraId="34A749EA" w14:textId="77777777" w:rsidR="00D62726" w:rsidRDefault="00D62726" w:rsidP="73F31BAE">
      <w:pPr>
        <w:rPr>
          <w:rFonts w:ascii="Arial" w:eastAsia="Arial" w:hAnsi="Arial" w:cs="Arial"/>
          <w:color w:val="1E1D1A"/>
        </w:rPr>
      </w:pPr>
      <w:r w:rsidRPr="73F31BAE">
        <w:rPr>
          <w:rFonts w:ascii="Arial" w:eastAsia="Arial" w:hAnsi="Arial" w:cs="Arial"/>
          <w:color w:val="1E1D1A"/>
        </w:rPr>
        <w:t xml:space="preserve">Grossman, R. S. (2014). </w:t>
      </w:r>
      <w:r w:rsidRPr="73F31BAE">
        <w:rPr>
          <w:rFonts w:ascii="Arial" w:eastAsia="Arial" w:hAnsi="Arial" w:cs="Arial"/>
          <w:i/>
          <w:iCs/>
          <w:color w:val="1E1D1A"/>
        </w:rPr>
        <w:t xml:space="preserve">Bloody foreigners! overseas equity on the London stock exchange, 1869–1929. </w:t>
      </w:r>
      <w:r w:rsidRPr="73F31BAE">
        <w:rPr>
          <w:rFonts w:ascii="Arial" w:eastAsia="Arial" w:hAnsi="Arial" w:cs="Arial"/>
          <w:color w:val="1E1D1A"/>
        </w:rPr>
        <w:t xml:space="preserve">The Economic History Review, 68(2), 471-521. </w:t>
      </w:r>
    </w:p>
    <w:p w14:paraId="6D848567" w14:textId="77777777" w:rsidR="00D62726" w:rsidRDefault="00D62726" w:rsidP="73F31BAE">
      <w:pPr>
        <w:rPr>
          <w:rFonts w:ascii="Arial" w:eastAsia="Arial" w:hAnsi="Arial" w:cs="Arial"/>
          <w:color w:val="1E1D1A"/>
        </w:rPr>
      </w:pPr>
    </w:p>
    <w:p w14:paraId="10CB589F"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Gupta, R., Hasan, M.M., Islam, S.Z., Yasmin, T. and Uddin, J., (2023) </w:t>
      </w:r>
      <w:r w:rsidRPr="73F31BAE">
        <w:rPr>
          <w:rFonts w:ascii="Arial" w:eastAsia="Arial" w:hAnsi="Arial" w:cs="Arial"/>
          <w:i/>
          <w:iCs/>
          <w:color w:val="000000" w:themeColor="text1"/>
        </w:rPr>
        <w:t>Evaluating the Brexit and COVID-19’s influence on the UK economy: A data analysis.</w:t>
      </w:r>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Plos</w:t>
      </w:r>
      <w:proofErr w:type="spellEnd"/>
      <w:r w:rsidRPr="73F31BAE">
        <w:rPr>
          <w:rFonts w:ascii="Arial" w:eastAsia="Arial" w:hAnsi="Arial" w:cs="Arial"/>
          <w:color w:val="000000" w:themeColor="text1"/>
        </w:rPr>
        <w:t xml:space="preserve"> one, 18(6), p.e0287342. </w:t>
      </w:r>
    </w:p>
    <w:p w14:paraId="36621CDC" w14:textId="77777777" w:rsidR="00D62726" w:rsidRDefault="00D62726" w:rsidP="73F31BAE">
      <w:pPr>
        <w:spacing w:after="0" w:line="360" w:lineRule="auto"/>
        <w:ind w:left="-20" w:right="-20"/>
        <w:jc w:val="both"/>
      </w:pPr>
    </w:p>
    <w:p w14:paraId="64139198" w14:textId="77777777" w:rsidR="00D62726" w:rsidRDefault="00D62726" w:rsidP="73F31BAE">
      <w:pPr>
        <w:spacing w:after="0" w:line="360" w:lineRule="auto"/>
        <w:ind w:left="-20" w:right="-20"/>
        <w:jc w:val="both"/>
        <w:rPr>
          <w:rFonts w:ascii="Arial" w:eastAsia="Arial" w:hAnsi="Arial" w:cs="Arial"/>
          <w:color w:val="000000" w:themeColor="text1"/>
        </w:rPr>
      </w:pPr>
      <w:proofErr w:type="spellStart"/>
      <w:r w:rsidRPr="73F31BAE">
        <w:rPr>
          <w:rFonts w:ascii="Arial" w:eastAsia="Arial" w:hAnsi="Arial" w:cs="Arial"/>
          <w:color w:val="000000" w:themeColor="text1"/>
        </w:rPr>
        <w:t>Hajilee</w:t>
      </w:r>
      <w:proofErr w:type="spellEnd"/>
      <w:r w:rsidRPr="73F31BAE">
        <w:rPr>
          <w:rFonts w:ascii="Arial" w:eastAsia="Arial" w:hAnsi="Arial" w:cs="Arial"/>
          <w:color w:val="000000" w:themeColor="text1"/>
        </w:rPr>
        <w:t xml:space="preserve">, M. and Nasser, O.M.A. (2017) </w:t>
      </w:r>
      <w:r w:rsidRPr="73F31BAE">
        <w:rPr>
          <w:rFonts w:ascii="Arial" w:eastAsia="Arial" w:hAnsi="Arial" w:cs="Arial"/>
          <w:i/>
          <w:iCs/>
          <w:color w:val="000000" w:themeColor="text1"/>
        </w:rPr>
        <w:t>The impact of interest rate volatility on stock market development: Evidence from emerging markets.</w:t>
      </w:r>
      <w:r w:rsidRPr="73F31BAE">
        <w:rPr>
          <w:rFonts w:ascii="Arial" w:eastAsia="Arial" w:hAnsi="Arial" w:cs="Arial"/>
          <w:color w:val="000000" w:themeColor="text1"/>
        </w:rPr>
        <w:t xml:space="preserve"> The Journal of Developing Areas, 51(2), pp.301-313. </w:t>
      </w:r>
    </w:p>
    <w:p w14:paraId="4E6089D0" w14:textId="77777777" w:rsidR="00D62726" w:rsidRDefault="00D62726" w:rsidP="73F31BAE">
      <w:pPr>
        <w:spacing w:after="0" w:line="360" w:lineRule="auto"/>
        <w:ind w:left="-20" w:right="-20"/>
        <w:jc w:val="both"/>
      </w:pPr>
    </w:p>
    <w:p w14:paraId="5DC55925"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Hall, M. (2023) </w:t>
      </w:r>
      <w:r w:rsidRPr="73F31BAE">
        <w:rPr>
          <w:rFonts w:ascii="Arial" w:eastAsia="Arial" w:hAnsi="Arial" w:cs="Arial"/>
          <w:i/>
          <w:iCs/>
          <w:color w:val="000000" w:themeColor="text1"/>
        </w:rPr>
        <w:t xml:space="preserve">How do Interest rates affect the stock markets? </w:t>
      </w:r>
      <w:r w:rsidRPr="73F31BAE">
        <w:rPr>
          <w:rFonts w:ascii="Arial" w:eastAsia="Arial" w:hAnsi="Arial" w:cs="Arial"/>
          <w:color w:val="000000" w:themeColor="text1"/>
        </w:rPr>
        <w:t xml:space="preserve">Available at: </w:t>
      </w:r>
      <w:hyperlink r:id="rId32">
        <w:r w:rsidRPr="73F31BAE">
          <w:rPr>
            <w:rStyle w:val="Hyperlink"/>
            <w:rFonts w:ascii="Arial" w:eastAsia="Arial" w:hAnsi="Arial" w:cs="Arial"/>
            <w:color w:val="000000" w:themeColor="text1"/>
          </w:rPr>
          <w:t>https://www.investopedia.com/investing/how-interest-rates-affect-stock-market/</w:t>
        </w:r>
      </w:hyperlink>
      <w:r w:rsidRPr="73F31BAE">
        <w:rPr>
          <w:rFonts w:ascii="Arial" w:eastAsia="Arial" w:hAnsi="Arial" w:cs="Arial"/>
          <w:color w:val="000000" w:themeColor="text1"/>
        </w:rPr>
        <w:t xml:space="preserve"> (Accessed on: 8</w:t>
      </w:r>
      <w:r w:rsidRPr="73F31BAE">
        <w:rPr>
          <w:rFonts w:ascii="Arial" w:eastAsia="Arial" w:hAnsi="Arial" w:cs="Arial"/>
          <w:color w:val="000000" w:themeColor="text1"/>
          <w:vertAlign w:val="superscript"/>
        </w:rPr>
        <w:t>th</w:t>
      </w:r>
      <w:r w:rsidRPr="73F31BAE">
        <w:rPr>
          <w:rFonts w:ascii="Arial" w:eastAsia="Arial" w:hAnsi="Arial" w:cs="Arial"/>
          <w:color w:val="000000" w:themeColor="text1"/>
        </w:rPr>
        <w:t xml:space="preserve"> October 2023) </w:t>
      </w:r>
    </w:p>
    <w:p w14:paraId="0866E77E" w14:textId="77777777" w:rsidR="00D62726" w:rsidRDefault="00D62726" w:rsidP="73F31BAE">
      <w:pPr>
        <w:spacing w:after="0" w:line="360" w:lineRule="auto"/>
        <w:ind w:left="-20" w:right="-20"/>
        <w:jc w:val="both"/>
      </w:pPr>
    </w:p>
    <w:p w14:paraId="76F9D3FA"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Hasbrouck, J. and Seppi, D.J. (2001) </w:t>
      </w:r>
      <w:r w:rsidRPr="73F31BAE">
        <w:rPr>
          <w:rFonts w:ascii="Arial" w:eastAsia="Arial" w:hAnsi="Arial" w:cs="Arial"/>
          <w:i/>
          <w:iCs/>
          <w:color w:val="000000" w:themeColor="text1"/>
        </w:rPr>
        <w:t>Common factors in prices, order flows, and liquidity.</w:t>
      </w:r>
      <w:r w:rsidRPr="73F31BAE">
        <w:rPr>
          <w:rFonts w:ascii="Arial" w:eastAsia="Arial" w:hAnsi="Arial" w:cs="Arial"/>
          <w:color w:val="000000" w:themeColor="text1"/>
        </w:rPr>
        <w:t xml:space="preserve"> Journal of financial Economics, 59(3), pp.383-411. Available at: </w:t>
      </w:r>
      <w:hyperlink r:id="rId33">
        <w:r w:rsidRPr="73F31BAE">
          <w:rPr>
            <w:rStyle w:val="Hyperlink"/>
            <w:rFonts w:ascii="Arial" w:eastAsia="Arial" w:hAnsi="Arial" w:cs="Arial"/>
            <w:color w:val="000000" w:themeColor="text1"/>
          </w:rPr>
          <w:t>https://archive.nyu.edu/bitstream/2451/26848/2/wpa99011.pdf</w:t>
        </w:r>
      </w:hyperlink>
      <w:r w:rsidRPr="73F31BAE">
        <w:rPr>
          <w:rFonts w:ascii="Arial" w:eastAsia="Arial" w:hAnsi="Arial" w:cs="Arial"/>
          <w:color w:val="000000" w:themeColor="text1"/>
        </w:rPr>
        <w:t xml:space="preserve">  </w:t>
      </w:r>
    </w:p>
    <w:p w14:paraId="0DF300B9" w14:textId="77777777" w:rsidR="00D62726" w:rsidRDefault="00D62726" w:rsidP="73F31BAE">
      <w:pPr>
        <w:spacing w:after="0" w:line="360" w:lineRule="auto"/>
        <w:ind w:left="-20" w:right="-20"/>
        <w:jc w:val="both"/>
      </w:pPr>
    </w:p>
    <w:p w14:paraId="69462178"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Hock Tsen Wong (2022) </w:t>
      </w:r>
      <w:r w:rsidRPr="73F31BAE">
        <w:rPr>
          <w:rFonts w:ascii="Arial" w:eastAsia="Arial" w:hAnsi="Arial" w:cs="Arial"/>
          <w:i/>
          <w:iCs/>
          <w:color w:val="000000" w:themeColor="text1"/>
        </w:rPr>
        <w:t>‘The impact of real exchange rates on real stock prices’,</w:t>
      </w:r>
      <w:r w:rsidRPr="73F31BAE">
        <w:rPr>
          <w:rFonts w:ascii="Arial" w:eastAsia="Arial" w:hAnsi="Arial" w:cs="Arial"/>
          <w:color w:val="000000" w:themeColor="text1"/>
        </w:rPr>
        <w:t xml:space="preserve"> Journal of Economics, Finance and Administrative Science, 27(54), pp. 262–276. Available at: </w:t>
      </w:r>
      <w:hyperlink r:id="rId34">
        <w:r w:rsidRPr="73F31BAE">
          <w:rPr>
            <w:rStyle w:val="Hyperlink"/>
            <w:rFonts w:ascii="Arial" w:eastAsia="Arial" w:hAnsi="Arial" w:cs="Arial"/>
            <w:color w:val="000000" w:themeColor="text1"/>
          </w:rPr>
          <w:t>https://doi.org/10.1108/JEFAS-03-2021-0011</w:t>
        </w:r>
      </w:hyperlink>
      <w:r w:rsidRPr="73F31BAE">
        <w:rPr>
          <w:rFonts w:ascii="Arial" w:eastAsia="Arial" w:hAnsi="Arial" w:cs="Arial"/>
          <w:color w:val="000000" w:themeColor="text1"/>
        </w:rPr>
        <w:t xml:space="preserve">.  </w:t>
      </w:r>
    </w:p>
    <w:p w14:paraId="5244D748" w14:textId="77777777" w:rsidR="00D62726" w:rsidRDefault="00D62726" w:rsidP="73F31BAE">
      <w:pPr>
        <w:spacing w:after="0" w:line="360" w:lineRule="auto"/>
        <w:ind w:left="-20" w:right="-20"/>
        <w:jc w:val="both"/>
      </w:pPr>
    </w:p>
    <w:p w14:paraId="427ED7FA"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Hull, J.C. (2003) </w:t>
      </w:r>
      <w:r w:rsidRPr="73F31BAE">
        <w:rPr>
          <w:rFonts w:ascii="Arial" w:eastAsia="Arial" w:hAnsi="Arial" w:cs="Arial"/>
          <w:i/>
          <w:iCs/>
          <w:color w:val="000000" w:themeColor="text1"/>
        </w:rPr>
        <w:t>Options futures and other derivatives.</w:t>
      </w:r>
      <w:r w:rsidRPr="73F31BAE">
        <w:rPr>
          <w:rFonts w:ascii="Arial" w:eastAsia="Arial" w:hAnsi="Arial" w:cs="Arial"/>
          <w:color w:val="000000" w:themeColor="text1"/>
        </w:rPr>
        <w:t xml:space="preserve"> Pearson Education India. Available at: </w:t>
      </w:r>
      <w:hyperlink r:id="rId35">
        <w:r w:rsidRPr="73F31BAE">
          <w:rPr>
            <w:rStyle w:val="Hyperlink"/>
            <w:rFonts w:ascii="Arial" w:eastAsia="Arial" w:hAnsi="Arial" w:cs="Arial"/>
            <w:color w:val="000000" w:themeColor="text1"/>
          </w:rPr>
          <w:t>https://doc1.bibliothek.li/acd/FLMF046862.pdf</w:t>
        </w:r>
      </w:hyperlink>
      <w:r w:rsidRPr="73F31BAE">
        <w:rPr>
          <w:rFonts w:ascii="Arial" w:eastAsia="Arial" w:hAnsi="Arial" w:cs="Arial"/>
          <w:color w:val="000000" w:themeColor="text1"/>
        </w:rPr>
        <w:t xml:space="preserve">  </w:t>
      </w:r>
    </w:p>
    <w:p w14:paraId="4A8939E0" w14:textId="77777777" w:rsidR="00D62726" w:rsidRDefault="00D62726" w:rsidP="73F31BAE">
      <w:pPr>
        <w:spacing w:after="0" w:line="360" w:lineRule="auto"/>
        <w:ind w:left="-20" w:right="-20"/>
        <w:jc w:val="both"/>
      </w:pPr>
    </w:p>
    <w:p w14:paraId="1730746E"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Hyde, S. (2006). </w:t>
      </w:r>
      <w:r w:rsidRPr="73F31BAE">
        <w:rPr>
          <w:rFonts w:ascii="Arial" w:eastAsia="Arial" w:hAnsi="Arial" w:cs="Arial"/>
          <w:i/>
          <w:iCs/>
          <w:color w:val="000000" w:themeColor="text1"/>
        </w:rPr>
        <w:t>The response of industry stock returns to market, exchange rate and interest rate risks.</w:t>
      </w:r>
      <w:r w:rsidRPr="73F31BAE">
        <w:rPr>
          <w:rFonts w:ascii="Arial" w:eastAsia="Arial" w:hAnsi="Arial" w:cs="Arial"/>
          <w:color w:val="000000" w:themeColor="text1"/>
        </w:rPr>
        <w:t xml:space="preserve"> SSRN Electronic Journal.  </w:t>
      </w:r>
    </w:p>
    <w:p w14:paraId="3ABDAE9E" w14:textId="77777777" w:rsidR="00D62726" w:rsidRDefault="00D62726" w:rsidP="73F31BAE">
      <w:pPr>
        <w:spacing w:after="0" w:line="360" w:lineRule="auto"/>
        <w:ind w:left="-20" w:right="-20"/>
        <w:jc w:val="both"/>
      </w:pPr>
    </w:p>
    <w:p w14:paraId="38EF54F0"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Ibikunle, G. (2015). </w:t>
      </w:r>
      <w:r w:rsidRPr="73F31BAE">
        <w:rPr>
          <w:rFonts w:ascii="Arial" w:eastAsia="Arial" w:hAnsi="Arial" w:cs="Arial"/>
          <w:i/>
          <w:iCs/>
          <w:color w:val="000000" w:themeColor="text1"/>
        </w:rPr>
        <w:t xml:space="preserve">Opening and closing price efficiency: do financial markets need the call auction? </w:t>
      </w:r>
      <w:r w:rsidRPr="73F31BAE">
        <w:rPr>
          <w:rFonts w:ascii="Arial" w:eastAsia="Arial" w:hAnsi="Arial" w:cs="Arial"/>
          <w:color w:val="000000" w:themeColor="text1"/>
        </w:rPr>
        <w:t>Journal of International Financial Markets, Institutions and Money, 34, 208-227.</w:t>
      </w:r>
    </w:p>
    <w:p w14:paraId="5E86564C" w14:textId="77777777" w:rsidR="00D62726" w:rsidRDefault="00D62726" w:rsidP="73F31BAE">
      <w:pPr>
        <w:rPr>
          <w:rFonts w:ascii="Arial" w:eastAsia="Arial" w:hAnsi="Arial" w:cs="Arial"/>
          <w:color w:val="000000" w:themeColor="text1"/>
        </w:rPr>
      </w:pPr>
    </w:p>
    <w:p w14:paraId="509A3EC6"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Ibikunle, G. (2018). </w:t>
      </w:r>
      <w:r w:rsidRPr="73F31BAE">
        <w:rPr>
          <w:rFonts w:ascii="Arial" w:eastAsia="Arial" w:hAnsi="Arial" w:cs="Arial"/>
          <w:i/>
          <w:iCs/>
          <w:color w:val="000000" w:themeColor="text1"/>
        </w:rPr>
        <w:t>Trading places: price leadership and the competition for order flow.</w:t>
      </w:r>
      <w:r w:rsidRPr="73F31BAE">
        <w:rPr>
          <w:rFonts w:ascii="Arial" w:eastAsia="Arial" w:hAnsi="Arial" w:cs="Arial"/>
          <w:color w:val="000000" w:themeColor="text1"/>
        </w:rPr>
        <w:t xml:space="preserve"> Journal of Empirical Finance, 49, 178-200. </w:t>
      </w:r>
    </w:p>
    <w:p w14:paraId="1A5C432D" w14:textId="77777777" w:rsidR="00D62726" w:rsidRDefault="00D62726" w:rsidP="73F31BAE">
      <w:pPr>
        <w:rPr>
          <w:rFonts w:ascii="Arial" w:eastAsia="Arial" w:hAnsi="Arial" w:cs="Arial"/>
          <w:color w:val="000000" w:themeColor="text1"/>
        </w:rPr>
      </w:pPr>
    </w:p>
    <w:p w14:paraId="486705A0" w14:textId="77777777" w:rsidR="00D62726" w:rsidRDefault="00D62726" w:rsidP="73F31BAE">
      <w:pPr>
        <w:jc w:val="both"/>
        <w:rPr>
          <w:rFonts w:ascii="Arial" w:eastAsia="Arial" w:hAnsi="Arial" w:cs="Arial"/>
          <w:color w:val="000000" w:themeColor="text1"/>
        </w:rPr>
      </w:pPr>
      <w:r w:rsidRPr="73F31BAE">
        <w:rPr>
          <w:rFonts w:ascii="Arial" w:eastAsia="Arial" w:hAnsi="Arial" w:cs="Arial"/>
          <w:color w:val="000000" w:themeColor="text1"/>
        </w:rPr>
        <w:t xml:space="preserve">Idrees, S. M., Alam, M. A., and Agarwal, P. (2019). </w:t>
      </w:r>
      <w:r w:rsidRPr="73F31BAE">
        <w:rPr>
          <w:rFonts w:ascii="Arial" w:eastAsia="Arial" w:hAnsi="Arial" w:cs="Arial"/>
          <w:i/>
          <w:iCs/>
          <w:color w:val="000000" w:themeColor="text1"/>
        </w:rPr>
        <w:t>A prediction approach for stock market volatility based on time series data.</w:t>
      </w:r>
      <w:r w:rsidRPr="73F31BAE">
        <w:rPr>
          <w:rFonts w:ascii="Arial" w:eastAsia="Arial" w:hAnsi="Arial" w:cs="Arial"/>
          <w:color w:val="000000" w:themeColor="text1"/>
        </w:rPr>
        <w:t xml:space="preserve"> IEEE Access, 7, 17287-17298. </w:t>
      </w:r>
    </w:p>
    <w:p w14:paraId="2437324E" w14:textId="77777777" w:rsidR="00D62726" w:rsidRDefault="00D62726" w:rsidP="73F31BAE">
      <w:pPr>
        <w:jc w:val="both"/>
        <w:rPr>
          <w:rFonts w:ascii="Arial" w:eastAsia="Arial" w:hAnsi="Arial" w:cs="Arial"/>
          <w:color w:val="000000" w:themeColor="text1"/>
        </w:rPr>
      </w:pPr>
    </w:p>
    <w:p w14:paraId="334FA0D8" w14:textId="24466A95"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IMF European Department (2023) </w:t>
      </w:r>
      <w:r w:rsidRPr="73F31BAE">
        <w:rPr>
          <w:rFonts w:ascii="Arial" w:eastAsia="Arial" w:hAnsi="Arial" w:cs="Arial"/>
          <w:i/>
          <w:iCs/>
          <w:color w:val="000000" w:themeColor="text1"/>
        </w:rPr>
        <w:t xml:space="preserve">United Kingdom’s long run </w:t>
      </w:r>
      <w:proofErr w:type="spellStart"/>
      <w:r w:rsidRPr="73F31BAE">
        <w:rPr>
          <w:rFonts w:ascii="Arial" w:eastAsia="Arial" w:hAnsi="Arial" w:cs="Arial"/>
          <w:i/>
          <w:iCs/>
          <w:color w:val="000000" w:themeColor="text1"/>
        </w:rPr>
        <w:t>propersity</w:t>
      </w:r>
      <w:proofErr w:type="spellEnd"/>
      <w:r w:rsidRPr="73F31BAE">
        <w:rPr>
          <w:rFonts w:ascii="Arial" w:eastAsia="Arial" w:hAnsi="Arial" w:cs="Arial"/>
          <w:i/>
          <w:iCs/>
          <w:color w:val="000000" w:themeColor="text1"/>
        </w:rPr>
        <w:t xml:space="preserve"> hinges on ambitious reforms.</w:t>
      </w:r>
      <w:r w:rsidRPr="73F31BAE">
        <w:rPr>
          <w:rFonts w:ascii="Arial" w:eastAsia="Arial" w:hAnsi="Arial" w:cs="Arial"/>
          <w:color w:val="000000" w:themeColor="text1"/>
        </w:rPr>
        <w:t xml:space="preserve"> Available at: </w:t>
      </w:r>
      <w:hyperlink r:id="rId36">
        <w:r w:rsidRPr="73F31BAE">
          <w:rPr>
            <w:rStyle w:val="Hyperlink"/>
            <w:rFonts w:ascii="Arial" w:eastAsia="Arial" w:hAnsi="Arial" w:cs="Arial"/>
            <w:color w:val="000000" w:themeColor="text1"/>
          </w:rPr>
          <w:t>https://www.imf.org/en/News/Articles/2023/07/11/cf-United-Kingdoms-Long-Run-Prosperity-Hinges-on-Ambitious-Reforms</w:t>
        </w:r>
      </w:hyperlink>
      <w:r w:rsidRPr="73F31BAE">
        <w:rPr>
          <w:rFonts w:ascii="Arial" w:eastAsia="Arial" w:hAnsi="Arial" w:cs="Arial"/>
          <w:color w:val="000000" w:themeColor="text1"/>
        </w:rPr>
        <w:t xml:space="preserve">  </w:t>
      </w:r>
    </w:p>
    <w:p w14:paraId="11501B56" w14:textId="77777777" w:rsidR="00D62726" w:rsidRDefault="00D62726" w:rsidP="73F31BAE">
      <w:pPr>
        <w:spacing w:after="0" w:line="360" w:lineRule="auto"/>
        <w:ind w:left="-20" w:right="-20"/>
        <w:jc w:val="both"/>
      </w:pPr>
    </w:p>
    <w:p w14:paraId="10DA5085"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International Trade </w:t>
      </w:r>
      <w:proofErr w:type="spellStart"/>
      <w:r w:rsidRPr="73F31BAE">
        <w:rPr>
          <w:rFonts w:ascii="Arial" w:eastAsia="Arial" w:hAnsi="Arial" w:cs="Arial"/>
          <w:color w:val="000000" w:themeColor="text1"/>
        </w:rPr>
        <w:t>Adminstration</w:t>
      </w:r>
      <w:proofErr w:type="spellEnd"/>
      <w:r w:rsidRPr="73F31BAE">
        <w:rPr>
          <w:rFonts w:ascii="Arial" w:eastAsia="Arial" w:hAnsi="Arial" w:cs="Arial"/>
          <w:color w:val="000000" w:themeColor="text1"/>
        </w:rPr>
        <w:t xml:space="preserve"> (2023) </w:t>
      </w:r>
      <w:r w:rsidRPr="73F31BAE">
        <w:rPr>
          <w:rFonts w:ascii="Arial" w:eastAsia="Arial" w:hAnsi="Arial" w:cs="Arial"/>
          <w:i/>
          <w:iCs/>
          <w:color w:val="000000" w:themeColor="text1"/>
        </w:rPr>
        <w:t>United Kingdom - Country Commercial Guide.</w:t>
      </w:r>
      <w:r w:rsidRPr="73F31BAE">
        <w:rPr>
          <w:rFonts w:ascii="Arial" w:eastAsia="Arial" w:hAnsi="Arial" w:cs="Arial"/>
          <w:color w:val="000000" w:themeColor="text1"/>
        </w:rPr>
        <w:t xml:space="preserve"> Available at: </w:t>
      </w:r>
      <w:hyperlink r:id="rId37">
        <w:r w:rsidRPr="73F31BAE">
          <w:rPr>
            <w:rStyle w:val="Hyperlink"/>
            <w:rFonts w:ascii="Arial" w:eastAsia="Arial" w:hAnsi="Arial" w:cs="Arial"/>
            <w:color w:val="000000" w:themeColor="text1"/>
          </w:rPr>
          <w:t>https://www.trade.gov/knowledge-product/united-kingdom-market-overview</w:t>
        </w:r>
      </w:hyperlink>
      <w:r w:rsidRPr="73F31BAE">
        <w:rPr>
          <w:rFonts w:ascii="Arial" w:eastAsia="Arial" w:hAnsi="Arial" w:cs="Arial"/>
          <w:color w:val="000000" w:themeColor="text1"/>
        </w:rPr>
        <w:t xml:space="preserve">  </w:t>
      </w:r>
    </w:p>
    <w:p w14:paraId="394FFB83" w14:textId="77777777" w:rsidR="00D62726" w:rsidRDefault="00D62726" w:rsidP="73F31BAE">
      <w:pPr>
        <w:spacing w:after="0" w:line="360" w:lineRule="auto"/>
        <w:ind w:left="-20" w:right="-20"/>
        <w:jc w:val="both"/>
      </w:pPr>
    </w:p>
    <w:p w14:paraId="224FADD3"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Jain, N. (2023) </w:t>
      </w:r>
      <w:r w:rsidRPr="73F31BAE">
        <w:rPr>
          <w:rFonts w:ascii="Arial" w:eastAsia="Arial" w:hAnsi="Arial" w:cs="Arial"/>
          <w:i/>
          <w:iCs/>
          <w:color w:val="000000" w:themeColor="text1"/>
        </w:rPr>
        <w:t xml:space="preserve">What is Qualitative research? Definitions, types, examples, methods, and best practices. Available at: </w:t>
      </w:r>
      <w:hyperlink r:id="rId38">
        <w:r w:rsidRPr="73F31BAE">
          <w:rPr>
            <w:rStyle w:val="Hyperlink"/>
            <w:rFonts w:ascii="Arial" w:eastAsia="Arial" w:hAnsi="Arial" w:cs="Arial"/>
            <w:i/>
            <w:iCs/>
            <w:color w:val="000000" w:themeColor="text1"/>
          </w:rPr>
          <w:t>https://ideascale.com/blog/what-is-qualitative-research/</w:t>
        </w:r>
      </w:hyperlink>
      <w:r w:rsidRPr="73F31BAE">
        <w:rPr>
          <w:rFonts w:ascii="Arial" w:eastAsia="Arial" w:hAnsi="Arial" w:cs="Arial"/>
          <w:i/>
          <w:iCs/>
          <w:color w:val="000000" w:themeColor="text1"/>
        </w:rPr>
        <w:t xml:space="preserve"> </w:t>
      </w:r>
      <w:r w:rsidRPr="73F31BAE">
        <w:rPr>
          <w:rFonts w:ascii="Arial" w:eastAsia="Arial" w:hAnsi="Arial" w:cs="Arial"/>
          <w:color w:val="000000" w:themeColor="text1"/>
        </w:rPr>
        <w:t xml:space="preserve"> </w:t>
      </w:r>
    </w:p>
    <w:p w14:paraId="1A2D054A" w14:textId="77777777" w:rsidR="00D62726" w:rsidRDefault="00D62726" w:rsidP="73F31BAE">
      <w:pPr>
        <w:spacing w:after="0" w:line="360" w:lineRule="auto"/>
        <w:ind w:left="-20" w:right="-20"/>
        <w:jc w:val="both"/>
      </w:pPr>
    </w:p>
    <w:p w14:paraId="65CC3145"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Jain, N. (2023) </w:t>
      </w:r>
      <w:r w:rsidRPr="73F31BAE">
        <w:rPr>
          <w:rFonts w:ascii="Arial" w:eastAsia="Arial" w:hAnsi="Arial" w:cs="Arial"/>
          <w:i/>
          <w:iCs/>
          <w:color w:val="000000" w:themeColor="text1"/>
        </w:rPr>
        <w:t xml:space="preserve">What is Quantitative research design? Definitions, types, methods, and best practices. Available at: </w:t>
      </w:r>
      <w:hyperlink r:id="rId39">
        <w:r w:rsidRPr="73F31BAE">
          <w:rPr>
            <w:rStyle w:val="Hyperlink"/>
            <w:rFonts w:ascii="Arial" w:eastAsia="Arial" w:hAnsi="Arial" w:cs="Arial"/>
            <w:i/>
            <w:iCs/>
            <w:color w:val="000000" w:themeColor="text1"/>
          </w:rPr>
          <w:t>https://ideascale.com/blog/quantitative-research-design/</w:t>
        </w:r>
      </w:hyperlink>
      <w:r w:rsidRPr="73F31BAE">
        <w:rPr>
          <w:rFonts w:ascii="Arial" w:eastAsia="Arial" w:hAnsi="Arial" w:cs="Arial"/>
          <w:i/>
          <w:iCs/>
          <w:color w:val="000000" w:themeColor="text1"/>
        </w:rPr>
        <w:t xml:space="preserve"> </w:t>
      </w:r>
      <w:r w:rsidRPr="73F31BAE">
        <w:rPr>
          <w:rFonts w:ascii="Arial" w:eastAsia="Arial" w:hAnsi="Arial" w:cs="Arial"/>
          <w:color w:val="000000" w:themeColor="text1"/>
        </w:rPr>
        <w:t xml:space="preserve"> </w:t>
      </w:r>
    </w:p>
    <w:p w14:paraId="02098FF9" w14:textId="77777777" w:rsidR="00D62726" w:rsidRDefault="00D62726" w:rsidP="73F31BAE">
      <w:pPr>
        <w:spacing w:after="0" w:line="360" w:lineRule="auto"/>
        <w:ind w:left="-20" w:right="-20"/>
        <w:jc w:val="both"/>
      </w:pPr>
    </w:p>
    <w:p w14:paraId="658B180E"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Jareño, F. and </w:t>
      </w:r>
      <w:proofErr w:type="spellStart"/>
      <w:r w:rsidRPr="73F31BAE">
        <w:rPr>
          <w:rFonts w:ascii="Arial" w:eastAsia="Arial" w:hAnsi="Arial" w:cs="Arial"/>
          <w:color w:val="000000" w:themeColor="text1"/>
        </w:rPr>
        <w:t>Negrut</w:t>
      </w:r>
      <w:proofErr w:type="spellEnd"/>
      <w:r w:rsidRPr="73F31BAE">
        <w:rPr>
          <w:rFonts w:ascii="Arial" w:eastAsia="Arial" w:hAnsi="Arial" w:cs="Arial"/>
          <w:color w:val="000000" w:themeColor="text1"/>
        </w:rPr>
        <w:t>, L. (2015).</w:t>
      </w:r>
      <w:r w:rsidRPr="73F31BAE">
        <w:rPr>
          <w:rFonts w:ascii="Arial" w:eastAsia="Arial" w:hAnsi="Arial" w:cs="Arial"/>
          <w:i/>
          <w:iCs/>
          <w:color w:val="000000" w:themeColor="text1"/>
        </w:rPr>
        <w:t xml:space="preserve"> Us stock market and macroeconomic factors.</w:t>
      </w:r>
      <w:r w:rsidRPr="73F31BAE">
        <w:rPr>
          <w:rFonts w:ascii="Arial" w:eastAsia="Arial" w:hAnsi="Arial" w:cs="Arial"/>
          <w:color w:val="000000" w:themeColor="text1"/>
        </w:rPr>
        <w:t xml:space="preserve"> Journal of Applied Business Research (JABR), 32(1), 325.</w:t>
      </w:r>
    </w:p>
    <w:p w14:paraId="438B6D5C" w14:textId="77777777" w:rsidR="00D62726" w:rsidRDefault="00D62726" w:rsidP="73F31BAE">
      <w:pPr>
        <w:rPr>
          <w:rFonts w:ascii="Arial" w:eastAsia="Arial" w:hAnsi="Arial" w:cs="Arial"/>
          <w:color w:val="000000" w:themeColor="text1"/>
        </w:rPr>
      </w:pPr>
    </w:p>
    <w:p w14:paraId="2426B1D2" w14:textId="77777777" w:rsidR="00D62726" w:rsidRDefault="00D62726" w:rsidP="73F31BAE">
      <w:pPr>
        <w:jc w:val="both"/>
        <w:rPr>
          <w:rFonts w:ascii="Arial" w:eastAsia="Arial" w:hAnsi="Arial" w:cs="Arial"/>
          <w:color w:val="000000" w:themeColor="text1"/>
        </w:rPr>
      </w:pPr>
      <w:r w:rsidRPr="73F31BAE">
        <w:rPr>
          <w:rFonts w:ascii="Arial" w:eastAsia="Arial" w:hAnsi="Arial" w:cs="Arial"/>
          <w:color w:val="000000" w:themeColor="text1"/>
        </w:rPr>
        <w:t xml:space="preserve">Jiang, S. (2023). </w:t>
      </w:r>
      <w:r w:rsidRPr="73F31BAE">
        <w:rPr>
          <w:rFonts w:ascii="Arial" w:eastAsia="Arial" w:hAnsi="Arial" w:cs="Arial"/>
          <w:i/>
          <w:iCs/>
          <w:color w:val="000000" w:themeColor="text1"/>
        </w:rPr>
        <w:t xml:space="preserve">Research on the relationship between the price of bitcoin and the stock market </w:t>
      </w:r>
      <w:proofErr w:type="gramStart"/>
      <w:r w:rsidRPr="73F31BAE">
        <w:rPr>
          <w:rFonts w:ascii="Arial" w:eastAsia="Arial" w:hAnsi="Arial" w:cs="Arial"/>
          <w:i/>
          <w:iCs/>
          <w:color w:val="000000" w:themeColor="text1"/>
        </w:rPr>
        <w:t>base</w:t>
      </w:r>
      <w:proofErr w:type="gramEnd"/>
      <w:r w:rsidRPr="73F31BAE">
        <w:rPr>
          <w:rFonts w:ascii="Arial" w:eastAsia="Arial" w:hAnsi="Arial" w:cs="Arial"/>
          <w:i/>
          <w:iCs/>
          <w:color w:val="000000" w:themeColor="text1"/>
        </w:rPr>
        <w:t xml:space="preserve"> on linear regression.</w:t>
      </w:r>
      <w:r w:rsidRPr="73F31BAE">
        <w:rPr>
          <w:rFonts w:ascii="Arial" w:eastAsia="Arial" w:hAnsi="Arial" w:cs="Arial"/>
          <w:color w:val="000000" w:themeColor="text1"/>
        </w:rPr>
        <w:t xml:space="preserve"> Proceedings of the 4th Management Science Informatization and Economic Innovation Development Conference, MSIEID 2022, December. </w:t>
      </w:r>
    </w:p>
    <w:p w14:paraId="1038B556" w14:textId="77777777" w:rsidR="00D62726" w:rsidRDefault="00D62726" w:rsidP="73F31BAE">
      <w:pPr>
        <w:jc w:val="both"/>
        <w:rPr>
          <w:rFonts w:ascii="Arial" w:eastAsia="Arial" w:hAnsi="Arial" w:cs="Arial"/>
          <w:color w:val="000000" w:themeColor="text1"/>
        </w:rPr>
      </w:pPr>
    </w:p>
    <w:p w14:paraId="7B808BDE"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lastRenderedPageBreak/>
        <w:t xml:space="preserve">Kara, A. and Nelson, E. (2003). </w:t>
      </w:r>
      <w:r w:rsidRPr="73F31BAE">
        <w:rPr>
          <w:rFonts w:ascii="Arial" w:eastAsia="Arial" w:hAnsi="Arial" w:cs="Arial"/>
          <w:i/>
          <w:iCs/>
          <w:color w:val="000000" w:themeColor="text1"/>
        </w:rPr>
        <w:t xml:space="preserve">The exchange rate and inflation in the </w:t>
      </w:r>
      <w:proofErr w:type="spellStart"/>
      <w:r w:rsidRPr="73F31BAE">
        <w:rPr>
          <w:rFonts w:ascii="Arial" w:eastAsia="Arial" w:hAnsi="Arial" w:cs="Arial"/>
          <w:i/>
          <w:iCs/>
          <w:color w:val="000000" w:themeColor="text1"/>
        </w:rPr>
        <w:t>Uk</w:t>
      </w:r>
      <w:proofErr w:type="spellEnd"/>
      <w:r w:rsidRPr="73F31BAE">
        <w:rPr>
          <w:rFonts w:ascii="Arial" w:eastAsia="Arial" w:hAnsi="Arial" w:cs="Arial"/>
          <w:i/>
          <w:iCs/>
          <w:color w:val="000000" w:themeColor="text1"/>
        </w:rPr>
        <w:t>.</w:t>
      </w:r>
      <w:r w:rsidRPr="73F31BAE">
        <w:rPr>
          <w:rFonts w:ascii="Arial" w:eastAsia="Arial" w:hAnsi="Arial" w:cs="Arial"/>
          <w:color w:val="000000" w:themeColor="text1"/>
        </w:rPr>
        <w:t xml:space="preserve"> Scottish Journal of Political Economy, 50(5), 585-608. </w:t>
      </w:r>
    </w:p>
    <w:p w14:paraId="63B9CCB4" w14:textId="77777777" w:rsidR="00D62726" w:rsidRDefault="00D62726" w:rsidP="73F31BAE">
      <w:pPr>
        <w:rPr>
          <w:rFonts w:ascii="Arial" w:eastAsia="Arial" w:hAnsi="Arial" w:cs="Arial"/>
          <w:color w:val="000000" w:themeColor="text1"/>
        </w:rPr>
      </w:pPr>
    </w:p>
    <w:p w14:paraId="0D82C7E6"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Karpoff, J.M. (1987) </w:t>
      </w:r>
      <w:r w:rsidRPr="73F31BAE">
        <w:rPr>
          <w:rFonts w:ascii="Arial" w:eastAsia="Arial" w:hAnsi="Arial" w:cs="Arial"/>
          <w:i/>
          <w:iCs/>
          <w:color w:val="000000" w:themeColor="text1"/>
        </w:rPr>
        <w:t>The relation between price changes and trading volume: A survey.</w:t>
      </w:r>
      <w:r w:rsidRPr="73F31BAE">
        <w:rPr>
          <w:rFonts w:ascii="Arial" w:eastAsia="Arial" w:hAnsi="Arial" w:cs="Arial"/>
          <w:color w:val="000000" w:themeColor="text1"/>
        </w:rPr>
        <w:t xml:space="preserve"> Journal of Financial and quantitative Analysis, 22(1), pp.109-126. Available at: </w:t>
      </w:r>
      <w:hyperlink r:id="rId40">
        <w:r w:rsidRPr="73F31BAE">
          <w:rPr>
            <w:rStyle w:val="Hyperlink"/>
            <w:rFonts w:ascii="Arial" w:eastAsia="Arial" w:hAnsi="Arial" w:cs="Arial"/>
            <w:color w:val="0000FF"/>
          </w:rPr>
          <w:t>https://www.researchgate.net/profile/Jonathan-Karpoff/publication/227406040_The_Relation_Between_Price_Changes_and_Trading_Volume_A_Survey/links/53cecd5a0cf2fd75bc59a213/The-Relation-Between-Price-Changes-and-Trading-Volume-A-Survey.pdf</w:t>
        </w:r>
      </w:hyperlink>
      <w:r w:rsidRPr="73F31BAE">
        <w:rPr>
          <w:rFonts w:ascii="Arial" w:eastAsia="Arial" w:hAnsi="Arial" w:cs="Arial"/>
          <w:color w:val="000000" w:themeColor="text1"/>
        </w:rPr>
        <w:t xml:space="preserve">  (Accessed on: 9</w:t>
      </w:r>
      <w:r w:rsidRPr="73F31BAE">
        <w:rPr>
          <w:rFonts w:ascii="Arial" w:eastAsia="Arial" w:hAnsi="Arial" w:cs="Arial"/>
          <w:color w:val="000000" w:themeColor="text1"/>
          <w:vertAlign w:val="superscript"/>
        </w:rPr>
        <w:t>th</w:t>
      </w:r>
      <w:r w:rsidRPr="73F31BAE">
        <w:rPr>
          <w:rFonts w:ascii="Arial" w:eastAsia="Arial" w:hAnsi="Arial" w:cs="Arial"/>
          <w:color w:val="000000" w:themeColor="text1"/>
        </w:rPr>
        <w:t xml:space="preserve"> November’2023) </w:t>
      </w:r>
    </w:p>
    <w:p w14:paraId="13CBBD84" w14:textId="77777777" w:rsidR="00D62726" w:rsidRDefault="00D62726" w:rsidP="73F31BAE">
      <w:pPr>
        <w:spacing w:after="0" w:line="360" w:lineRule="auto"/>
        <w:ind w:left="-20" w:right="-20"/>
        <w:jc w:val="both"/>
      </w:pPr>
    </w:p>
    <w:p w14:paraId="6D3B8CF5" w14:textId="77777777" w:rsidR="00D62726" w:rsidRDefault="00D62726" w:rsidP="73F31BAE">
      <w:pPr>
        <w:spacing w:after="0" w:line="360" w:lineRule="auto"/>
        <w:ind w:left="-20" w:right="-20"/>
        <w:jc w:val="both"/>
      </w:pPr>
      <w:r w:rsidRPr="73F31BAE">
        <w:rPr>
          <w:rFonts w:ascii="Arial" w:eastAsia="Arial" w:hAnsi="Arial" w:cs="Arial"/>
          <w:color w:val="000000" w:themeColor="text1"/>
        </w:rPr>
        <w:t>Kim, J., (2023) S</w:t>
      </w:r>
      <w:r w:rsidRPr="73F31BAE">
        <w:rPr>
          <w:rFonts w:ascii="Arial" w:eastAsia="Arial" w:hAnsi="Arial" w:cs="Arial"/>
          <w:i/>
          <w:iCs/>
          <w:color w:val="000000" w:themeColor="text1"/>
        </w:rPr>
        <w:t>tock market reaction to US interest rate hike: evidence from an emerging market.</w:t>
      </w:r>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Heliyon</w:t>
      </w:r>
      <w:proofErr w:type="spellEnd"/>
      <w:r w:rsidRPr="73F31BAE">
        <w:rPr>
          <w:rFonts w:ascii="Arial" w:eastAsia="Arial" w:hAnsi="Arial" w:cs="Arial"/>
          <w:color w:val="000000" w:themeColor="text1"/>
        </w:rPr>
        <w:t xml:space="preserve">, 9(5). Available at: </w:t>
      </w:r>
      <w:hyperlink r:id="rId41">
        <w:r w:rsidRPr="73F31BAE">
          <w:rPr>
            <w:rStyle w:val="Hyperlink"/>
            <w:rFonts w:ascii="Arial" w:eastAsia="Arial" w:hAnsi="Arial" w:cs="Arial"/>
            <w:color w:val="000000" w:themeColor="text1"/>
          </w:rPr>
          <w:t>https://www.cell.com/heliyon/pdf/S2405-8440(23)02965-1.pdf</w:t>
        </w:r>
      </w:hyperlink>
      <w:r w:rsidRPr="73F31BAE">
        <w:rPr>
          <w:rFonts w:ascii="Arial" w:eastAsia="Arial" w:hAnsi="Arial" w:cs="Arial"/>
          <w:color w:val="000000" w:themeColor="text1"/>
        </w:rPr>
        <w:t xml:space="preserve">  </w:t>
      </w:r>
    </w:p>
    <w:p w14:paraId="209B7B02"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Koerber, L. M., Linton, O., and Vogt, M. (2013). </w:t>
      </w:r>
      <w:r w:rsidRPr="73F31BAE">
        <w:rPr>
          <w:rFonts w:ascii="Arial" w:eastAsia="Arial" w:hAnsi="Arial" w:cs="Arial"/>
          <w:i/>
          <w:iCs/>
          <w:color w:val="000000" w:themeColor="text1"/>
        </w:rPr>
        <w:t xml:space="preserve">The effect of fragmentation in trading on market quality in the </w:t>
      </w:r>
      <w:proofErr w:type="spellStart"/>
      <w:r w:rsidRPr="73F31BAE">
        <w:rPr>
          <w:rFonts w:ascii="Arial" w:eastAsia="Arial" w:hAnsi="Arial" w:cs="Arial"/>
          <w:i/>
          <w:iCs/>
          <w:color w:val="000000" w:themeColor="text1"/>
        </w:rPr>
        <w:t>uk</w:t>
      </w:r>
      <w:proofErr w:type="spellEnd"/>
      <w:r w:rsidRPr="73F31BAE">
        <w:rPr>
          <w:rFonts w:ascii="Arial" w:eastAsia="Arial" w:hAnsi="Arial" w:cs="Arial"/>
          <w:i/>
          <w:iCs/>
          <w:color w:val="000000" w:themeColor="text1"/>
        </w:rPr>
        <w:t xml:space="preserve"> equity market. </w:t>
      </w:r>
      <w:r w:rsidRPr="73F31BAE">
        <w:rPr>
          <w:rFonts w:ascii="Arial" w:eastAsia="Arial" w:hAnsi="Arial" w:cs="Arial"/>
          <w:color w:val="000000" w:themeColor="text1"/>
        </w:rPr>
        <w:t>SSRN Electronic Journal.</w:t>
      </w:r>
    </w:p>
    <w:p w14:paraId="40A6A1E4" w14:textId="77777777" w:rsidR="00D62726" w:rsidRDefault="00D62726" w:rsidP="73F31BAE">
      <w:pPr>
        <w:rPr>
          <w:rFonts w:ascii="Arial" w:eastAsia="Arial" w:hAnsi="Arial" w:cs="Arial"/>
          <w:color w:val="000000" w:themeColor="text1"/>
        </w:rPr>
      </w:pPr>
    </w:p>
    <w:p w14:paraId="07CAB3B4"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Kothari, C.R., 2004. </w:t>
      </w:r>
      <w:r w:rsidRPr="73F31BAE">
        <w:rPr>
          <w:rFonts w:ascii="Arial" w:eastAsia="Arial" w:hAnsi="Arial" w:cs="Arial"/>
          <w:i/>
          <w:iCs/>
          <w:color w:val="000000" w:themeColor="text1"/>
        </w:rPr>
        <w:t>Research methodology</w:t>
      </w:r>
      <w:r w:rsidRPr="73F31BAE">
        <w:rPr>
          <w:rFonts w:ascii="Arial" w:eastAsia="Arial" w:hAnsi="Arial" w:cs="Arial"/>
          <w:color w:val="000000" w:themeColor="text1"/>
        </w:rPr>
        <w:t xml:space="preserve">. new Age. Available at: </w:t>
      </w:r>
      <w:hyperlink r:id="rId42">
        <w:r w:rsidRPr="73F31BAE">
          <w:rPr>
            <w:rStyle w:val="Hyperlink"/>
            <w:rFonts w:ascii="Arial" w:eastAsia="Arial" w:hAnsi="Arial" w:cs="Arial"/>
            <w:color w:val="000000" w:themeColor="text1"/>
          </w:rPr>
          <w:t>https://ds.amu.edu.et/xmlui/bitstream/handle/123456789/9330/Research%20Methodology.pdf?sequence=1&amp;isAllowed=y</w:t>
        </w:r>
      </w:hyperlink>
      <w:r w:rsidRPr="73F31BAE">
        <w:rPr>
          <w:rFonts w:ascii="Arial" w:eastAsia="Arial" w:hAnsi="Arial" w:cs="Arial"/>
          <w:color w:val="000000" w:themeColor="text1"/>
        </w:rPr>
        <w:t xml:space="preserve">  </w:t>
      </w:r>
    </w:p>
    <w:p w14:paraId="5DAF4157" w14:textId="77777777" w:rsidR="00D62726" w:rsidRDefault="00D62726" w:rsidP="73F31BAE">
      <w:pPr>
        <w:spacing w:after="0" w:line="360" w:lineRule="auto"/>
        <w:ind w:left="-20" w:right="-20"/>
        <w:jc w:val="both"/>
      </w:pPr>
    </w:p>
    <w:p w14:paraId="065CA7CF"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Larkin, K. (2021). </w:t>
      </w:r>
      <w:r w:rsidRPr="73F31BAE">
        <w:rPr>
          <w:rFonts w:ascii="Arial" w:eastAsia="Arial" w:hAnsi="Arial" w:cs="Arial"/>
          <w:i/>
          <w:iCs/>
          <w:color w:val="000000" w:themeColor="text1"/>
        </w:rPr>
        <w:t>Financial shocks or productivity slowdown: contrasting the great recession and recovery in the United States and United Kingdom.</w:t>
      </w:r>
      <w:r w:rsidRPr="73F31BAE">
        <w:rPr>
          <w:rFonts w:ascii="Arial" w:eastAsia="Arial" w:hAnsi="Arial" w:cs="Arial"/>
          <w:color w:val="000000" w:themeColor="text1"/>
        </w:rPr>
        <w:t xml:space="preserve"> Review, 103(1). </w:t>
      </w:r>
    </w:p>
    <w:p w14:paraId="407FF107" w14:textId="77777777" w:rsidR="00D62726" w:rsidRDefault="00D62726" w:rsidP="73F31BAE">
      <w:pPr>
        <w:rPr>
          <w:rFonts w:ascii="Arial" w:eastAsia="Arial" w:hAnsi="Arial" w:cs="Arial"/>
          <w:color w:val="000000" w:themeColor="text1"/>
        </w:rPr>
      </w:pPr>
    </w:p>
    <w:p w14:paraId="2B9E5225" w14:textId="77777777" w:rsidR="00D62726" w:rsidRDefault="00D62726" w:rsidP="73F31BAE">
      <w:pPr>
        <w:jc w:val="both"/>
        <w:rPr>
          <w:rFonts w:ascii="Arial" w:eastAsia="Arial" w:hAnsi="Arial" w:cs="Arial"/>
          <w:color w:val="000000" w:themeColor="text1"/>
        </w:rPr>
      </w:pPr>
      <w:r w:rsidRPr="73F31BAE">
        <w:rPr>
          <w:rFonts w:ascii="Arial" w:eastAsia="Arial" w:hAnsi="Arial" w:cs="Arial"/>
          <w:color w:val="000000" w:themeColor="text1"/>
        </w:rPr>
        <w:t xml:space="preserve">Levine, R. (1999). </w:t>
      </w:r>
      <w:r w:rsidRPr="73F31BAE">
        <w:rPr>
          <w:rFonts w:ascii="Arial" w:eastAsia="Arial" w:hAnsi="Arial" w:cs="Arial"/>
          <w:i/>
          <w:iCs/>
          <w:color w:val="000000" w:themeColor="text1"/>
        </w:rPr>
        <w:t>Stock markets, banks, and economic growth</w:t>
      </w:r>
      <w:r w:rsidRPr="73F31BAE">
        <w:rPr>
          <w:rFonts w:ascii="Arial" w:eastAsia="Arial" w:hAnsi="Arial" w:cs="Arial"/>
          <w:color w:val="000000" w:themeColor="text1"/>
        </w:rPr>
        <w:t xml:space="preserve">. Policy Research Working Papers. </w:t>
      </w:r>
    </w:p>
    <w:p w14:paraId="682BC295" w14:textId="77777777" w:rsidR="00D62726" w:rsidRDefault="00D62726" w:rsidP="73F31BAE">
      <w:pPr>
        <w:jc w:val="both"/>
        <w:rPr>
          <w:rFonts w:ascii="Arial" w:eastAsia="Arial" w:hAnsi="Arial" w:cs="Arial"/>
          <w:color w:val="000000" w:themeColor="text1"/>
        </w:rPr>
      </w:pPr>
    </w:p>
    <w:p w14:paraId="73C213C7" w14:textId="77777777" w:rsidR="00D62726" w:rsidRDefault="00D62726" w:rsidP="73F31BAE">
      <w:pPr>
        <w:jc w:val="both"/>
        <w:rPr>
          <w:rFonts w:ascii="Arial" w:eastAsia="Arial" w:hAnsi="Arial" w:cs="Arial"/>
          <w:color w:val="000000" w:themeColor="text1"/>
        </w:rPr>
      </w:pPr>
      <w:r w:rsidRPr="73F31BAE">
        <w:rPr>
          <w:rFonts w:ascii="Arial" w:eastAsia="Arial" w:hAnsi="Arial" w:cs="Arial"/>
          <w:color w:val="000000" w:themeColor="text1"/>
        </w:rPr>
        <w:t xml:space="preserve">Li, X. and Shi, X. (2016). </w:t>
      </w:r>
      <w:r w:rsidRPr="73F31BAE">
        <w:rPr>
          <w:rFonts w:ascii="Arial" w:eastAsia="Arial" w:hAnsi="Arial" w:cs="Arial"/>
          <w:i/>
          <w:iCs/>
          <w:color w:val="000000" w:themeColor="text1"/>
        </w:rPr>
        <w:t>The impact of IPO on the secondary stock market—empirical research</w:t>
      </w:r>
      <w:r w:rsidRPr="73F31BAE">
        <w:rPr>
          <w:rFonts w:ascii="Arial" w:eastAsia="Arial" w:hAnsi="Arial" w:cs="Arial"/>
          <w:color w:val="000000" w:themeColor="text1"/>
        </w:rPr>
        <w:t xml:space="preserve">. Modern Economy, 07(03), 299-306. </w:t>
      </w:r>
    </w:p>
    <w:p w14:paraId="07BDD571" w14:textId="77777777" w:rsidR="00D62726" w:rsidRDefault="00D62726" w:rsidP="73F31BAE">
      <w:pPr>
        <w:jc w:val="both"/>
        <w:rPr>
          <w:rFonts w:ascii="Arial" w:eastAsia="Arial" w:hAnsi="Arial" w:cs="Arial"/>
          <w:color w:val="000000" w:themeColor="text1"/>
        </w:rPr>
      </w:pPr>
    </w:p>
    <w:p w14:paraId="777DBE4A" w14:textId="77777777" w:rsidR="00D62726" w:rsidRDefault="00D62726" w:rsidP="73F31BAE">
      <w:pPr>
        <w:rPr>
          <w:rFonts w:ascii="Arial" w:eastAsia="Arial" w:hAnsi="Arial" w:cs="Arial"/>
          <w:color w:val="1E1D1A"/>
        </w:rPr>
      </w:pPr>
      <w:r w:rsidRPr="73F31BAE">
        <w:rPr>
          <w:rFonts w:ascii="Arial" w:eastAsia="Arial" w:hAnsi="Arial" w:cs="Arial"/>
          <w:color w:val="1E1D1A"/>
        </w:rPr>
        <w:t xml:space="preserve">London Stock Exchange (2024) </w:t>
      </w:r>
      <w:r w:rsidRPr="73F31BAE">
        <w:rPr>
          <w:rFonts w:ascii="Arial" w:eastAsia="Arial" w:hAnsi="Arial" w:cs="Arial"/>
          <w:i/>
          <w:iCs/>
          <w:color w:val="1E1D1A"/>
        </w:rPr>
        <w:t xml:space="preserve">Equities Trading. </w:t>
      </w:r>
      <w:r w:rsidRPr="73F31BAE">
        <w:rPr>
          <w:rFonts w:ascii="Arial" w:eastAsia="Arial" w:hAnsi="Arial" w:cs="Arial"/>
          <w:color w:val="1E1D1A"/>
        </w:rPr>
        <w:t xml:space="preserve">Available at: </w:t>
      </w:r>
      <w:hyperlink r:id="rId43">
        <w:r w:rsidRPr="73F31BAE">
          <w:rPr>
            <w:rStyle w:val="Hyperlink"/>
            <w:rFonts w:ascii="Arial" w:eastAsia="Arial" w:hAnsi="Arial" w:cs="Arial"/>
          </w:rPr>
          <w:t>https://www.londonstockexchange.com/resources/equities-trading-resources?tab=exchange-traded-products-etps-&amp;accordionId=3-fbde55a2-6bf0-47ce-9a4f-a7a5193b0878&amp;moduleId=block_content%3A1e3be937-7bdb-4fed-a408-d2dc2b358c27</w:t>
        </w:r>
      </w:hyperlink>
      <w:r w:rsidRPr="73F31BAE">
        <w:rPr>
          <w:rFonts w:ascii="Arial" w:eastAsia="Arial" w:hAnsi="Arial" w:cs="Arial"/>
          <w:color w:val="1E1D1A"/>
        </w:rPr>
        <w:t xml:space="preserve"> (Accessed Date: 04 Jan 2024)</w:t>
      </w:r>
    </w:p>
    <w:p w14:paraId="7DE83E9C" w14:textId="77777777" w:rsidR="00D62726" w:rsidRDefault="00D62726" w:rsidP="73F31BAE">
      <w:pPr>
        <w:rPr>
          <w:rFonts w:ascii="Arial" w:eastAsia="Arial" w:hAnsi="Arial" w:cs="Arial"/>
          <w:color w:val="1E1D1A"/>
        </w:rPr>
      </w:pPr>
    </w:p>
    <w:p w14:paraId="2DFA069C"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London Stock Exchange (2024) </w:t>
      </w:r>
      <w:r w:rsidRPr="73F31BAE">
        <w:rPr>
          <w:rFonts w:ascii="Arial" w:eastAsia="Arial" w:hAnsi="Arial" w:cs="Arial"/>
          <w:i/>
          <w:iCs/>
          <w:color w:val="000000" w:themeColor="text1"/>
        </w:rPr>
        <w:t>FTSE 100</w:t>
      </w:r>
      <w:r w:rsidRPr="73F31BAE">
        <w:rPr>
          <w:rFonts w:ascii="Arial" w:eastAsia="Arial" w:hAnsi="Arial" w:cs="Arial"/>
          <w:color w:val="000000" w:themeColor="text1"/>
        </w:rPr>
        <w:t xml:space="preserve">. Available at: </w:t>
      </w:r>
      <w:hyperlink r:id="rId44">
        <w:r w:rsidRPr="73F31BAE">
          <w:rPr>
            <w:rStyle w:val="Hyperlink"/>
            <w:rFonts w:ascii="Arial" w:eastAsia="Arial" w:hAnsi="Arial" w:cs="Arial"/>
          </w:rPr>
          <w:t>https://www.londonstockexchange.com/indices/ftse-100</w:t>
        </w:r>
      </w:hyperlink>
      <w:r w:rsidRPr="73F31BAE">
        <w:rPr>
          <w:rFonts w:ascii="Arial" w:eastAsia="Arial" w:hAnsi="Arial" w:cs="Arial"/>
          <w:color w:val="000000" w:themeColor="text1"/>
        </w:rPr>
        <w:t xml:space="preserve"> (Accessed date: 01</w:t>
      </w:r>
      <w:r w:rsidRPr="73F31BAE">
        <w:rPr>
          <w:rFonts w:ascii="Arial" w:eastAsia="Arial" w:hAnsi="Arial" w:cs="Arial"/>
          <w:color w:val="000000" w:themeColor="text1"/>
          <w:vertAlign w:val="superscript"/>
        </w:rPr>
        <w:t>st</w:t>
      </w:r>
      <w:r w:rsidRPr="73F31BAE">
        <w:rPr>
          <w:rFonts w:ascii="Arial" w:eastAsia="Arial" w:hAnsi="Arial" w:cs="Arial"/>
          <w:color w:val="000000" w:themeColor="text1"/>
        </w:rPr>
        <w:t xml:space="preserve"> Jan’2024)</w:t>
      </w:r>
    </w:p>
    <w:p w14:paraId="72AC9B22" w14:textId="77777777" w:rsidR="00D62726" w:rsidRDefault="00D62726" w:rsidP="73F31BAE">
      <w:pPr>
        <w:rPr>
          <w:rFonts w:ascii="Arial" w:eastAsia="Arial" w:hAnsi="Arial" w:cs="Arial"/>
          <w:color w:val="000000" w:themeColor="text1"/>
        </w:rPr>
      </w:pPr>
    </w:p>
    <w:p w14:paraId="6BDC4D89"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London Stock Exchange (2024) </w:t>
      </w:r>
      <w:r w:rsidRPr="73F31BAE">
        <w:rPr>
          <w:rFonts w:ascii="Arial" w:eastAsia="Arial" w:hAnsi="Arial" w:cs="Arial"/>
          <w:i/>
          <w:iCs/>
          <w:color w:val="000000" w:themeColor="text1"/>
        </w:rPr>
        <w:t xml:space="preserve">FTSE 250. Available at: </w:t>
      </w:r>
      <w:hyperlink r:id="rId45">
        <w:r w:rsidRPr="73F31BAE">
          <w:rPr>
            <w:rStyle w:val="Hyperlink"/>
            <w:rFonts w:ascii="Arial" w:eastAsia="Arial" w:hAnsi="Arial" w:cs="Arial"/>
            <w:i/>
            <w:iCs/>
          </w:rPr>
          <w:t>https://www.londonstockexchange.com/indices/ftse-250</w:t>
        </w:r>
      </w:hyperlink>
      <w:r w:rsidRPr="73F31BAE">
        <w:rPr>
          <w:rFonts w:ascii="Arial" w:eastAsia="Arial" w:hAnsi="Arial" w:cs="Arial"/>
          <w:i/>
          <w:iCs/>
          <w:color w:val="000000" w:themeColor="text1"/>
        </w:rPr>
        <w:t xml:space="preserve"> </w:t>
      </w:r>
      <w:r w:rsidRPr="73F31BAE">
        <w:rPr>
          <w:rFonts w:ascii="Arial" w:eastAsia="Arial" w:hAnsi="Arial" w:cs="Arial"/>
          <w:color w:val="000000" w:themeColor="text1"/>
        </w:rPr>
        <w:t>(Accessed date: 01</w:t>
      </w:r>
      <w:r w:rsidRPr="73F31BAE">
        <w:rPr>
          <w:rFonts w:ascii="Arial" w:eastAsia="Arial" w:hAnsi="Arial" w:cs="Arial"/>
          <w:color w:val="000000" w:themeColor="text1"/>
          <w:vertAlign w:val="superscript"/>
        </w:rPr>
        <w:t>st</w:t>
      </w:r>
      <w:r w:rsidRPr="73F31BAE">
        <w:rPr>
          <w:rFonts w:ascii="Arial" w:eastAsia="Arial" w:hAnsi="Arial" w:cs="Arial"/>
          <w:color w:val="000000" w:themeColor="text1"/>
        </w:rPr>
        <w:t xml:space="preserve"> Jan’2024)</w:t>
      </w:r>
    </w:p>
    <w:p w14:paraId="3CB26A56" w14:textId="77777777" w:rsidR="00D62726" w:rsidRDefault="00D62726" w:rsidP="73F31BAE">
      <w:pPr>
        <w:rPr>
          <w:rFonts w:ascii="Arial" w:eastAsia="Arial" w:hAnsi="Arial" w:cs="Arial"/>
          <w:color w:val="000000" w:themeColor="text1"/>
        </w:rPr>
      </w:pPr>
    </w:p>
    <w:p w14:paraId="7D9769D1"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London Stock Exchange (2024) </w:t>
      </w:r>
      <w:r w:rsidRPr="73F31BAE">
        <w:rPr>
          <w:rFonts w:ascii="Arial" w:eastAsia="Arial" w:hAnsi="Arial" w:cs="Arial"/>
          <w:i/>
          <w:iCs/>
          <w:color w:val="000000" w:themeColor="text1"/>
        </w:rPr>
        <w:t xml:space="preserve">FTSE 350. Available at: </w:t>
      </w:r>
      <w:hyperlink r:id="rId46">
        <w:r w:rsidRPr="73F31BAE">
          <w:rPr>
            <w:rStyle w:val="Hyperlink"/>
            <w:rFonts w:ascii="Arial" w:eastAsia="Arial" w:hAnsi="Arial" w:cs="Arial"/>
            <w:i/>
            <w:iCs/>
          </w:rPr>
          <w:t>https://www.londonstockexchange.com/indices/ftse-350</w:t>
        </w:r>
      </w:hyperlink>
      <w:r w:rsidRPr="73F31BAE">
        <w:rPr>
          <w:rFonts w:ascii="Arial" w:eastAsia="Arial" w:hAnsi="Arial" w:cs="Arial"/>
          <w:i/>
          <w:iCs/>
          <w:color w:val="000000" w:themeColor="text1"/>
        </w:rPr>
        <w:t xml:space="preserve"> </w:t>
      </w:r>
      <w:r w:rsidRPr="73F31BAE">
        <w:rPr>
          <w:rFonts w:ascii="Arial" w:eastAsia="Arial" w:hAnsi="Arial" w:cs="Arial"/>
          <w:color w:val="000000" w:themeColor="text1"/>
        </w:rPr>
        <w:t>(Accessed date: 01</w:t>
      </w:r>
      <w:r w:rsidRPr="73F31BAE">
        <w:rPr>
          <w:rFonts w:ascii="Arial" w:eastAsia="Arial" w:hAnsi="Arial" w:cs="Arial"/>
          <w:color w:val="000000" w:themeColor="text1"/>
          <w:vertAlign w:val="superscript"/>
        </w:rPr>
        <w:t>st</w:t>
      </w:r>
      <w:r w:rsidRPr="73F31BAE">
        <w:rPr>
          <w:rFonts w:ascii="Arial" w:eastAsia="Arial" w:hAnsi="Arial" w:cs="Arial"/>
          <w:color w:val="000000" w:themeColor="text1"/>
        </w:rPr>
        <w:t xml:space="preserve"> Jan’2024)</w:t>
      </w:r>
    </w:p>
    <w:p w14:paraId="3C0577D8" w14:textId="77777777" w:rsidR="00D62726" w:rsidRDefault="00D62726" w:rsidP="73F31BAE">
      <w:pPr>
        <w:rPr>
          <w:rFonts w:ascii="Arial" w:eastAsia="Arial" w:hAnsi="Arial" w:cs="Arial"/>
          <w:color w:val="000000" w:themeColor="text1"/>
        </w:rPr>
      </w:pPr>
    </w:p>
    <w:p w14:paraId="34C36A3E"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London Stock Exchange (2024) </w:t>
      </w:r>
      <w:r w:rsidRPr="73F31BAE">
        <w:rPr>
          <w:rFonts w:ascii="Arial" w:eastAsia="Arial" w:hAnsi="Arial" w:cs="Arial"/>
          <w:i/>
          <w:iCs/>
          <w:color w:val="000000" w:themeColor="text1"/>
        </w:rPr>
        <w:t xml:space="preserve">FTSE All-Share. Available at: </w:t>
      </w:r>
      <w:hyperlink r:id="rId47">
        <w:r w:rsidRPr="73F31BAE">
          <w:rPr>
            <w:rStyle w:val="Hyperlink"/>
            <w:rFonts w:ascii="Arial" w:eastAsia="Arial" w:hAnsi="Arial" w:cs="Arial"/>
            <w:i/>
            <w:iCs/>
          </w:rPr>
          <w:t>https://www.londonstockexchange.com/indices/ftse-all-share</w:t>
        </w:r>
      </w:hyperlink>
      <w:r w:rsidRPr="73F31BAE">
        <w:rPr>
          <w:rFonts w:ascii="Arial" w:eastAsia="Arial" w:hAnsi="Arial" w:cs="Arial"/>
          <w:i/>
          <w:iCs/>
          <w:color w:val="000000" w:themeColor="text1"/>
        </w:rPr>
        <w:t xml:space="preserve"> </w:t>
      </w:r>
      <w:r w:rsidRPr="73F31BAE">
        <w:rPr>
          <w:rFonts w:ascii="Arial" w:eastAsia="Arial" w:hAnsi="Arial" w:cs="Arial"/>
          <w:color w:val="000000" w:themeColor="text1"/>
        </w:rPr>
        <w:t>(Accessed date: 01 Jan’2024)</w:t>
      </w:r>
    </w:p>
    <w:p w14:paraId="22ADD2DD" w14:textId="77777777" w:rsidR="00D62726" w:rsidRDefault="00D62726" w:rsidP="73F31BAE">
      <w:pPr>
        <w:rPr>
          <w:rFonts w:ascii="Arial" w:eastAsia="Arial" w:hAnsi="Arial" w:cs="Arial"/>
          <w:color w:val="000000" w:themeColor="text1"/>
        </w:rPr>
      </w:pPr>
    </w:p>
    <w:p w14:paraId="47CF94FB" w14:textId="77777777" w:rsidR="00D62726" w:rsidRDefault="00D62726" w:rsidP="73F31BAE">
      <w:pPr>
        <w:jc w:val="both"/>
        <w:rPr>
          <w:rFonts w:ascii="Arial" w:eastAsia="Arial" w:hAnsi="Arial" w:cs="Arial"/>
          <w:color w:val="000000" w:themeColor="text1"/>
        </w:rPr>
      </w:pPr>
      <w:r w:rsidRPr="73F31BAE">
        <w:rPr>
          <w:rFonts w:ascii="Arial" w:eastAsia="Arial" w:hAnsi="Arial" w:cs="Arial"/>
          <w:color w:val="000000" w:themeColor="text1"/>
        </w:rPr>
        <w:t xml:space="preserve">Macaulay, A. C., </w:t>
      </w:r>
      <w:proofErr w:type="spellStart"/>
      <w:r w:rsidRPr="73F31BAE">
        <w:rPr>
          <w:rFonts w:ascii="Arial" w:eastAsia="Arial" w:hAnsi="Arial" w:cs="Arial"/>
          <w:color w:val="000000" w:themeColor="text1"/>
        </w:rPr>
        <w:t>Jagosh</w:t>
      </w:r>
      <w:proofErr w:type="spellEnd"/>
      <w:r w:rsidRPr="73F31BAE">
        <w:rPr>
          <w:rFonts w:ascii="Arial" w:eastAsia="Arial" w:hAnsi="Arial" w:cs="Arial"/>
          <w:color w:val="000000" w:themeColor="text1"/>
        </w:rPr>
        <w:t xml:space="preserve">, J., </w:t>
      </w:r>
      <w:proofErr w:type="spellStart"/>
      <w:r w:rsidRPr="73F31BAE">
        <w:rPr>
          <w:rFonts w:ascii="Arial" w:eastAsia="Arial" w:hAnsi="Arial" w:cs="Arial"/>
          <w:color w:val="000000" w:themeColor="text1"/>
        </w:rPr>
        <w:t>Pluye</w:t>
      </w:r>
      <w:proofErr w:type="spellEnd"/>
      <w:r w:rsidRPr="73F31BAE">
        <w:rPr>
          <w:rFonts w:ascii="Arial" w:eastAsia="Arial" w:hAnsi="Arial" w:cs="Arial"/>
          <w:color w:val="000000" w:themeColor="text1"/>
        </w:rPr>
        <w:t xml:space="preserve">, P., Bush, P. L., and Salsberg, J. (2013). </w:t>
      </w:r>
      <w:r w:rsidRPr="73F31BAE">
        <w:rPr>
          <w:rFonts w:ascii="Arial" w:eastAsia="Arial" w:hAnsi="Arial" w:cs="Arial"/>
          <w:i/>
          <w:iCs/>
          <w:color w:val="000000" w:themeColor="text1"/>
        </w:rPr>
        <w:t>Quantitative methods in participatory research.</w:t>
      </w:r>
      <w:r w:rsidRPr="73F31BAE">
        <w:rPr>
          <w:rFonts w:ascii="Arial" w:eastAsia="Arial" w:hAnsi="Arial" w:cs="Arial"/>
          <w:color w:val="000000" w:themeColor="text1"/>
        </w:rPr>
        <w:t xml:space="preserve"> Le Dossier: </w:t>
      </w:r>
      <w:proofErr w:type="spellStart"/>
      <w:r w:rsidRPr="73F31BAE">
        <w:rPr>
          <w:rFonts w:ascii="Arial" w:eastAsia="Arial" w:hAnsi="Arial" w:cs="Arial"/>
          <w:color w:val="000000" w:themeColor="text1"/>
        </w:rPr>
        <w:t>Recherches</w:t>
      </w:r>
      <w:proofErr w:type="spellEnd"/>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Participatives</w:t>
      </w:r>
      <w:proofErr w:type="spellEnd"/>
      <w:r w:rsidRPr="73F31BAE">
        <w:rPr>
          <w:rFonts w:ascii="Arial" w:eastAsia="Arial" w:hAnsi="Arial" w:cs="Arial"/>
          <w:color w:val="000000" w:themeColor="text1"/>
        </w:rPr>
        <w:t xml:space="preserve">, 25(2), 159-172. </w:t>
      </w:r>
    </w:p>
    <w:p w14:paraId="0974BEAC" w14:textId="77777777" w:rsidR="00D62726" w:rsidRDefault="00D62726" w:rsidP="73F31BAE">
      <w:pPr>
        <w:jc w:val="both"/>
        <w:rPr>
          <w:rFonts w:ascii="Arial" w:eastAsia="Arial" w:hAnsi="Arial" w:cs="Arial"/>
          <w:color w:val="000000" w:themeColor="text1"/>
        </w:rPr>
      </w:pPr>
    </w:p>
    <w:p w14:paraId="01932D77"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Mallik, G. and Bhar, R. (2011). </w:t>
      </w:r>
      <w:r w:rsidRPr="73F31BAE">
        <w:rPr>
          <w:rFonts w:ascii="Arial" w:eastAsia="Arial" w:hAnsi="Arial" w:cs="Arial"/>
          <w:i/>
          <w:iCs/>
          <w:color w:val="000000" w:themeColor="text1"/>
        </w:rPr>
        <w:t>Has the link between inflation uncertainty and interest rates changed after inflation targeting?</w:t>
      </w:r>
      <w:r w:rsidRPr="73F31BAE">
        <w:rPr>
          <w:rFonts w:ascii="Arial" w:eastAsia="Arial" w:hAnsi="Arial" w:cs="Arial"/>
          <w:color w:val="000000" w:themeColor="text1"/>
        </w:rPr>
        <w:t xml:space="preserve"> Journal of Economic Studies, 38(6), 620-636.</w:t>
      </w:r>
    </w:p>
    <w:p w14:paraId="0DB4B62C" w14:textId="77777777" w:rsidR="00D62726" w:rsidRDefault="00D62726" w:rsidP="73F31BAE">
      <w:pPr>
        <w:rPr>
          <w:rFonts w:ascii="Arial" w:eastAsia="Arial" w:hAnsi="Arial" w:cs="Arial"/>
          <w:color w:val="000000" w:themeColor="text1"/>
        </w:rPr>
      </w:pPr>
    </w:p>
    <w:p w14:paraId="0643DE43"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Mañas, A.T. (2005) </w:t>
      </w:r>
      <w:r w:rsidRPr="73F31BAE">
        <w:rPr>
          <w:rFonts w:ascii="Arial" w:eastAsia="Arial" w:hAnsi="Arial" w:cs="Arial"/>
          <w:i/>
          <w:iCs/>
          <w:color w:val="000000" w:themeColor="text1"/>
        </w:rPr>
        <w:t>The increasing relevance of the stock market in the world: A new scenario.</w:t>
      </w:r>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Documentos</w:t>
      </w:r>
      <w:proofErr w:type="spellEnd"/>
      <w:r w:rsidRPr="73F31BAE">
        <w:rPr>
          <w:rFonts w:ascii="Arial" w:eastAsia="Arial" w:hAnsi="Arial" w:cs="Arial"/>
          <w:color w:val="000000" w:themeColor="text1"/>
        </w:rPr>
        <w:t xml:space="preserve"> de </w:t>
      </w:r>
      <w:proofErr w:type="spellStart"/>
      <w:r w:rsidRPr="73F31BAE">
        <w:rPr>
          <w:rFonts w:ascii="Arial" w:eastAsia="Arial" w:hAnsi="Arial" w:cs="Arial"/>
          <w:color w:val="000000" w:themeColor="text1"/>
        </w:rPr>
        <w:t>Trabajo</w:t>
      </w:r>
      <w:proofErr w:type="spellEnd"/>
      <w:r w:rsidRPr="73F31BAE">
        <w:rPr>
          <w:rFonts w:ascii="Arial" w:eastAsia="Arial" w:hAnsi="Arial" w:cs="Arial"/>
          <w:color w:val="000000" w:themeColor="text1"/>
        </w:rPr>
        <w:t xml:space="preserve"> (IAES, Instituto Universitario de </w:t>
      </w:r>
      <w:proofErr w:type="spellStart"/>
      <w:r w:rsidRPr="73F31BAE">
        <w:rPr>
          <w:rFonts w:ascii="Arial" w:eastAsia="Arial" w:hAnsi="Arial" w:cs="Arial"/>
          <w:color w:val="000000" w:themeColor="text1"/>
        </w:rPr>
        <w:t>Análisis</w:t>
      </w:r>
      <w:proofErr w:type="spellEnd"/>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Económico</w:t>
      </w:r>
      <w:proofErr w:type="spellEnd"/>
      <w:r w:rsidRPr="73F31BAE">
        <w:rPr>
          <w:rFonts w:ascii="Arial" w:eastAsia="Arial" w:hAnsi="Arial" w:cs="Arial"/>
          <w:color w:val="000000" w:themeColor="text1"/>
        </w:rPr>
        <w:t xml:space="preserve"> y Social), (1), p.2.</w:t>
      </w:r>
    </w:p>
    <w:p w14:paraId="46F0B51D" w14:textId="77777777" w:rsidR="00D62726" w:rsidRDefault="00D62726" w:rsidP="73F31BAE">
      <w:pPr>
        <w:rPr>
          <w:rFonts w:ascii="Arial" w:eastAsia="Arial" w:hAnsi="Arial" w:cs="Arial"/>
          <w:color w:val="000000" w:themeColor="text1"/>
        </w:rPr>
      </w:pPr>
    </w:p>
    <w:p w14:paraId="74B2745F" w14:textId="77777777" w:rsidR="00D62726" w:rsidRDefault="00D62726" w:rsidP="73F31BAE">
      <w:pPr>
        <w:spacing w:after="0" w:line="360" w:lineRule="auto"/>
        <w:ind w:left="-20" w:right="-20"/>
        <w:jc w:val="both"/>
        <w:rPr>
          <w:rFonts w:ascii="Arial" w:eastAsia="Arial" w:hAnsi="Arial" w:cs="Arial"/>
          <w:color w:val="000000" w:themeColor="text1"/>
        </w:rPr>
      </w:pPr>
      <w:proofErr w:type="spellStart"/>
      <w:r w:rsidRPr="73F31BAE">
        <w:rPr>
          <w:rFonts w:ascii="Arial" w:eastAsia="Arial" w:hAnsi="Arial" w:cs="Arial"/>
          <w:color w:val="000000" w:themeColor="text1"/>
        </w:rPr>
        <w:t>Mandanwale</w:t>
      </w:r>
      <w:proofErr w:type="spellEnd"/>
      <w:r w:rsidRPr="73F31BAE">
        <w:rPr>
          <w:rFonts w:ascii="Arial" w:eastAsia="Arial" w:hAnsi="Arial" w:cs="Arial"/>
          <w:color w:val="000000" w:themeColor="text1"/>
        </w:rPr>
        <w:t xml:space="preserve">, V. (2023) </w:t>
      </w:r>
      <w:r w:rsidRPr="73F31BAE">
        <w:rPr>
          <w:rFonts w:ascii="Arial" w:eastAsia="Arial" w:hAnsi="Arial" w:cs="Arial"/>
          <w:i/>
          <w:iCs/>
          <w:color w:val="000000" w:themeColor="text1"/>
        </w:rPr>
        <w:t xml:space="preserve">Impact of Interest Rates on Stock Market Performance: Thesis. </w:t>
      </w:r>
      <w:r w:rsidRPr="73F31BAE">
        <w:rPr>
          <w:rFonts w:ascii="Arial" w:eastAsia="Arial" w:hAnsi="Arial" w:cs="Arial"/>
          <w:color w:val="000000" w:themeColor="text1"/>
        </w:rPr>
        <w:t xml:space="preserve">Available at: </w:t>
      </w:r>
      <w:hyperlink r:id="rId48">
        <w:r w:rsidRPr="73F31BAE">
          <w:rPr>
            <w:rStyle w:val="Hyperlink"/>
            <w:rFonts w:ascii="Arial" w:eastAsia="Arial" w:hAnsi="Arial" w:cs="Arial"/>
            <w:color w:val="000000" w:themeColor="text1"/>
          </w:rPr>
          <w:t>https://www.linkedin.com/pulse/impact-interest-rates-stock-market-performance-thesis-madanwale</w:t>
        </w:r>
      </w:hyperlink>
      <w:r w:rsidRPr="73F31BAE">
        <w:rPr>
          <w:rFonts w:ascii="Arial" w:eastAsia="Arial" w:hAnsi="Arial" w:cs="Arial"/>
          <w:color w:val="000000" w:themeColor="text1"/>
        </w:rPr>
        <w:t xml:space="preserve"> (Accessed on: 16th October 2023) </w:t>
      </w:r>
    </w:p>
    <w:p w14:paraId="736244A7" w14:textId="77777777" w:rsidR="00D62726" w:rsidRDefault="00D62726" w:rsidP="73F31BAE">
      <w:pPr>
        <w:spacing w:after="0" w:line="360" w:lineRule="auto"/>
        <w:ind w:left="-20" w:right="-20"/>
        <w:jc w:val="both"/>
      </w:pPr>
    </w:p>
    <w:p w14:paraId="7D276983" w14:textId="77777777" w:rsidR="00D62726" w:rsidRDefault="00D62726" w:rsidP="73F31BAE">
      <w:pPr>
        <w:rPr>
          <w:rFonts w:ascii="Arial" w:eastAsia="Arial" w:hAnsi="Arial" w:cs="Arial"/>
          <w:color w:val="000000" w:themeColor="text1"/>
        </w:rPr>
      </w:pPr>
      <w:proofErr w:type="spellStart"/>
      <w:r w:rsidRPr="73F31BAE">
        <w:rPr>
          <w:rFonts w:ascii="Arial" w:eastAsia="Arial" w:hAnsi="Arial" w:cs="Arial"/>
          <w:color w:val="000000" w:themeColor="text1"/>
        </w:rPr>
        <w:t>Marobhe</w:t>
      </w:r>
      <w:proofErr w:type="spellEnd"/>
      <w:r w:rsidRPr="73F31BAE">
        <w:rPr>
          <w:rFonts w:ascii="Arial" w:eastAsia="Arial" w:hAnsi="Arial" w:cs="Arial"/>
          <w:color w:val="000000" w:themeColor="text1"/>
        </w:rPr>
        <w:t xml:space="preserve">, M. I. (2021). </w:t>
      </w:r>
      <w:r w:rsidRPr="73F31BAE">
        <w:rPr>
          <w:rFonts w:ascii="Arial" w:eastAsia="Arial" w:hAnsi="Arial" w:cs="Arial"/>
          <w:i/>
          <w:iCs/>
          <w:color w:val="000000" w:themeColor="text1"/>
        </w:rPr>
        <w:t xml:space="preserve">Cryptocurrency as </w:t>
      </w:r>
      <w:proofErr w:type="gramStart"/>
      <w:r w:rsidRPr="73F31BAE">
        <w:rPr>
          <w:rFonts w:ascii="Arial" w:eastAsia="Arial" w:hAnsi="Arial" w:cs="Arial"/>
          <w:i/>
          <w:iCs/>
          <w:color w:val="000000" w:themeColor="text1"/>
        </w:rPr>
        <w:t>a safe haven</w:t>
      </w:r>
      <w:proofErr w:type="gramEnd"/>
      <w:r w:rsidRPr="73F31BAE">
        <w:rPr>
          <w:rFonts w:ascii="Arial" w:eastAsia="Arial" w:hAnsi="Arial" w:cs="Arial"/>
          <w:i/>
          <w:iCs/>
          <w:color w:val="000000" w:themeColor="text1"/>
        </w:rPr>
        <w:t xml:space="preserve"> for investment portfolios amid covid-19 panic cases of bitcoin, </w:t>
      </w:r>
      <w:proofErr w:type="spellStart"/>
      <w:r w:rsidRPr="73F31BAE">
        <w:rPr>
          <w:rFonts w:ascii="Arial" w:eastAsia="Arial" w:hAnsi="Arial" w:cs="Arial"/>
          <w:i/>
          <w:iCs/>
          <w:color w:val="000000" w:themeColor="text1"/>
        </w:rPr>
        <w:t>ethereum</w:t>
      </w:r>
      <w:proofErr w:type="spellEnd"/>
      <w:r w:rsidRPr="73F31BAE">
        <w:rPr>
          <w:rFonts w:ascii="Arial" w:eastAsia="Arial" w:hAnsi="Arial" w:cs="Arial"/>
          <w:i/>
          <w:iCs/>
          <w:color w:val="000000" w:themeColor="text1"/>
        </w:rPr>
        <w:t xml:space="preserve"> and </w:t>
      </w:r>
      <w:proofErr w:type="spellStart"/>
      <w:r w:rsidRPr="73F31BAE">
        <w:rPr>
          <w:rFonts w:ascii="Arial" w:eastAsia="Arial" w:hAnsi="Arial" w:cs="Arial"/>
          <w:i/>
          <w:iCs/>
          <w:color w:val="000000" w:themeColor="text1"/>
        </w:rPr>
        <w:t>litecoin</w:t>
      </w:r>
      <w:proofErr w:type="spellEnd"/>
      <w:r w:rsidRPr="73F31BAE">
        <w:rPr>
          <w:rFonts w:ascii="Arial" w:eastAsia="Arial" w:hAnsi="Arial" w:cs="Arial"/>
          <w:i/>
          <w:iCs/>
          <w:color w:val="000000" w:themeColor="text1"/>
        </w:rPr>
        <w:t xml:space="preserve">. </w:t>
      </w:r>
      <w:r w:rsidRPr="73F31BAE">
        <w:rPr>
          <w:rFonts w:ascii="Arial" w:eastAsia="Arial" w:hAnsi="Arial" w:cs="Arial"/>
          <w:color w:val="000000" w:themeColor="text1"/>
        </w:rPr>
        <w:t xml:space="preserve">China Finance Review International, 12(1), 51-68. </w:t>
      </w:r>
    </w:p>
    <w:p w14:paraId="7D187083" w14:textId="77777777" w:rsidR="00D62726" w:rsidRDefault="00D62726" w:rsidP="73F31BAE">
      <w:pPr>
        <w:rPr>
          <w:rFonts w:ascii="Arial" w:eastAsia="Arial" w:hAnsi="Arial" w:cs="Arial"/>
          <w:color w:val="000000" w:themeColor="text1"/>
        </w:rPr>
      </w:pPr>
    </w:p>
    <w:p w14:paraId="6C07B110"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Mateus, I. B., Mateus, C., and Todorović, N. (2016). </w:t>
      </w:r>
      <w:proofErr w:type="spellStart"/>
      <w:r w:rsidRPr="73F31BAE">
        <w:rPr>
          <w:rFonts w:ascii="Arial" w:eastAsia="Arial" w:hAnsi="Arial" w:cs="Arial"/>
          <w:i/>
          <w:iCs/>
          <w:color w:val="000000" w:themeColor="text1"/>
        </w:rPr>
        <w:t>Uk</w:t>
      </w:r>
      <w:proofErr w:type="spellEnd"/>
      <w:r w:rsidRPr="73F31BAE">
        <w:rPr>
          <w:rFonts w:ascii="Arial" w:eastAsia="Arial" w:hAnsi="Arial" w:cs="Arial"/>
          <w:i/>
          <w:iCs/>
          <w:color w:val="000000" w:themeColor="text1"/>
        </w:rPr>
        <w:t xml:space="preserve"> equity mutual fund alphas make a comeback.</w:t>
      </w:r>
      <w:r w:rsidRPr="73F31BAE">
        <w:rPr>
          <w:rFonts w:ascii="Arial" w:eastAsia="Arial" w:hAnsi="Arial" w:cs="Arial"/>
          <w:color w:val="000000" w:themeColor="text1"/>
        </w:rPr>
        <w:t xml:space="preserve"> International Review of Financial Analysis, 44, 98-110. </w:t>
      </w:r>
    </w:p>
    <w:p w14:paraId="1F58DB41" w14:textId="77777777" w:rsidR="00D62726" w:rsidRDefault="00D62726" w:rsidP="73F31BAE">
      <w:pPr>
        <w:rPr>
          <w:rFonts w:ascii="Arial" w:eastAsia="Arial" w:hAnsi="Arial" w:cs="Arial"/>
          <w:color w:val="000000" w:themeColor="text1"/>
        </w:rPr>
      </w:pPr>
    </w:p>
    <w:p w14:paraId="7E2090FE"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Mayhew, S. and Mihov, V. T. (2004). </w:t>
      </w:r>
      <w:r w:rsidRPr="73F31BAE">
        <w:rPr>
          <w:rFonts w:ascii="Arial" w:eastAsia="Arial" w:hAnsi="Arial" w:cs="Arial"/>
          <w:i/>
          <w:iCs/>
          <w:color w:val="000000" w:themeColor="text1"/>
        </w:rPr>
        <w:t>How do exchanges select stocks for option listing?</w:t>
      </w:r>
      <w:r w:rsidRPr="73F31BAE">
        <w:rPr>
          <w:rFonts w:ascii="Arial" w:eastAsia="Arial" w:hAnsi="Arial" w:cs="Arial"/>
          <w:color w:val="000000" w:themeColor="text1"/>
        </w:rPr>
        <w:t xml:space="preserve"> The Journal of Finance, 59(1), 447-471. </w:t>
      </w:r>
    </w:p>
    <w:p w14:paraId="63A3D630" w14:textId="77777777" w:rsidR="00D62726" w:rsidRDefault="00D62726" w:rsidP="73F31BAE">
      <w:pPr>
        <w:rPr>
          <w:rFonts w:ascii="Arial" w:eastAsia="Arial" w:hAnsi="Arial" w:cs="Arial"/>
          <w:color w:val="000000" w:themeColor="text1"/>
        </w:rPr>
      </w:pPr>
    </w:p>
    <w:p w14:paraId="42676CEA"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Mishkin, F.S. (2007) </w:t>
      </w:r>
      <w:r w:rsidRPr="73F31BAE">
        <w:rPr>
          <w:rFonts w:ascii="Arial" w:eastAsia="Arial" w:hAnsi="Arial" w:cs="Arial"/>
          <w:i/>
          <w:iCs/>
          <w:color w:val="000000" w:themeColor="text1"/>
        </w:rPr>
        <w:t>The economics of money, banking, and financial markets.</w:t>
      </w:r>
      <w:r w:rsidRPr="73F31BAE">
        <w:rPr>
          <w:rFonts w:ascii="Arial" w:eastAsia="Arial" w:hAnsi="Arial" w:cs="Arial"/>
          <w:color w:val="000000" w:themeColor="text1"/>
        </w:rPr>
        <w:t xml:space="preserve"> Pearson education. </w:t>
      </w:r>
    </w:p>
    <w:p w14:paraId="4879B9BF" w14:textId="77777777" w:rsidR="00D62726" w:rsidRDefault="00D62726" w:rsidP="73F31BAE">
      <w:pPr>
        <w:spacing w:after="0" w:line="360" w:lineRule="auto"/>
        <w:ind w:left="-20" w:right="-20"/>
        <w:jc w:val="both"/>
      </w:pPr>
    </w:p>
    <w:p w14:paraId="14CA249A"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Montgomery, D. C., Peck, E. A., &amp; Vining, G. G. (1993). </w:t>
      </w:r>
      <w:r w:rsidRPr="73F31BAE">
        <w:rPr>
          <w:rFonts w:ascii="Arial" w:eastAsia="Arial" w:hAnsi="Arial" w:cs="Arial"/>
          <w:i/>
          <w:iCs/>
          <w:color w:val="000000" w:themeColor="text1"/>
        </w:rPr>
        <w:t xml:space="preserve">Introduction to linear regression analysis. </w:t>
      </w:r>
      <w:r w:rsidRPr="73F31BAE">
        <w:rPr>
          <w:rFonts w:ascii="Arial" w:eastAsia="Arial" w:hAnsi="Arial" w:cs="Arial"/>
          <w:color w:val="000000" w:themeColor="text1"/>
        </w:rPr>
        <w:t xml:space="preserve">Journal of the American Statistical Association, 88(421), 383.  </w:t>
      </w:r>
    </w:p>
    <w:p w14:paraId="6C2CE549" w14:textId="77777777" w:rsidR="00D62726" w:rsidRDefault="00D62726" w:rsidP="73F31BAE">
      <w:pPr>
        <w:spacing w:after="0" w:line="360" w:lineRule="auto"/>
        <w:ind w:left="-20" w:right="-20"/>
        <w:jc w:val="both"/>
      </w:pPr>
    </w:p>
    <w:p w14:paraId="29EAE863"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Naseer, M. and Bin Tariq, D.Y. (2015) </w:t>
      </w:r>
      <w:r w:rsidRPr="73F31BAE">
        <w:rPr>
          <w:rFonts w:ascii="Arial" w:eastAsia="Arial" w:hAnsi="Arial" w:cs="Arial"/>
          <w:i/>
          <w:iCs/>
          <w:color w:val="000000" w:themeColor="text1"/>
        </w:rPr>
        <w:t xml:space="preserve">The efficient market hypothesis: A critical review of the literature. </w:t>
      </w:r>
      <w:r w:rsidRPr="73F31BAE">
        <w:rPr>
          <w:rFonts w:ascii="Arial" w:eastAsia="Arial" w:hAnsi="Arial" w:cs="Arial"/>
          <w:color w:val="000000" w:themeColor="text1"/>
        </w:rPr>
        <w:t xml:space="preserve">The IUP Journal of Financial Risk Management, 12(4), pp.48-63. Available at: </w:t>
      </w:r>
      <w:hyperlink r:id="rId49">
        <w:r w:rsidRPr="73F31BAE">
          <w:rPr>
            <w:rStyle w:val="Hyperlink"/>
            <w:rFonts w:ascii="Arial" w:eastAsia="Arial" w:hAnsi="Arial" w:cs="Arial"/>
            <w:color w:val="000000" w:themeColor="text1"/>
          </w:rPr>
          <w:t>https://www.researchgate.net/profile/Dr-Yasir-Tariq/publication/289952213_The_Efficient_Market_Hypothesis_A_Critical_Review_of_the_Literature/links/5693937908aec14fa55eb4c1/The-Efficient-Market-Hypothesis-A-Critical-Review-of-the-Literature.pdf</w:t>
        </w:r>
      </w:hyperlink>
      <w:r w:rsidRPr="73F31BAE">
        <w:rPr>
          <w:rFonts w:ascii="Arial" w:eastAsia="Arial" w:hAnsi="Arial" w:cs="Arial"/>
          <w:color w:val="000000" w:themeColor="text1"/>
        </w:rPr>
        <w:t xml:space="preserve"> (Accessed on: 9</w:t>
      </w:r>
      <w:r w:rsidRPr="73F31BAE">
        <w:rPr>
          <w:rFonts w:ascii="Arial" w:eastAsia="Arial" w:hAnsi="Arial" w:cs="Arial"/>
          <w:color w:val="000000" w:themeColor="text1"/>
          <w:vertAlign w:val="superscript"/>
        </w:rPr>
        <w:t>th</w:t>
      </w:r>
      <w:r w:rsidRPr="73F31BAE">
        <w:rPr>
          <w:rFonts w:ascii="Arial" w:eastAsia="Arial" w:hAnsi="Arial" w:cs="Arial"/>
          <w:color w:val="000000" w:themeColor="text1"/>
        </w:rPr>
        <w:t xml:space="preserve"> November’2023) </w:t>
      </w:r>
    </w:p>
    <w:p w14:paraId="6C649A9A" w14:textId="77777777" w:rsidR="00D62726" w:rsidRDefault="00D62726" w:rsidP="73F31BAE">
      <w:pPr>
        <w:spacing w:after="0" w:line="360" w:lineRule="auto"/>
        <w:ind w:left="-20" w:right="-20"/>
        <w:jc w:val="both"/>
      </w:pPr>
    </w:p>
    <w:p w14:paraId="33E1D989"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Nasir, M. and Simpson, J. (2018). </w:t>
      </w:r>
      <w:r w:rsidRPr="73F31BAE">
        <w:rPr>
          <w:rFonts w:ascii="Arial" w:eastAsia="Arial" w:hAnsi="Arial" w:cs="Arial"/>
          <w:i/>
          <w:iCs/>
          <w:color w:val="000000" w:themeColor="text1"/>
        </w:rPr>
        <w:t xml:space="preserve">Brexit associated sharp depreciation and implications for </w:t>
      </w:r>
      <w:proofErr w:type="spellStart"/>
      <w:r w:rsidRPr="73F31BAE">
        <w:rPr>
          <w:rFonts w:ascii="Arial" w:eastAsia="Arial" w:hAnsi="Arial" w:cs="Arial"/>
          <w:i/>
          <w:iCs/>
          <w:color w:val="000000" w:themeColor="text1"/>
        </w:rPr>
        <w:t>Uk's</w:t>
      </w:r>
      <w:proofErr w:type="spellEnd"/>
      <w:r w:rsidRPr="73F31BAE">
        <w:rPr>
          <w:rFonts w:ascii="Arial" w:eastAsia="Arial" w:hAnsi="Arial" w:cs="Arial"/>
          <w:i/>
          <w:iCs/>
          <w:color w:val="000000" w:themeColor="text1"/>
        </w:rPr>
        <w:t xml:space="preserve"> inflation and balance of payments.</w:t>
      </w:r>
      <w:r w:rsidRPr="73F31BAE">
        <w:rPr>
          <w:rFonts w:ascii="Arial" w:eastAsia="Arial" w:hAnsi="Arial" w:cs="Arial"/>
          <w:color w:val="000000" w:themeColor="text1"/>
        </w:rPr>
        <w:t xml:space="preserve"> Journal of Economic Studies, 45(2), 231-246. </w:t>
      </w:r>
    </w:p>
    <w:p w14:paraId="160331F1" w14:textId="77777777" w:rsidR="00D62726" w:rsidRDefault="00D62726" w:rsidP="73F31BAE">
      <w:pPr>
        <w:rPr>
          <w:rFonts w:ascii="Arial" w:eastAsia="Arial" w:hAnsi="Arial" w:cs="Arial"/>
          <w:color w:val="000000" w:themeColor="text1"/>
        </w:rPr>
      </w:pPr>
    </w:p>
    <w:p w14:paraId="7A631FC1" w14:textId="77777777" w:rsidR="00D62726" w:rsidRDefault="00D62726" w:rsidP="73F31BAE">
      <w:pPr>
        <w:jc w:val="both"/>
        <w:rPr>
          <w:rFonts w:ascii="Arial" w:eastAsia="Arial" w:hAnsi="Arial" w:cs="Arial"/>
          <w:color w:val="000000" w:themeColor="text1"/>
        </w:rPr>
      </w:pPr>
      <w:r w:rsidRPr="73F31BAE">
        <w:rPr>
          <w:rFonts w:ascii="Arial" w:eastAsia="Arial" w:hAnsi="Arial" w:cs="Arial"/>
          <w:color w:val="000000" w:themeColor="text1"/>
        </w:rPr>
        <w:t xml:space="preserve">Nurhayati, I. (2022). </w:t>
      </w:r>
      <w:r w:rsidRPr="73F31BAE">
        <w:rPr>
          <w:rFonts w:ascii="Arial" w:eastAsia="Arial" w:hAnsi="Arial" w:cs="Arial"/>
          <w:i/>
          <w:iCs/>
          <w:color w:val="000000" w:themeColor="text1"/>
        </w:rPr>
        <w:t>The effect of trading volume, frequency, and market capitalization on stock return of chemical sub sector.</w:t>
      </w:r>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Jurnal</w:t>
      </w:r>
      <w:proofErr w:type="spellEnd"/>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Manajemen</w:t>
      </w:r>
      <w:proofErr w:type="spellEnd"/>
      <w:r w:rsidRPr="73F31BAE">
        <w:rPr>
          <w:rFonts w:ascii="Arial" w:eastAsia="Arial" w:hAnsi="Arial" w:cs="Arial"/>
          <w:color w:val="000000" w:themeColor="text1"/>
        </w:rPr>
        <w:t xml:space="preserve">, 13(2), 283. </w:t>
      </w:r>
    </w:p>
    <w:p w14:paraId="6D366772" w14:textId="77777777" w:rsidR="00D62726" w:rsidRDefault="00D62726" w:rsidP="73F31BAE">
      <w:pPr>
        <w:jc w:val="both"/>
        <w:rPr>
          <w:rFonts w:ascii="Arial" w:eastAsia="Arial" w:hAnsi="Arial" w:cs="Arial"/>
          <w:color w:val="000000" w:themeColor="text1"/>
        </w:rPr>
      </w:pPr>
    </w:p>
    <w:p w14:paraId="47C617CA"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Nyasha, S. and Odhiambo, N.M., (2013) </w:t>
      </w:r>
      <w:r w:rsidRPr="73F31BAE">
        <w:rPr>
          <w:rFonts w:ascii="Arial" w:eastAsia="Arial" w:hAnsi="Arial" w:cs="Arial"/>
          <w:i/>
          <w:iCs/>
          <w:color w:val="000000" w:themeColor="text1"/>
        </w:rPr>
        <w:t xml:space="preserve">Stock market development in the United Kingdom: Prospects and challenges. </w:t>
      </w:r>
      <w:r w:rsidRPr="73F31BAE">
        <w:rPr>
          <w:rFonts w:ascii="Arial" w:eastAsia="Arial" w:hAnsi="Arial" w:cs="Arial"/>
          <w:color w:val="000000" w:themeColor="text1"/>
        </w:rPr>
        <w:t xml:space="preserve">International Business &amp; Economics Research Journal (IBER), 12(7), pp.725-736. </w:t>
      </w:r>
    </w:p>
    <w:p w14:paraId="2D11F4AB" w14:textId="77777777" w:rsidR="00D62726" w:rsidRDefault="00D62726" w:rsidP="73F31BAE">
      <w:pPr>
        <w:spacing w:after="0" w:line="360" w:lineRule="auto"/>
        <w:ind w:left="-20" w:right="-20"/>
        <w:jc w:val="both"/>
      </w:pPr>
    </w:p>
    <w:p w14:paraId="158B70C9"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Office for National Statistics (2024) </w:t>
      </w:r>
      <w:r w:rsidRPr="73F31BAE">
        <w:rPr>
          <w:rFonts w:ascii="Arial" w:eastAsia="Arial" w:hAnsi="Arial" w:cs="Arial"/>
          <w:i/>
          <w:iCs/>
          <w:color w:val="000000" w:themeColor="text1"/>
        </w:rPr>
        <w:t xml:space="preserve">CPIH Annual rate 100: All Items 2015=100. </w:t>
      </w:r>
      <w:r w:rsidRPr="73F31BAE">
        <w:rPr>
          <w:rFonts w:ascii="Arial" w:eastAsia="Arial" w:hAnsi="Arial" w:cs="Arial"/>
          <w:color w:val="000000" w:themeColor="text1"/>
        </w:rPr>
        <w:t xml:space="preserve">Available at: </w:t>
      </w:r>
      <w:hyperlink r:id="rId50">
        <w:r w:rsidRPr="73F31BAE">
          <w:rPr>
            <w:rStyle w:val="Hyperlink"/>
            <w:rFonts w:ascii="Arial" w:eastAsia="Arial" w:hAnsi="Arial" w:cs="Arial"/>
          </w:rPr>
          <w:t>https://www.ons.gov.uk/economy/inflationandpricein dices/timeseries/l55o/mm23</w:t>
        </w:r>
      </w:hyperlink>
      <w:r w:rsidRPr="73F31BAE">
        <w:rPr>
          <w:rFonts w:ascii="Arial" w:eastAsia="Arial" w:hAnsi="Arial" w:cs="Arial"/>
          <w:color w:val="000000" w:themeColor="text1"/>
        </w:rPr>
        <w:t xml:space="preserve"> (Accessed date: 05th Jan’2024)</w:t>
      </w:r>
    </w:p>
    <w:p w14:paraId="5DF3DCD3" w14:textId="77777777" w:rsidR="00D62726" w:rsidRDefault="00D62726" w:rsidP="73F31BAE">
      <w:pPr>
        <w:rPr>
          <w:rFonts w:ascii="Arial" w:eastAsia="Arial" w:hAnsi="Arial" w:cs="Arial"/>
          <w:color w:val="000000" w:themeColor="text1"/>
        </w:rPr>
      </w:pPr>
    </w:p>
    <w:p w14:paraId="21727EAD"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Office for National Statistics (2024)</w:t>
      </w:r>
      <w:r w:rsidRPr="73F31BAE">
        <w:rPr>
          <w:rFonts w:ascii="Arial" w:eastAsia="Arial" w:hAnsi="Arial" w:cs="Arial"/>
          <w:i/>
          <w:iCs/>
          <w:color w:val="000000" w:themeColor="text1"/>
        </w:rPr>
        <w:t xml:space="preserve"> Growth domestic product: year on year growth: CVM SA%. </w:t>
      </w:r>
      <w:r w:rsidRPr="73F31BAE">
        <w:rPr>
          <w:rFonts w:ascii="Arial" w:eastAsia="Arial" w:hAnsi="Arial" w:cs="Arial"/>
          <w:color w:val="000000" w:themeColor="text1"/>
        </w:rPr>
        <w:t xml:space="preserve">Available at: </w:t>
      </w:r>
      <w:hyperlink r:id="rId51">
        <w:r w:rsidRPr="73F31BAE">
          <w:rPr>
            <w:rStyle w:val="Hyperlink"/>
            <w:rFonts w:ascii="Arial" w:eastAsia="Arial" w:hAnsi="Arial" w:cs="Arial"/>
          </w:rPr>
          <w:t>https://www.ons.gov.uk/economy/grossdomesticproductgdp/timeseries/ihyp/qna</w:t>
        </w:r>
      </w:hyperlink>
      <w:r w:rsidRPr="73F31BAE">
        <w:rPr>
          <w:rFonts w:ascii="Arial" w:eastAsia="Arial" w:hAnsi="Arial" w:cs="Arial"/>
          <w:color w:val="000000" w:themeColor="text1"/>
        </w:rPr>
        <w:t xml:space="preserve"> (Accessed date: 05th Jan’2024)</w:t>
      </w:r>
    </w:p>
    <w:p w14:paraId="05C469E8" w14:textId="77777777" w:rsidR="00D62726" w:rsidRDefault="00D62726" w:rsidP="73F31BAE">
      <w:pPr>
        <w:rPr>
          <w:rFonts w:ascii="Arial" w:eastAsia="Arial" w:hAnsi="Arial" w:cs="Arial"/>
          <w:color w:val="000000" w:themeColor="text1"/>
        </w:rPr>
      </w:pPr>
    </w:p>
    <w:p w14:paraId="40727A68"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Office for National Statistics (2024) </w:t>
      </w:r>
      <w:r w:rsidRPr="73F31BAE">
        <w:rPr>
          <w:rFonts w:ascii="Arial" w:eastAsia="Arial" w:hAnsi="Arial" w:cs="Arial"/>
          <w:i/>
          <w:iCs/>
          <w:color w:val="000000" w:themeColor="text1"/>
        </w:rPr>
        <w:t xml:space="preserve">LFS Experimental: ILO Unemployment rate: UK: All: Aged: 16+ (%): SA </w:t>
      </w:r>
      <w:r w:rsidRPr="73F31BAE">
        <w:rPr>
          <w:rFonts w:ascii="Arial" w:eastAsia="Arial" w:hAnsi="Arial" w:cs="Arial"/>
          <w:color w:val="000000" w:themeColor="text1"/>
        </w:rPr>
        <w:t xml:space="preserve">Available at: </w:t>
      </w:r>
      <w:hyperlink r:id="rId52">
        <w:r w:rsidRPr="73F31BAE">
          <w:rPr>
            <w:rStyle w:val="Hyperlink"/>
            <w:rFonts w:ascii="Arial" w:eastAsia="Arial" w:hAnsi="Arial" w:cs="Arial"/>
          </w:rPr>
          <w:t>https://www.ons.gov.uk/employmentandlabourmarket/peopleinwork/employmentandemployeetypes/timeseries/s2pu/lms</w:t>
        </w:r>
      </w:hyperlink>
      <w:r w:rsidRPr="73F31BAE">
        <w:rPr>
          <w:rFonts w:ascii="Arial" w:eastAsia="Arial" w:hAnsi="Arial" w:cs="Arial"/>
          <w:color w:val="000000" w:themeColor="text1"/>
        </w:rPr>
        <w:t xml:space="preserve"> (Accessed date: 05th Jan’2024)</w:t>
      </w:r>
    </w:p>
    <w:p w14:paraId="66FB8E14" w14:textId="77777777" w:rsidR="00D62726" w:rsidRDefault="00D62726" w:rsidP="73F31BAE">
      <w:pPr>
        <w:rPr>
          <w:rFonts w:ascii="Arial" w:eastAsia="Arial" w:hAnsi="Arial" w:cs="Arial"/>
          <w:color w:val="000000" w:themeColor="text1"/>
        </w:rPr>
      </w:pPr>
    </w:p>
    <w:p w14:paraId="02CEAD2B" w14:textId="77777777" w:rsidR="00D62726" w:rsidRDefault="00D62726" w:rsidP="73F31BAE">
      <w:pPr>
        <w:spacing w:after="0" w:line="360" w:lineRule="auto"/>
        <w:ind w:left="-20" w:right="-20"/>
        <w:jc w:val="both"/>
        <w:rPr>
          <w:rFonts w:ascii="Arial" w:eastAsia="Arial" w:hAnsi="Arial" w:cs="Arial"/>
          <w:color w:val="000000" w:themeColor="text1"/>
        </w:rPr>
      </w:pPr>
      <w:proofErr w:type="spellStart"/>
      <w:r w:rsidRPr="73F31BAE">
        <w:rPr>
          <w:rFonts w:ascii="Arial" w:eastAsia="Arial" w:hAnsi="Arial" w:cs="Arial"/>
          <w:color w:val="000000" w:themeColor="text1"/>
        </w:rPr>
        <w:lastRenderedPageBreak/>
        <w:t>Ologunde</w:t>
      </w:r>
      <w:proofErr w:type="spellEnd"/>
      <w:r w:rsidRPr="73F31BAE">
        <w:rPr>
          <w:rFonts w:ascii="Arial" w:eastAsia="Arial" w:hAnsi="Arial" w:cs="Arial"/>
          <w:color w:val="000000" w:themeColor="text1"/>
        </w:rPr>
        <w:t xml:space="preserve">, A.O., </w:t>
      </w:r>
      <w:proofErr w:type="spellStart"/>
      <w:r w:rsidRPr="73F31BAE">
        <w:rPr>
          <w:rFonts w:ascii="Arial" w:eastAsia="Arial" w:hAnsi="Arial" w:cs="Arial"/>
          <w:color w:val="000000" w:themeColor="text1"/>
        </w:rPr>
        <w:t>Elumilade</w:t>
      </w:r>
      <w:proofErr w:type="spellEnd"/>
      <w:r w:rsidRPr="73F31BAE">
        <w:rPr>
          <w:rFonts w:ascii="Arial" w:eastAsia="Arial" w:hAnsi="Arial" w:cs="Arial"/>
          <w:color w:val="000000" w:themeColor="text1"/>
        </w:rPr>
        <w:t xml:space="preserve">, D.O. and </w:t>
      </w:r>
      <w:proofErr w:type="spellStart"/>
      <w:r w:rsidRPr="73F31BAE">
        <w:rPr>
          <w:rFonts w:ascii="Arial" w:eastAsia="Arial" w:hAnsi="Arial" w:cs="Arial"/>
          <w:color w:val="000000" w:themeColor="text1"/>
        </w:rPr>
        <w:t>Asaolu</w:t>
      </w:r>
      <w:proofErr w:type="spellEnd"/>
      <w:r w:rsidRPr="73F31BAE">
        <w:rPr>
          <w:rFonts w:ascii="Arial" w:eastAsia="Arial" w:hAnsi="Arial" w:cs="Arial"/>
          <w:color w:val="000000" w:themeColor="text1"/>
        </w:rPr>
        <w:t>, T. O. (2006).</w:t>
      </w:r>
      <w:r w:rsidRPr="73F31BAE">
        <w:rPr>
          <w:rFonts w:ascii="Arial" w:eastAsia="Arial" w:hAnsi="Arial" w:cs="Arial"/>
          <w:i/>
          <w:iCs/>
          <w:color w:val="000000" w:themeColor="text1"/>
        </w:rPr>
        <w:t xml:space="preserve"> Stock Market Capitalization and Interest Rate in Nigeria: A Time Series Analysis.</w:t>
      </w:r>
      <w:r w:rsidRPr="73F31BAE">
        <w:rPr>
          <w:rFonts w:ascii="Arial" w:eastAsia="Arial" w:hAnsi="Arial" w:cs="Arial"/>
          <w:color w:val="000000" w:themeColor="text1"/>
        </w:rPr>
        <w:t xml:space="preserve"> International Research Journal of Finance and Economics, 4, 154-166. </w:t>
      </w:r>
    </w:p>
    <w:p w14:paraId="50EDDEA2" w14:textId="77777777" w:rsidR="00D62726" w:rsidRDefault="00D62726" w:rsidP="73F31BAE">
      <w:pPr>
        <w:spacing w:after="0" w:line="360" w:lineRule="auto"/>
        <w:ind w:left="-20" w:right="-20"/>
        <w:jc w:val="both"/>
      </w:pPr>
    </w:p>
    <w:p w14:paraId="4DD605BD"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Ormston, R., Spencer, L., Barnard, M. and Snape, D. (2014) </w:t>
      </w:r>
      <w:r w:rsidRPr="73F31BAE">
        <w:rPr>
          <w:rFonts w:ascii="Arial" w:eastAsia="Arial" w:hAnsi="Arial" w:cs="Arial"/>
          <w:i/>
          <w:iCs/>
          <w:color w:val="000000" w:themeColor="text1"/>
        </w:rPr>
        <w:t>The foundations of qualitative research.</w:t>
      </w:r>
      <w:r w:rsidRPr="73F31BAE">
        <w:rPr>
          <w:rFonts w:ascii="Arial" w:eastAsia="Arial" w:hAnsi="Arial" w:cs="Arial"/>
          <w:color w:val="000000" w:themeColor="text1"/>
        </w:rPr>
        <w:t xml:space="preserve"> Qualitative research practice: A guide for social science students and researchers, 2(7), pp.52-55. </w:t>
      </w:r>
    </w:p>
    <w:p w14:paraId="44FEBB1C" w14:textId="77777777" w:rsidR="00D62726" w:rsidRDefault="00D62726" w:rsidP="73F31BAE">
      <w:pPr>
        <w:spacing w:after="0" w:line="360" w:lineRule="auto"/>
        <w:ind w:left="-20" w:right="-20"/>
        <w:jc w:val="both"/>
      </w:pPr>
    </w:p>
    <w:p w14:paraId="26A70991"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Özen, E. and Tetik, M., (2019) </w:t>
      </w:r>
      <w:r w:rsidRPr="73F31BAE">
        <w:rPr>
          <w:rFonts w:ascii="Arial" w:eastAsia="Arial" w:hAnsi="Arial" w:cs="Arial"/>
          <w:i/>
          <w:iCs/>
          <w:color w:val="000000" w:themeColor="text1"/>
        </w:rPr>
        <w:t xml:space="preserve">Did developed and developing stock markets react similarly to Dow Jones during </w:t>
      </w:r>
      <w:proofErr w:type="gramStart"/>
      <w:r w:rsidRPr="73F31BAE">
        <w:rPr>
          <w:rFonts w:ascii="Arial" w:eastAsia="Arial" w:hAnsi="Arial" w:cs="Arial"/>
          <w:i/>
          <w:iCs/>
          <w:color w:val="000000" w:themeColor="text1"/>
        </w:rPr>
        <w:t>2008</w:t>
      </w:r>
      <w:proofErr w:type="gramEnd"/>
      <w:r w:rsidRPr="73F31BAE">
        <w:rPr>
          <w:rFonts w:ascii="Arial" w:eastAsia="Arial" w:hAnsi="Arial" w:cs="Arial"/>
          <w:i/>
          <w:iCs/>
          <w:color w:val="000000" w:themeColor="text1"/>
        </w:rPr>
        <w:t xml:space="preserve"> crisis? </w:t>
      </w:r>
      <w:r w:rsidRPr="73F31BAE">
        <w:rPr>
          <w:rFonts w:ascii="Arial" w:eastAsia="Arial" w:hAnsi="Arial" w:cs="Arial"/>
          <w:color w:val="000000" w:themeColor="text1"/>
        </w:rPr>
        <w:t xml:space="preserve">Frontiers in Applied Mathematics and Statistics, 5, p.49. </w:t>
      </w:r>
    </w:p>
    <w:p w14:paraId="38E2B617" w14:textId="77777777" w:rsidR="00D62726" w:rsidRDefault="00D62726" w:rsidP="73F31BAE">
      <w:pPr>
        <w:spacing w:after="0" w:line="360" w:lineRule="auto"/>
        <w:ind w:left="-20" w:right="-20"/>
        <w:jc w:val="both"/>
      </w:pPr>
    </w:p>
    <w:p w14:paraId="7126CB5A" w14:textId="77777777" w:rsidR="00D62726" w:rsidRDefault="00D62726" w:rsidP="73F31BAE">
      <w:pPr>
        <w:rPr>
          <w:rFonts w:ascii="Arial" w:eastAsia="Arial" w:hAnsi="Arial" w:cs="Arial"/>
          <w:color w:val="1E1D1A"/>
        </w:rPr>
      </w:pPr>
      <w:r w:rsidRPr="73F31BAE">
        <w:rPr>
          <w:rFonts w:ascii="Arial" w:eastAsia="Arial" w:hAnsi="Arial" w:cs="Arial"/>
          <w:color w:val="1E1D1A"/>
        </w:rPr>
        <w:t xml:space="preserve">Pagano, M. (1998). </w:t>
      </w:r>
      <w:r w:rsidRPr="73F31BAE">
        <w:rPr>
          <w:rFonts w:ascii="Arial" w:eastAsia="Arial" w:hAnsi="Arial" w:cs="Arial"/>
          <w:i/>
          <w:iCs/>
          <w:color w:val="1E1D1A"/>
        </w:rPr>
        <w:t>The changing microstructure of European equity markets.</w:t>
      </w:r>
      <w:r w:rsidRPr="73F31BAE">
        <w:rPr>
          <w:rFonts w:ascii="Arial" w:eastAsia="Arial" w:hAnsi="Arial" w:cs="Arial"/>
          <w:color w:val="1E1D1A"/>
        </w:rPr>
        <w:t xml:space="preserve"> SSRN Electronic Journal. </w:t>
      </w:r>
    </w:p>
    <w:p w14:paraId="2F33D703" w14:textId="77777777" w:rsidR="00D62726" w:rsidRDefault="00D62726" w:rsidP="73F31BAE">
      <w:pPr>
        <w:rPr>
          <w:rFonts w:ascii="Arial" w:eastAsia="Arial" w:hAnsi="Arial" w:cs="Arial"/>
          <w:color w:val="1E1D1A"/>
        </w:rPr>
      </w:pPr>
    </w:p>
    <w:p w14:paraId="78542710"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Pei, Y., Zheng, Y., Huang, T., Li, R. and Zhu, F., (2022) </w:t>
      </w:r>
      <w:r w:rsidRPr="73F31BAE">
        <w:rPr>
          <w:rFonts w:ascii="Arial" w:eastAsia="Arial" w:hAnsi="Arial" w:cs="Arial"/>
          <w:i/>
          <w:iCs/>
          <w:color w:val="000000" w:themeColor="text1"/>
        </w:rPr>
        <w:t>UK GDP Research</w:t>
      </w:r>
      <w:r w:rsidRPr="73F31BAE">
        <w:rPr>
          <w:rFonts w:ascii="Arial" w:eastAsia="Arial" w:hAnsi="Arial" w:cs="Arial"/>
          <w:color w:val="000000" w:themeColor="text1"/>
        </w:rPr>
        <w:t xml:space="preserve">. In 2022 4th International Conference on Economic Management and Cultural Industry (ICEMCI 2022) (pp. 377-382). Atlantis Press. Available at: </w:t>
      </w:r>
      <w:hyperlink r:id="rId53">
        <w:r w:rsidRPr="73F31BAE">
          <w:rPr>
            <w:rStyle w:val="Hyperlink"/>
            <w:rFonts w:ascii="Arial" w:eastAsia="Arial" w:hAnsi="Arial" w:cs="Arial"/>
            <w:color w:val="000000" w:themeColor="text1"/>
          </w:rPr>
          <w:t>https://www.atlantis-press.com/article/125981408.pdf</w:t>
        </w:r>
      </w:hyperlink>
      <w:r w:rsidRPr="73F31BAE">
        <w:rPr>
          <w:rFonts w:ascii="Arial" w:eastAsia="Arial" w:hAnsi="Arial" w:cs="Arial"/>
          <w:color w:val="000000" w:themeColor="text1"/>
        </w:rPr>
        <w:t xml:space="preserve">  </w:t>
      </w:r>
    </w:p>
    <w:p w14:paraId="22A59636" w14:textId="77777777" w:rsidR="00D62726" w:rsidRDefault="00D62726" w:rsidP="73F31BAE">
      <w:pPr>
        <w:spacing w:after="0" w:line="360" w:lineRule="auto"/>
        <w:ind w:left="-20" w:right="-20"/>
        <w:jc w:val="both"/>
      </w:pPr>
    </w:p>
    <w:p w14:paraId="4F6B9C41" w14:textId="77777777" w:rsidR="00D62726" w:rsidRDefault="00D62726" w:rsidP="73F31BAE">
      <w:pPr>
        <w:spacing w:after="0" w:line="360" w:lineRule="auto"/>
        <w:ind w:left="-20" w:right="-20"/>
        <w:jc w:val="both"/>
        <w:rPr>
          <w:rFonts w:ascii="Arial" w:eastAsia="Arial" w:hAnsi="Arial" w:cs="Arial"/>
          <w:color w:val="000000" w:themeColor="text1"/>
        </w:rPr>
      </w:pPr>
      <w:proofErr w:type="spellStart"/>
      <w:r w:rsidRPr="73F31BAE">
        <w:rPr>
          <w:rFonts w:ascii="Arial" w:eastAsia="Arial" w:hAnsi="Arial" w:cs="Arial"/>
          <w:color w:val="000000" w:themeColor="text1"/>
        </w:rPr>
        <w:t>Pesaran</w:t>
      </w:r>
      <w:proofErr w:type="spellEnd"/>
      <w:r w:rsidRPr="73F31BAE">
        <w:rPr>
          <w:rFonts w:ascii="Arial" w:eastAsia="Arial" w:hAnsi="Arial" w:cs="Arial"/>
          <w:color w:val="000000" w:themeColor="text1"/>
        </w:rPr>
        <w:t xml:space="preserve">, M.H. and Timmermann, A. (2000) </w:t>
      </w:r>
      <w:r w:rsidRPr="73F31BAE">
        <w:rPr>
          <w:rFonts w:ascii="Arial" w:eastAsia="Arial" w:hAnsi="Arial" w:cs="Arial"/>
          <w:i/>
          <w:iCs/>
          <w:color w:val="000000" w:themeColor="text1"/>
        </w:rPr>
        <w:t xml:space="preserve">A recursive modelling approach to predicting UK stock returns. </w:t>
      </w:r>
      <w:r w:rsidRPr="73F31BAE">
        <w:rPr>
          <w:rFonts w:ascii="Arial" w:eastAsia="Arial" w:hAnsi="Arial" w:cs="Arial"/>
          <w:color w:val="000000" w:themeColor="text1"/>
        </w:rPr>
        <w:t xml:space="preserve">The Economic Journal, 110(460), pp.159-191. Available at: </w:t>
      </w:r>
      <w:hyperlink r:id="rId54">
        <w:r w:rsidRPr="73F31BAE">
          <w:rPr>
            <w:rStyle w:val="Hyperlink"/>
            <w:rFonts w:ascii="Arial" w:eastAsia="Arial" w:hAnsi="Arial" w:cs="Arial"/>
            <w:color w:val="000000" w:themeColor="text1"/>
          </w:rPr>
          <w:t>ftp://ftp.soc.uoc.gr/students/aslanidis/My%20documents/papers/Pesaran&amp;Timmermann%20(2000).pdf</w:t>
        </w:r>
      </w:hyperlink>
      <w:r w:rsidRPr="73F31BAE">
        <w:rPr>
          <w:rFonts w:ascii="Arial" w:eastAsia="Arial" w:hAnsi="Arial" w:cs="Arial"/>
          <w:color w:val="000000" w:themeColor="text1"/>
        </w:rPr>
        <w:t xml:space="preserve">  </w:t>
      </w:r>
    </w:p>
    <w:p w14:paraId="660AE92E" w14:textId="77777777" w:rsidR="00D62726" w:rsidRDefault="00D62726" w:rsidP="73F31BAE">
      <w:pPr>
        <w:spacing w:after="0" w:line="360" w:lineRule="auto"/>
        <w:ind w:left="-20" w:right="-20"/>
        <w:jc w:val="both"/>
      </w:pPr>
    </w:p>
    <w:p w14:paraId="6E5644CC"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Quy, V. T. and Loi, D. T. N. (2020).</w:t>
      </w:r>
      <w:r w:rsidRPr="73F31BAE">
        <w:rPr>
          <w:rFonts w:ascii="Arial" w:eastAsia="Arial" w:hAnsi="Arial" w:cs="Arial"/>
          <w:i/>
          <w:iCs/>
          <w:color w:val="000000" w:themeColor="text1"/>
        </w:rPr>
        <w:t xml:space="preserve"> Macroeconomic factors and stock prices – a case of real estate stocks on ho chi </w:t>
      </w:r>
      <w:proofErr w:type="spellStart"/>
      <w:r w:rsidRPr="73F31BAE">
        <w:rPr>
          <w:rFonts w:ascii="Arial" w:eastAsia="Arial" w:hAnsi="Arial" w:cs="Arial"/>
          <w:i/>
          <w:iCs/>
          <w:color w:val="000000" w:themeColor="text1"/>
        </w:rPr>
        <w:t>minh</w:t>
      </w:r>
      <w:proofErr w:type="spellEnd"/>
      <w:r w:rsidRPr="73F31BAE">
        <w:rPr>
          <w:rFonts w:ascii="Arial" w:eastAsia="Arial" w:hAnsi="Arial" w:cs="Arial"/>
          <w:i/>
          <w:iCs/>
          <w:color w:val="000000" w:themeColor="text1"/>
        </w:rPr>
        <w:t xml:space="preserve"> stock exchange.</w:t>
      </w:r>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Hcmcoujs</w:t>
      </w:r>
      <w:proofErr w:type="spellEnd"/>
      <w:r w:rsidRPr="73F31BAE">
        <w:rPr>
          <w:rFonts w:ascii="Arial" w:eastAsia="Arial" w:hAnsi="Arial" w:cs="Arial"/>
          <w:color w:val="000000" w:themeColor="text1"/>
        </w:rPr>
        <w:t xml:space="preserve"> - Economics and Business Administration, 6(1). </w:t>
      </w:r>
    </w:p>
    <w:p w14:paraId="67E072CD" w14:textId="77777777" w:rsidR="00D62726" w:rsidRDefault="00D62726" w:rsidP="73F31BAE">
      <w:pPr>
        <w:rPr>
          <w:rFonts w:ascii="Arial" w:eastAsia="Arial" w:hAnsi="Arial" w:cs="Arial"/>
          <w:color w:val="000000" w:themeColor="text1"/>
        </w:rPr>
      </w:pPr>
    </w:p>
    <w:p w14:paraId="7E9A487B"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RAJAN, R., and L. ZINGALES (2001) </w:t>
      </w:r>
      <w:r w:rsidRPr="73F31BAE">
        <w:rPr>
          <w:rFonts w:ascii="Arial" w:eastAsia="Arial" w:hAnsi="Arial" w:cs="Arial"/>
          <w:i/>
          <w:iCs/>
          <w:color w:val="000000" w:themeColor="text1"/>
        </w:rPr>
        <w:t>The Great Reversals: The Politics of Financial Development in the 20th Century.</w:t>
      </w:r>
      <w:r w:rsidRPr="73F31BAE">
        <w:rPr>
          <w:rFonts w:ascii="Arial" w:eastAsia="Arial" w:hAnsi="Arial" w:cs="Arial"/>
          <w:color w:val="000000" w:themeColor="text1"/>
        </w:rPr>
        <w:t xml:space="preserve"> Working Paper NBER, no 8178. March.</w:t>
      </w:r>
    </w:p>
    <w:p w14:paraId="4449CBBC" w14:textId="77777777" w:rsidR="00D62726" w:rsidRDefault="00D62726" w:rsidP="73F31BAE">
      <w:pPr>
        <w:rPr>
          <w:rFonts w:ascii="Arial" w:eastAsia="Arial" w:hAnsi="Arial" w:cs="Arial"/>
          <w:color w:val="000000" w:themeColor="text1"/>
        </w:rPr>
      </w:pPr>
    </w:p>
    <w:p w14:paraId="7FDB98FB"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Reiss, P. and Werner, I. M. (1998). </w:t>
      </w:r>
      <w:r w:rsidRPr="73F31BAE">
        <w:rPr>
          <w:rFonts w:ascii="Arial" w:eastAsia="Arial" w:hAnsi="Arial" w:cs="Arial"/>
          <w:i/>
          <w:iCs/>
          <w:color w:val="000000" w:themeColor="text1"/>
        </w:rPr>
        <w:t>Does risk sharing motivate interdealer trading?</w:t>
      </w:r>
      <w:r w:rsidRPr="73F31BAE">
        <w:rPr>
          <w:rFonts w:ascii="Arial" w:eastAsia="Arial" w:hAnsi="Arial" w:cs="Arial"/>
          <w:color w:val="000000" w:themeColor="text1"/>
        </w:rPr>
        <w:t xml:space="preserve"> The Journal of Finance, 53(5), 1657-1703.</w:t>
      </w:r>
    </w:p>
    <w:p w14:paraId="1AF500B0" w14:textId="77777777" w:rsidR="00D62726" w:rsidRDefault="00D62726" w:rsidP="73F31BAE">
      <w:pPr>
        <w:rPr>
          <w:rFonts w:ascii="Arial" w:eastAsia="Arial" w:hAnsi="Arial" w:cs="Arial"/>
          <w:color w:val="000000" w:themeColor="text1"/>
        </w:rPr>
      </w:pPr>
    </w:p>
    <w:p w14:paraId="2688D098"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lastRenderedPageBreak/>
        <w:t xml:space="preserve">Sauer, C. and Bohara, A. K. (2001). </w:t>
      </w:r>
      <w:r w:rsidRPr="73F31BAE">
        <w:rPr>
          <w:rFonts w:ascii="Arial" w:eastAsia="Arial" w:hAnsi="Arial" w:cs="Arial"/>
          <w:i/>
          <w:iCs/>
          <w:color w:val="000000" w:themeColor="text1"/>
        </w:rPr>
        <w:t>Exchange rate volatility and exports: regional differences between developing and industrialized countries.</w:t>
      </w:r>
      <w:r w:rsidRPr="73F31BAE">
        <w:rPr>
          <w:rFonts w:ascii="Arial" w:eastAsia="Arial" w:hAnsi="Arial" w:cs="Arial"/>
          <w:color w:val="000000" w:themeColor="text1"/>
        </w:rPr>
        <w:t xml:space="preserve"> Review of International Economics, 9(1), 133-152.</w:t>
      </w:r>
    </w:p>
    <w:p w14:paraId="50669C37" w14:textId="77777777" w:rsidR="00D62726" w:rsidRDefault="00D62726" w:rsidP="73F31BAE">
      <w:pPr>
        <w:rPr>
          <w:rFonts w:ascii="Arial" w:eastAsia="Arial" w:hAnsi="Arial" w:cs="Arial"/>
          <w:color w:val="000000" w:themeColor="text1"/>
        </w:rPr>
      </w:pPr>
    </w:p>
    <w:p w14:paraId="69B710FC"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Sebastião, H. (2009). </w:t>
      </w:r>
      <w:r w:rsidRPr="73F31BAE">
        <w:rPr>
          <w:rFonts w:ascii="Arial" w:eastAsia="Arial" w:hAnsi="Arial" w:cs="Arial"/>
          <w:i/>
          <w:iCs/>
          <w:color w:val="000000" w:themeColor="text1"/>
        </w:rPr>
        <w:t>The informational impact of electronic trading systems on the FTSE 100 stock index and its futures contracts.</w:t>
      </w:r>
      <w:r w:rsidRPr="73F31BAE">
        <w:rPr>
          <w:rFonts w:ascii="Arial" w:eastAsia="Arial" w:hAnsi="Arial" w:cs="Arial"/>
          <w:color w:val="000000" w:themeColor="text1"/>
        </w:rPr>
        <w:t xml:space="preserve"> The European Journal of Finance, 16(7), 611-640. </w:t>
      </w:r>
    </w:p>
    <w:p w14:paraId="581BEB0C" w14:textId="77777777" w:rsidR="00D62726" w:rsidRDefault="00D62726" w:rsidP="73F31BAE">
      <w:pPr>
        <w:rPr>
          <w:rFonts w:ascii="Arial" w:eastAsia="Arial" w:hAnsi="Arial" w:cs="Arial"/>
          <w:color w:val="000000" w:themeColor="text1"/>
        </w:rPr>
      </w:pPr>
    </w:p>
    <w:p w14:paraId="2F139579" w14:textId="77777777" w:rsidR="00D62726" w:rsidRDefault="00D62726" w:rsidP="73F31BAE">
      <w:pPr>
        <w:jc w:val="both"/>
        <w:rPr>
          <w:rFonts w:ascii="Arial" w:eastAsia="Arial" w:hAnsi="Arial" w:cs="Arial"/>
          <w:i/>
          <w:iCs/>
          <w:color w:val="000000" w:themeColor="text1"/>
        </w:rPr>
      </w:pPr>
      <w:r w:rsidRPr="73F31BAE">
        <w:rPr>
          <w:rFonts w:ascii="Arial" w:eastAsia="Arial" w:hAnsi="Arial" w:cs="Arial"/>
          <w:color w:val="000000" w:themeColor="text1"/>
        </w:rPr>
        <w:t xml:space="preserve">Shaffer, R. K. (1996) </w:t>
      </w:r>
      <w:r w:rsidRPr="73F31BAE">
        <w:rPr>
          <w:rFonts w:ascii="Arial" w:eastAsia="Arial" w:hAnsi="Arial" w:cs="Arial"/>
          <w:i/>
          <w:iCs/>
          <w:color w:val="000000" w:themeColor="text1"/>
        </w:rPr>
        <w:t>Sorority presidents' leadership experience: a qualitative research methods study.</w:t>
      </w:r>
    </w:p>
    <w:p w14:paraId="3D91AEE3" w14:textId="77777777" w:rsidR="00D62726" w:rsidRDefault="00D62726" w:rsidP="73F31BAE">
      <w:pPr>
        <w:jc w:val="both"/>
        <w:rPr>
          <w:rFonts w:ascii="Arial" w:eastAsia="Arial" w:hAnsi="Arial" w:cs="Arial"/>
          <w:color w:val="000000" w:themeColor="text1"/>
        </w:rPr>
      </w:pPr>
    </w:p>
    <w:p w14:paraId="1D5A1B73"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Shahzad, S.J.H., Ferrer, R., Ballester, L. and Umar, Z. (2017) </w:t>
      </w:r>
      <w:r w:rsidRPr="73F31BAE">
        <w:rPr>
          <w:rFonts w:ascii="Arial" w:eastAsia="Arial" w:hAnsi="Arial" w:cs="Arial"/>
          <w:i/>
          <w:iCs/>
          <w:color w:val="000000" w:themeColor="text1"/>
        </w:rPr>
        <w:t>Risk transmission between Islamic and conventional stock markets: A return and volatility spillover analysis.</w:t>
      </w:r>
      <w:r w:rsidRPr="73F31BAE">
        <w:rPr>
          <w:rFonts w:ascii="Arial" w:eastAsia="Arial" w:hAnsi="Arial" w:cs="Arial"/>
          <w:color w:val="000000" w:themeColor="text1"/>
        </w:rPr>
        <w:t xml:space="preserve"> International Review of Financial Analysis, 52, pp.9-26. Available at; </w:t>
      </w:r>
      <w:hyperlink r:id="rId55">
        <w:r w:rsidRPr="73F31BAE">
          <w:rPr>
            <w:rStyle w:val="Hyperlink"/>
            <w:rFonts w:ascii="Arial" w:eastAsia="Arial" w:hAnsi="Arial" w:cs="Arial"/>
            <w:color w:val="000000" w:themeColor="text1"/>
          </w:rPr>
          <w:t>https://roderic.uv.es/bitstream/handle/10550/67421/118291.pdf?sequence=1</w:t>
        </w:r>
      </w:hyperlink>
      <w:r w:rsidRPr="73F31BAE">
        <w:rPr>
          <w:rFonts w:ascii="Arial" w:eastAsia="Arial" w:hAnsi="Arial" w:cs="Arial"/>
          <w:color w:val="000000" w:themeColor="text1"/>
        </w:rPr>
        <w:t xml:space="preserve">  </w:t>
      </w:r>
    </w:p>
    <w:p w14:paraId="25BA13B8" w14:textId="77777777" w:rsidR="00D62726" w:rsidRDefault="00D62726" w:rsidP="73F31BAE">
      <w:pPr>
        <w:spacing w:after="0" w:line="360" w:lineRule="auto"/>
        <w:ind w:left="-20" w:right="-20"/>
        <w:jc w:val="both"/>
      </w:pPr>
    </w:p>
    <w:p w14:paraId="24DBD21C"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Siddarth, S. and Singh, K. (2023) </w:t>
      </w:r>
      <w:r w:rsidRPr="73F31BAE">
        <w:rPr>
          <w:rFonts w:ascii="Arial" w:eastAsia="Arial" w:hAnsi="Arial" w:cs="Arial"/>
          <w:i/>
          <w:iCs/>
          <w:color w:val="000000" w:themeColor="text1"/>
        </w:rPr>
        <w:t xml:space="preserve">UK stocks rise as BOE keeps interest rates steady. </w:t>
      </w:r>
      <w:r w:rsidRPr="73F31BAE">
        <w:rPr>
          <w:rFonts w:ascii="Arial" w:eastAsia="Arial" w:hAnsi="Arial" w:cs="Arial"/>
          <w:color w:val="000000" w:themeColor="text1"/>
        </w:rPr>
        <w:t xml:space="preserve">Available at: </w:t>
      </w:r>
      <w:hyperlink r:id="rId56">
        <w:r w:rsidRPr="73F31BAE">
          <w:rPr>
            <w:rStyle w:val="Hyperlink"/>
            <w:rFonts w:ascii="Arial" w:eastAsia="Arial" w:hAnsi="Arial" w:cs="Arial"/>
          </w:rPr>
          <w:t>https://www.reuters.com/markets/europe/london-stocks-climb-upbeat-earnings-boe-decision-focus-2023-11-02/</w:t>
        </w:r>
      </w:hyperlink>
      <w:r w:rsidRPr="73F31BAE">
        <w:rPr>
          <w:rFonts w:ascii="Arial" w:eastAsia="Arial" w:hAnsi="Arial" w:cs="Arial"/>
          <w:color w:val="000000" w:themeColor="text1"/>
        </w:rPr>
        <w:t xml:space="preserve"> </w:t>
      </w:r>
    </w:p>
    <w:p w14:paraId="21665BA2" w14:textId="77777777" w:rsidR="00D62726" w:rsidRDefault="00D62726" w:rsidP="73F31BAE">
      <w:pPr>
        <w:rPr>
          <w:rFonts w:ascii="Arial" w:eastAsia="Arial" w:hAnsi="Arial" w:cs="Arial"/>
          <w:color w:val="000000" w:themeColor="text1"/>
        </w:rPr>
      </w:pPr>
    </w:p>
    <w:p w14:paraId="20185304" w14:textId="77777777" w:rsidR="00D62726" w:rsidRDefault="00D62726" w:rsidP="73F31BAE">
      <w:pPr>
        <w:rPr>
          <w:rFonts w:ascii="Arial" w:eastAsia="Arial" w:hAnsi="Arial" w:cs="Arial"/>
          <w:color w:val="000000" w:themeColor="text1"/>
        </w:rPr>
      </w:pPr>
      <w:proofErr w:type="spellStart"/>
      <w:r w:rsidRPr="73F31BAE">
        <w:rPr>
          <w:rFonts w:ascii="Arial" w:eastAsia="Arial" w:hAnsi="Arial" w:cs="Arial"/>
          <w:color w:val="000000" w:themeColor="text1"/>
        </w:rPr>
        <w:t>Sornette</w:t>
      </w:r>
      <w:proofErr w:type="spellEnd"/>
      <w:r w:rsidRPr="73F31BAE">
        <w:rPr>
          <w:rFonts w:ascii="Arial" w:eastAsia="Arial" w:hAnsi="Arial" w:cs="Arial"/>
          <w:color w:val="000000" w:themeColor="text1"/>
        </w:rPr>
        <w:t>, D. (2003) Why stock markets crash, Princeton Univ.</w:t>
      </w:r>
    </w:p>
    <w:p w14:paraId="264D14E0" w14:textId="77777777" w:rsidR="00D62726" w:rsidRDefault="00D62726" w:rsidP="73F31BAE">
      <w:pPr>
        <w:rPr>
          <w:rFonts w:ascii="Arial" w:eastAsia="Arial" w:hAnsi="Arial" w:cs="Arial"/>
          <w:color w:val="000000" w:themeColor="text1"/>
        </w:rPr>
      </w:pPr>
    </w:p>
    <w:p w14:paraId="603587EF"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Sun, Y. and Yuan, X. (2021) </w:t>
      </w:r>
      <w:r w:rsidRPr="73F31BAE">
        <w:rPr>
          <w:rFonts w:ascii="Arial" w:eastAsia="Arial" w:hAnsi="Arial" w:cs="Arial"/>
          <w:i/>
          <w:iCs/>
          <w:color w:val="000000" w:themeColor="text1"/>
        </w:rPr>
        <w:t>Nonlinear relationship between money market rate and stock market liquidity in China: A multifractal analysis.</w:t>
      </w:r>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Plos</w:t>
      </w:r>
      <w:proofErr w:type="spellEnd"/>
      <w:r w:rsidRPr="73F31BAE">
        <w:rPr>
          <w:rFonts w:ascii="Arial" w:eastAsia="Arial" w:hAnsi="Arial" w:cs="Arial"/>
          <w:color w:val="000000" w:themeColor="text1"/>
        </w:rPr>
        <w:t xml:space="preserve"> one, 16(4), p.e0249852. </w:t>
      </w:r>
    </w:p>
    <w:p w14:paraId="3D483C37" w14:textId="77777777" w:rsidR="00CD52D8" w:rsidRDefault="00CD52D8" w:rsidP="73F31BAE">
      <w:pPr>
        <w:spacing w:after="0" w:line="360" w:lineRule="auto"/>
        <w:ind w:left="-20" w:right="-20"/>
        <w:jc w:val="both"/>
      </w:pPr>
    </w:p>
    <w:p w14:paraId="00ACC09B"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Sykes, A.O. (1993) </w:t>
      </w:r>
      <w:r w:rsidRPr="73F31BAE">
        <w:rPr>
          <w:rFonts w:ascii="Arial" w:eastAsia="Arial" w:hAnsi="Arial" w:cs="Arial"/>
          <w:i/>
          <w:iCs/>
          <w:color w:val="000000" w:themeColor="text1"/>
        </w:rPr>
        <w:t xml:space="preserve">An introduction to regression analysis. </w:t>
      </w:r>
      <w:r w:rsidRPr="73F31BAE">
        <w:rPr>
          <w:rFonts w:ascii="Arial" w:eastAsia="Arial" w:hAnsi="Arial" w:cs="Arial"/>
          <w:color w:val="000000" w:themeColor="text1"/>
        </w:rPr>
        <w:t xml:space="preserve">Available at: </w:t>
      </w:r>
      <w:hyperlink r:id="rId57">
        <w:r w:rsidRPr="73F31BAE">
          <w:rPr>
            <w:rStyle w:val="Hyperlink"/>
            <w:rFonts w:ascii="Arial" w:eastAsia="Arial" w:hAnsi="Arial" w:cs="Arial"/>
            <w:color w:val="000000" w:themeColor="text1"/>
          </w:rPr>
          <w:t>https://chicagounbound.uchicago.edu/cgi/viewcontent.cgi?article=1050&amp;context=law_and_economics</w:t>
        </w:r>
      </w:hyperlink>
      <w:r w:rsidRPr="73F31BAE">
        <w:rPr>
          <w:rFonts w:ascii="Arial" w:eastAsia="Arial" w:hAnsi="Arial" w:cs="Arial"/>
          <w:color w:val="000000" w:themeColor="text1"/>
        </w:rPr>
        <w:t xml:space="preserve">  </w:t>
      </w:r>
    </w:p>
    <w:p w14:paraId="49F4F8F1" w14:textId="77777777" w:rsidR="00CD52D8" w:rsidRDefault="00CD52D8" w:rsidP="73F31BAE">
      <w:pPr>
        <w:spacing w:after="0" w:line="360" w:lineRule="auto"/>
        <w:ind w:left="-20" w:right="-20"/>
        <w:jc w:val="both"/>
      </w:pPr>
    </w:p>
    <w:p w14:paraId="7E65B98B" w14:textId="77777777" w:rsidR="00D62726" w:rsidRDefault="00D62726" w:rsidP="73F31BAE">
      <w:pPr>
        <w:jc w:val="both"/>
        <w:rPr>
          <w:rFonts w:ascii="Arial" w:eastAsia="Arial" w:hAnsi="Arial" w:cs="Arial"/>
          <w:color w:val="000000" w:themeColor="text1"/>
        </w:rPr>
      </w:pPr>
      <w:proofErr w:type="spellStart"/>
      <w:r w:rsidRPr="73F31BAE">
        <w:rPr>
          <w:rFonts w:ascii="Arial" w:eastAsia="Arial" w:hAnsi="Arial" w:cs="Arial"/>
          <w:color w:val="000000" w:themeColor="text1"/>
        </w:rPr>
        <w:t>Tenreyro</w:t>
      </w:r>
      <w:proofErr w:type="spellEnd"/>
      <w:r w:rsidRPr="73F31BAE">
        <w:rPr>
          <w:rFonts w:ascii="Arial" w:eastAsia="Arial" w:hAnsi="Arial" w:cs="Arial"/>
          <w:color w:val="000000" w:themeColor="text1"/>
        </w:rPr>
        <w:t xml:space="preserve">, S. (2007). </w:t>
      </w:r>
      <w:r w:rsidRPr="73F31BAE">
        <w:rPr>
          <w:rFonts w:ascii="Arial" w:eastAsia="Arial" w:hAnsi="Arial" w:cs="Arial"/>
          <w:i/>
          <w:iCs/>
          <w:color w:val="000000" w:themeColor="text1"/>
        </w:rPr>
        <w:t>On the trade impact of nominal exchange rate volatility.</w:t>
      </w:r>
      <w:r w:rsidRPr="73F31BAE">
        <w:rPr>
          <w:rFonts w:ascii="Arial" w:eastAsia="Arial" w:hAnsi="Arial" w:cs="Arial"/>
          <w:color w:val="000000" w:themeColor="text1"/>
        </w:rPr>
        <w:t xml:space="preserve"> Journal of Development Economics, 82(2), 485-508.</w:t>
      </w:r>
    </w:p>
    <w:p w14:paraId="36E12B46" w14:textId="77777777" w:rsidR="00CD52D8" w:rsidRDefault="00CD52D8" w:rsidP="73F31BAE">
      <w:pPr>
        <w:jc w:val="both"/>
        <w:rPr>
          <w:rFonts w:ascii="Arial" w:eastAsia="Arial" w:hAnsi="Arial" w:cs="Arial"/>
          <w:color w:val="000000" w:themeColor="text1"/>
        </w:rPr>
      </w:pPr>
    </w:p>
    <w:p w14:paraId="1F8C1564" w14:textId="77777777" w:rsidR="00D62726" w:rsidRDefault="00D62726" w:rsidP="73F31BAE">
      <w:pPr>
        <w:rPr>
          <w:rFonts w:ascii="Arial" w:eastAsia="Arial" w:hAnsi="Arial" w:cs="Arial"/>
          <w:color w:val="000000" w:themeColor="text1"/>
        </w:rPr>
      </w:pPr>
      <w:proofErr w:type="spellStart"/>
      <w:r w:rsidRPr="73F31BAE">
        <w:rPr>
          <w:rFonts w:ascii="Arial" w:eastAsia="Arial" w:hAnsi="Arial" w:cs="Arial"/>
          <w:color w:val="000000" w:themeColor="text1"/>
        </w:rPr>
        <w:t>Teodorovic</w:t>
      </w:r>
      <w:proofErr w:type="spellEnd"/>
      <w:r w:rsidRPr="73F31BAE">
        <w:rPr>
          <w:rFonts w:ascii="Arial" w:eastAsia="Arial" w:hAnsi="Arial" w:cs="Arial"/>
          <w:color w:val="000000" w:themeColor="text1"/>
        </w:rPr>
        <w:t xml:space="preserve">, N. (2011). </w:t>
      </w:r>
      <w:r w:rsidRPr="73F31BAE">
        <w:rPr>
          <w:rFonts w:ascii="Arial" w:eastAsia="Arial" w:hAnsi="Arial" w:cs="Arial"/>
          <w:i/>
          <w:iCs/>
          <w:color w:val="000000" w:themeColor="text1"/>
        </w:rPr>
        <w:t xml:space="preserve">Liquidity, price impact and trade informativeness: evidence from the </w:t>
      </w:r>
      <w:proofErr w:type="spellStart"/>
      <w:r w:rsidRPr="73F31BAE">
        <w:rPr>
          <w:rFonts w:ascii="Arial" w:eastAsia="Arial" w:hAnsi="Arial" w:cs="Arial"/>
          <w:i/>
          <w:iCs/>
          <w:color w:val="000000" w:themeColor="text1"/>
        </w:rPr>
        <w:t>london</w:t>
      </w:r>
      <w:proofErr w:type="spellEnd"/>
      <w:r w:rsidRPr="73F31BAE">
        <w:rPr>
          <w:rFonts w:ascii="Arial" w:eastAsia="Arial" w:hAnsi="Arial" w:cs="Arial"/>
          <w:i/>
          <w:iCs/>
          <w:color w:val="000000" w:themeColor="text1"/>
        </w:rPr>
        <w:t xml:space="preserve"> stock exchange.</w:t>
      </w:r>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Ekonomski</w:t>
      </w:r>
      <w:proofErr w:type="spellEnd"/>
      <w:r w:rsidRPr="73F31BAE">
        <w:rPr>
          <w:rFonts w:ascii="Arial" w:eastAsia="Arial" w:hAnsi="Arial" w:cs="Arial"/>
          <w:color w:val="000000" w:themeColor="text1"/>
        </w:rPr>
        <w:t xml:space="preserve"> Anali, 56(188), 91-123. </w:t>
      </w:r>
    </w:p>
    <w:p w14:paraId="51AF4A9E" w14:textId="77777777" w:rsidR="00CD52D8" w:rsidRDefault="00CD52D8" w:rsidP="73F31BAE">
      <w:pPr>
        <w:rPr>
          <w:rFonts w:ascii="Arial" w:eastAsia="Arial" w:hAnsi="Arial" w:cs="Arial"/>
          <w:color w:val="000000" w:themeColor="text1"/>
        </w:rPr>
      </w:pPr>
    </w:p>
    <w:p w14:paraId="5C1D6123"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lastRenderedPageBreak/>
        <w:t xml:space="preserve">The Digest (2019) </w:t>
      </w:r>
      <w:r w:rsidRPr="73F31BAE">
        <w:rPr>
          <w:rFonts w:ascii="Arial" w:eastAsia="Arial" w:hAnsi="Arial" w:cs="Arial"/>
          <w:i/>
          <w:iCs/>
          <w:color w:val="000000" w:themeColor="text1"/>
        </w:rPr>
        <w:t xml:space="preserve">New estimates of the stock market wealth effect. </w:t>
      </w:r>
      <w:r w:rsidRPr="73F31BAE">
        <w:rPr>
          <w:rFonts w:ascii="Arial" w:eastAsia="Arial" w:hAnsi="Arial" w:cs="Arial"/>
          <w:color w:val="000000" w:themeColor="text1"/>
        </w:rPr>
        <w:t xml:space="preserve">Available at: </w:t>
      </w:r>
      <w:hyperlink r:id="rId58">
        <w:r w:rsidRPr="73F31BAE">
          <w:rPr>
            <w:rStyle w:val="Hyperlink"/>
            <w:rFonts w:ascii="Arial" w:eastAsia="Arial" w:hAnsi="Arial" w:cs="Arial"/>
            <w:color w:val="000000" w:themeColor="text1"/>
          </w:rPr>
          <w:t>https://www.nber.org/digest/aug19/new-estimates-stock-market-wealth-effect</w:t>
        </w:r>
      </w:hyperlink>
      <w:r w:rsidRPr="73F31BAE">
        <w:rPr>
          <w:rFonts w:ascii="Arial" w:eastAsia="Arial" w:hAnsi="Arial" w:cs="Arial"/>
          <w:color w:val="000000" w:themeColor="text1"/>
        </w:rPr>
        <w:t xml:space="preserve">  </w:t>
      </w:r>
    </w:p>
    <w:p w14:paraId="26DE8CDE" w14:textId="77777777" w:rsidR="00CD52D8" w:rsidRDefault="00CD52D8" w:rsidP="73F31BAE">
      <w:pPr>
        <w:spacing w:after="0" w:line="360" w:lineRule="auto"/>
        <w:ind w:left="-20" w:right="-20"/>
        <w:jc w:val="both"/>
        <w:rPr>
          <w:rFonts w:ascii="Arial" w:eastAsia="Arial" w:hAnsi="Arial" w:cs="Arial"/>
          <w:color w:val="000000" w:themeColor="text1"/>
        </w:rPr>
      </w:pPr>
    </w:p>
    <w:p w14:paraId="43F1B01A" w14:textId="77777777" w:rsidR="00D62726" w:rsidRDefault="00D62726" w:rsidP="73F31BAE">
      <w:pPr>
        <w:spacing w:after="0" w:line="360" w:lineRule="auto"/>
        <w:ind w:left="-20" w:right="-20"/>
        <w:jc w:val="both"/>
      </w:pPr>
    </w:p>
    <w:p w14:paraId="6E246450"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Tiwari, A. K., </w:t>
      </w:r>
      <w:proofErr w:type="spellStart"/>
      <w:r w:rsidRPr="73F31BAE">
        <w:rPr>
          <w:rFonts w:ascii="Arial" w:eastAsia="Arial" w:hAnsi="Arial" w:cs="Arial"/>
          <w:color w:val="000000" w:themeColor="text1"/>
        </w:rPr>
        <w:t>Cuñado</w:t>
      </w:r>
      <w:proofErr w:type="spellEnd"/>
      <w:r w:rsidRPr="73F31BAE">
        <w:rPr>
          <w:rFonts w:ascii="Arial" w:eastAsia="Arial" w:hAnsi="Arial" w:cs="Arial"/>
          <w:color w:val="000000" w:themeColor="text1"/>
        </w:rPr>
        <w:t xml:space="preserve">, J., Gupta, R., and </w:t>
      </w:r>
      <w:proofErr w:type="spellStart"/>
      <w:r w:rsidRPr="73F31BAE">
        <w:rPr>
          <w:rFonts w:ascii="Arial" w:eastAsia="Arial" w:hAnsi="Arial" w:cs="Arial"/>
          <w:color w:val="000000" w:themeColor="text1"/>
        </w:rPr>
        <w:t>Wohar</w:t>
      </w:r>
      <w:proofErr w:type="spellEnd"/>
      <w:r w:rsidRPr="73F31BAE">
        <w:rPr>
          <w:rFonts w:ascii="Arial" w:eastAsia="Arial" w:hAnsi="Arial" w:cs="Arial"/>
          <w:color w:val="000000" w:themeColor="text1"/>
        </w:rPr>
        <w:t xml:space="preserve">, M. E. (2018). </w:t>
      </w:r>
      <w:r w:rsidRPr="73F31BAE">
        <w:rPr>
          <w:rFonts w:ascii="Arial" w:eastAsia="Arial" w:hAnsi="Arial" w:cs="Arial"/>
          <w:i/>
          <w:iCs/>
          <w:color w:val="000000" w:themeColor="text1"/>
        </w:rPr>
        <w:t xml:space="preserve">Are stock returns an inflation hedge for the </w:t>
      </w:r>
      <w:proofErr w:type="spellStart"/>
      <w:r w:rsidRPr="73F31BAE">
        <w:rPr>
          <w:rFonts w:ascii="Arial" w:eastAsia="Arial" w:hAnsi="Arial" w:cs="Arial"/>
          <w:i/>
          <w:iCs/>
          <w:color w:val="000000" w:themeColor="text1"/>
        </w:rPr>
        <w:t>Uk</w:t>
      </w:r>
      <w:proofErr w:type="spellEnd"/>
      <w:r w:rsidRPr="73F31BAE">
        <w:rPr>
          <w:rFonts w:ascii="Arial" w:eastAsia="Arial" w:hAnsi="Arial" w:cs="Arial"/>
          <w:i/>
          <w:iCs/>
          <w:color w:val="000000" w:themeColor="text1"/>
        </w:rPr>
        <w:t>? evidence from a wavelet analysis using over three centuries of data.</w:t>
      </w:r>
      <w:r w:rsidRPr="73F31BAE">
        <w:rPr>
          <w:rFonts w:ascii="Arial" w:eastAsia="Arial" w:hAnsi="Arial" w:cs="Arial"/>
          <w:color w:val="000000" w:themeColor="text1"/>
        </w:rPr>
        <w:t xml:space="preserve"> Studies in Nonlinear Dynamics &amp;Amp; Econometrics, 23(3). </w:t>
      </w:r>
    </w:p>
    <w:p w14:paraId="052BCA55" w14:textId="77777777" w:rsidR="00D62726" w:rsidRDefault="00D62726" w:rsidP="73F31BAE">
      <w:pPr>
        <w:rPr>
          <w:rFonts w:ascii="Arial" w:eastAsia="Arial" w:hAnsi="Arial" w:cs="Arial"/>
          <w:color w:val="000000" w:themeColor="text1"/>
        </w:rPr>
      </w:pPr>
    </w:p>
    <w:p w14:paraId="052940C9"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Torrero, A. (2003)</w:t>
      </w:r>
      <w:r w:rsidRPr="73F31BAE">
        <w:rPr>
          <w:rFonts w:ascii="Arial" w:eastAsia="Arial" w:hAnsi="Arial" w:cs="Arial"/>
          <w:i/>
          <w:iCs/>
          <w:color w:val="000000" w:themeColor="text1"/>
        </w:rPr>
        <w:t xml:space="preserve"> La </w:t>
      </w:r>
      <w:proofErr w:type="spellStart"/>
      <w:r w:rsidRPr="73F31BAE">
        <w:rPr>
          <w:rFonts w:ascii="Arial" w:eastAsia="Arial" w:hAnsi="Arial" w:cs="Arial"/>
          <w:i/>
          <w:iCs/>
          <w:color w:val="000000" w:themeColor="text1"/>
        </w:rPr>
        <w:t>burbuja</w:t>
      </w:r>
      <w:proofErr w:type="spellEnd"/>
      <w:r w:rsidRPr="73F31BAE">
        <w:rPr>
          <w:rFonts w:ascii="Arial" w:eastAsia="Arial" w:hAnsi="Arial" w:cs="Arial"/>
          <w:i/>
          <w:iCs/>
          <w:color w:val="000000" w:themeColor="text1"/>
        </w:rPr>
        <w:t xml:space="preserve"> </w:t>
      </w:r>
      <w:proofErr w:type="spellStart"/>
      <w:r w:rsidRPr="73F31BAE">
        <w:rPr>
          <w:rFonts w:ascii="Arial" w:eastAsia="Arial" w:hAnsi="Arial" w:cs="Arial"/>
          <w:i/>
          <w:iCs/>
          <w:color w:val="000000" w:themeColor="text1"/>
        </w:rPr>
        <w:t>especulativa</w:t>
      </w:r>
      <w:proofErr w:type="spellEnd"/>
      <w:r w:rsidRPr="73F31BAE">
        <w:rPr>
          <w:rFonts w:ascii="Arial" w:eastAsia="Arial" w:hAnsi="Arial" w:cs="Arial"/>
          <w:i/>
          <w:iCs/>
          <w:color w:val="000000" w:themeColor="text1"/>
        </w:rPr>
        <w:t xml:space="preserve"> y la crisis </w:t>
      </w:r>
      <w:proofErr w:type="spellStart"/>
      <w:r w:rsidRPr="73F31BAE">
        <w:rPr>
          <w:rFonts w:ascii="Arial" w:eastAsia="Arial" w:hAnsi="Arial" w:cs="Arial"/>
          <w:i/>
          <w:iCs/>
          <w:color w:val="000000" w:themeColor="text1"/>
        </w:rPr>
        <w:t>económica</w:t>
      </w:r>
      <w:proofErr w:type="spellEnd"/>
      <w:r w:rsidRPr="73F31BAE">
        <w:rPr>
          <w:rFonts w:ascii="Arial" w:eastAsia="Arial" w:hAnsi="Arial" w:cs="Arial"/>
          <w:i/>
          <w:iCs/>
          <w:color w:val="000000" w:themeColor="text1"/>
        </w:rPr>
        <w:t xml:space="preserve"> de </w:t>
      </w:r>
      <w:proofErr w:type="spellStart"/>
      <w:r w:rsidRPr="73F31BAE">
        <w:rPr>
          <w:rFonts w:ascii="Arial" w:eastAsia="Arial" w:hAnsi="Arial" w:cs="Arial"/>
          <w:i/>
          <w:iCs/>
          <w:color w:val="000000" w:themeColor="text1"/>
        </w:rPr>
        <w:t>Japón</w:t>
      </w:r>
      <w:proofErr w:type="spellEnd"/>
      <w:r w:rsidRPr="73F31BAE">
        <w:rPr>
          <w:rFonts w:ascii="Arial" w:eastAsia="Arial" w:hAnsi="Arial" w:cs="Arial"/>
          <w:i/>
          <w:iCs/>
          <w:color w:val="000000" w:themeColor="text1"/>
        </w:rPr>
        <w:t>.</w:t>
      </w:r>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Témpora</w:t>
      </w:r>
      <w:proofErr w:type="spellEnd"/>
      <w:r w:rsidRPr="73F31BAE">
        <w:rPr>
          <w:rFonts w:ascii="Arial" w:eastAsia="Arial" w:hAnsi="Arial" w:cs="Arial"/>
          <w:color w:val="000000" w:themeColor="text1"/>
        </w:rPr>
        <w:t>. Madrid.</w:t>
      </w:r>
    </w:p>
    <w:p w14:paraId="5348010F" w14:textId="77777777" w:rsidR="00D62726" w:rsidRDefault="00D62726" w:rsidP="73F31BAE">
      <w:pPr>
        <w:rPr>
          <w:rFonts w:ascii="Arial" w:eastAsia="Arial" w:hAnsi="Arial" w:cs="Arial"/>
          <w:color w:val="000000" w:themeColor="text1"/>
        </w:rPr>
      </w:pPr>
    </w:p>
    <w:p w14:paraId="1AA70BE7" w14:textId="77777777" w:rsidR="00D62726" w:rsidRDefault="00D62726" w:rsidP="73F31BAE">
      <w:pPr>
        <w:rPr>
          <w:rFonts w:ascii="Arial" w:eastAsia="Arial" w:hAnsi="Arial" w:cs="Arial"/>
          <w:color w:val="000000" w:themeColor="text1"/>
        </w:rPr>
      </w:pPr>
      <w:proofErr w:type="spellStart"/>
      <w:r w:rsidRPr="73F31BAE">
        <w:rPr>
          <w:rFonts w:ascii="Arial" w:eastAsia="Arial" w:hAnsi="Arial" w:cs="Arial"/>
          <w:color w:val="000000" w:themeColor="text1"/>
        </w:rPr>
        <w:t>Tse</w:t>
      </w:r>
      <w:proofErr w:type="spellEnd"/>
      <w:r w:rsidRPr="73F31BAE">
        <w:rPr>
          <w:rFonts w:ascii="Arial" w:eastAsia="Arial" w:hAnsi="Arial" w:cs="Arial"/>
          <w:color w:val="000000" w:themeColor="text1"/>
        </w:rPr>
        <w:t xml:space="preserve">, Y. and Bandyopadhyay, P. (2006). </w:t>
      </w:r>
      <w:r w:rsidRPr="73F31BAE">
        <w:rPr>
          <w:rFonts w:ascii="Arial" w:eastAsia="Arial" w:hAnsi="Arial" w:cs="Arial"/>
          <w:i/>
          <w:iCs/>
          <w:color w:val="000000" w:themeColor="text1"/>
        </w:rPr>
        <w:t>Multi-market trading in the Eurodollar futures market.</w:t>
      </w:r>
      <w:r w:rsidRPr="73F31BAE">
        <w:rPr>
          <w:rFonts w:ascii="Arial" w:eastAsia="Arial" w:hAnsi="Arial" w:cs="Arial"/>
          <w:color w:val="000000" w:themeColor="text1"/>
        </w:rPr>
        <w:t xml:space="preserve"> Review of Quantitative Finance and Accounting, 26(3), 321-341. </w:t>
      </w:r>
    </w:p>
    <w:p w14:paraId="781CCBB9" w14:textId="77777777" w:rsidR="00D62726" w:rsidRDefault="00D62726" w:rsidP="73F31BAE">
      <w:pPr>
        <w:rPr>
          <w:rFonts w:ascii="Arial" w:eastAsia="Arial" w:hAnsi="Arial" w:cs="Arial"/>
          <w:color w:val="000000" w:themeColor="text1"/>
        </w:rPr>
      </w:pPr>
    </w:p>
    <w:p w14:paraId="15806F31" w14:textId="77777777" w:rsidR="00D62726" w:rsidRDefault="00D62726" w:rsidP="73F31BAE">
      <w:pPr>
        <w:spacing w:after="0" w:line="360" w:lineRule="auto"/>
        <w:ind w:left="-20" w:right="-20"/>
        <w:jc w:val="both"/>
        <w:rPr>
          <w:rFonts w:ascii="Arial" w:eastAsia="Arial" w:hAnsi="Arial" w:cs="Arial"/>
          <w:color w:val="000000" w:themeColor="text1"/>
        </w:rPr>
      </w:pPr>
      <w:proofErr w:type="spellStart"/>
      <w:r w:rsidRPr="73F31BAE">
        <w:rPr>
          <w:rFonts w:ascii="Arial" w:eastAsia="Arial" w:hAnsi="Arial" w:cs="Arial"/>
          <w:color w:val="000000" w:themeColor="text1"/>
        </w:rPr>
        <w:t>Tunaru</w:t>
      </w:r>
      <w:proofErr w:type="spellEnd"/>
      <w:r w:rsidRPr="73F31BAE">
        <w:rPr>
          <w:rFonts w:ascii="Arial" w:eastAsia="Arial" w:hAnsi="Arial" w:cs="Arial"/>
          <w:color w:val="000000" w:themeColor="text1"/>
        </w:rPr>
        <w:t xml:space="preserve">, D. E. and Fabozzi, F. J. (2020). </w:t>
      </w:r>
      <w:r w:rsidRPr="73F31BAE">
        <w:rPr>
          <w:rFonts w:ascii="Arial" w:eastAsia="Arial" w:hAnsi="Arial" w:cs="Arial"/>
          <w:i/>
          <w:iCs/>
          <w:color w:val="000000" w:themeColor="text1"/>
        </w:rPr>
        <w:t xml:space="preserve">Not everyone is a follower: the </w:t>
      </w:r>
      <w:proofErr w:type="spellStart"/>
      <w:r w:rsidRPr="73F31BAE">
        <w:rPr>
          <w:rFonts w:ascii="Arial" w:eastAsia="Arial" w:hAnsi="Arial" w:cs="Arial"/>
          <w:i/>
          <w:iCs/>
          <w:color w:val="000000" w:themeColor="text1"/>
        </w:rPr>
        <w:t>behaviour</w:t>
      </w:r>
      <w:proofErr w:type="spellEnd"/>
      <w:r w:rsidRPr="73F31BAE">
        <w:rPr>
          <w:rFonts w:ascii="Arial" w:eastAsia="Arial" w:hAnsi="Arial" w:cs="Arial"/>
          <w:i/>
          <w:iCs/>
          <w:color w:val="000000" w:themeColor="text1"/>
        </w:rPr>
        <w:t xml:space="preserve"> of interest rate and equity markets within major economies relative to the United States.</w:t>
      </w:r>
      <w:r w:rsidRPr="73F31BAE">
        <w:rPr>
          <w:rFonts w:ascii="Arial" w:eastAsia="Arial" w:hAnsi="Arial" w:cs="Arial"/>
          <w:color w:val="000000" w:themeColor="text1"/>
        </w:rPr>
        <w:t xml:space="preserve"> International Journal of Finance &amp;Amp; Economics, 26(2), 2335-2350.  </w:t>
      </w:r>
    </w:p>
    <w:p w14:paraId="0B7BD303" w14:textId="77777777" w:rsidR="00D62726" w:rsidRDefault="00D62726" w:rsidP="73F31BAE">
      <w:pPr>
        <w:spacing w:after="0" w:line="360" w:lineRule="auto"/>
        <w:ind w:left="-20" w:right="-20"/>
        <w:jc w:val="both"/>
      </w:pPr>
    </w:p>
    <w:p w14:paraId="7B366F35"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Uddin, G. and Alam, M.M. (2017) </w:t>
      </w:r>
      <w:r w:rsidRPr="73F31BAE">
        <w:rPr>
          <w:rFonts w:ascii="Arial" w:eastAsia="Arial" w:hAnsi="Arial" w:cs="Arial"/>
          <w:i/>
          <w:iCs/>
          <w:color w:val="000000" w:themeColor="text1"/>
        </w:rPr>
        <w:t>The impacts of interest rates on stock market: empirical evidence from Dhaka Stock Exchange</w:t>
      </w:r>
      <w:r w:rsidRPr="73F31BAE">
        <w:rPr>
          <w:rFonts w:ascii="Arial" w:eastAsia="Arial" w:hAnsi="Arial" w:cs="Arial"/>
          <w:color w:val="000000" w:themeColor="text1"/>
        </w:rPr>
        <w:t xml:space="preserve">. Available at: </w:t>
      </w:r>
      <w:hyperlink r:id="rId59">
        <w:r w:rsidRPr="73F31BAE">
          <w:rPr>
            <w:rStyle w:val="Hyperlink"/>
            <w:rFonts w:ascii="Arial" w:eastAsia="Arial" w:hAnsi="Arial" w:cs="Arial"/>
            <w:color w:val="000000" w:themeColor="text1"/>
          </w:rPr>
          <w:t>https://papers.ssrn.com/sol3/papers.cfm?abstract_id=2941287</w:t>
        </w:r>
      </w:hyperlink>
      <w:r w:rsidRPr="73F31BAE">
        <w:rPr>
          <w:rFonts w:ascii="Arial" w:eastAsia="Arial" w:hAnsi="Arial" w:cs="Arial"/>
          <w:color w:val="000000" w:themeColor="text1"/>
        </w:rPr>
        <w:t xml:space="preserve"> (Accessed on: 16th October 2023) </w:t>
      </w:r>
    </w:p>
    <w:p w14:paraId="4158C525" w14:textId="77777777" w:rsidR="00D62726" w:rsidRDefault="00D62726" w:rsidP="73F31BAE">
      <w:pPr>
        <w:spacing w:after="0" w:line="360" w:lineRule="auto"/>
        <w:ind w:left="-20" w:right="-20"/>
        <w:jc w:val="both"/>
      </w:pPr>
    </w:p>
    <w:p w14:paraId="72553E3C" w14:textId="77777777" w:rsidR="00D62726" w:rsidRDefault="00D62726" w:rsidP="73F31BAE">
      <w:pPr>
        <w:spacing w:after="0" w:line="360" w:lineRule="auto"/>
        <w:ind w:left="-20" w:right="-20"/>
        <w:jc w:val="both"/>
        <w:rPr>
          <w:rFonts w:ascii="Arial" w:eastAsia="Arial" w:hAnsi="Arial" w:cs="Arial"/>
          <w:color w:val="000000" w:themeColor="text1"/>
        </w:rPr>
      </w:pPr>
      <w:proofErr w:type="spellStart"/>
      <w:r w:rsidRPr="73F31BAE">
        <w:rPr>
          <w:rFonts w:ascii="Arial" w:eastAsia="Arial" w:hAnsi="Arial" w:cs="Arial"/>
          <w:color w:val="000000" w:themeColor="text1"/>
        </w:rPr>
        <w:t>Vayanos</w:t>
      </w:r>
      <w:proofErr w:type="spellEnd"/>
      <w:r w:rsidRPr="73F31BAE">
        <w:rPr>
          <w:rFonts w:ascii="Arial" w:eastAsia="Arial" w:hAnsi="Arial" w:cs="Arial"/>
          <w:color w:val="000000" w:themeColor="text1"/>
        </w:rPr>
        <w:t xml:space="preserve">, D. and Wang, J. (2013) </w:t>
      </w:r>
      <w:r w:rsidRPr="73F31BAE">
        <w:rPr>
          <w:rFonts w:ascii="Arial" w:eastAsia="Arial" w:hAnsi="Arial" w:cs="Arial"/>
          <w:i/>
          <w:iCs/>
          <w:color w:val="000000" w:themeColor="text1"/>
        </w:rPr>
        <w:t>Market liquidity—theory and empirical evidence.</w:t>
      </w:r>
      <w:r w:rsidRPr="73F31BAE">
        <w:rPr>
          <w:rFonts w:ascii="Arial" w:eastAsia="Arial" w:hAnsi="Arial" w:cs="Arial"/>
          <w:color w:val="000000" w:themeColor="text1"/>
        </w:rPr>
        <w:t xml:space="preserve"> In Handbook of the Economics of Finance (Vol. 2, pp. 1289-1361). Elsevier. Available at: </w:t>
      </w:r>
      <w:hyperlink r:id="rId60">
        <w:r w:rsidRPr="73F31BAE">
          <w:rPr>
            <w:rStyle w:val="Hyperlink"/>
            <w:rFonts w:ascii="Arial" w:eastAsia="Arial" w:hAnsi="Arial" w:cs="Arial"/>
            <w:color w:val="000000" w:themeColor="text1"/>
          </w:rPr>
          <w:t>https://www.nber.org/system/files/working_papers/w18251/w18251.pdf</w:t>
        </w:r>
      </w:hyperlink>
      <w:r w:rsidRPr="73F31BAE">
        <w:rPr>
          <w:rFonts w:ascii="Arial" w:eastAsia="Arial" w:hAnsi="Arial" w:cs="Arial"/>
          <w:color w:val="000000" w:themeColor="text1"/>
        </w:rPr>
        <w:t xml:space="preserve"> (Accessed on: 9</w:t>
      </w:r>
      <w:r w:rsidRPr="73F31BAE">
        <w:rPr>
          <w:rFonts w:ascii="Arial" w:eastAsia="Arial" w:hAnsi="Arial" w:cs="Arial"/>
          <w:color w:val="000000" w:themeColor="text1"/>
          <w:vertAlign w:val="superscript"/>
        </w:rPr>
        <w:t>th</w:t>
      </w:r>
      <w:r w:rsidRPr="73F31BAE">
        <w:rPr>
          <w:rFonts w:ascii="Arial" w:eastAsia="Arial" w:hAnsi="Arial" w:cs="Arial"/>
          <w:color w:val="000000" w:themeColor="text1"/>
        </w:rPr>
        <w:t xml:space="preserve"> November’2023) </w:t>
      </w:r>
    </w:p>
    <w:p w14:paraId="004989ED" w14:textId="77777777" w:rsidR="00D62726" w:rsidRDefault="00D62726" w:rsidP="73F31BAE">
      <w:pPr>
        <w:spacing w:after="0" w:line="360" w:lineRule="auto"/>
        <w:ind w:left="-20" w:right="-20"/>
        <w:jc w:val="both"/>
      </w:pPr>
    </w:p>
    <w:p w14:paraId="4B4178E9"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Wallis, G. (2009). </w:t>
      </w:r>
      <w:r w:rsidRPr="73F31BAE">
        <w:rPr>
          <w:rFonts w:ascii="Arial" w:eastAsia="Arial" w:hAnsi="Arial" w:cs="Arial"/>
          <w:i/>
          <w:iCs/>
          <w:color w:val="000000" w:themeColor="text1"/>
        </w:rPr>
        <w:t xml:space="preserve">Capital services growth in the </w:t>
      </w:r>
      <w:proofErr w:type="spellStart"/>
      <w:r w:rsidRPr="73F31BAE">
        <w:rPr>
          <w:rFonts w:ascii="Arial" w:eastAsia="Arial" w:hAnsi="Arial" w:cs="Arial"/>
          <w:i/>
          <w:iCs/>
          <w:color w:val="000000" w:themeColor="text1"/>
        </w:rPr>
        <w:t>Uk</w:t>
      </w:r>
      <w:proofErr w:type="spellEnd"/>
      <w:r w:rsidRPr="73F31BAE">
        <w:rPr>
          <w:rFonts w:ascii="Arial" w:eastAsia="Arial" w:hAnsi="Arial" w:cs="Arial"/>
          <w:i/>
          <w:iCs/>
          <w:color w:val="000000" w:themeColor="text1"/>
        </w:rPr>
        <w:t>: 1950 to 2006</w:t>
      </w:r>
      <w:r w:rsidRPr="73F31BAE">
        <w:rPr>
          <w:rFonts w:ascii="Arial" w:eastAsia="Arial" w:hAnsi="Arial" w:cs="Arial"/>
          <w:color w:val="000000" w:themeColor="text1"/>
        </w:rPr>
        <w:t xml:space="preserve">. Oxford Bulletin of Economics and Statistics, 71(6), 799-819. </w:t>
      </w:r>
    </w:p>
    <w:p w14:paraId="5D67D3F2" w14:textId="77777777" w:rsidR="00D62726" w:rsidRDefault="00D62726" w:rsidP="73F31BAE">
      <w:pPr>
        <w:rPr>
          <w:rFonts w:ascii="Arial" w:eastAsia="Arial" w:hAnsi="Arial" w:cs="Arial"/>
          <w:color w:val="000000" w:themeColor="text1"/>
        </w:rPr>
      </w:pPr>
    </w:p>
    <w:p w14:paraId="29C858E4"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Weng, Y., Chen, J., Cheng, C. C., &amp; Chen, C. (2020). </w:t>
      </w:r>
      <w:r w:rsidRPr="73F31BAE">
        <w:rPr>
          <w:rFonts w:ascii="Arial" w:eastAsia="Arial" w:hAnsi="Arial" w:cs="Arial"/>
          <w:i/>
          <w:iCs/>
          <w:color w:val="000000" w:themeColor="text1"/>
        </w:rPr>
        <w:t>Use of modern regression analysis in the dielectric properties of foods.</w:t>
      </w:r>
      <w:r w:rsidRPr="73F31BAE">
        <w:rPr>
          <w:rFonts w:ascii="Arial" w:eastAsia="Arial" w:hAnsi="Arial" w:cs="Arial"/>
          <w:color w:val="000000" w:themeColor="text1"/>
        </w:rPr>
        <w:t xml:space="preserve"> Foods, 9(10), 1472. </w:t>
      </w:r>
    </w:p>
    <w:p w14:paraId="34B9E253" w14:textId="77777777" w:rsidR="00D62726" w:rsidRDefault="00D62726" w:rsidP="73F31BAE">
      <w:pPr>
        <w:spacing w:after="0" w:line="360" w:lineRule="auto"/>
        <w:ind w:left="-20" w:right="-20"/>
        <w:jc w:val="both"/>
      </w:pPr>
    </w:p>
    <w:p w14:paraId="0606D8EE"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lastRenderedPageBreak/>
        <w:t xml:space="preserve">Yilmaz, K. (2013) </w:t>
      </w:r>
      <w:r w:rsidRPr="73F31BAE">
        <w:rPr>
          <w:rFonts w:ascii="Arial" w:eastAsia="Arial" w:hAnsi="Arial" w:cs="Arial"/>
          <w:i/>
          <w:iCs/>
          <w:color w:val="000000" w:themeColor="text1"/>
        </w:rPr>
        <w:t xml:space="preserve">Comparison of quantitative and qualitative research traditions: Epistemological, theoretical, and methodological differences. </w:t>
      </w:r>
      <w:r w:rsidRPr="73F31BAE">
        <w:rPr>
          <w:rFonts w:ascii="Arial" w:eastAsia="Arial" w:hAnsi="Arial" w:cs="Arial"/>
          <w:color w:val="000000" w:themeColor="text1"/>
        </w:rPr>
        <w:t xml:space="preserve">European journal of education, 48(2), pp.311-325. </w:t>
      </w:r>
    </w:p>
    <w:p w14:paraId="7186B5A7" w14:textId="77777777" w:rsidR="00D62726" w:rsidRDefault="00D62726" w:rsidP="73F31BAE">
      <w:pPr>
        <w:spacing w:after="0" w:line="360" w:lineRule="auto"/>
        <w:ind w:left="-20" w:right="-20"/>
        <w:jc w:val="both"/>
      </w:pPr>
    </w:p>
    <w:p w14:paraId="4FBCDB7B" w14:textId="77777777" w:rsidR="00D62726" w:rsidRDefault="00D62726" w:rsidP="73F31BAE">
      <w:pPr>
        <w:rPr>
          <w:rFonts w:ascii="Arial" w:eastAsia="Arial" w:hAnsi="Arial" w:cs="Arial"/>
          <w:color w:val="000000" w:themeColor="text1"/>
        </w:rPr>
      </w:pPr>
      <w:r w:rsidRPr="73F31BAE">
        <w:rPr>
          <w:rFonts w:ascii="Arial" w:eastAsia="Arial" w:hAnsi="Arial" w:cs="Arial"/>
          <w:color w:val="000000" w:themeColor="text1"/>
        </w:rPr>
        <w:t xml:space="preserve">Young, G. (1995). </w:t>
      </w:r>
      <w:r w:rsidRPr="73F31BAE">
        <w:rPr>
          <w:rFonts w:ascii="Arial" w:eastAsia="Arial" w:hAnsi="Arial" w:cs="Arial"/>
          <w:i/>
          <w:iCs/>
          <w:color w:val="000000" w:themeColor="text1"/>
        </w:rPr>
        <w:t xml:space="preserve">The </w:t>
      </w:r>
      <w:proofErr w:type="spellStart"/>
      <w:r w:rsidRPr="73F31BAE">
        <w:rPr>
          <w:rFonts w:ascii="Arial" w:eastAsia="Arial" w:hAnsi="Arial" w:cs="Arial"/>
          <w:i/>
          <w:iCs/>
          <w:color w:val="000000" w:themeColor="text1"/>
        </w:rPr>
        <w:t>Uk</w:t>
      </w:r>
      <w:proofErr w:type="spellEnd"/>
      <w:r w:rsidRPr="73F31BAE">
        <w:rPr>
          <w:rFonts w:ascii="Arial" w:eastAsia="Arial" w:hAnsi="Arial" w:cs="Arial"/>
          <w:i/>
          <w:iCs/>
          <w:color w:val="000000" w:themeColor="text1"/>
        </w:rPr>
        <w:t xml:space="preserve"> economy</w:t>
      </w:r>
      <w:r w:rsidRPr="73F31BAE">
        <w:rPr>
          <w:rFonts w:ascii="Arial" w:eastAsia="Arial" w:hAnsi="Arial" w:cs="Arial"/>
          <w:color w:val="000000" w:themeColor="text1"/>
        </w:rPr>
        <w:t xml:space="preserve">. National Institute Economic Review, 152, 9-28. </w:t>
      </w:r>
    </w:p>
    <w:p w14:paraId="3D56129F" w14:textId="77777777" w:rsidR="00D62726" w:rsidRDefault="00D62726" w:rsidP="73F31BAE">
      <w:pPr>
        <w:rPr>
          <w:rFonts w:ascii="Arial" w:eastAsia="Arial" w:hAnsi="Arial" w:cs="Arial"/>
          <w:color w:val="000000" w:themeColor="text1"/>
        </w:rPr>
      </w:pPr>
    </w:p>
    <w:p w14:paraId="1B3CE04B" w14:textId="77777777" w:rsidR="00D62726" w:rsidRDefault="00D62726" w:rsidP="73F31BAE">
      <w:pPr>
        <w:spacing w:after="0" w:line="360" w:lineRule="auto"/>
        <w:ind w:left="-20" w:right="-20"/>
        <w:jc w:val="both"/>
        <w:rPr>
          <w:rFonts w:ascii="Arial" w:eastAsia="Arial" w:hAnsi="Arial" w:cs="Arial"/>
          <w:color w:val="000000" w:themeColor="text1"/>
        </w:rPr>
      </w:pPr>
      <w:r w:rsidRPr="73F31BAE">
        <w:rPr>
          <w:rFonts w:ascii="Arial" w:eastAsia="Arial" w:hAnsi="Arial" w:cs="Arial"/>
          <w:color w:val="000000" w:themeColor="text1"/>
        </w:rPr>
        <w:t xml:space="preserve">Young, P.V. (1966) </w:t>
      </w:r>
      <w:r w:rsidRPr="73F31BAE">
        <w:rPr>
          <w:rFonts w:ascii="Arial" w:eastAsia="Arial" w:hAnsi="Arial" w:cs="Arial"/>
          <w:i/>
          <w:iCs/>
          <w:color w:val="000000" w:themeColor="text1"/>
        </w:rPr>
        <w:t>Scientific social surveys and research.</w:t>
      </w:r>
      <w:r w:rsidRPr="73F31BAE">
        <w:rPr>
          <w:rFonts w:ascii="Arial" w:eastAsia="Arial" w:hAnsi="Arial" w:cs="Arial"/>
          <w:color w:val="000000" w:themeColor="text1"/>
        </w:rPr>
        <w:t xml:space="preserve"> PHI Learning Private Limited.</w:t>
      </w:r>
    </w:p>
    <w:p w14:paraId="0C1F73D1" w14:textId="77777777" w:rsidR="00D62726" w:rsidRDefault="00D62726" w:rsidP="73F31BAE">
      <w:pPr>
        <w:spacing w:after="0" w:line="360" w:lineRule="auto"/>
        <w:ind w:left="-20" w:right="-20"/>
        <w:jc w:val="both"/>
      </w:pPr>
    </w:p>
    <w:p w14:paraId="0E78A5AF" w14:textId="4578F2F4" w:rsidR="00D62726" w:rsidRDefault="00D62726" w:rsidP="73F31BAE">
      <w:pPr>
        <w:jc w:val="both"/>
        <w:rPr>
          <w:rFonts w:ascii="Arial" w:eastAsia="Arial" w:hAnsi="Arial" w:cs="Arial"/>
          <w:color w:val="000000" w:themeColor="text1"/>
        </w:rPr>
      </w:pPr>
      <w:r w:rsidRPr="73F31BAE">
        <w:rPr>
          <w:rFonts w:ascii="Arial" w:eastAsia="Arial" w:hAnsi="Arial" w:cs="Arial"/>
          <w:color w:val="000000" w:themeColor="text1"/>
        </w:rPr>
        <w:t xml:space="preserve">Zhao, X. (2021). </w:t>
      </w:r>
      <w:r w:rsidRPr="73F31BAE">
        <w:rPr>
          <w:rFonts w:ascii="Arial" w:eastAsia="Arial" w:hAnsi="Arial" w:cs="Arial"/>
          <w:i/>
          <w:iCs/>
          <w:color w:val="000000" w:themeColor="text1"/>
        </w:rPr>
        <w:t>Application of Bayesian regression model in financial stock market forecasting</w:t>
      </w:r>
      <w:r w:rsidRPr="73F31BAE">
        <w:rPr>
          <w:rFonts w:ascii="Arial" w:eastAsia="Arial" w:hAnsi="Arial" w:cs="Arial"/>
          <w:color w:val="000000" w:themeColor="text1"/>
        </w:rPr>
        <w:t xml:space="preserve">. Proceedings of the 2nd International Conference on Management, Economy, and Law (ICMEL 2021). </w:t>
      </w:r>
    </w:p>
    <w:p w14:paraId="39BE7ACB" w14:textId="616A1562" w:rsidR="73F31BAE" w:rsidRDefault="73F31BAE" w:rsidP="73F31BAE">
      <w:pPr>
        <w:ind w:right="-20"/>
        <w:rPr>
          <w:rFonts w:ascii="Arial" w:eastAsia="Arial" w:hAnsi="Arial" w:cs="Arial"/>
          <w:b/>
          <w:bCs/>
        </w:rPr>
      </w:pPr>
    </w:p>
    <w:p w14:paraId="15DF0CE8" w14:textId="394D26B9" w:rsidR="73F31BAE" w:rsidRDefault="73F31BAE">
      <w:r>
        <w:br w:type="page"/>
      </w:r>
    </w:p>
    <w:p w14:paraId="6FEB557C" w14:textId="71711AE9" w:rsidR="6FDD951C" w:rsidRDefault="6FDD951C" w:rsidP="73F31BAE">
      <w:pPr>
        <w:jc w:val="center"/>
        <w:rPr>
          <w:rFonts w:ascii="Arial" w:eastAsia="Arial" w:hAnsi="Arial" w:cs="Arial"/>
          <w:b/>
          <w:bCs/>
          <w:color w:val="000000" w:themeColor="text1"/>
        </w:rPr>
      </w:pPr>
      <w:r w:rsidRPr="73F31BAE">
        <w:rPr>
          <w:rFonts w:ascii="Arial" w:eastAsia="Arial" w:hAnsi="Arial" w:cs="Arial"/>
          <w:b/>
          <w:bCs/>
          <w:color w:val="000000" w:themeColor="text1"/>
        </w:rPr>
        <w:lastRenderedPageBreak/>
        <w:t>Appendix</w:t>
      </w:r>
    </w:p>
    <w:p w14:paraId="16BA40D3" w14:textId="54BE9D2D" w:rsidR="6FDD951C" w:rsidRDefault="6FDD951C" w:rsidP="73F31BAE">
      <w:pPr>
        <w:jc w:val="both"/>
      </w:pPr>
      <w:r w:rsidRPr="73F31BAE">
        <w:rPr>
          <w:rFonts w:ascii="Arial" w:eastAsia="Arial" w:hAnsi="Arial" w:cs="Arial"/>
          <w:b/>
          <w:bCs/>
          <w:color w:val="000000" w:themeColor="text1"/>
        </w:rPr>
        <w:t>Appendix no. 1</w:t>
      </w:r>
    </w:p>
    <w:p w14:paraId="69490660" w14:textId="1E537C62" w:rsidR="6FDD951C" w:rsidRDefault="6FDD951C" w:rsidP="73F31BAE">
      <w:pPr>
        <w:jc w:val="both"/>
      </w:pPr>
      <w:r w:rsidRPr="73F31BAE">
        <w:rPr>
          <w:rFonts w:ascii="Arial" w:eastAsia="Arial" w:hAnsi="Arial" w:cs="Arial"/>
          <w:b/>
          <w:bCs/>
          <w:color w:val="000000" w:themeColor="text1"/>
        </w:rPr>
        <w:t>Linear Regression showing the relationship between the United Kingdom s bank rates and stock market prices (FTSE 100).</w:t>
      </w:r>
    </w:p>
    <w:p w14:paraId="0045693A" w14:textId="72E86A01" w:rsidR="6FDD951C" w:rsidRDefault="6FDD951C" w:rsidP="73F31BAE">
      <w:r w:rsidRPr="73F31BAE">
        <w:rPr>
          <w:rFonts w:ascii="Arial" w:eastAsia="Arial" w:hAnsi="Arial" w:cs="Arial"/>
          <w:color w:val="000000" w:themeColor="text1"/>
        </w:rPr>
        <w:t>Regression line equation</w:t>
      </w:r>
    </w:p>
    <w:p w14:paraId="2C3790F5" w14:textId="65D44DAF" w:rsidR="6FDD951C" w:rsidRDefault="6FDD951C" w:rsidP="73F31BAE">
      <w:pPr>
        <w:jc w:val="both"/>
      </w:pPr>
      <w:r w:rsidRPr="73F31BAE">
        <w:rPr>
          <w:rFonts w:ascii="Arial" w:eastAsia="Arial" w:hAnsi="Arial" w:cs="Arial"/>
          <w:b/>
          <w:bCs/>
          <w:color w:val="000000" w:themeColor="text1"/>
        </w:rPr>
        <w:t>Ŷ = 7142.4371 - 24.4948X</w:t>
      </w:r>
    </w:p>
    <w:p w14:paraId="188E1801" w14:textId="598212EF" w:rsidR="6FDD951C" w:rsidRDefault="6FDD951C" w:rsidP="73F31BAE">
      <w:pPr>
        <w:rPr>
          <w:rFonts w:ascii="Arial" w:eastAsia="Arial" w:hAnsi="Arial" w:cs="Arial"/>
          <w:color w:val="000000" w:themeColor="text1"/>
        </w:rPr>
      </w:pPr>
      <w:r w:rsidRPr="73F31BAE">
        <w:rPr>
          <w:rFonts w:ascii="Arial" w:eastAsia="Arial" w:hAnsi="Arial" w:cs="Arial"/>
          <w:color w:val="000000" w:themeColor="text1"/>
        </w:rPr>
        <w:t>Reporting linear regression</w:t>
      </w:r>
    </w:p>
    <w:p w14:paraId="32C38A43" w14:textId="77777777" w:rsidR="00D62726" w:rsidRDefault="00D62726" w:rsidP="73F31BAE"/>
    <w:p w14:paraId="22F88C8A" w14:textId="469F65D5" w:rsidR="6FDD951C" w:rsidRDefault="6FDD951C" w:rsidP="73F31BAE">
      <w:pPr>
        <w:jc w:val="both"/>
        <w:rPr>
          <w:rFonts w:ascii="Arial" w:eastAsia="Arial" w:hAnsi="Arial" w:cs="Arial"/>
          <w:color w:val="000000" w:themeColor="text1"/>
        </w:rPr>
      </w:pPr>
      <w:r w:rsidRPr="73F31BAE">
        <w:rPr>
          <w:rFonts w:ascii="Arial" w:eastAsia="Arial" w:hAnsi="Arial" w:cs="Arial"/>
          <w:color w:val="000000" w:themeColor="text1"/>
        </w:rPr>
        <w:t>R</w:t>
      </w:r>
      <w:r w:rsidRPr="73F31BAE">
        <w:rPr>
          <w:rFonts w:ascii="Arial" w:eastAsia="Arial" w:hAnsi="Arial" w:cs="Arial"/>
          <w:color w:val="000000" w:themeColor="text1"/>
          <w:vertAlign w:val="superscript"/>
        </w:rPr>
        <w:t>2</w:t>
      </w:r>
      <w:r w:rsidRPr="73F31BAE">
        <w:rPr>
          <w:rFonts w:ascii="Arial" w:eastAsia="Arial" w:hAnsi="Arial" w:cs="Arial"/>
          <w:color w:val="000000" w:themeColor="text1"/>
        </w:rPr>
        <w:t xml:space="preserve"> = .0096, F (1,9) = 0.087, p = .774.</w:t>
      </w:r>
      <w:r>
        <w:br/>
      </w:r>
      <w:r w:rsidRPr="73F31BAE">
        <w:t xml:space="preserve"> </w:t>
      </w:r>
      <w:r w:rsidRPr="73F31BAE">
        <w:rPr>
          <w:rFonts w:ascii="Arial" w:eastAsia="Arial" w:hAnsi="Arial" w:cs="Arial"/>
          <w:color w:val="000000" w:themeColor="text1"/>
        </w:rPr>
        <w:t>β = -24.49, p = .774, α = 7142.44, p &lt; .001.</w:t>
      </w:r>
    </w:p>
    <w:p w14:paraId="391AE594" w14:textId="77777777" w:rsidR="00D62726" w:rsidRDefault="00D62726" w:rsidP="73F31BAE">
      <w:pPr>
        <w:jc w:val="both"/>
      </w:pPr>
    </w:p>
    <w:tbl>
      <w:tblPr>
        <w:tblW w:w="0" w:type="auto"/>
        <w:jc w:val="center"/>
        <w:tblLayout w:type="fixed"/>
        <w:tblLook w:val="06A0" w:firstRow="1" w:lastRow="0" w:firstColumn="1" w:lastColumn="0" w:noHBand="1" w:noVBand="1"/>
      </w:tblPr>
      <w:tblGrid>
        <w:gridCol w:w="1755"/>
        <w:gridCol w:w="1755"/>
        <w:gridCol w:w="1755"/>
        <w:gridCol w:w="1755"/>
      </w:tblGrid>
      <w:tr w:rsidR="73F31BAE" w14:paraId="279644E9" w14:textId="77777777" w:rsidTr="73F31BAE">
        <w:trPr>
          <w:trHeight w:val="300"/>
          <w:jc w:val="center"/>
        </w:trPr>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77D9553" w14:textId="508B3259" w:rsidR="73F31BAE" w:rsidRDefault="73F31BAE" w:rsidP="73F31BAE">
            <w:pPr>
              <w:spacing w:after="0" w:line="360" w:lineRule="auto"/>
              <w:ind w:left="-20" w:right="-20"/>
              <w:jc w:val="both"/>
            </w:pPr>
            <w:r w:rsidRPr="73F31BAE">
              <w:rPr>
                <w:rFonts w:ascii="Arial" w:eastAsia="Arial" w:hAnsi="Arial" w:cs="Arial"/>
                <w:b/>
                <w:bCs/>
                <w:color w:val="000000" w:themeColor="text1"/>
              </w:rPr>
              <w:t>Bank rate (X)</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866872C" w14:textId="1A62AE8B" w:rsidR="73F31BAE" w:rsidRDefault="73F31BAE" w:rsidP="73F31BAE">
            <w:pPr>
              <w:spacing w:after="0" w:line="360" w:lineRule="auto"/>
              <w:ind w:left="-20" w:right="-20"/>
              <w:jc w:val="both"/>
            </w:pPr>
            <w:r w:rsidRPr="73F31BAE">
              <w:rPr>
                <w:rFonts w:ascii="Arial" w:eastAsia="Arial" w:hAnsi="Arial" w:cs="Arial"/>
                <w:b/>
                <w:bCs/>
                <w:color w:val="000000" w:themeColor="text1"/>
              </w:rPr>
              <w:t>FTSE 100 (Y)</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579CCEC" w14:textId="50A259D9" w:rsidR="73F31BAE" w:rsidRDefault="73F31BAE" w:rsidP="73F31BAE">
            <w:pPr>
              <w:spacing w:after="0" w:line="360" w:lineRule="auto"/>
              <w:ind w:left="-20" w:right="-20"/>
              <w:jc w:val="both"/>
            </w:pPr>
            <w:r w:rsidRPr="73F31BAE">
              <w:rPr>
                <w:rFonts w:ascii="Arial" w:eastAsia="Arial" w:hAnsi="Arial" w:cs="Arial"/>
                <w:b/>
                <w:bCs/>
                <w:color w:val="000000" w:themeColor="text1"/>
              </w:rPr>
              <w:t>Ŷ (Predicted Y)</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7A82A00" w14:textId="5FCF25EB" w:rsidR="73F31BAE" w:rsidRDefault="73F31BAE" w:rsidP="73F31BAE">
            <w:pPr>
              <w:spacing w:after="0" w:line="360" w:lineRule="auto"/>
              <w:ind w:left="-20" w:right="-20"/>
              <w:jc w:val="both"/>
            </w:pPr>
            <w:r w:rsidRPr="73F31BAE">
              <w:rPr>
                <w:rFonts w:ascii="Arial" w:eastAsia="Arial" w:hAnsi="Arial" w:cs="Arial"/>
                <w:b/>
                <w:bCs/>
                <w:color w:val="000000" w:themeColor="text1"/>
              </w:rPr>
              <w:t>Residual</w:t>
            </w:r>
          </w:p>
        </w:tc>
      </w:tr>
      <w:tr w:rsidR="73F31BAE" w14:paraId="6EB53EB7" w14:textId="77777777" w:rsidTr="73F31BAE">
        <w:trPr>
          <w:trHeight w:val="300"/>
          <w:jc w:val="center"/>
        </w:trPr>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E4F49FE" w14:textId="7FF3ED75" w:rsidR="73F31BAE" w:rsidRDefault="73F31BAE" w:rsidP="73F31BAE">
            <w:pPr>
              <w:spacing w:after="0" w:line="360" w:lineRule="auto"/>
              <w:ind w:left="-20" w:right="-20"/>
              <w:jc w:val="both"/>
            </w:pPr>
            <w:r w:rsidRPr="73F31BAE">
              <w:rPr>
                <w:rFonts w:ascii="Arial" w:eastAsia="Arial" w:hAnsi="Arial" w:cs="Arial"/>
                <w:color w:val="000000" w:themeColor="text1"/>
              </w:rPr>
              <w:t>5.0000</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4A0133F" w14:textId="07880F64" w:rsidR="73F31BAE" w:rsidRDefault="73F31BAE" w:rsidP="73F31BAE">
            <w:pPr>
              <w:spacing w:after="0" w:line="360" w:lineRule="auto"/>
              <w:ind w:left="-20" w:right="-20"/>
              <w:jc w:val="both"/>
            </w:pPr>
            <w:r w:rsidRPr="73F31BAE">
              <w:rPr>
                <w:rFonts w:ascii="Arial" w:eastAsia="Arial" w:hAnsi="Arial" w:cs="Arial"/>
                <w:color w:val="000000" w:themeColor="text1"/>
              </w:rPr>
              <w:t>6749.09</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6EC37B9" w14:textId="7D92C33C" w:rsidR="73F31BAE" w:rsidRDefault="73F31BAE" w:rsidP="73F31BAE">
            <w:pPr>
              <w:spacing w:after="0" w:line="360" w:lineRule="auto"/>
              <w:ind w:left="-20" w:right="-20"/>
              <w:jc w:val="both"/>
            </w:pPr>
            <w:r w:rsidRPr="73F31BAE">
              <w:rPr>
                <w:rFonts w:ascii="Arial" w:eastAsia="Arial" w:hAnsi="Arial" w:cs="Arial"/>
                <w:color w:val="000000" w:themeColor="text1"/>
              </w:rPr>
              <w:t>7019.963</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561E154" w14:textId="325C9831" w:rsidR="73F31BAE" w:rsidRDefault="73F31BAE" w:rsidP="73F31BAE">
            <w:pPr>
              <w:spacing w:after="0" w:line="360" w:lineRule="auto"/>
              <w:ind w:left="-20" w:right="-20"/>
              <w:jc w:val="both"/>
            </w:pPr>
            <w:r w:rsidRPr="73F31BAE">
              <w:rPr>
                <w:rFonts w:ascii="Arial" w:eastAsia="Arial" w:hAnsi="Arial" w:cs="Arial"/>
                <w:color w:val="000000" w:themeColor="text1"/>
              </w:rPr>
              <w:t>-270.873</w:t>
            </w:r>
          </w:p>
        </w:tc>
      </w:tr>
      <w:tr w:rsidR="73F31BAE" w14:paraId="674EDC5D" w14:textId="77777777" w:rsidTr="73F31BAE">
        <w:trPr>
          <w:trHeight w:val="300"/>
          <w:jc w:val="center"/>
        </w:trPr>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C996FEF" w14:textId="29E2B555" w:rsidR="73F31BAE" w:rsidRDefault="73F31BAE" w:rsidP="73F31BAE">
            <w:pPr>
              <w:spacing w:after="0" w:line="360" w:lineRule="auto"/>
              <w:ind w:left="-20" w:right="-20"/>
              <w:jc w:val="both"/>
            </w:pPr>
            <w:r w:rsidRPr="73F31BAE">
              <w:rPr>
                <w:rFonts w:ascii="Arial" w:eastAsia="Arial" w:hAnsi="Arial" w:cs="Arial"/>
                <w:color w:val="000000" w:themeColor="text1"/>
              </w:rPr>
              <w:t>5.5000</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2559B3B" w14:textId="2C66D441" w:rsidR="73F31BAE" w:rsidRDefault="73F31BAE" w:rsidP="73F31BAE">
            <w:pPr>
              <w:spacing w:after="0" w:line="360" w:lineRule="auto"/>
              <w:ind w:left="-20" w:right="-20"/>
              <w:jc w:val="both"/>
            </w:pPr>
            <w:r w:rsidRPr="73F31BAE">
              <w:rPr>
                <w:rFonts w:ascii="Arial" w:eastAsia="Arial" w:hAnsi="Arial" w:cs="Arial"/>
                <w:color w:val="000000" w:themeColor="text1"/>
              </w:rPr>
              <w:t>6566.09</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80A15E2" w14:textId="09429512" w:rsidR="73F31BAE" w:rsidRDefault="73F31BAE" w:rsidP="73F31BAE">
            <w:pPr>
              <w:spacing w:after="0" w:line="360" w:lineRule="auto"/>
              <w:ind w:left="-20" w:right="-20"/>
              <w:jc w:val="both"/>
            </w:pPr>
            <w:r w:rsidRPr="73F31BAE">
              <w:rPr>
                <w:rFonts w:ascii="Arial" w:eastAsia="Arial" w:hAnsi="Arial" w:cs="Arial"/>
                <w:color w:val="000000" w:themeColor="text1"/>
              </w:rPr>
              <w:t>7007.7156</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7442ECD" w14:textId="6A3BC442" w:rsidR="73F31BAE" w:rsidRDefault="73F31BAE" w:rsidP="73F31BAE">
            <w:pPr>
              <w:spacing w:after="0" w:line="360" w:lineRule="auto"/>
              <w:ind w:left="-20" w:right="-20"/>
              <w:jc w:val="both"/>
            </w:pPr>
            <w:r w:rsidRPr="73F31BAE">
              <w:rPr>
                <w:rFonts w:ascii="Arial" w:eastAsia="Arial" w:hAnsi="Arial" w:cs="Arial"/>
                <w:color w:val="000000" w:themeColor="text1"/>
              </w:rPr>
              <w:t>-441.6256</w:t>
            </w:r>
          </w:p>
        </w:tc>
      </w:tr>
      <w:tr w:rsidR="73F31BAE" w14:paraId="67254EDD" w14:textId="77777777" w:rsidTr="73F31BAE">
        <w:trPr>
          <w:trHeight w:val="300"/>
          <w:jc w:val="center"/>
        </w:trPr>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AC6B664" w14:textId="3435D70B" w:rsidR="73F31BAE" w:rsidRDefault="73F31BAE" w:rsidP="73F31BAE">
            <w:pPr>
              <w:spacing w:after="0" w:line="360" w:lineRule="auto"/>
              <w:ind w:left="-20" w:right="-20"/>
              <w:jc w:val="both"/>
            </w:pPr>
            <w:r w:rsidRPr="73F31BAE">
              <w:rPr>
                <w:rFonts w:ascii="Arial" w:eastAsia="Arial" w:hAnsi="Arial" w:cs="Arial"/>
                <w:color w:val="000000" w:themeColor="text1"/>
              </w:rPr>
              <w:t>2.0000</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0505668" w14:textId="6B71AD9E" w:rsidR="73F31BAE" w:rsidRDefault="73F31BAE" w:rsidP="73F31BAE">
            <w:pPr>
              <w:spacing w:after="0" w:line="360" w:lineRule="auto"/>
              <w:ind w:left="-20" w:right="-20"/>
              <w:jc w:val="both"/>
            </w:pPr>
            <w:r w:rsidRPr="73F31BAE">
              <w:rPr>
                <w:rFonts w:ascii="Arial" w:eastAsia="Arial" w:hAnsi="Arial" w:cs="Arial"/>
                <w:color w:val="000000" w:themeColor="text1"/>
              </w:rPr>
              <w:t>6242.34</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F60A499" w14:textId="04E3D8DC" w:rsidR="73F31BAE" w:rsidRDefault="73F31BAE" w:rsidP="73F31BAE">
            <w:pPr>
              <w:spacing w:after="0" w:line="360" w:lineRule="auto"/>
              <w:ind w:left="-20" w:right="-20"/>
              <w:jc w:val="both"/>
            </w:pPr>
            <w:r w:rsidRPr="73F31BAE">
              <w:rPr>
                <w:rFonts w:ascii="Arial" w:eastAsia="Arial" w:hAnsi="Arial" w:cs="Arial"/>
                <w:color w:val="000000" w:themeColor="text1"/>
              </w:rPr>
              <w:t>7093.4474</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7513CE5" w14:textId="06707678" w:rsidR="73F31BAE" w:rsidRDefault="73F31BAE" w:rsidP="73F31BAE">
            <w:pPr>
              <w:spacing w:after="0" w:line="360" w:lineRule="auto"/>
              <w:ind w:left="-20" w:right="-20"/>
              <w:jc w:val="both"/>
            </w:pPr>
            <w:r w:rsidRPr="73F31BAE">
              <w:rPr>
                <w:rFonts w:ascii="Arial" w:eastAsia="Arial" w:hAnsi="Arial" w:cs="Arial"/>
                <w:color w:val="000000" w:themeColor="text1"/>
              </w:rPr>
              <w:t>-851.1074</w:t>
            </w:r>
          </w:p>
        </w:tc>
      </w:tr>
      <w:tr w:rsidR="73F31BAE" w14:paraId="3A45FA74" w14:textId="77777777" w:rsidTr="73F31BAE">
        <w:trPr>
          <w:trHeight w:val="300"/>
          <w:jc w:val="center"/>
        </w:trPr>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0E512D9" w14:textId="27B0369E" w:rsidR="73F31BAE" w:rsidRDefault="73F31BAE" w:rsidP="73F31BAE">
            <w:pPr>
              <w:spacing w:after="0" w:line="360" w:lineRule="auto"/>
              <w:ind w:left="-20" w:right="-20"/>
              <w:jc w:val="both"/>
            </w:pPr>
            <w:r w:rsidRPr="73F31BAE">
              <w:rPr>
                <w:rFonts w:ascii="Arial" w:eastAsia="Arial" w:hAnsi="Arial" w:cs="Arial"/>
                <w:color w:val="000000" w:themeColor="text1"/>
              </w:rPr>
              <w:t>0.5000</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F995F17" w14:textId="19CED17D" w:rsidR="73F31BAE" w:rsidRDefault="73F31BAE" w:rsidP="73F31BAE">
            <w:pPr>
              <w:spacing w:after="0" w:line="360" w:lineRule="auto"/>
              <w:ind w:left="-20" w:right="-20"/>
              <w:jc w:val="both"/>
            </w:pPr>
            <w:r w:rsidRPr="73F31BAE">
              <w:rPr>
                <w:rFonts w:ascii="Arial" w:eastAsia="Arial" w:hAnsi="Arial" w:cs="Arial"/>
                <w:color w:val="000000" w:themeColor="text1"/>
              </w:rPr>
              <w:t>7142.83</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578B4D4" w14:textId="75EFE1E6" w:rsidR="73F31BAE" w:rsidRDefault="73F31BAE" w:rsidP="73F31BAE">
            <w:pPr>
              <w:spacing w:after="0" w:line="360" w:lineRule="auto"/>
              <w:ind w:left="-20" w:right="-20"/>
              <w:jc w:val="both"/>
            </w:pPr>
            <w:r w:rsidRPr="73F31BAE">
              <w:rPr>
                <w:rFonts w:ascii="Arial" w:eastAsia="Arial" w:hAnsi="Arial" w:cs="Arial"/>
                <w:color w:val="000000" w:themeColor="text1"/>
              </w:rPr>
              <w:t>7130.1896</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462B0E4" w14:textId="7C8AB75B" w:rsidR="73F31BAE" w:rsidRDefault="73F31BAE" w:rsidP="73F31BAE">
            <w:pPr>
              <w:spacing w:after="0" w:line="360" w:lineRule="auto"/>
              <w:ind w:left="-20" w:right="-20"/>
              <w:jc w:val="both"/>
            </w:pPr>
            <w:r w:rsidRPr="73F31BAE">
              <w:rPr>
                <w:rFonts w:ascii="Arial" w:eastAsia="Arial" w:hAnsi="Arial" w:cs="Arial"/>
                <w:color w:val="000000" w:themeColor="text1"/>
              </w:rPr>
              <w:t>12.6404</w:t>
            </w:r>
          </w:p>
        </w:tc>
      </w:tr>
      <w:tr w:rsidR="73F31BAE" w14:paraId="13DF209E" w14:textId="77777777" w:rsidTr="73F31BAE">
        <w:trPr>
          <w:trHeight w:val="300"/>
          <w:jc w:val="center"/>
        </w:trPr>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E5212F9" w14:textId="7C418ABA" w:rsidR="73F31BAE" w:rsidRDefault="73F31BAE" w:rsidP="73F31BAE">
            <w:pPr>
              <w:spacing w:after="0" w:line="360" w:lineRule="auto"/>
              <w:ind w:left="-20" w:right="-20"/>
              <w:jc w:val="both"/>
            </w:pPr>
            <w:r w:rsidRPr="73F31BAE">
              <w:rPr>
                <w:rFonts w:ascii="Arial" w:eastAsia="Arial" w:hAnsi="Arial" w:cs="Arial"/>
                <w:color w:val="000000" w:themeColor="text1"/>
              </w:rPr>
              <w:t>0.2500</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B5CE15B" w14:textId="475944E3" w:rsidR="73F31BAE" w:rsidRDefault="73F31BAE" w:rsidP="73F31BAE">
            <w:pPr>
              <w:spacing w:after="0" w:line="360" w:lineRule="auto"/>
              <w:ind w:left="-20" w:right="-20"/>
              <w:jc w:val="both"/>
            </w:pPr>
            <w:r w:rsidRPr="73F31BAE">
              <w:rPr>
                <w:rFonts w:ascii="Arial" w:eastAsia="Arial" w:hAnsi="Arial" w:cs="Arial"/>
                <w:color w:val="000000" w:themeColor="text1"/>
              </w:rPr>
              <w:t>7687.77</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4FDF8D6" w14:textId="00D0D4D1" w:rsidR="73F31BAE" w:rsidRDefault="73F31BAE" w:rsidP="73F31BAE">
            <w:pPr>
              <w:spacing w:after="0" w:line="360" w:lineRule="auto"/>
              <w:ind w:left="-20" w:right="-20"/>
              <w:jc w:val="both"/>
            </w:pPr>
            <w:r w:rsidRPr="73F31BAE">
              <w:rPr>
                <w:rFonts w:ascii="Arial" w:eastAsia="Arial" w:hAnsi="Arial" w:cs="Arial"/>
                <w:color w:val="000000" w:themeColor="text1"/>
              </w:rPr>
              <w:t>7136.3134</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6078B5D" w14:textId="54EEEEE8" w:rsidR="73F31BAE" w:rsidRDefault="73F31BAE" w:rsidP="73F31BAE">
            <w:pPr>
              <w:spacing w:after="0" w:line="360" w:lineRule="auto"/>
              <w:ind w:left="-20" w:right="-20"/>
              <w:jc w:val="both"/>
            </w:pPr>
            <w:r w:rsidRPr="73F31BAE">
              <w:rPr>
                <w:rFonts w:ascii="Arial" w:eastAsia="Arial" w:hAnsi="Arial" w:cs="Arial"/>
                <w:color w:val="000000" w:themeColor="text1"/>
              </w:rPr>
              <w:t>551.4566</w:t>
            </w:r>
          </w:p>
        </w:tc>
      </w:tr>
      <w:tr w:rsidR="73F31BAE" w14:paraId="0FC7104D" w14:textId="77777777" w:rsidTr="73F31BAE">
        <w:trPr>
          <w:trHeight w:val="300"/>
          <w:jc w:val="center"/>
        </w:trPr>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B724381" w14:textId="1B2C9C80" w:rsidR="73F31BAE" w:rsidRDefault="73F31BAE" w:rsidP="73F31BAE">
            <w:pPr>
              <w:spacing w:after="0" w:line="360" w:lineRule="auto"/>
              <w:ind w:left="-20" w:right="-20"/>
              <w:jc w:val="both"/>
            </w:pPr>
            <w:r w:rsidRPr="73F31BAE">
              <w:rPr>
                <w:rFonts w:ascii="Arial" w:eastAsia="Arial" w:hAnsi="Arial" w:cs="Arial"/>
                <w:color w:val="000000" w:themeColor="text1"/>
              </w:rPr>
              <w:t>0.5000</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1A4BCE2" w14:textId="0F68D7D2" w:rsidR="73F31BAE" w:rsidRDefault="73F31BAE" w:rsidP="73F31BAE">
            <w:pPr>
              <w:spacing w:after="0" w:line="360" w:lineRule="auto"/>
              <w:ind w:left="-20" w:right="-20"/>
              <w:jc w:val="both"/>
            </w:pPr>
            <w:r w:rsidRPr="73F31BAE">
              <w:rPr>
                <w:rFonts w:ascii="Arial" w:eastAsia="Arial" w:hAnsi="Arial" w:cs="Arial"/>
                <w:color w:val="000000" w:themeColor="text1"/>
              </w:rPr>
              <w:t>6728.13</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8A6A433" w14:textId="3A3BE954" w:rsidR="73F31BAE" w:rsidRDefault="73F31BAE" w:rsidP="73F31BAE">
            <w:pPr>
              <w:spacing w:after="0" w:line="360" w:lineRule="auto"/>
              <w:ind w:left="-20" w:right="-20"/>
              <w:jc w:val="both"/>
            </w:pPr>
            <w:r w:rsidRPr="73F31BAE">
              <w:rPr>
                <w:rFonts w:ascii="Arial" w:eastAsia="Arial" w:hAnsi="Arial" w:cs="Arial"/>
                <w:color w:val="000000" w:themeColor="text1"/>
              </w:rPr>
              <w:t>7130.1896</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C8F90B3" w14:textId="5072EBAC" w:rsidR="73F31BAE" w:rsidRDefault="73F31BAE" w:rsidP="73F31BAE">
            <w:pPr>
              <w:spacing w:after="0" w:line="360" w:lineRule="auto"/>
              <w:ind w:left="-20" w:right="-20"/>
              <w:jc w:val="both"/>
            </w:pPr>
            <w:r w:rsidRPr="73F31BAE">
              <w:rPr>
                <w:rFonts w:ascii="Arial" w:eastAsia="Arial" w:hAnsi="Arial" w:cs="Arial"/>
                <w:color w:val="000000" w:themeColor="text1"/>
              </w:rPr>
              <w:t>-402.0596</w:t>
            </w:r>
          </w:p>
        </w:tc>
      </w:tr>
      <w:tr w:rsidR="73F31BAE" w14:paraId="41AFCFBB" w14:textId="77777777" w:rsidTr="73F31BAE">
        <w:trPr>
          <w:trHeight w:val="300"/>
          <w:jc w:val="center"/>
        </w:trPr>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0DC5F67" w14:textId="62EA6ACF" w:rsidR="73F31BAE" w:rsidRDefault="73F31BAE" w:rsidP="73F31BAE">
            <w:pPr>
              <w:spacing w:after="0" w:line="360" w:lineRule="auto"/>
              <w:ind w:left="-20" w:right="-20"/>
              <w:jc w:val="both"/>
            </w:pPr>
            <w:r w:rsidRPr="73F31BAE">
              <w:rPr>
                <w:rFonts w:ascii="Arial" w:eastAsia="Arial" w:hAnsi="Arial" w:cs="Arial"/>
                <w:color w:val="000000" w:themeColor="text1"/>
              </w:rPr>
              <w:t>0.7500</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72FAFB5" w14:textId="696ED7A4" w:rsidR="73F31BAE" w:rsidRDefault="73F31BAE" w:rsidP="73F31BAE">
            <w:pPr>
              <w:spacing w:after="0" w:line="360" w:lineRule="auto"/>
              <w:ind w:left="-20" w:right="-20"/>
              <w:jc w:val="both"/>
            </w:pPr>
            <w:r w:rsidRPr="73F31BAE">
              <w:rPr>
                <w:rFonts w:ascii="Arial" w:eastAsia="Arial" w:hAnsi="Arial" w:cs="Arial"/>
                <w:color w:val="000000" w:themeColor="text1"/>
              </w:rPr>
              <w:t>7542.44</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300DC7F" w14:textId="09A40BBE" w:rsidR="73F31BAE" w:rsidRDefault="73F31BAE" w:rsidP="73F31BAE">
            <w:pPr>
              <w:spacing w:after="0" w:line="360" w:lineRule="auto"/>
              <w:ind w:left="-20" w:right="-20"/>
              <w:jc w:val="both"/>
            </w:pPr>
            <w:r w:rsidRPr="73F31BAE">
              <w:rPr>
                <w:rFonts w:ascii="Arial" w:eastAsia="Arial" w:hAnsi="Arial" w:cs="Arial"/>
                <w:color w:val="000000" w:themeColor="text1"/>
              </w:rPr>
              <w:t>7124.0659</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E7403F2" w14:textId="7B5F9D7F" w:rsidR="73F31BAE" w:rsidRDefault="73F31BAE" w:rsidP="73F31BAE">
            <w:pPr>
              <w:spacing w:after="0" w:line="360" w:lineRule="auto"/>
              <w:ind w:left="-20" w:right="-20"/>
              <w:jc w:val="both"/>
            </w:pPr>
            <w:r w:rsidRPr="73F31BAE">
              <w:rPr>
                <w:rFonts w:ascii="Arial" w:eastAsia="Arial" w:hAnsi="Arial" w:cs="Arial"/>
                <w:color w:val="000000" w:themeColor="text1"/>
              </w:rPr>
              <w:t>418.3741</w:t>
            </w:r>
          </w:p>
        </w:tc>
      </w:tr>
      <w:tr w:rsidR="73F31BAE" w14:paraId="20E1DADD" w14:textId="77777777" w:rsidTr="73F31BAE">
        <w:trPr>
          <w:trHeight w:val="300"/>
          <w:jc w:val="center"/>
        </w:trPr>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973F2E0" w14:textId="1E362033" w:rsidR="73F31BAE" w:rsidRDefault="73F31BAE" w:rsidP="73F31BAE">
            <w:pPr>
              <w:spacing w:after="0" w:line="360" w:lineRule="auto"/>
              <w:ind w:left="-20" w:right="-20"/>
              <w:jc w:val="both"/>
            </w:pPr>
            <w:r w:rsidRPr="73F31BAE">
              <w:rPr>
                <w:rFonts w:ascii="Arial" w:eastAsia="Arial" w:hAnsi="Arial" w:cs="Arial"/>
                <w:color w:val="000000" w:themeColor="text1"/>
              </w:rPr>
              <w:t>0.1000</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0562F0A" w14:textId="6C4C64EF" w:rsidR="73F31BAE" w:rsidRDefault="73F31BAE" w:rsidP="73F31BAE">
            <w:pPr>
              <w:spacing w:after="0" w:line="360" w:lineRule="auto"/>
              <w:ind w:left="-20" w:right="-20"/>
              <w:jc w:val="both"/>
            </w:pPr>
            <w:r w:rsidRPr="73F31BAE">
              <w:rPr>
                <w:rFonts w:ascii="Arial" w:eastAsia="Arial" w:hAnsi="Arial" w:cs="Arial"/>
                <w:color w:val="000000" w:themeColor="text1"/>
              </w:rPr>
              <w:t>6460.52</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3EF98FC" w14:textId="50D303BA" w:rsidR="73F31BAE" w:rsidRDefault="73F31BAE" w:rsidP="73F31BAE">
            <w:pPr>
              <w:spacing w:after="0" w:line="360" w:lineRule="auto"/>
              <w:ind w:left="-20" w:right="-20"/>
              <w:jc w:val="both"/>
            </w:pPr>
            <w:r w:rsidRPr="73F31BAE">
              <w:rPr>
                <w:rFonts w:ascii="Arial" w:eastAsia="Arial" w:hAnsi="Arial" w:cs="Arial"/>
                <w:color w:val="000000" w:themeColor="text1"/>
              </w:rPr>
              <w:t>7139.9876</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EFD723A" w14:textId="27EF0D9F" w:rsidR="73F31BAE" w:rsidRDefault="73F31BAE" w:rsidP="73F31BAE">
            <w:pPr>
              <w:spacing w:after="0" w:line="360" w:lineRule="auto"/>
              <w:ind w:left="-20" w:right="-20"/>
              <w:jc w:val="both"/>
            </w:pPr>
            <w:r w:rsidRPr="73F31BAE">
              <w:rPr>
                <w:rFonts w:ascii="Arial" w:eastAsia="Arial" w:hAnsi="Arial" w:cs="Arial"/>
                <w:color w:val="000000" w:themeColor="text1"/>
              </w:rPr>
              <w:t>-679.4676</w:t>
            </w:r>
          </w:p>
        </w:tc>
      </w:tr>
      <w:tr w:rsidR="73F31BAE" w14:paraId="37181FAD" w14:textId="77777777" w:rsidTr="73F31BAE">
        <w:trPr>
          <w:trHeight w:val="300"/>
          <w:jc w:val="center"/>
        </w:trPr>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4AB8650" w14:textId="56F71F70" w:rsidR="73F31BAE" w:rsidRDefault="73F31BAE" w:rsidP="73F31BAE">
            <w:pPr>
              <w:spacing w:after="0" w:line="360" w:lineRule="auto"/>
              <w:ind w:left="-20" w:right="-20"/>
              <w:jc w:val="both"/>
            </w:pPr>
            <w:r w:rsidRPr="73F31BAE">
              <w:rPr>
                <w:rFonts w:ascii="Arial" w:eastAsia="Arial" w:hAnsi="Arial" w:cs="Arial"/>
                <w:color w:val="000000" w:themeColor="text1"/>
              </w:rPr>
              <w:t>0.2500</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D3E6CE9" w14:textId="40AFD4C4" w:rsidR="73F31BAE" w:rsidRDefault="73F31BAE" w:rsidP="73F31BAE">
            <w:pPr>
              <w:spacing w:after="0" w:line="360" w:lineRule="auto"/>
              <w:ind w:left="-20" w:right="-20"/>
              <w:jc w:val="both"/>
            </w:pPr>
            <w:r w:rsidRPr="73F31BAE">
              <w:rPr>
                <w:rFonts w:ascii="Arial" w:eastAsia="Arial" w:hAnsi="Arial" w:cs="Arial"/>
                <w:color w:val="000000" w:themeColor="text1"/>
              </w:rPr>
              <w:t>7684.54</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DE4A906" w14:textId="59EB9EFC" w:rsidR="73F31BAE" w:rsidRDefault="73F31BAE" w:rsidP="73F31BAE">
            <w:pPr>
              <w:spacing w:after="0" w:line="360" w:lineRule="auto"/>
              <w:ind w:left="-20" w:right="-20"/>
              <w:jc w:val="both"/>
            </w:pPr>
            <w:r w:rsidRPr="73F31BAE">
              <w:rPr>
                <w:rFonts w:ascii="Arial" w:eastAsia="Arial" w:hAnsi="Arial" w:cs="Arial"/>
                <w:color w:val="000000" w:themeColor="text1"/>
              </w:rPr>
              <w:t>7136.3134</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CAD243D" w14:textId="14F419AE" w:rsidR="73F31BAE" w:rsidRDefault="73F31BAE" w:rsidP="73F31BAE">
            <w:pPr>
              <w:spacing w:after="0" w:line="360" w:lineRule="auto"/>
              <w:ind w:left="-20" w:right="-20"/>
              <w:jc w:val="both"/>
            </w:pPr>
            <w:r w:rsidRPr="73F31BAE">
              <w:rPr>
                <w:rFonts w:ascii="Arial" w:eastAsia="Arial" w:hAnsi="Arial" w:cs="Arial"/>
                <w:color w:val="000000" w:themeColor="text1"/>
              </w:rPr>
              <w:t>548.2266</w:t>
            </w:r>
          </w:p>
        </w:tc>
      </w:tr>
      <w:tr w:rsidR="73F31BAE" w14:paraId="0B07353A" w14:textId="77777777" w:rsidTr="73F31BAE">
        <w:trPr>
          <w:trHeight w:val="300"/>
          <w:jc w:val="center"/>
        </w:trPr>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51EA9F6" w14:textId="25894629" w:rsidR="73F31BAE" w:rsidRDefault="73F31BAE" w:rsidP="73F31BAE">
            <w:pPr>
              <w:spacing w:after="0" w:line="360" w:lineRule="auto"/>
              <w:ind w:left="-20" w:right="-20"/>
              <w:jc w:val="both"/>
            </w:pPr>
            <w:r w:rsidRPr="73F31BAE">
              <w:rPr>
                <w:rFonts w:ascii="Arial" w:eastAsia="Arial" w:hAnsi="Arial" w:cs="Arial"/>
                <w:color w:val="000000" w:themeColor="text1"/>
              </w:rPr>
              <w:t>3.5000</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0BBB57F" w14:textId="711DA6A7" w:rsidR="73F31BAE" w:rsidRDefault="73F31BAE" w:rsidP="73F31BAE">
            <w:pPr>
              <w:spacing w:after="0" w:line="360" w:lineRule="auto"/>
              <w:ind w:left="-20" w:right="-20"/>
              <w:jc w:val="both"/>
            </w:pPr>
            <w:r w:rsidRPr="73F31BAE">
              <w:rPr>
                <w:rFonts w:ascii="Arial" w:eastAsia="Arial" w:hAnsi="Arial" w:cs="Arial"/>
                <w:color w:val="000000" w:themeColor="text1"/>
              </w:rPr>
              <w:t>7451.74</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AFF45D1" w14:textId="2EF496E4" w:rsidR="73F31BAE" w:rsidRDefault="73F31BAE" w:rsidP="73F31BAE">
            <w:pPr>
              <w:spacing w:after="0" w:line="360" w:lineRule="auto"/>
              <w:ind w:left="-20" w:right="-20"/>
              <w:jc w:val="both"/>
            </w:pPr>
            <w:r w:rsidRPr="73F31BAE">
              <w:rPr>
                <w:rFonts w:ascii="Arial" w:eastAsia="Arial" w:hAnsi="Arial" w:cs="Arial"/>
                <w:color w:val="000000" w:themeColor="text1"/>
              </w:rPr>
              <w:t>7056.7052</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6707164" w14:textId="31616931" w:rsidR="73F31BAE" w:rsidRDefault="73F31BAE" w:rsidP="73F31BAE">
            <w:pPr>
              <w:spacing w:after="0" w:line="360" w:lineRule="auto"/>
              <w:ind w:left="-20" w:right="-20"/>
              <w:jc w:val="both"/>
            </w:pPr>
            <w:r w:rsidRPr="73F31BAE">
              <w:rPr>
                <w:rFonts w:ascii="Arial" w:eastAsia="Arial" w:hAnsi="Arial" w:cs="Arial"/>
                <w:color w:val="000000" w:themeColor="text1"/>
              </w:rPr>
              <w:t>395.0348</w:t>
            </w:r>
          </w:p>
        </w:tc>
      </w:tr>
      <w:tr w:rsidR="73F31BAE" w14:paraId="4C8955E1" w14:textId="77777777" w:rsidTr="73F31BAE">
        <w:trPr>
          <w:trHeight w:val="300"/>
          <w:jc w:val="center"/>
        </w:trPr>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C2157F8" w14:textId="339F2B82" w:rsidR="73F31BAE" w:rsidRDefault="73F31BAE" w:rsidP="73F31BAE">
            <w:pPr>
              <w:spacing w:after="0" w:line="360" w:lineRule="auto"/>
              <w:ind w:left="-20" w:right="-20"/>
              <w:jc w:val="both"/>
            </w:pPr>
            <w:r w:rsidRPr="73F31BAE">
              <w:rPr>
                <w:rFonts w:ascii="Arial" w:eastAsia="Arial" w:hAnsi="Arial" w:cs="Arial"/>
                <w:color w:val="000000" w:themeColor="text1"/>
              </w:rPr>
              <w:t>5.2500</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99B3258" w14:textId="3E52EEA3" w:rsidR="73F31BAE" w:rsidRDefault="73F31BAE" w:rsidP="73F31BAE">
            <w:pPr>
              <w:spacing w:after="0" w:line="360" w:lineRule="auto"/>
              <w:ind w:left="-20" w:right="-20"/>
              <w:jc w:val="both"/>
            </w:pPr>
            <w:r w:rsidRPr="73F31BAE">
              <w:rPr>
                <w:rFonts w:ascii="Arial" w:eastAsia="Arial" w:hAnsi="Arial" w:cs="Arial"/>
                <w:color w:val="000000" w:themeColor="text1"/>
              </w:rPr>
              <w:t>7733.24</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7F77416" w14:textId="73928ED8" w:rsidR="73F31BAE" w:rsidRDefault="73F31BAE" w:rsidP="73F31BAE">
            <w:pPr>
              <w:spacing w:after="0" w:line="360" w:lineRule="auto"/>
              <w:ind w:left="-20" w:right="-20"/>
              <w:jc w:val="both"/>
            </w:pPr>
            <w:r w:rsidRPr="73F31BAE">
              <w:rPr>
                <w:rFonts w:ascii="Arial" w:eastAsia="Arial" w:hAnsi="Arial" w:cs="Arial"/>
                <w:color w:val="000000" w:themeColor="text1"/>
              </w:rPr>
              <w:t>7013.8393</w:t>
            </w:r>
          </w:p>
        </w:tc>
        <w:tc>
          <w:tcPr>
            <w:tcW w:w="175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38A538C" w14:textId="5355858A" w:rsidR="73F31BAE" w:rsidRDefault="73F31BAE" w:rsidP="73F31BAE">
            <w:pPr>
              <w:spacing w:after="0" w:line="360" w:lineRule="auto"/>
              <w:ind w:left="-20" w:right="-20"/>
              <w:jc w:val="both"/>
            </w:pPr>
            <w:r w:rsidRPr="73F31BAE">
              <w:rPr>
                <w:rFonts w:ascii="Arial" w:eastAsia="Arial" w:hAnsi="Arial" w:cs="Arial"/>
                <w:color w:val="000000" w:themeColor="text1"/>
              </w:rPr>
              <w:t>719.4007</w:t>
            </w:r>
          </w:p>
        </w:tc>
      </w:tr>
    </w:tbl>
    <w:p w14:paraId="3FF09AD8" w14:textId="6ADB719D" w:rsidR="73F31BAE" w:rsidRDefault="73F31BAE" w:rsidP="73F31BAE">
      <w:pPr>
        <w:jc w:val="both"/>
      </w:pPr>
    </w:p>
    <w:p w14:paraId="0569B29D" w14:textId="77777777" w:rsidR="00D62726" w:rsidRDefault="00D62726" w:rsidP="73F31BAE">
      <w:pPr>
        <w:jc w:val="center"/>
        <w:rPr>
          <w:rFonts w:ascii="Arial" w:eastAsia="Arial" w:hAnsi="Arial" w:cs="Arial"/>
          <w:b/>
          <w:bCs/>
          <w:color w:val="000000" w:themeColor="text1"/>
        </w:rPr>
      </w:pPr>
    </w:p>
    <w:p w14:paraId="6D2CD431" w14:textId="77777777" w:rsidR="00D62726" w:rsidRDefault="00D62726" w:rsidP="73F31BAE">
      <w:pPr>
        <w:jc w:val="center"/>
        <w:rPr>
          <w:rFonts w:ascii="Arial" w:eastAsia="Arial" w:hAnsi="Arial" w:cs="Arial"/>
          <w:b/>
          <w:bCs/>
          <w:color w:val="000000" w:themeColor="text1"/>
        </w:rPr>
      </w:pPr>
    </w:p>
    <w:p w14:paraId="71AAB5F4" w14:textId="77777777" w:rsidR="00D62726" w:rsidRDefault="00D62726" w:rsidP="73F31BAE">
      <w:pPr>
        <w:jc w:val="center"/>
        <w:rPr>
          <w:rFonts w:ascii="Arial" w:eastAsia="Arial" w:hAnsi="Arial" w:cs="Arial"/>
          <w:b/>
          <w:bCs/>
          <w:color w:val="000000" w:themeColor="text1"/>
        </w:rPr>
      </w:pPr>
    </w:p>
    <w:p w14:paraId="2931DD7A" w14:textId="77777777" w:rsidR="00D62726" w:rsidRDefault="00D62726" w:rsidP="73F31BAE">
      <w:pPr>
        <w:jc w:val="center"/>
        <w:rPr>
          <w:rFonts w:ascii="Arial" w:eastAsia="Arial" w:hAnsi="Arial" w:cs="Arial"/>
          <w:b/>
          <w:bCs/>
          <w:color w:val="000000" w:themeColor="text1"/>
        </w:rPr>
      </w:pPr>
    </w:p>
    <w:p w14:paraId="1C345E4E" w14:textId="77777777" w:rsidR="00D62726" w:rsidRDefault="00D62726" w:rsidP="73F31BAE">
      <w:pPr>
        <w:jc w:val="center"/>
        <w:rPr>
          <w:rFonts w:ascii="Arial" w:eastAsia="Arial" w:hAnsi="Arial" w:cs="Arial"/>
          <w:b/>
          <w:bCs/>
          <w:color w:val="000000" w:themeColor="text1"/>
        </w:rPr>
      </w:pPr>
    </w:p>
    <w:p w14:paraId="07008B67" w14:textId="77777777" w:rsidR="00D62726" w:rsidRDefault="00D62726" w:rsidP="73F31BAE">
      <w:pPr>
        <w:jc w:val="center"/>
        <w:rPr>
          <w:rFonts w:ascii="Arial" w:eastAsia="Arial" w:hAnsi="Arial" w:cs="Arial"/>
          <w:b/>
          <w:bCs/>
          <w:color w:val="000000" w:themeColor="text1"/>
        </w:rPr>
      </w:pPr>
    </w:p>
    <w:p w14:paraId="3F0942A3" w14:textId="77777777" w:rsidR="00D62726" w:rsidRDefault="00D62726" w:rsidP="73F31BAE">
      <w:pPr>
        <w:jc w:val="center"/>
        <w:rPr>
          <w:rFonts w:ascii="Arial" w:eastAsia="Arial" w:hAnsi="Arial" w:cs="Arial"/>
          <w:b/>
          <w:bCs/>
          <w:color w:val="000000" w:themeColor="text1"/>
        </w:rPr>
      </w:pPr>
    </w:p>
    <w:p w14:paraId="1B7D8F4B" w14:textId="3AF0B2D4" w:rsidR="3B60184A" w:rsidRDefault="3B60184A" w:rsidP="73F31BAE">
      <w:pPr>
        <w:jc w:val="center"/>
        <w:rPr>
          <w:rFonts w:ascii="Arial" w:eastAsia="Arial" w:hAnsi="Arial" w:cs="Arial"/>
          <w:b/>
          <w:bCs/>
          <w:color w:val="000000" w:themeColor="text1"/>
        </w:rPr>
      </w:pPr>
      <w:r w:rsidRPr="73F31BAE">
        <w:rPr>
          <w:rFonts w:ascii="Arial" w:eastAsia="Arial" w:hAnsi="Arial" w:cs="Arial"/>
          <w:b/>
          <w:bCs/>
          <w:color w:val="000000" w:themeColor="text1"/>
        </w:rPr>
        <w:lastRenderedPageBreak/>
        <w:t>Line Fit Plot</w:t>
      </w:r>
    </w:p>
    <w:p w14:paraId="732A2D07" w14:textId="4953C103" w:rsidR="108B2284" w:rsidRDefault="108B2284" w:rsidP="73F31BAE">
      <w:pPr>
        <w:jc w:val="center"/>
      </w:pPr>
      <w:r>
        <w:rPr>
          <w:noProof/>
        </w:rPr>
        <w:drawing>
          <wp:inline distT="0" distB="0" distL="0" distR="0" wp14:anchorId="56EE75B3" wp14:editId="62AE9956">
            <wp:extent cx="4572000" cy="1971675"/>
            <wp:effectExtent l="0" t="0" r="0" b="0"/>
            <wp:docPr id="38519259" name="Picture 38519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extLst>
                        <a:ext uri="{28A0092B-C50C-407E-A947-70E740481C1C}">
                          <a14:useLocalDpi xmlns:a14="http://schemas.microsoft.com/office/drawing/2010/main" val="0"/>
                        </a:ext>
                      </a:extLst>
                    </a:blip>
                    <a:stretch>
                      <a:fillRect/>
                    </a:stretch>
                  </pic:blipFill>
                  <pic:spPr>
                    <a:xfrm>
                      <a:off x="0" y="0"/>
                      <a:ext cx="4572000" cy="1971675"/>
                    </a:xfrm>
                    <a:prstGeom prst="rect">
                      <a:avLst/>
                    </a:prstGeom>
                  </pic:spPr>
                </pic:pic>
              </a:graphicData>
            </a:graphic>
          </wp:inline>
        </w:drawing>
      </w:r>
    </w:p>
    <w:p w14:paraId="63D69414" w14:textId="17924D07" w:rsidR="52A5913D" w:rsidRDefault="52A5913D" w:rsidP="73F31BAE">
      <w:pPr>
        <w:jc w:val="center"/>
      </w:pPr>
      <w:r w:rsidRPr="73F31BAE">
        <w:rPr>
          <w:rFonts w:ascii="Arial" w:eastAsia="Arial" w:hAnsi="Arial" w:cs="Arial"/>
          <w:color w:val="000000" w:themeColor="text1"/>
        </w:rPr>
        <w:t>Source: Author s Computation, 2024</w:t>
      </w:r>
    </w:p>
    <w:p w14:paraId="17830F83" w14:textId="335948D0" w:rsidR="73F31BAE" w:rsidRDefault="73F31BAE" w:rsidP="73F31BAE">
      <w:pPr>
        <w:jc w:val="center"/>
        <w:rPr>
          <w:rFonts w:ascii="Arial" w:eastAsia="Arial" w:hAnsi="Arial" w:cs="Arial"/>
          <w:color w:val="000000" w:themeColor="text1"/>
        </w:rPr>
      </w:pPr>
    </w:p>
    <w:p w14:paraId="5140DE65" w14:textId="47CFB1ED" w:rsidR="108B2284" w:rsidRDefault="108B2284" w:rsidP="73F31BAE">
      <w:pPr>
        <w:jc w:val="center"/>
      </w:pPr>
      <w:r w:rsidRPr="73F31BAE">
        <w:rPr>
          <w:rFonts w:ascii="Arial" w:eastAsia="Arial" w:hAnsi="Arial" w:cs="Arial"/>
          <w:b/>
          <w:bCs/>
          <w:color w:val="000000" w:themeColor="text1"/>
        </w:rPr>
        <w:t>Prediction Interval</w:t>
      </w:r>
    </w:p>
    <w:p w14:paraId="32D3DBD0" w14:textId="3CFCB352" w:rsidR="108B2284" w:rsidRDefault="108B2284" w:rsidP="73F31BAE">
      <w:pPr>
        <w:jc w:val="center"/>
      </w:pPr>
      <w:r>
        <w:rPr>
          <w:noProof/>
        </w:rPr>
        <w:drawing>
          <wp:inline distT="0" distB="0" distL="0" distR="0" wp14:anchorId="3C4EE305" wp14:editId="0BC0D872">
            <wp:extent cx="4572000" cy="1971675"/>
            <wp:effectExtent l="0" t="0" r="0" b="0"/>
            <wp:docPr id="634090216" name="Picture 634090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extLst>
                        <a:ext uri="{28A0092B-C50C-407E-A947-70E740481C1C}">
                          <a14:useLocalDpi xmlns:a14="http://schemas.microsoft.com/office/drawing/2010/main" val="0"/>
                        </a:ext>
                      </a:extLst>
                    </a:blip>
                    <a:stretch>
                      <a:fillRect/>
                    </a:stretch>
                  </pic:blipFill>
                  <pic:spPr>
                    <a:xfrm>
                      <a:off x="0" y="0"/>
                      <a:ext cx="4572000" cy="1971675"/>
                    </a:xfrm>
                    <a:prstGeom prst="rect">
                      <a:avLst/>
                    </a:prstGeom>
                  </pic:spPr>
                </pic:pic>
              </a:graphicData>
            </a:graphic>
          </wp:inline>
        </w:drawing>
      </w:r>
    </w:p>
    <w:p w14:paraId="26A748DE" w14:textId="071062C3" w:rsidR="108B2284" w:rsidRDefault="108B2284" w:rsidP="73F31BAE">
      <w:pPr>
        <w:jc w:val="center"/>
      </w:pPr>
      <w:r w:rsidRPr="73F31BAE">
        <w:rPr>
          <w:rFonts w:ascii="Arial" w:eastAsia="Arial" w:hAnsi="Arial" w:cs="Arial"/>
          <w:color w:val="000000" w:themeColor="text1"/>
        </w:rPr>
        <w:t>Source: Author s Computation, 2024</w:t>
      </w:r>
    </w:p>
    <w:p w14:paraId="5A7EBFD8" w14:textId="4544BB2B" w:rsidR="73F31BAE" w:rsidRDefault="73F31BAE" w:rsidP="73F31BAE">
      <w:pPr>
        <w:jc w:val="center"/>
        <w:rPr>
          <w:rFonts w:ascii="Arial" w:eastAsia="Arial" w:hAnsi="Arial" w:cs="Arial"/>
          <w:color w:val="000000" w:themeColor="text1"/>
        </w:rPr>
      </w:pPr>
    </w:p>
    <w:p w14:paraId="3F16DBE2" w14:textId="7A0EC628" w:rsidR="108B2284" w:rsidRDefault="108B2284" w:rsidP="73F31BAE">
      <w:pPr>
        <w:jc w:val="center"/>
      </w:pPr>
      <w:r w:rsidRPr="73F31BAE">
        <w:rPr>
          <w:rFonts w:ascii="Arial" w:eastAsia="Arial" w:hAnsi="Arial" w:cs="Arial"/>
          <w:b/>
          <w:bCs/>
          <w:color w:val="000000" w:themeColor="text1"/>
        </w:rPr>
        <w:t>Residual Plot</w:t>
      </w:r>
    </w:p>
    <w:p w14:paraId="3CB591B0" w14:textId="7C4F5D1B" w:rsidR="108B2284" w:rsidRDefault="108B2284" w:rsidP="73F31BAE">
      <w:pPr>
        <w:jc w:val="center"/>
      </w:pPr>
      <w:r>
        <w:rPr>
          <w:noProof/>
        </w:rPr>
        <w:drawing>
          <wp:inline distT="0" distB="0" distL="0" distR="0" wp14:anchorId="6F69DEB7" wp14:editId="076DA3EE">
            <wp:extent cx="4572000" cy="1476375"/>
            <wp:effectExtent l="0" t="0" r="0" b="0"/>
            <wp:docPr id="1816661269" name="Picture 181666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extLst>
                        <a:ext uri="{28A0092B-C50C-407E-A947-70E740481C1C}">
                          <a14:useLocalDpi xmlns:a14="http://schemas.microsoft.com/office/drawing/2010/main" val="0"/>
                        </a:ext>
                      </a:extLst>
                    </a:blip>
                    <a:stretch>
                      <a:fillRect/>
                    </a:stretch>
                  </pic:blipFill>
                  <pic:spPr>
                    <a:xfrm>
                      <a:off x="0" y="0"/>
                      <a:ext cx="4572000" cy="1476375"/>
                    </a:xfrm>
                    <a:prstGeom prst="rect">
                      <a:avLst/>
                    </a:prstGeom>
                  </pic:spPr>
                </pic:pic>
              </a:graphicData>
            </a:graphic>
          </wp:inline>
        </w:drawing>
      </w:r>
    </w:p>
    <w:p w14:paraId="2229382A" w14:textId="63590476" w:rsidR="108B2284" w:rsidRDefault="108B2284" w:rsidP="73F31BAE">
      <w:pPr>
        <w:jc w:val="center"/>
      </w:pPr>
      <w:r w:rsidRPr="73F31BAE">
        <w:rPr>
          <w:rFonts w:ascii="Arial" w:eastAsia="Arial" w:hAnsi="Arial" w:cs="Arial"/>
          <w:color w:val="000000" w:themeColor="text1"/>
        </w:rPr>
        <w:t>Source: Author s Computation, 2024</w:t>
      </w:r>
    </w:p>
    <w:p w14:paraId="1BBE482E" w14:textId="695CFBC8" w:rsidR="73F31BAE" w:rsidRDefault="73F31BAE" w:rsidP="73F31BAE">
      <w:pPr>
        <w:rPr>
          <w:rFonts w:ascii="Arial" w:eastAsia="Arial" w:hAnsi="Arial" w:cs="Arial"/>
          <w:color w:val="000000" w:themeColor="text1"/>
        </w:rPr>
      </w:pPr>
    </w:p>
    <w:p w14:paraId="622AEDA4" w14:textId="7629BA09" w:rsidR="108B2284" w:rsidRDefault="108B2284" w:rsidP="73F31BAE">
      <w:r w:rsidRPr="73F31BAE">
        <w:rPr>
          <w:rFonts w:ascii="Arial" w:eastAsia="Arial" w:hAnsi="Arial" w:cs="Arial"/>
          <w:color w:val="000000" w:themeColor="text1"/>
        </w:rPr>
        <w:lastRenderedPageBreak/>
        <w:t>Step-by-step solution</w:t>
      </w:r>
    </w:p>
    <w:p w14:paraId="6B196E57" w14:textId="7390B746" w:rsidR="108B2284" w:rsidRDefault="108B2284" w:rsidP="73F31BAE">
      <w:pPr>
        <w:jc w:val="both"/>
      </w:pPr>
      <w:r w:rsidRPr="73F31BAE">
        <w:rPr>
          <w:rFonts w:ascii="Arial" w:eastAsia="Arial" w:hAnsi="Arial" w:cs="Arial"/>
          <w:color w:val="000000" w:themeColor="text1"/>
        </w:rPr>
        <w:t>Ŷ = b</w:t>
      </w:r>
      <w:r w:rsidRPr="73F31BAE">
        <w:rPr>
          <w:rFonts w:ascii="Arial" w:eastAsia="Arial" w:hAnsi="Arial" w:cs="Arial"/>
          <w:color w:val="000000" w:themeColor="text1"/>
          <w:vertAlign w:val="subscript"/>
        </w:rPr>
        <w:t>0</w:t>
      </w:r>
      <w:r w:rsidRPr="73F31BAE">
        <w:rPr>
          <w:rFonts w:ascii="Arial" w:eastAsia="Arial" w:hAnsi="Arial" w:cs="Arial"/>
          <w:color w:val="000000" w:themeColor="text1"/>
        </w:rPr>
        <w:t xml:space="preserve"> +b</w:t>
      </w:r>
      <w:r w:rsidRPr="73F31BAE">
        <w:rPr>
          <w:rFonts w:ascii="Arial" w:eastAsia="Arial" w:hAnsi="Arial" w:cs="Arial"/>
          <w:color w:val="000000" w:themeColor="text1"/>
          <w:vertAlign w:val="subscript"/>
        </w:rPr>
        <w:t>1</w:t>
      </w:r>
      <w:r w:rsidRPr="73F31BAE">
        <w:rPr>
          <w:rFonts w:ascii="Arial" w:eastAsia="Arial" w:hAnsi="Arial" w:cs="Arial"/>
          <w:color w:val="000000" w:themeColor="text1"/>
        </w:rPr>
        <w:t>X</w:t>
      </w:r>
      <w:r>
        <w:br/>
      </w:r>
      <w:r w:rsidRPr="73F31BAE">
        <w:t xml:space="preserve"> </w:t>
      </w:r>
      <w:r>
        <w:br/>
      </w:r>
    </w:p>
    <w:tbl>
      <w:tblPr>
        <w:tblStyle w:val="TableGrid"/>
        <w:tblW w:w="0" w:type="auto"/>
        <w:tblLayout w:type="fixed"/>
        <w:tblLook w:val="06A0" w:firstRow="1" w:lastRow="0" w:firstColumn="1" w:lastColumn="0" w:noHBand="1" w:noVBand="1"/>
      </w:tblPr>
      <w:tblGrid>
        <w:gridCol w:w="2340"/>
        <w:gridCol w:w="765"/>
        <w:gridCol w:w="1575"/>
        <w:gridCol w:w="1530"/>
        <w:gridCol w:w="810"/>
        <w:gridCol w:w="2295"/>
        <w:gridCol w:w="236"/>
      </w:tblGrid>
      <w:tr w:rsidR="73F31BAE" w14:paraId="4F9EC76E" w14:textId="77777777" w:rsidTr="73F31BAE">
        <w:trPr>
          <w:trHeight w:val="300"/>
        </w:trPr>
        <w:tc>
          <w:tcPr>
            <w:tcW w:w="2340" w:type="dxa"/>
            <w:vMerge w:val="restart"/>
            <w:tcBorders>
              <w:top w:val="single" w:sz="12" w:space="0" w:color="000000" w:themeColor="text1"/>
              <w:left w:val="single" w:sz="12" w:space="0" w:color="000000" w:themeColor="text1"/>
              <w:bottom w:val="nil"/>
              <w:right w:val="nil"/>
            </w:tcBorders>
            <w:tcMar>
              <w:left w:w="105" w:type="dxa"/>
              <w:right w:w="105" w:type="dxa"/>
            </w:tcMar>
            <w:vAlign w:val="center"/>
          </w:tcPr>
          <w:p w14:paraId="4BF394D9" w14:textId="0CF4454A" w:rsidR="73F31BAE" w:rsidRDefault="73F31BAE" w:rsidP="73F31BAE">
            <w:pPr>
              <w:spacing w:line="360" w:lineRule="auto"/>
              <w:ind w:left="-20" w:right="-20"/>
              <w:jc w:val="both"/>
            </w:pPr>
            <w:r w:rsidRPr="73F31BAE">
              <w:rPr>
                <w:rFonts w:ascii="Arial" w:eastAsia="Arial" w:hAnsi="Arial" w:cs="Arial"/>
                <w:color w:val="000000" w:themeColor="text1"/>
              </w:rPr>
              <w:t>b</w:t>
            </w:r>
            <w:r w:rsidRPr="73F31BAE">
              <w:rPr>
                <w:rFonts w:ascii="Arial" w:eastAsia="Arial" w:hAnsi="Arial" w:cs="Arial"/>
                <w:color w:val="000000" w:themeColor="text1"/>
                <w:vertAlign w:val="subscript"/>
              </w:rPr>
              <w:t>1</w:t>
            </w:r>
            <w:r w:rsidRPr="73F31BAE">
              <w:rPr>
                <w:rFonts w:ascii="Arial" w:eastAsia="Arial" w:hAnsi="Arial" w:cs="Arial"/>
                <w:color w:val="000000" w:themeColor="text1"/>
              </w:rPr>
              <w:t xml:space="preserve"> =</w:t>
            </w:r>
          </w:p>
        </w:tc>
        <w:tc>
          <w:tcPr>
            <w:tcW w:w="2340" w:type="dxa"/>
            <w:gridSpan w:val="2"/>
            <w:tcBorders>
              <w:top w:val="single" w:sz="12" w:space="0" w:color="000000" w:themeColor="text1"/>
              <w:left w:val="nil"/>
              <w:bottom w:val="nil"/>
              <w:right w:val="nil"/>
            </w:tcBorders>
            <w:tcMar>
              <w:left w:w="105" w:type="dxa"/>
              <w:right w:w="105" w:type="dxa"/>
            </w:tcMar>
            <w:vAlign w:val="center"/>
          </w:tcPr>
          <w:p w14:paraId="0E08D7AF" w14:textId="3984F1E8" w:rsidR="73F31BAE" w:rsidRDefault="73F31BAE" w:rsidP="73F31BAE">
            <w:pPr>
              <w:spacing w:line="360" w:lineRule="auto"/>
              <w:ind w:left="-20" w:right="-20"/>
              <w:jc w:val="both"/>
            </w:pPr>
            <w:proofErr w:type="spellStart"/>
            <w:r w:rsidRPr="73F31BAE">
              <w:rPr>
                <w:rFonts w:ascii="Arial" w:eastAsia="Arial" w:hAnsi="Arial" w:cs="Arial"/>
                <w:color w:val="000000" w:themeColor="text1"/>
              </w:rPr>
              <w:t>SP</w:t>
            </w:r>
            <w:r w:rsidRPr="73F31BAE">
              <w:rPr>
                <w:rFonts w:ascii="Arial" w:eastAsia="Arial" w:hAnsi="Arial" w:cs="Arial"/>
                <w:color w:val="000000" w:themeColor="text1"/>
                <w:vertAlign w:val="subscript"/>
              </w:rPr>
              <w:t>xy</w:t>
            </w:r>
            <w:proofErr w:type="spellEnd"/>
          </w:p>
        </w:tc>
        <w:tc>
          <w:tcPr>
            <w:tcW w:w="2340" w:type="dxa"/>
            <w:gridSpan w:val="2"/>
            <w:vMerge w:val="restart"/>
            <w:tcBorders>
              <w:top w:val="single" w:sz="12" w:space="0" w:color="000000" w:themeColor="text1"/>
              <w:left w:val="nil"/>
              <w:bottom w:val="nil"/>
              <w:right w:val="nil"/>
            </w:tcBorders>
            <w:tcMar>
              <w:left w:w="105" w:type="dxa"/>
              <w:right w:w="105" w:type="dxa"/>
            </w:tcMar>
            <w:vAlign w:val="center"/>
          </w:tcPr>
          <w:p w14:paraId="4FC0AB75" w14:textId="625A4F9D" w:rsidR="73F31BAE" w:rsidRDefault="73F31BAE" w:rsidP="73F31BAE">
            <w:pPr>
              <w:spacing w:line="360" w:lineRule="auto"/>
              <w:ind w:left="-20" w:right="-20"/>
              <w:jc w:val="both"/>
            </w:pPr>
            <w:r w:rsidRPr="73F31BAE">
              <w:rPr>
                <w:rFonts w:ascii="Arial" w:eastAsia="Arial" w:hAnsi="Arial" w:cs="Arial"/>
                <w:color w:val="000000" w:themeColor="text1"/>
              </w:rPr>
              <w:t>=</w:t>
            </w:r>
          </w:p>
        </w:tc>
        <w:tc>
          <w:tcPr>
            <w:tcW w:w="2340" w:type="dxa"/>
            <w:gridSpan w:val="2"/>
            <w:tcBorders>
              <w:top w:val="single" w:sz="12" w:space="0" w:color="000000" w:themeColor="text1"/>
              <w:left w:val="nil"/>
              <w:bottom w:val="nil"/>
              <w:right w:val="single" w:sz="12" w:space="0" w:color="000000" w:themeColor="text1"/>
            </w:tcBorders>
            <w:tcMar>
              <w:left w:w="105" w:type="dxa"/>
              <w:right w:w="105" w:type="dxa"/>
            </w:tcMar>
            <w:vAlign w:val="center"/>
          </w:tcPr>
          <w:p w14:paraId="18852F91" w14:textId="05CF7E33" w:rsidR="73F31BAE" w:rsidRDefault="73F31BAE" w:rsidP="73F31BAE">
            <w:pPr>
              <w:spacing w:line="360" w:lineRule="auto"/>
              <w:ind w:left="-20" w:right="-20"/>
              <w:jc w:val="both"/>
            </w:pPr>
            <w:r w:rsidRPr="73F31BAE">
              <w:rPr>
                <w:rFonts w:ascii="Arial" w:eastAsia="Arial" w:hAnsi="Arial" w:cs="Arial"/>
                <w:color w:val="000000" w:themeColor="text1"/>
              </w:rPr>
              <w:t>Σ(x</w:t>
            </w:r>
            <w:r w:rsidRPr="73F31BAE">
              <w:rPr>
                <w:rFonts w:ascii="Arial" w:eastAsia="Arial" w:hAnsi="Arial" w:cs="Arial"/>
                <w:color w:val="000000" w:themeColor="text1"/>
                <w:vertAlign w:val="subscript"/>
              </w:rPr>
              <w:t>i</w:t>
            </w:r>
            <w:r w:rsidRPr="73F31BAE">
              <w:rPr>
                <w:rFonts w:ascii="Arial" w:eastAsia="Arial" w:hAnsi="Arial" w:cs="Arial"/>
                <w:color w:val="000000" w:themeColor="text1"/>
              </w:rPr>
              <w:t>-x̄) (</w:t>
            </w:r>
            <w:proofErr w:type="spellStart"/>
            <w:r w:rsidRPr="73F31BAE">
              <w:rPr>
                <w:rFonts w:ascii="Arial" w:eastAsia="Arial" w:hAnsi="Arial" w:cs="Arial"/>
                <w:color w:val="000000" w:themeColor="text1"/>
              </w:rPr>
              <w:t>y</w:t>
            </w:r>
            <w:r w:rsidRPr="73F31BAE">
              <w:rPr>
                <w:rFonts w:ascii="Arial" w:eastAsia="Arial" w:hAnsi="Arial" w:cs="Arial"/>
                <w:color w:val="000000" w:themeColor="text1"/>
                <w:vertAlign w:val="subscript"/>
              </w:rPr>
              <w:t>i</w:t>
            </w:r>
            <w:proofErr w:type="spellEnd"/>
            <w:r w:rsidRPr="73F31BAE">
              <w:rPr>
                <w:rFonts w:ascii="Arial" w:eastAsia="Arial" w:hAnsi="Arial" w:cs="Arial"/>
                <w:color w:val="000000" w:themeColor="text1"/>
              </w:rPr>
              <w:t>-ȳ)</w:t>
            </w:r>
          </w:p>
        </w:tc>
      </w:tr>
      <w:tr w:rsidR="73F31BAE" w14:paraId="58491AF6" w14:textId="77777777" w:rsidTr="73F31BAE">
        <w:trPr>
          <w:trHeight w:val="300"/>
        </w:trPr>
        <w:tc>
          <w:tcPr>
            <w:tcW w:w="2340" w:type="dxa"/>
            <w:vMerge/>
            <w:tcBorders>
              <w:left w:val="single" w:sz="0" w:space="0" w:color="000000" w:themeColor="text1"/>
            </w:tcBorders>
            <w:vAlign w:val="center"/>
          </w:tcPr>
          <w:p w14:paraId="3EC15E54" w14:textId="77777777" w:rsidR="00912F60" w:rsidRDefault="00912F60"/>
        </w:tc>
        <w:tc>
          <w:tcPr>
            <w:tcW w:w="2340" w:type="dxa"/>
            <w:gridSpan w:val="2"/>
            <w:tcBorders>
              <w:top w:val="nil"/>
              <w:left w:val="nil"/>
              <w:bottom w:val="nil"/>
              <w:right w:val="nil"/>
            </w:tcBorders>
            <w:tcMar>
              <w:left w:w="105" w:type="dxa"/>
              <w:right w:w="105" w:type="dxa"/>
            </w:tcMar>
            <w:vAlign w:val="center"/>
          </w:tcPr>
          <w:p w14:paraId="59F3D661" w14:textId="5E422D26" w:rsidR="73F31BAE" w:rsidRDefault="73F31BAE" w:rsidP="73F31BAE">
            <w:pPr>
              <w:spacing w:line="360" w:lineRule="auto"/>
              <w:ind w:left="-20" w:right="-20"/>
              <w:jc w:val="both"/>
            </w:pPr>
            <w:proofErr w:type="spellStart"/>
            <w:r w:rsidRPr="73F31BAE">
              <w:rPr>
                <w:rFonts w:ascii="Arial" w:eastAsia="Arial" w:hAnsi="Arial" w:cs="Arial"/>
                <w:color w:val="000000" w:themeColor="text1"/>
              </w:rPr>
              <w:t>SS</w:t>
            </w:r>
            <w:r w:rsidRPr="73F31BAE">
              <w:rPr>
                <w:rFonts w:ascii="Arial" w:eastAsia="Arial" w:hAnsi="Arial" w:cs="Arial"/>
                <w:color w:val="000000" w:themeColor="text1"/>
                <w:vertAlign w:val="subscript"/>
              </w:rPr>
              <w:t>x</w:t>
            </w:r>
            <w:proofErr w:type="spellEnd"/>
          </w:p>
        </w:tc>
        <w:tc>
          <w:tcPr>
            <w:tcW w:w="2340" w:type="dxa"/>
            <w:gridSpan w:val="2"/>
            <w:vMerge/>
            <w:tcBorders>
              <w:left w:val="nil"/>
            </w:tcBorders>
            <w:vAlign w:val="center"/>
          </w:tcPr>
          <w:p w14:paraId="1AF004FA" w14:textId="77777777" w:rsidR="00912F60" w:rsidRDefault="00912F60"/>
        </w:tc>
        <w:tc>
          <w:tcPr>
            <w:tcW w:w="2340" w:type="dxa"/>
            <w:gridSpan w:val="2"/>
            <w:tcBorders>
              <w:top w:val="nil"/>
              <w:left w:val="nil"/>
              <w:bottom w:val="nil"/>
              <w:right w:val="single" w:sz="12" w:space="0" w:color="000000" w:themeColor="text1"/>
            </w:tcBorders>
            <w:tcMar>
              <w:left w:w="105" w:type="dxa"/>
              <w:right w:w="105" w:type="dxa"/>
            </w:tcMar>
            <w:vAlign w:val="center"/>
          </w:tcPr>
          <w:p w14:paraId="2071681B" w14:textId="14678D41" w:rsidR="73F31BAE" w:rsidRDefault="73F31BAE" w:rsidP="73F31BAE">
            <w:pPr>
              <w:spacing w:line="360" w:lineRule="auto"/>
              <w:ind w:left="-20" w:right="-20"/>
              <w:jc w:val="both"/>
            </w:pPr>
            <w:r w:rsidRPr="73F31BAE">
              <w:rPr>
                <w:rFonts w:ascii="Arial" w:eastAsia="Arial" w:hAnsi="Arial" w:cs="Arial"/>
                <w:color w:val="000000" w:themeColor="text1"/>
              </w:rPr>
              <w:t>Σ(x</w:t>
            </w:r>
            <w:r w:rsidRPr="73F31BAE">
              <w:rPr>
                <w:rFonts w:ascii="Arial" w:eastAsia="Arial" w:hAnsi="Arial" w:cs="Arial"/>
                <w:color w:val="000000" w:themeColor="text1"/>
                <w:vertAlign w:val="subscript"/>
              </w:rPr>
              <w:t>i</w:t>
            </w:r>
            <w:r w:rsidRPr="73F31BAE">
              <w:rPr>
                <w:rFonts w:ascii="Arial" w:eastAsia="Arial" w:hAnsi="Arial" w:cs="Arial"/>
                <w:color w:val="000000" w:themeColor="text1"/>
              </w:rPr>
              <w:t>-x̄)</w:t>
            </w:r>
            <w:r w:rsidRPr="73F31BAE">
              <w:rPr>
                <w:rFonts w:ascii="Arial" w:eastAsia="Arial" w:hAnsi="Arial" w:cs="Arial"/>
                <w:color w:val="000000" w:themeColor="text1"/>
                <w:vertAlign w:val="superscript"/>
              </w:rPr>
              <w:t>2</w:t>
            </w:r>
          </w:p>
        </w:tc>
      </w:tr>
      <w:tr w:rsidR="73F31BAE" w14:paraId="3C509457" w14:textId="77777777" w:rsidTr="73F31BAE">
        <w:trPr>
          <w:trHeight w:val="300"/>
        </w:trPr>
        <w:tc>
          <w:tcPr>
            <w:tcW w:w="3105" w:type="dxa"/>
            <w:gridSpan w:val="2"/>
            <w:vMerge w:val="restart"/>
            <w:tcBorders>
              <w:top w:val="nil"/>
              <w:left w:val="single" w:sz="12" w:space="0" w:color="000000" w:themeColor="text1"/>
              <w:bottom w:val="single" w:sz="12" w:space="0" w:color="000000" w:themeColor="text1"/>
              <w:right w:val="nil"/>
            </w:tcBorders>
            <w:tcMar>
              <w:left w:w="105" w:type="dxa"/>
              <w:right w:w="105" w:type="dxa"/>
            </w:tcMar>
            <w:vAlign w:val="center"/>
          </w:tcPr>
          <w:p w14:paraId="13776058" w14:textId="68183DF1" w:rsidR="73F31BAE" w:rsidRDefault="73F31BAE" w:rsidP="73F31BAE">
            <w:pPr>
              <w:spacing w:line="360" w:lineRule="auto"/>
              <w:ind w:left="-20" w:right="-20"/>
              <w:jc w:val="both"/>
            </w:pPr>
            <w:r w:rsidRPr="73F31BAE">
              <w:rPr>
                <w:rFonts w:ascii="Arial" w:eastAsia="Arial" w:hAnsi="Arial" w:cs="Arial"/>
                <w:color w:val="000000" w:themeColor="text1"/>
              </w:rPr>
              <w:t>b</w:t>
            </w:r>
            <w:r w:rsidRPr="73F31BAE">
              <w:rPr>
                <w:rFonts w:ascii="Arial" w:eastAsia="Arial" w:hAnsi="Arial" w:cs="Arial"/>
                <w:color w:val="000000" w:themeColor="text1"/>
                <w:vertAlign w:val="subscript"/>
              </w:rPr>
              <w:t>1</w:t>
            </w:r>
            <w:r w:rsidRPr="73F31BAE">
              <w:rPr>
                <w:rFonts w:ascii="Arial" w:eastAsia="Arial" w:hAnsi="Arial" w:cs="Arial"/>
                <w:color w:val="000000" w:themeColor="text1"/>
              </w:rPr>
              <w:t xml:space="preserve"> =</w:t>
            </w:r>
          </w:p>
        </w:tc>
        <w:tc>
          <w:tcPr>
            <w:tcW w:w="3105" w:type="dxa"/>
            <w:gridSpan w:val="2"/>
            <w:tcBorders>
              <w:top w:val="nil"/>
              <w:left w:val="nil"/>
              <w:bottom w:val="single" w:sz="12" w:space="0" w:color="000000" w:themeColor="text1"/>
              <w:right w:val="nil"/>
            </w:tcBorders>
            <w:tcMar>
              <w:left w:w="105" w:type="dxa"/>
              <w:right w:w="105" w:type="dxa"/>
            </w:tcMar>
            <w:vAlign w:val="center"/>
          </w:tcPr>
          <w:p w14:paraId="029B0449" w14:textId="23F4445A" w:rsidR="73F31BAE" w:rsidRDefault="73F31BAE" w:rsidP="73F31BAE">
            <w:pPr>
              <w:spacing w:line="360" w:lineRule="auto"/>
              <w:ind w:left="-20" w:right="-20"/>
              <w:jc w:val="both"/>
            </w:pPr>
            <w:r w:rsidRPr="73F31BAE">
              <w:rPr>
                <w:rFonts w:ascii="Arial" w:eastAsia="Arial" w:hAnsi="Arial" w:cs="Arial"/>
                <w:color w:val="000000" w:themeColor="text1"/>
              </w:rPr>
              <w:t>-1215.6108</w:t>
            </w:r>
          </w:p>
        </w:tc>
        <w:tc>
          <w:tcPr>
            <w:tcW w:w="3105" w:type="dxa"/>
            <w:gridSpan w:val="2"/>
            <w:vMerge w:val="restart"/>
            <w:tcBorders>
              <w:top w:val="nil"/>
              <w:left w:val="nil"/>
              <w:bottom w:val="single" w:sz="12" w:space="0" w:color="000000" w:themeColor="text1"/>
              <w:right w:val="single" w:sz="12" w:space="0" w:color="000000" w:themeColor="text1"/>
            </w:tcBorders>
            <w:tcMar>
              <w:left w:w="105" w:type="dxa"/>
              <w:right w:w="105" w:type="dxa"/>
            </w:tcMar>
            <w:vAlign w:val="center"/>
          </w:tcPr>
          <w:p w14:paraId="716C5979" w14:textId="2607D03F" w:rsidR="73F31BAE" w:rsidRDefault="73F31BAE" w:rsidP="73F31BAE">
            <w:pPr>
              <w:spacing w:line="360" w:lineRule="auto"/>
              <w:ind w:left="-20" w:right="-20"/>
              <w:jc w:val="both"/>
            </w:pPr>
            <w:r w:rsidRPr="73F31BAE">
              <w:rPr>
                <w:rFonts w:ascii="Arial" w:eastAsia="Arial" w:hAnsi="Arial" w:cs="Arial"/>
                <w:color w:val="000000" w:themeColor="text1"/>
              </w:rPr>
              <w:t>= -24.4948</w:t>
            </w:r>
          </w:p>
        </w:tc>
        <w:tc>
          <w:tcPr>
            <w:tcW w:w="45" w:type="dxa"/>
            <w:tcBorders>
              <w:top w:val="nil"/>
              <w:left w:val="nil"/>
              <w:bottom w:val="nil"/>
              <w:right w:val="nil"/>
            </w:tcBorders>
            <w:vAlign w:val="center"/>
          </w:tcPr>
          <w:p w14:paraId="24DB8CAD" w14:textId="4EE96D20" w:rsidR="73F31BAE" w:rsidRDefault="73F31BAE" w:rsidP="73F31BAE">
            <w:pPr>
              <w:ind w:left="-20" w:right="-20"/>
            </w:pPr>
            <w:r>
              <w:t xml:space="preserve"> </w:t>
            </w:r>
          </w:p>
        </w:tc>
      </w:tr>
      <w:tr w:rsidR="73F31BAE" w14:paraId="35844BA3" w14:textId="77777777" w:rsidTr="73F31BAE">
        <w:trPr>
          <w:trHeight w:val="300"/>
        </w:trPr>
        <w:tc>
          <w:tcPr>
            <w:tcW w:w="3105" w:type="dxa"/>
            <w:gridSpan w:val="2"/>
            <w:vMerge/>
            <w:tcBorders>
              <w:left w:val="single" w:sz="0" w:space="0" w:color="000000" w:themeColor="text1"/>
              <w:bottom w:val="single" w:sz="0" w:space="0" w:color="000000" w:themeColor="text1"/>
            </w:tcBorders>
            <w:vAlign w:val="center"/>
          </w:tcPr>
          <w:p w14:paraId="40EA7C18" w14:textId="77777777" w:rsidR="00912F60" w:rsidRDefault="00912F60"/>
        </w:tc>
        <w:tc>
          <w:tcPr>
            <w:tcW w:w="3105" w:type="dxa"/>
            <w:gridSpan w:val="2"/>
            <w:tcBorders>
              <w:top w:val="single" w:sz="12" w:space="0" w:color="000000" w:themeColor="text1"/>
              <w:left w:val="nil"/>
              <w:bottom w:val="nil"/>
              <w:right w:val="nil"/>
            </w:tcBorders>
            <w:tcMar>
              <w:left w:w="105" w:type="dxa"/>
              <w:right w:w="105" w:type="dxa"/>
            </w:tcMar>
            <w:vAlign w:val="center"/>
          </w:tcPr>
          <w:p w14:paraId="21B270B7" w14:textId="48F1F992" w:rsidR="73F31BAE" w:rsidRDefault="73F31BAE" w:rsidP="73F31BAE">
            <w:pPr>
              <w:spacing w:line="360" w:lineRule="auto"/>
              <w:ind w:left="-20" w:right="-20"/>
              <w:jc w:val="both"/>
            </w:pPr>
            <w:r w:rsidRPr="73F31BAE">
              <w:rPr>
                <w:rFonts w:ascii="Arial" w:eastAsia="Arial" w:hAnsi="Arial" w:cs="Arial"/>
                <w:color w:val="000000" w:themeColor="text1"/>
              </w:rPr>
              <w:t>49.6273</w:t>
            </w:r>
          </w:p>
        </w:tc>
        <w:tc>
          <w:tcPr>
            <w:tcW w:w="3105" w:type="dxa"/>
            <w:gridSpan w:val="2"/>
            <w:vMerge/>
            <w:tcBorders>
              <w:left w:val="nil"/>
              <w:bottom w:val="single" w:sz="0" w:space="0" w:color="000000" w:themeColor="text1"/>
              <w:right w:val="single" w:sz="0" w:space="0" w:color="000000" w:themeColor="text1"/>
            </w:tcBorders>
            <w:vAlign w:val="center"/>
          </w:tcPr>
          <w:p w14:paraId="04A31070" w14:textId="77777777" w:rsidR="00912F60" w:rsidRDefault="00912F60"/>
        </w:tc>
        <w:tc>
          <w:tcPr>
            <w:tcW w:w="45" w:type="dxa"/>
            <w:tcBorders>
              <w:top w:val="nil"/>
              <w:left w:val="nil"/>
              <w:bottom w:val="nil"/>
              <w:right w:val="nil"/>
            </w:tcBorders>
            <w:vAlign w:val="center"/>
          </w:tcPr>
          <w:p w14:paraId="28750BD3" w14:textId="0F4199C8" w:rsidR="73F31BAE" w:rsidRDefault="73F31BAE" w:rsidP="73F31BAE">
            <w:pPr>
              <w:ind w:left="-20" w:right="-20"/>
            </w:pPr>
            <w:r>
              <w:t xml:space="preserve"> </w:t>
            </w:r>
          </w:p>
        </w:tc>
      </w:tr>
      <w:tr w:rsidR="73F31BAE" w14:paraId="448C639B" w14:textId="77777777" w:rsidTr="73F31BAE">
        <w:trPr>
          <w:trHeight w:val="300"/>
        </w:trPr>
        <w:tc>
          <w:tcPr>
            <w:tcW w:w="2340" w:type="dxa"/>
            <w:tcBorders>
              <w:top w:val="nil"/>
              <w:left w:val="nil"/>
              <w:bottom w:val="nil"/>
              <w:right w:val="nil"/>
            </w:tcBorders>
            <w:vAlign w:val="center"/>
          </w:tcPr>
          <w:p w14:paraId="71B2BE42" w14:textId="1A10D25D" w:rsidR="73F31BAE" w:rsidRDefault="73F31BAE"/>
        </w:tc>
        <w:tc>
          <w:tcPr>
            <w:tcW w:w="765" w:type="dxa"/>
            <w:tcBorders>
              <w:top w:val="nil"/>
              <w:left w:val="nil"/>
              <w:bottom w:val="nil"/>
              <w:right w:val="nil"/>
            </w:tcBorders>
            <w:vAlign w:val="center"/>
          </w:tcPr>
          <w:p w14:paraId="2E19F893" w14:textId="6556466D" w:rsidR="73F31BAE" w:rsidRDefault="73F31BAE"/>
        </w:tc>
        <w:tc>
          <w:tcPr>
            <w:tcW w:w="1575" w:type="dxa"/>
            <w:tcBorders>
              <w:top w:val="nil"/>
              <w:left w:val="nil"/>
              <w:bottom w:val="nil"/>
              <w:right w:val="nil"/>
            </w:tcBorders>
            <w:vAlign w:val="center"/>
          </w:tcPr>
          <w:p w14:paraId="49293767" w14:textId="64E6EAA9" w:rsidR="73F31BAE" w:rsidRDefault="73F31BAE"/>
        </w:tc>
        <w:tc>
          <w:tcPr>
            <w:tcW w:w="1530" w:type="dxa"/>
            <w:tcBorders>
              <w:top w:val="nil"/>
              <w:left w:val="nil"/>
              <w:bottom w:val="nil"/>
              <w:right w:val="nil"/>
            </w:tcBorders>
            <w:vAlign w:val="center"/>
          </w:tcPr>
          <w:p w14:paraId="04D652D1" w14:textId="3A1F1A6D" w:rsidR="73F31BAE" w:rsidRDefault="73F31BAE"/>
        </w:tc>
        <w:tc>
          <w:tcPr>
            <w:tcW w:w="810" w:type="dxa"/>
            <w:tcBorders>
              <w:top w:val="nil"/>
              <w:left w:val="nil"/>
              <w:bottom w:val="nil"/>
              <w:right w:val="nil"/>
            </w:tcBorders>
            <w:vAlign w:val="center"/>
          </w:tcPr>
          <w:p w14:paraId="0C93EAA3" w14:textId="17524AF9" w:rsidR="73F31BAE" w:rsidRDefault="73F31BAE"/>
        </w:tc>
        <w:tc>
          <w:tcPr>
            <w:tcW w:w="2295" w:type="dxa"/>
            <w:tcBorders>
              <w:top w:val="nil"/>
              <w:left w:val="nil"/>
              <w:bottom w:val="nil"/>
              <w:right w:val="nil"/>
            </w:tcBorders>
            <w:vAlign w:val="center"/>
          </w:tcPr>
          <w:p w14:paraId="766EDD3A" w14:textId="4C6B5C8C" w:rsidR="73F31BAE" w:rsidRDefault="73F31BAE"/>
        </w:tc>
        <w:tc>
          <w:tcPr>
            <w:tcW w:w="45" w:type="dxa"/>
            <w:tcBorders>
              <w:top w:val="nil"/>
              <w:left w:val="nil"/>
              <w:bottom w:val="nil"/>
              <w:right w:val="nil"/>
            </w:tcBorders>
            <w:vAlign w:val="center"/>
          </w:tcPr>
          <w:p w14:paraId="4878944C" w14:textId="5B3DC065" w:rsidR="73F31BAE" w:rsidRDefault="73F31BAE"/>
        </w:tc>
      </w:tr>
    </w:tbl>
    <w:p w14:paraId="79341C2A" w14:textId="52AB5F92" w:rsidR="73F31BAE" w:rsidRDefault="73F31BAE" w:rsidP="73F31BAE">
      <w:pPr>
        <w:jc w:val="both"/>
      </w:pPr>
    </w:p>
    <w:p w14:paraId="17E2EF46" w14:textId="2D38F2F0" w:rsidR="541F712B" w:rsidRDefault="541F712B" w:rsidP="73F31BAE">
      <w:pPr>
        <w:jc w:val="both"/>
        <w:rPr>
          <w:rFonts w:ascii="Calibri" w:eastAsia="Calibri" w:hAnsi="Calibri" w:cs="Calibri"/>
        </w:rPr>
      </w:pPr>
      <w:r w:rsidRPr="73F31BAE">
        <w:rPr>
          <w:rFonts w:ascii="Arial" w:eastAsia="Arial" w:hAnsi="Arial" w:cs="Arial"/>
          <w:color w:val="000000" w:themeColor="text1"/>
        </w:rPr>
        <w:t>b</w:t>
      </w:r>
      <w:r w:rsidRPr="73F31BAE">
        <w:rPr>
          <w:rFonts w:ascii="Arial" w:eastAsia="Arial" w:hAnsi="Arial" w:cs="Arial"/>
          <w:color w:val="000000" w:themeColor="text1"/>
          <w:vertAlign w:val="subscript"/>
        </w:rPr>
        <w:t>0</w:t>
      </w:r>
      <w:r w:rsidRPr="73F31BAE">
        <w:rPr>
          <w:rFonts w:ascii="Arial" w:eastAsia="Arial" w:hAnsi="Arial" w:cs="Arial"/>
          <w:color w:val="000000" w:themeColor="text1"/>
        </w:rPr>
        <w:t xml:space="preserve"> = ȳ - b</w:t>
      </w:r>
      <w:r w:rsidRPr="73F31BAE">
        <w:rPr>
          <w:rFonts w:ascii="Arial" w:eastAsia="Arial" w:hAnsi="Arial" w:cs="Arial"/>
          <w:color w:val="000000" w:themeColor="text1"/>
          <w:vertAlign w:val="subscript"/>
        </w:rPr>
        <w:t>1</w:t>
      </w:r>
      <w:r w:rsidRPr="73F31BAE">
        <w:rPr>
          <w:rFonts w:ascii="Arial" w:eastAsia="Arial" w:hAnsi="Arial" w:cs="Arial"/>
          <w:color w:val="000000" w:themeColor="text1"/>
        </w:rPr>
        <w:t>x̄</w:t>
      </w:r>
      <w:r>
        <w:br/>
      </w:r>
      <w:r w:rsidRPr="73F31BAE">
        <w:rPr>
          <w:rFonts w:ascii="Calibri" w:eastAsia="Calibri" w:hAnsi="Calibri" w:cs="Calibri"/>
        </w:rPr>
        <w:t xml:space="preserve"> </w:t>
      </w:r>
      <w:r w:rsidRPr="73F31BAE">
        <w:rPr>
          <w:rFonts w:ascii="Arial" w:eastAsia="Arial" w:hAnsi="Arial" w:cs="Arial"/>
          <w:color w:val="000000" w:themeColor="text1"/>
        </w:rPr>
        <w:t>x̄ = 2.1455</w:t>
      </w:r>
      <w:r>
        <w:br/>
      </w:r>
      <w:r w:rsidRPr="73F31BAE">
        <w:rPr>
          <w:rFonts w:ascii="Calibri" w:eastAsia="Calibri" w:hAnsi="Calibri" w:cs="Calibri"/>
        </w:rPr>
        <w:t xml:space="preserve"> </w:t>
      </w:r>
      <w:r w:rsidRPr="73F31BAE">
        <w:rPr>
          <w:rFonts w:ascii="Arial" w:eastAsia="Arial" w:hAnsi="Arial" w:cs="Arial"/>
          <w:color w:val="000000" w:themeColor="text1"/>
        </w:rPr>
        <w:t>ȳ = 7089.8845</w:t>
      </w:r>
      <w:r>
        <w:br/>
      </w:r>
      <w:r w:rsidRPr="73F31BAE">
        <w:rPr>
          <w:rFonts w:ascii="Calibri" w:eastAsia="Calibri" w:hAnsi="Calibri" w:cs="Calibri"/>
        </w:rPr>
        <w:t xml:space="preserve"> </w:t>
      </w:r>
      <w:r w:rsidRPr="73F31BAE">
        <w:rPr>
          <w:rFonts w:ascii="Arial" w:eastAsia="Arial" w:hAnsi="Arial" w:cs="Arial"/>
          <w:color w:val="000000" w:themeColor="text1"/>
        </w:rPr>
        <w:t>b</w:t>
      </w:r>
      <w:r w:rsidRPr="73F31BAE">
        <w:rPr>
          <w:rFonts w:ascii="Arial" w:eastAsia="Arial" w:hAnsi="Arial" w:cs="Arial"/>
          <w:color w:val="000000" w:themeColor="text1"/>
          <w:vertAlign w:val="subscript"/>
        </w:rPr>
        <w:t>0</w:t>
      </w:r>
      <w:r w:rsidRPr="73F31BAE">
        <w:rPr>
          <w:rFonts w:ascii="Arial" w:eastAsia="Arial" w:hAnsi="Arial" w:cs="Arial"/>
          <w:color w:val="000000" w:themeColor="text1"/>
        </w:rPr>
        <w:t xml:space="preserve"> = 7089.8845+24.4948*2.1455 = 7142.4371</w:t>
      </w:r>
      <w:r>
        <w:br/>
      </w:r>
      <w:r w:rsidRPr="73F31BAE">
        <w:rPr>
          <w:rFonts w:ascii="Calibri" w:eastAsia="Calibri" w:hAnsi="Calibri" w:cs="Calibri"/>
        </w:rPr>
        <w:t xml:space="preserve"> </w:t>
      </w:r>
      <w:r>
        <w:br/>
      </w:r>
    </w:p>
    <w:tbl>
      <w:tblPr>
        <w:tblStyle w:val="TableGrid"/>
        <w:tblW w:w="0" w:type="auto"/>
        <w:tblLayout w:type="fixed"/>
        <w:tblLook w:val="06A0" w:firstRow="1" w:lastRow="0" w:firstColumn="1" w:lastColumn="0" w:noHBand="1" w:noVBand="1"/>
      </w:tblPr>
      <w:tblGrid>
        <w:gridCol w:w="1335"/>
        <w:gridCol w:w="1335"/>
        <w:gridCol w:w="1335"/>
        <w:gridCol w:w="1335"/>
        <w:gridCol w:w="1335"/>
        <w:gridCol w:w="1335"/>
        <w:gridCol w:w="1335"/>
      </w:tblGrid>
      <w:tr w:rsidR="73F31BAE" w14:paraId="50A78E07" w14:textId="77777777" w:rsidTr="73F31BAE">
        <w:trPr>
          <w:trHeight w:val="300"/>
        </w:trPr>
        <w:tc>
          <w:tcPr>
            <w:tcW w:w="1335" w:type="dxa"/>
            <w:vMerge w:val="restart"/>
            <w:tcBorders>
              <w:top w:val="single" w:sz="12" w:space="0" w:color="000000" w:themeColor="text1"/>
              <w:left w:val="single" w:sz="12" w:space="0" w:color="000000" w:themeColor="text1"/>
              <w:bottom w:val="single" w:sz="12" w:space="0" w:color="000000" w:themeColor="text1"/>
              <w:right w:val="nil"/>
            </w:tcBorders>
            <w:tcMar>
              <w:left w:w="105" w:type="dxa"/>
              <w:right w:w="105" w:type="dxa"/>
            </w:tcMar>
            <w:vAlign w:val="center"/>
          </w:tcPr>
          <w:p w14:paraId="3EFFAC96" w14:textId="4C449F84" w:rsidR="73F31BAE" w:rsidRDefault="73F31BAE" w:rsidP="73F31BAE">
            <w:pPr>
              <w:spacing w:line="360" w:lineRule="auto"/>
              <w:ind w:left="-20" w:right="-20"/>
              <w:jc w:val="both"/>
            </w:pPr>
            <w:r w:rsidRPr="73F31BAE">
              <w:rPr>
                <w:rFonts w:ascii="Arial" w:eastAsia="Arial" w:hAnsi="Arial" w:cs="Arial"/>
                <w:color w:val="000000" w:themeColor="text1"/>
              </w:rPr>
              <w:t>R</w:t>
            </w:r>
            <w:r w:rsidRPr="73F31BAE">
              <w:rPr>
                <w:rFonts w:ascii="Arial" w:eastAsia="Arial" w:hAnsi="Arial" w:cs="Arial"/>
                <w:color w:val="000000" w:themeColor="text1"/>
                <w:vertAlign w:val="superscript"/>
              </w:rPr>
              <w:t>2</w:t>
            </w:r>
            <w:r w:rsidRPr="73F31BAE">
              <w:rPr>
                <w:rFonts w:ascii="Arial" w:eastAsia="Arial" w:hAnsi="Arial" w:cs="Arial"/>
                <w:color w:val="000000" w:themeColor="text1"/>
              </w:rPr>
              <w:t xml:space="preserve"> =</w:t>
            </w:r>
          </w:p>
        </w:tc>
        <w:tc>
          <w:tcPr>
            <w:tcW w:w="1335" w:type="dxa"/>
            <w:tcBorders>
              <w:top w:val="single" w:sz="12" w:space="0" w:color="000000" w:themeColor="text1"/>
              <w:left w:val="nil"/>
              <w:bottom w:val="nil"/>
              <w:right w:val="nil"/>
            </w:tcBorders>
            <w:tcMar>
              <w:left w:w="105" w:type="dxa"/>
              <w:right w:w="105" w:type="dxa"/>
            </w:tcMar>
            <w:vAlign w:val="center"/>
          </w:tcPr>
          <w:p w14:paraId="4BA92C74" w14:textId="36A406B8" w:rsidR="73F31BAE" w:rsidRDefault="73F31BAE" w:rsidP="73F31BAE">
            <w:pPr>
              <w:spacing w:line="360" w:lineRule="auto"/>
              <w:ind w:left="-20" w:right="-20"/>
              <w:jc w:val="both"/>
            </w:pPr>
            <w:proofErr w:type="spellStart"/>
            <w:r w:rsidRPr="73F31BAE">
              <w:rPr>
                <w:rFonts w:ascii="Arial" w:eastAsia="Arial" w:hAnsi="Arial" w:cs="Arial"/>
                <w:color w:val="000000" w:themeColor="text1"/>
              </w:rPr>
              <w:t>SS</w:t>
            </w:r>
            <w:r w:rsidRPr="73F31BAE">
              <w:rPr>
                <w:rFonts w:ascii="Arial" w:eastAsia="Arial" w:hAnsi="Arial" w:cs="Arial"/>
                <w:color w:val="000000" w:themeColor="text1"/>
                <w:vertAlign w:val="subscript"/>
              </w:rPr>
              <w:t>Regression</w:t>
            </w:r>
            <w:proofErr w:type="spellEnd"/>
          </w:p>
        </w:tc>
        <w:tc>
          <w:tcPr>
            <w:tcW w:w="1335" w:type="dxa"/>
            <w:vMerge w:val="restart"/>
            <w:tcBorders>
              <w:top w:val="single" w:sz="12" w:space="0" w:color="000000" w:themeColor="text1"/>
              <w:left w:val="nil"/>
              <w:bottom w:val="single" w:sz="12" w:space="0" w:color="000000" w:themeColor="text1"/>
              <w:right w:val="nil"/>
            </w:tcBorders>
            <w:tcMar>
              <w:left w:w="105" w:type="dxa"/>
              <w:right w:w="105" w:type="dxa"/>
            </w:tcMar>
            <w:vAlign w:val="center"/>
          </w:tcPr>
          <w:p w14:paraId="655C7315" w14:textId="3B1A31C8" w:rsidR="73F31BAE" w:rsidRDefault="73F31BAE" w:rsidP="73F31BAE">
            <w:pPr>
              <w:spacing w:line="360" w:lineRule="auto"/>
              <w:ind w:left="-20" w:right="-20"/>
              <w:jc w:val="both"/>
            </w:pPr>
            <w:r w:rsidRPr="73F31BAE">
              <w:rPr>
                <w:rFonts w:ascii="Arial" w:eastAsia="Arial" w:hAnsi="Arial" w:cs="Arial"/>
                <w:color w:val="000000" w:themeColor="text1"/>
              </w:rPr>
              <w:t>=</w:t>
            </w:r>
          </w:p>
        </w:tc>
        <w:tc>
          <w:tcPr>
            <w:tcW w:w="1335" w:type="dxa"/>
            <w:tcBorders>
              <w:top w:val="single" w:sz="12" w:space="0" w:color="000000" w:themeColor="text1"/>
              <w:left w:val="nil"/>
              <w:bottom w:val="nil"/>
              <w:right w:val="nil"/>
            </w:tcBorders>
            <w:tcMar>
              <w:left w:w="105" w:type="dxa"/>
              <w:right w:w="105" w:type="dxa"/>
            </w:tcMar>
            <w:vAlign w:val="center"/>
          </w:tcPr>
          <w:p w14:paraId="262182BF" w14:textId="528414BE" w:rsidR="73F31BAE" w:rsidRDefault="73F31BAE" w:rsidP="73F31BAE">
            <w:pPr>
              <w:spacing w:line="360" w:lineRule="auto"/>
              <w:ind w:left="-20" w:right="-20"/>
              <w:jc w:val="both"/>
            </w:pPr>
            <w:proofErr w:type="gramStart"/>
            <w:r w:rsidRPr="73F31BAE">
              <w:rPr>
                <w:rFonts w:ascii="Arial" w:eastAsia="Arial" w:hAnsi="Arial" w:cs="Arial"/>
                <w:color w:val="000000" w:themeColor="text1"/>
              </w:rPr>
              <w:t xml:space="preserve">Σ( </w:t>
            </w:r>
            <w:proofErr w:type="spellStart"/>
            <w:r w:rsidRPr="73F31BAE">
              <w:rPr>
                <w:rFonts w:ascii="Arial" w:eastAsia="Arial" w:hAnsi="Arial" w:cs="Arial"/>
                <w:color w:val="000000" w:themeColor="text1"/>
              </w:rPr>
              <w:t>ŷ</w:t>
            </w:r>
            <w:r w:rsidRPr="73F31BAE">
              <w:rPr>
                <w:rFonts w:ascii="Arial" w:eastAsia="Arial" w:hAnsi="Arial" w:cs="Arial"/>
                <w:color w:val="000000" w:themeColor="text1"/>
                <w:vertAlign w:val="subscript"/>
              </w:rPr>
              <w:t>i</w:t>
            </w:r>
            <w:proofErr w:type="spellEnd"/>
            <w:proofErr w:type="gramEnd"/>
            <w:r w:rsidRPr="73F31BAE">
              <w:rPr>
                <w:rFonts w:ascii="Arial" w:eastAsia="Arial" w:hAnsi="Arial" w:cs="Arial"/>
                <w:color w:val="000000" w:themeColor="text1"/>
              </w:rPr>
              <w:t xml:space="preserve"> - ȳ)</w:t>
            </w:r>
            <w:r w:rsidRPr="73F31BAE">
              <w:rPr>
                <w:rFonts w:ascii="Arial" w:eastAsia="Arial" w:hAnsi="Arial" w:cs="Arial"/>
                <w:color w:val="000000" w:themeColor="text1"/>
                <w:vertAlign w:val="superscript"/>
              </w:rPr>
              <w:t>2</w:t>
            </w:r>
          </w:p>
        </w:tc>
        <w:tc>
          <w:tcPr>
            <w:tcW w:w="1335" w:type="dxa"/>
            <w:vMerge w:val="restart"/>
            <w:tcBorders>
              <w:top w:val="single" w:sz="12" w:space="0" w:color="000000" w:themeColor="text1"/>
              <w:left w:val="nil"/>
              <w:bottom w:val="single" w:sz="12" w:space="0" w:color="000000" w:themeColor="text1"/>
              <w:right w:val="nil"/>
            </w:tcBorders>
            <w:tcMar>
              <w:left w:w="105" w:type="dxa"/>
              <w:right w:w="105" w:type="dxa"/>
            </w:tcMar>
            <w:vAlign w:val="center"/>
          </w:tcPr>
          <w:p w14:paraId="37A20175" w14:textId="06370B20" w:rsidR="73F31BAE" w:rsidRDefault="73F31BAE" w:rsidP="73F31BAE">
            <w:pPr>
              <w:spacing w:line="360" w:lineRule="auto"/>
              <w:ind w:left="-20" w:right="-20"/>
              <w:jc w:val="both"/>
            </w:pPr>
            <w:r w:rsidRPr="73F31BAE">
              <w:rPr>
                <w:rFonts w:ascii="Arial" w:eastAsia="Arial" w:hAnsi="Arial" w:cs="Arial"/>
                <w:color w:val="000000" w:themeColor="text1"/>
              </w:rPr>
              <w:t>=</w:t>
            </w:r>
          </w:p>
        </w:tc>
        <w:tc>
          <w:tcPr>
            <w:tcW w:w="1335" w:type="dxa"/>
            <w:tcBorders>
              <w:top w:val="single" w:sz="12" w:space="0" w:color="000000" w:themeColor="text1"/>
              <w:left w:val="nil"/>
              <w:bottom w:val="nil"/>
              <w:right w:val="nil"/>
            </w:tcBorders>
            <w:tcMar>
              <w:left w:w="105" w:type="dxa"/>
              <w:right w:w="105" w:type="dxa"/>
            </w:tcMar>
            <w:vAlign w:val="center"/>
          </w:tcPr>
          <w:p w14:paraId="5B12615C" w14:textId="1C6FE470" w:rsidR="73F31BAE" w:rsidRDefault="73F31BAE" w:rsidP="73F31BAE">
            <w:pPr>
              <w:spacing w:line="360" w:lineRule="auto"/>
              <w:ind w:left="-20" w:right="-20"/>
              <w:jc w:val="both"/>
            </w:pPr>
            <w:r w:rsidRPr="73F31BAE">
              <w:rPr>
                <w:rFonts w:ascii="Arial" w:eastAsia="Arial" w:hAnsi="Arial" w:cs="Arial"/>
                <w:color w:val="000000" w:themeColor="text1"/>
              </w:rPr>
              <w:t>29776.1587</w:t>
            </w:r>
          </w:p>
        </w:tc>
        <w:tc>
          <w:tcPr>
            <w:tcW w:w="1335" w:type="dxa"/>
            <w:vMerge w:val="restart"/>
            <w:tcBorders>
              <w:top w:val="single" w:sz="12" w:space="0" w:color="000000" w:themeColor="text1"/>
              <w:left w:val="nil"/>
              <w:bottom w:val="single" w:sz="12" w:space="0" w:color="000000" w:themeColor="text1"/>
              <w:right w:val="single" w:sz="12" w:space="0" w:color="000000" w:themeColor="text1"/>
            </w:tcBorders>
            <w:tcMar>
              <w:left w:w="105" w:type="dxa"/>
              <w:right w:w="105" w:type="dxa"/>
            </w:tcMar>
            <w:vAlign w:val="center"/>
          </w:tcPr>
          <w:p w14:paraId="587D079C" w14:textId="551FAD01" w:rsidR="73F31BAE" w:rsidRDefault="73F31BAE" w:rsidP="73F31BAE">
            <w:pPr>
              <w:spacing w:line="360" w:lineRule="auto"/>
              <w:ind w:left="-20" w:right="-20"/>
              <w:jc w:val="both"/>
            </w:pPr>
            <w:r w:rsidRPr="73F31BAE">
              <w:rPr>
                <w:rFonts w:ascii="Arial" w:eastAsia="Arial" w:hAnsi="Arial" w:cs="Arial"/>
                <w:color w:val="000000" w:themeColor="text1"/>
              </w:rPr>
              <w:t>= 0.009607</w:t>
            </w:r>
          </w:p>
        </w:tc>
      </w:tr>
      <w:tr w:rsidR="73F31BAE" w14:paraId="289EE384" w14:textId="77777777" w:rsidTr="73F31BAE">
        <w:trPr>
          <w:trHeight w:val="300"/>
        </w:trPr>
        <w:tc>
          <w:tcPr>
            <w:tcW w:w="1335" w:type="dxa"/>
            <w:vMerge/>
            <w:tcBorders>
              <w:top w:val="single" w:sz="0" w:space="0" w:color="000000" w:themeColor="text1"/>
              <w:left w:val="single" w:sz="0" w:space="0" w:color="000000" w:themeColor="text1"/>
              <w:bottom w:val="single" w:sz="0" w:space="0" w:color="000000" w:themeColor="text1"/>
            </w:tcBorders>
            <w:vAlign w:val="center"/>
          </w:tcPr>
          <w:p w14:paraId="4BAE37BF" w14:textId="77777777" w:rsidR="00912F60" w:rsidRDefault="00912F60"/>
        </w:tc>
        <w:tc>
          <w:tcPr>
            <w:tcW w:w="1335" w:type="dxa"/>
            <w:tcBorders>
              <w:top w:val="nil"/>
              <w:left w:val="nil"/>
              <w:bottom w:val="single" w:sz="12" w:space="0" w:color="000000" w:themeColor="text1"/>
              <w:right w:val="nil"/>
            </w:tcBorders>
            <w:tcMar>
              <w:left w:w="105" w:type="dxa"/>
              <w:right w:w="105" w:type="dxa"/>
            </w:tcMar>
            <w:vAlign w:val="center"/>
          </w:tcPr>
          <w:p w14:paraId="76423CDA" w14:textId="2E7BA784" w:rsidR="73F31BAE" w:rsidRDefault="73F31BAE" w:rsidP="73F31BAE">
            <w:pPr>
              <w:spacing w:line="360" w:lineRule="auto"/>
              <w:ind w:left="-20" w:right="-20"/>
              <w:jc w:val="both"/>
            </w:pPr>
            <w:proofErr w:type="spellStart"/>
            <w:r w:rsidRPr="73F31BAE">
              <w:rPr>
                <w:rFonts w:ascii="Arial" w:eastAsia="Arial" w:hAnsi="Arial" w:cs="Arial"/>
                <w:color w:val="000000" w:themeColor="text1"/>
              </w:rPr>
              <w:t>SS</w:t>
            </w:r>
            <w:r w:rsidRPr="73F31BAE">
              <w:rPr>
                <w:rFonts w:ascii="Arial" w:eastAsia="Arial" w:hAnsi="Arial" w:cs="Arial"/>
                <w:color w:val="000000" w:themeColor="text1"/>
                <w:vertAlign w:val="subscript"/>
              </w:rPr>
              <w:t>total</w:t>
            </w:r>
            <w:proofErr w:type="spellEnd"/>
          </w:p>
        </w:tc>
        <w:tc>
          <w:tcPr>
            <w:tcW w:w="1335" w:type="dxa"/>
            <w:vMerge/>
            <w:tcBorders>
              <w:top w:val="single" w:sz="0" w:space="0" w:color="000000" w:themeColor="text1"/>
              <w:left w:val="nil"/>
              <w:bottom w:val="single" w:sz="0" w:space="0" w:color="000000" w:themeColor="text1"/>
            </w:tcBorders>
            <w:vAlign w:val="center"/>
          </w:tcPr>
          <w:p w14:paraId="1E9A74DF" w14:textId="77777777" w:rsidR="00912F60" w:rsidRDefault="00912F60"/>
        </w:tc>
        <w:tc>
          <w:tcPr>
            <w:tcW w:w="1335" w:type="dxa"/>
            <w:tcBorders>
              <w:top w:val="nil"/>
              <w:left w:val="nil"/>
              <w:bottom w:val="single" w:sz="12" w:space="0" w:color="000000" w:themeColor="text1"/>
              <w:right w:val="nil"/>
            </w:tcBorders>
            <w:tcMar>
              <w:left w:w="105" w:type="dxa"/>
              <w:right w:w="105" w:type="dxa"/>
            </w:tcMar>
            <w:vAlign w:val="center"/>
          </w:tcPr>
          <w:p w14:paraId="7B4559D1" w14:textId="05DA3E4E" w:rsidR="73F31BAE" w:rsidRDefault="73F31BAE" w:rsidP="73F31BAE">
            <w:pPr>
              <w:spacing w:line="360" w:lineRule="auto"/>
              <w:ind w:left="-20" w:right="-20"/>
              <w:jc w:val="both"/>
            </w:pPr>
            <w:proofErr w:type="gramStart"/>
            <w:r w:rsidRPr="73F31BAE">
              <w:rPr>
                <w:rFonts w:ascii="Arial" w:eastAsia="Arial" w:hAnsi="Arial" w:cs="Arial"/>
                <w:color w:val="000000" w:themeColor="text1"/>
              </w:rPr>
              <w:t xml:space="preserve">Σ( </w:t>
            </w:r>
            <w:proofErr w:type="spellStart"/>
            <w:r w:rsidRPr="73F31BAE">
              <w:rPr>
                <w:rFonts w:ascii="Arial" w:eastAsia="Arial" w:hAnsi="Arial" w:cs="Arial"/>
                <w:color w:val="000000" w:themeColor="text1"/>
              </w:rPr>
              <w:t>y</w:t>
            </w:r>
            <w:r w:rsidRPr="73F31BAE">
              <w:rPr>
                <w:rFonts w:ascii="Arial" w:eastAsia="Arial" w:hAnsi="Arial" w:cs="Arial"/>
                <w:color w:val="000000" w:themeColor="text1"/>
                <w:vertAlign w:val="subscript"/>
              </w:rPr>
              <w:t>i</w:t>
            </w:r>
            <w:proofErr w:type="spellEnd"/>
            <w:proofErr w:type="gramEnd"/>
            <w:r w:rsidRPr="73F31BAE">
              <w:rPr>
                <w:rFonts w:ascii="Arial" w:eastAsia="Arial" w:hAnsi="Arial" w:cs="Arial"/>
                <w:color w:val="000000" w:themeColor="text1"/>
              </w:rPr>
              <w:t xml:space="preserve"> - ȳ)</w:t>
            </w:r>
            <w:r w:rsidRPr="73F31BAE">
              <w:rPr>
                <w:rFonts w:ascii="Arial" w:eastAsia="Arial" w:hAnsi="Arial" w:cs="Arial"/>
                <w:color w:val="000000" w:themeColor="text1"/>
                <w:vertAlign w:val="superscript"/>
              </w:rPr>
              <w:t>2</w:t>
            </w:r>
          </w:p>
        </w:tc>
        <w:tc>
          <w:tcPr>
            <w:tcW w:w="1335" w:type="dxa"/>
            <w:vMerge/>
            <w:tcBorders>
              <w:top w:val="single" w:sz="0" w:space="0" w:color="000000" w:themeColor="text1"/>
              <w:left w:val="nil"/>
              <w:bottom w:val="single" w:sz="0" w:space="0" w:color="000000" w:themeColor="text1"/>
            </w:tcBorders>
            <w:vAlign w:val="center"/>
          </w:tcPr>
          <w:p w14:paraId="4CFF7A1D" w14:textId="77777777" w:rsidR="00912F60" w:rsidRDefault="00912F60"/>
        </w:tc>
        <w:tc>
          <w:tcPr>
            <w:tcW w:w="1335" w:type="dxa"/>
            <w:tcBorders>
              <w:top w:val="nil"/>
              <w:left w:val="nil"/>
              <w:bottom w:val="single" w:sz="12" w:space="0" w:color="000000" w:themeColor="text1"/>
              <w:right w:val="nil"/>
            </w:tcBorders>
            <w:tcMar>
              <w:left w:w="105" w:type="dxa"/>
              <w:right w:w="105" w:type="dxa"/>
            </w:tcMar>
            <w:vAlign w:val="center"/>
          </w:tcPr>
          <w:p w14:paraId="1BED53A1" w14:textId="5AF64872" w:rsidR="73F31BAE" w:rsidRDefault="73F31BAE" w:rsidP="73F31BAE">
            <w:pPr>
              <w:spacing w:line="360" w:lineRule="auto"/>
              <w:ind w:left="-20" w:right="-20"/>
              <w:jc w:val="both"/>
            </w:pPr>
            <w:r w:rsidRPr="73F31BAE">
              <w:rPr>
                <w:rFonts w:ascii="Arial" w:eastAsia="Arial" w:hAnsi="Arial" w:cs="Arial"/>
                <w:color w:val="000000" w:themeColor="text1"/>
              </w:rPr>
              <w:t>3099336.8847</w:t>
            </w:r>
          </w:p>
        </w:tc>
        <w:tc>
          <w:tcPr>
            <w:tcW w:w="1335" w:type="dxa"/>
            <w:vMerge/>
            <w:tcBorders>
              <w:top w:val="single" w:sz="0" w:space="0" w:color="000000" w:themeColor="text1"/>
              <w:left w:val="nil"/>
              <w:bottom w:val="single" w:sz="0" w:space="0" w:color="000000" w:themeColor="text1"/>
              <w:right w:val="single" w:sz="0" w:space="0" w:color="000000" w:themeColor="text1"/>
            </w:tcBorders>
            <w:vAlign w:val="center"/>
          </w:tcPr>
          <w:p w14:paraId="34E50E14" w14:textId="77777777" w:rsidR="00912F60" w:rsidRDefault="00912F60"/>
        </w:tc>
      </w:tr>
    </w:tbl>
    <w:p w14:paraId="35F93FE8" w14:textId="30F813DF" w:rsidR="73F31BAE" w:rsidRDefault="73F31BAE" w:rsidP="73F31BAE">
      <w:pPr>
        <w:jc w:val="both"/>
      </w:pPr>
    </w:p>
    <w:p w14:paraId="2637EA2B" w14:textId="69C114C9" w:rsidR="1A874BCD" w:rsidRDefault="1A874BCD" w:rsidP="73F31BAE">
      <w:pPr>
        <w:jc w:val="both"/>
        <w:rPr>
          <w:rFonts w:ascii="Calibri" w:eastAsia="Calibri" w:hAnsi="Calibri" w:cs="Calibri"/>
        </w:rPr>
      </w:pPr>
      <w:r w:rsidRPr="73F31BAE">
        <w:rPr>
          <w:rFonts w:ascii="Arial" w:eastAsia="Arial" w:hAnsi="Arial" w:cs="Arial"/>
          <w:color w:val="000000" w:themeColor="text1"/>
        </w:rPr>
        <w:t>The standard deviation of the residuals is:</w:t>
      </w:r>
      <w:r>
        <w:br/>
      </w:r>
      <w:r w:rsidRPr="73F31BAE">
        <w:rPr>
          <w:rFonts w:ascii="Calibri" w:eastAsia="Calibri" w:hAnsi="Calibri" w:cs="Calibri"/>
        </w:rPr>
        <w:t xml:space="preserve"> </w:t>
      </w:r>
      <w:r>
        <w:br/>
      </w:r>
    </w:p>
    <w:tbl>
      <w:tblPr>
        <w:tblStyle w:val="TableGrid"/>
        <w:tblW w:w="0" w:type="auto"/>
        <w:tblLayout w:type="fixed"/>
        <w:tblLook w:val="06A0" w:firstRow="1" w:lastRow="0" w:firstColumn="1" w:lastColumn="0" w:noHBand="1" w:noVBand="1"/>
      </w:tblPr>
      <w:tblGrid>
        <w:gridCol w:w="4680"/>
        <w:gridCol w:w="4680"/>
      </w:tblGrid>
      <w:tr w:rsidR="73F31BAE" w14:paraId="35E474F1" w14:textId="77777777" w:rsidTr="73F31BAE">
        <w:trPr>
          <w:trHeight w:val="300"/>
        </w:trPr>
        <w:tc>
          <w:tcPr>
            <w:tcW w:w="4680" w:type="dxa"/>
            <w:vMerge w:val="restart"/>
            <w:tcBorders>
              <w:top w:val="single" w:sz="12" w:space="0" w:color="000000" w:themeColor="text1"/>
              <w:left w:val="single" w:sz="12" w:space="0" w:color="000000" w:themeColor="text1"/>
              <w:bottom w:val="single" w:sz="12" w:space="0" w:color="000000" w:themeColor="text1"/>
              <w:right w:val="nil"/>
            </w:tcBorders>
            <w:tcMar>
              <w:left w:w="105" w:type="dxa"/>
              <w:right w:w="105" w:type="dxa"/>
            </w:tcMar>
            <w:vAlign w:val="center"/>
          </w:tcPr>
          <w:p w14:paraId="1DF4CE1D" w14:textId="2F59942C" w:rsidR="73F31BAE" w:rsidRDefault="73F31BAE" w:rsidP="73F31BAE">
            <w:pPr>
              <w:spacing w:line="360" w:lineRule="auto"/>
              <w:ind w:left="-20" w:right="-20"/>
              <w:jc w:val="both"/>
            </w:pPr>
            <w:proofErr w:type="spellStart"/>
            <w:r w:rsidRPr="73F31BAE">
              <w:rPr>
                <w:rFonts w:ascii="Arial" w:eastAsia="Arial" w:hAnsi="Arial" w:cs="Arial"/>
                <w:color w:val="000000" w:themeColor="text1"/>
              </w:rPr>
              <w:t>MS</w:t>
            </w:r>
            <w:r w:rsidRPr="73F31BAE">
              <w:rPr>
                <w:rFonts w:ascii="Arial" w:eastAsia="Arial" w:hAnsi="Arial" w:cs="Arial"/>
                <w:color w:val="000000" w:themeColor="text1"/>
                <w:vertAlign w:val="subscript"/>
              </w:rPr>
              <w:t>residual</w:t>
            </w:r>
            <w:proofErr w:type="spellEnd"/>
            <w:r w:rsidRPr="73F31BAE">
              <w:rPr>
                <w:rFonts w:ascii="Arial" w:eastAsia="Arial" w:hAnsi="Arial" w:cs="Arial"/>
                <w:color w:val="000000" w:themeColor="text1"/>
              </w:rPr>
              <w:t xml:space="preserve"> = S</w:t>
            </w:r>
            <w:r w:rsidRPr="73F31BAE">
              <w:rPr>
                <w:rFonts w:ascii="Arial" w:eastAsia="Arial" w:hAnsi="Arial" w:cs="Arial"/>
                <w:color w:val="000000" w:themeColor="text1"/>
                <w:vertAlign w:val="superscript"/>
              </w:rPr>
              <w:t>2</w:t>
            </w:r>
            <w:r w:rsidRPr="73F31BAE">
              <w:rPr>
                <w:rFonts w:ascii="Arial" w:eastAsia="Arial" w:hAnsi="Arial" w:cs="Arial"/>
                <w:color w:val="000000" w:themeColor="text1"/>
                <w:vertAlign w:val="subscript"/>
              </w:rPr>
              <w:t>res</w:t>
            </w:r>
            <w:r w:rsidRPr="73F31BAE">
              <w:rPr>
                <w:rFonts w:ascii="Arial" w:eastAsia="Arial" w:hAnsi="Arial" w:cs="Arial"/>
                <w:color w:val="000000" w:themeColor="text1"/>
              </w:rPr>
              <w:t xml:space="preserve"> =</w:t>
            </w:r>
          </w:p>
        </w:tc>
        <w:tc>
          <w:tcPr>
            <w:tcW w:w="4680" w:type="dxa"/>
            <w:tcBorders>
              <w:top w:val="single" w:sz="12" w:space="0" w:color="000000" w:themeColor="text1"/>
              <w:left w:val="nil"/>
              <w:bottom w:val="nil"/>
              <w:right w:val="single" w:sz="12" w:space="0" w:color="000000" w:themeColor="text1"/>
            </w:tcBorders>
            <w:tcMar>
              <w:left w:w="105" w:type="dxa"/>
              <w:right w:w="105" w:type="dxa"/>
            </w:tcMar>
            <w:vAlign w:val="center"/>
          </w:tcPr>
          <w:p w14:paraId="03CF2992" w14:textId="1E70C88A" w:rsidR="73F31BAE" w:rsidRDefault="73F31BAE" w:rsidP="73F31BAE">
            <w:pPr>
              <w:spacing w:line="360" w:lineRule="auto"/>
              <w:ind w:left="-20" w:right="-20"/>
              <w:jc w:val="both"/>
            </w:pPr>
            <w:proofErr w:type="gramStart"/>
            <w:r w:rsidRPr="73F31BAE">
              <w:rPr>
                <w:rFonts w:ascii="Arial" w:eastAsia="Arial" w:hAnsi="Arial" w:cs="Arial"/>
                <w:color w:val="000000" w:themeColor="text1"/>
              </w:rPr>
              <w:t xml:space="preserve">Σ( </w:t>
            </w:r>
            <w:proofErr w:type="spellStart"/>
            <w:r w:rsidRPr="73F31BAE">
              <w:rPr>
                <w:rFonts w:ascii="Arial" w:eastAsia="Arial" w:hAnsi="Arial" w:cs="Arial"/>
                <w:color w:val="000000" w:themeColor="text1"/>
              </w:rPr>
              <w:t>y</w:t>
            </w:r>
            <w:r w:rsidRPr="73F31BAE">
              <w:rPr>
                <w:rFonts w:ascii="Arial" w:eastAsia="Arial" w:hAnsi="Arial" w:cs="Arial"/>
                <w:color w:val="000000" w:themeColor="text1"/>
                <w:vertAlign w:val="subscript"/>
              </w:rPr>
              <w:t>i</w:t>
            </w:r>
            <w:proofErr w:type="spellEnd"/>
            <w:proofErr w:type="gramEnd"/>
            <w:r w:rsidRPr="73F31BAE">
              <w:rPr>
                <w:rFonts w:ascii="Arial" w:eastAsia="Arial" w:hAnsi="Arial" w:cs="Arial"/>
                <w:color w:val="000000" w:themeColor="text1"/>
              </w:rPr>
              <w:t xml:space="preserve"> - ŷ)</w:t>
            </w:r>
            <w:r w:rsidRPr="73F31BAE">
              <w:rPr>
                <w:rFonts w:ascii="Arial" w:eastAsia="Arial" w:hAnsi="Arial" w:cs="Arial"/>
                <w:color w:val="000000" w:themeColor="text1"/>
                <w:vertAlign w:val="superscript"/>
              </w:rPr>
              <w:t>2</w:t>
            </w:r>
          </w:p>
        </w:tc>
      </w:tr>
      <w:tr w:rsidR="73F31BAE" w14:paraId="16C5790D" w14:textId="77777777" w:rsidTr="73F31BAE">
        <w:trPr>
          <w:trHeight w:val="300"/>
        </w:trPr>
        <w:tc>
          <w:tcPr>
            <w:tcW w:w="4680" w:type="dxa"/>
            <w:vMerge/>
            <w:tcBorders>
              <w:top w:val="single" w:sz="0" w:space="0" w:color="000000" w:themeColor="text1"/>
              <w:left w:val="single" w:sz="0" w:space="0" w:color="000000" w:themeColor="text1"/>
              <w:bottom w:val="single" w:sz="0" w:space="0" w:color="000000" w:themeColor="text1"/>
            </w:tcBorders>
            <w:vAlign w:val="center"/>
          </w:tcPr>
          <w:p w14:paraId="50174825" w14:textId="77777777" w:rsidR="00912F60" w:rsidRDefault="00912F60"/>
        </w:tc>
        <w:tc>
          <w:tcPr>
            <w:tcW w:w="4680" w:type="dxa"/>
            <w:tcBorders>
              <w:top w:val="nil"/>
              <w:left w:val="nil"/>
              <w:bottom w:val="single" w:sz="12" w:space="0" w:color="000000" w:themeColor="text1"/>
              <w:right w:val="single" w:sz="12" w:space="0" w:color="000000" w:themeColor="text1"/>
            </w:tcBorders>
            <w:tcMar>
              <w:left w:w="105" w:type="dxa"/>
              <w:right w:w="105" w:type="dxa"/>
            </w:tcMar>
            <w:vAlign w:val="center"/>
          </w:tcPr>
          <w:p w14:paraId="4EB8C34E" w14:textId="52F754D8" w:rsidR="73F31BAE" w:rsidRDefault="73F31BAE" w:rsidP="73F31BAE">
            <w:pPr>
              <w:spacing w:line="360" w:lineRule="auto"/>
              <w:ind w:left="-20" w:right="-20"/>
              <w:jc w:val="both"/>
            </w:pPr>
            <w:r w:rsidRPr="73F31BAE">
              <w:rPr>
                <w:rFonts w:ascii="Arial" w:eastAsia="Arial" w:hAnsi="Arial" w:cs="Arial"/>
                <w:color w:val="000000" w:themeColor="text1"/>
              </w:rPr>
              <w:t>n - 2</w:t>
            </w:r>
          </w:p>
        </w:tc>
      </w:tr>
    </w:tbl>
    <w:p w14:paraId="5D58F258" w14:textId="5F74E4E2" w:rsidR="73F31BAE" w:rsidRDefault="73F31BAE" w:rsidP="73F31BAE">
      <w:pPr>
        <w:jc w:val="both"/>
      </w:pPr>
    </w:p>
    <w:p w14:paraId="4168EE7B" w14:textId="406B22C8" w:rsidR="1CA575AA" w:rsidRDefault="1CA575AA" w:rsidP="73F31BAE">
      <w:pPr>
        <w:jc w:val="both"/>
      </w:pPr>
      <w:r w:rsidRPr="73F31BAE">
        <w:rPr>
          <w:rFonts w:ascii="Arial" w:eastAsia="Arial" w:hAnsi="Arial" w:cs="Arial"/>
          <w:b/>
          <w:bCs/>
          <w:color w:val="000000" w:themeColor="text1"/>
          <w:u w:val="single"/>
        </w:rPr>
        <w:t>Residual outliers</w:t>
      </w:r>
    </w:p>
    <w:p w14:paraId="43C228D1" w14:textId="5CE12E77" w:rsidR="73F31BAE" w:rsidRDefault="73F31BAE" w:rsidP="73F31BAE">
      <w:pPr>
        <w:spacing w:line="360" w:lineRule="auto"/>
        <w:ind w:left="-7"/>
        <w:jc w:val="both"/>
      </w:pPr>
    </w:p>
    <w:p w14:paraId="781FD80A" w14:textId="2FBC7C42" w:rsidR="1CA575AA" w:rsidRDefault="1CA575AA" w:rsidP="73F31BAE">
      <w:pPr>
        <w:jc w:val="both"/>
        <w:rPr>
          <w:rFonts w:ascii="Arial" w:eastAsia="Arial" w:hAnsi="Arial" w:cs="Arial"/>
          <w:color w:val="000000" w:themeColor="text1"/>
        </w:rPr>
      </w:pPr>
      <w:proofErr w:type="spellStart"/>
      <w:r w:rsidRPr="73F31BAE">
        <w:rPr>
          <w:rFonts w:ascii="Arial" w:eastAsia="Arial" w:hAnsi="Arial" w:cs="Arial"/>
          <w:color w:val="000000" w:themeColor="text1"/>
        </w:rPr>
        <w:t>S</w:t>
      </w:r>
      <w:r w:rsidRPr="73F31BAE">
        <w:rPr>
          <w:rFonts w:ascii="Arial" w:eastAsia="Arial" w:hAnsi="Arial" w:cs="Arial"/>
          <w:color w:val="000000" w:themeColor="text1"/>
          <w:vertAlign w:val="subscript"/>
        </w:rPr>
        <w:t>res</w:t>
      </w:r>
      <w:proofErr w:type="spellEnd"/>
      <w:r w:rsidRPr="73F31BAE">
        <w:rPr>
          <w:rFonts w:ascii="Arial" w:eastAsia="Arial" w:hAnsi="Arial" w:cs="Arial"/>
          <w:color w:val="000000" w:themeColor="text1"/>
        </w:rPr>
        <w:t xml:space="preserve"> = √MSE = √341062.3029 = 584.0054.</w:t>
      </w:r>
      <w:r>
        <w:br/>
      </w:r>
      <w:r w:rsidRPr="73F31BAE">
        <w:rPr>
          <w:rFonts w:ascii="Arial" w:eastAsia="Arial" w:hAnsi="Arial" w:cs="Arial"/>
        </w:rPr>
        <w:t xml:space="preserve"> </w:t>
      </w:r>
      <w:r w:rsidRPr="73F31BAE">
        <w:rPr>
          <w:rFonts w:ascii="Arial" w:eastAsia="Arial" w:hAnsi="Arial" w:cs="Arial"/>
          <w:color w:val="000000" w:themeColor="text1"/>
        </w:rPr>
        <w:t>The average of the residuals is always zero.</w:t>
      </w:r>
      <w:r>
        <w:br/>
      </w:r>
      <w:r w:rsidRPr="73F31BAE">
        <w:rPr>
          <w:rFonts w:ascii="Arial" w:eastAsia="Arial" w:hAnsi="Arial" w:cs="Arial"/>
        </w:rPr>
        <w:t xml:space="preserve"> </w:t>
      </w:r>
      <w:r w:rsidRPr="73F31BAE">
        <w:rPr>
          <w:rFonts w:ascii="Arial" w:eastAsia="Arial" w:hAnsi="Arial" w:cs="Arial"/>
          <w:color w:val="000000" w:themeColor="text1"/>
        </w:rPr>
        <w:t>The thresholds used to calculate the outliers are:  k*</w:t>
      </w:r>
      <w:proofErr w:type="spellStart"/>
      <w:r w:rsidRPr="73F31BAE">
        <w:rPr>
          <w:rFonts w:ascii="Arial" w:eastAsia="Arial" w:hAnsi="Arial" w:cs="Arial"/>
          <w:color w:val="000000" w:themeColor="text1"/>
        </w:rPr>
        <w:t>S</w:t>
      </w:r>
      <w:r w:rsidRPr="73F31BAE">
        <w:rPr>
          <w:rFonts w:ascii="Arial" w:eastAsia="Arial" w:hAnsi="Arial" w:cs="Arial"/>
          <w:color w:val="000000" w:themeColor="text1"/>
          <w:vertAlign w:val="subscript"/>
        </w:rPr>
        <w:t>res</w:t>
      </w:r>
      <w:proofErr w:type="spellEnd"/>
      <w:r w:rsidRPr="73F31BAE">
        <w:rPr>
          <w:rFonts w:ascii="Arial" w:eastAsia="Arial" w:hAnsi="Arial" w:cs="Arial"/>
          <w:color w:val="000000" w:themeColor="text1"/>
        </w:rPr>
        <w:t>.</w:t>
      </w:r>
      <w:r>
        <w:br/>
      </w:r>
      <w:r w:rsidRPr="73F31BAE">
        <w:rPr>
          <w:rFonts w:ascii="Arial" w:eastAsia="Arial" w:hAnsi="Arial" w:cs="Arial"/>
        </w:rPr>
        <w:t xml:space="preserve"> </w:t>
      </w:r>
      <w:r w:rsidRPr="73F31BAE">
        <w:rPr>
          <w:rFonts w:ascii="Arial" w:eastAsia="Arial" w:hAnsi="Arial" w:cs="Arial"/>
          <w:color w:val="000000" w:themeColor="text1"/>
        </w:rPr>
        <w:t xml:space="preserve">In this case, the thresholds </w:t>
      </w:r>
      <w:r w:rsidR="472C112C" w:rsidRPr="73F31BAE">
        <w:rPr>
          <w:rFonts w:ascii="Arial" w:eastAsia="Arial" w:hAnsi="Arial" w:cs="Arial"/>
          <w:color w:val="000000" w:themeColor="text1"/>
        </w:rPr>
        <w:t>are 3</w:t>
      </w:r>
      <w:r w:rsidRPr="73F31BAE">
        <w:rPr>
          <w:rFonts w:ascii="Arial" w:eastAsia="Arial" w:hAnsi="Arial" w:cs="Arial"/>
          <w:color w:val="000000" w:themeColor="text1"/>
        </w:rPr>
        <w:t xml:space="preserve">*584.0054 </w:t>
      </w:r>
      <w:r w:rsidR="19FEE1B3" w:rsidRPr="73F31BAE">
        <w:rPr>
          <w:rFonts w:ascii="Arial" w:eastAsia="Arial" w:hAnsi="Arial" w:cs="Arial"/>
          <w:color w:val="000000" w:themeColor="text1"/>
        </w:rPr>
        <w:t>= 1752.0162.</w:t>
      </w:r>
    </w:p>
    <w:p w14:paraId="23CF17BA" w14:textId="438FF29F" w:rsidR="1CA575AA" w:rsidRDefault="1CA575AA" w:rsidP="73F31BAE">
      <w:pPr>
        <w:jc w:val="both"/>
        <w:rPr>
          <w:rFonts w:ascii="Arial" w:eastAsia="Arial" w:hAnsi="Arial" w:cs="Arial"/>
        </w:rPr>
      </w:pPr>
      <w:proofErr w:type="spellStart"/>
      <w:r w:rsidRPr="73F31BAE">
        <w:rPr>
          <w:rFonts w:ascii="Arial" w:eastAsia="Arial" w:hAnsi="Arial" w:cs="Arial"/>
          <w:b/>
          <w:bCs/>
          <w:color w:val="000000" w:themeColor="text1"/>
          <w:u w:val="single"/>
        </w:rPr>
        <w:t>SS</w:t>
      </w:r>
      <w:r w:rsidRPr="73F31BAE">
        <w:rPr>
          <w:rFonts w:ascii="Arial" w:eastAsia="Arial" w:hAnsi="Arial" w:cs="Arial"/>
          <w:b/>
          <w:bCs/>
          <w:color w:val="000000" w:themeColor="text1"/>
          <w:u w:val="single"/>
          <w:vertAlign w:val="subscript"/>
        </w:rPr>
        <w:t>x</w:t>
      </w:r>
      <w:proofErr w:type="spellEnd"/>
      <w:r w:rsidRPr="73F31BAE">
        <w:rPr>
          <w:rFonts w:ascii="Arial" w:eastAsia="Arial" w:hAnsi="Arial" w:cs="Arial"/>
          <w:b/>
          <w:bCs/>
          <w:color w:val="000000" w:themeColor="text1"/>
          <w:u w:val="single"/>
        </w:rPr>
        <w:t xml:space="preserve"> and </w:t>
      </w:r>
      <w:proofErr w:type="spellStart"/>
      <w:r w:rsidRPr="73F31BAE">
        <w:rPr>
          <w:rFonts w:ascii="Arial" w:eastAsia="Arial" w:hAnsi="Arial" w:cs="Arial"/>
          <w:b/>
          <w:bCs/>
          <w:color w:val="000000" w:themeColor="text1"/>
          <w:u w:val="single"/>
        </w:rPr>
        <w:t>SP</w:t>
      </w:r>
      <w:r w:rsidRPr="73F31BAE">
        <w:rPr>
          <w:rFonts w:ascii="Arial" w:eastAsia="Arial" w:hAnsi="Arial" w:cs="Arial"/>
          <w:b/>
          <w:bCs/>
          <w:color w:val="000000" w:themeColor="text1"/>
          <w:u w:val="single"/>
          <w:vertAlign w:val="subscript"/>
        </w:rPr>
        <w:t>xy</w:t>
      </w:r>
      <w:proofErr w:type="spellEnd"/>
    </w:p>
    <w:tbl>
      <w:tblPr>
        <w:tblStyle w:val="TableGrid"/>
        <w:tblW w:w="0" w:type="auto"/>
        <w:tblLayout w:type="fixed"/>
        <w:tblLook w:val="06A0" w:firstRow="1" w:lastRow="0" w:firstColumn="1" w:lastColumn="0" w:noHBand="1" w:noVBand="1"/>
      </w:tblPr>
      <w:tblGrid>
        <w:gridCol w:w="2340"/>
        <w:gridCol w:w="2340"/>
        <w:gridCol w:w="2340"/>
        <w:gridCol w:w="2340"/>
      </w:tblGrid>
      <w:tr w:rsidR="73F31BAE" w14:paraId="196F0DD3" w14:textId="77777777" w:rsidTr="73F31BAE">
        <w:trPr>
          <w:trHeight w:val="300"/>
        </w:trPr>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5" w:type="dxa"/>
              <w:right w:w="105" w:type="dxa"/>
            </w:tcMar>
            <w:vAlign w:val="center"/>
          </w:tcPr>
          <w:p w14:paraId="3E17AF5B" w14:textId="512427D1" w:rsidR="73F31BAE" w:rsidRDefault="73F31BAE" w:rsidP="73F31BAE">
            <w:pPr>
              <w:spacing w:line="360" w:lineRule="auto"/>
              <w:ind w:left="-20" w:right="-20"/>
              <w:jc w:val="both"/>
            </w:pPr>
            <w:r w:rsidRPr="73F31BAE">
              <w:rPr>
                <w:rFonts w:ascii="Arial" w:eastAsia="Arial" w:hAnsi="Arial" w:cs="Arial"/>
                <w:b/>
                <w:bCs/>
                <w:color w:val="000000" w:themeColor="text1"/>
              </w:rPr>
              <w:t>x-x̄</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5" w:type="dxa"/>
              <w:right w:w="105" w:type="dxa"/>
            </w:tcMar>
            <w:vAlign w:val="center"/>
          </w:tcPr>
          <w:p w14:paraId="3829A838" w14:textId="244BFABE" w:rsidR="73F31BAE" w:rsidRDefault="73F31BAE" w:rsidP="73F31BAE">
            <w:pPr>
              <w:spacing w:line="360" w:lineRule="auto"/>
              <w:ind w:left="-20" w:right="-20"/>
              <w:jc w:val="both"/>
            </w:pPr>
            <w:r w:rsidRPr="73F31BAE">
              <w:rPr>
                <w:rFonts w:ascii="Arial" w:eastAsia="Arial" w:hAnsi="Arial" w:cs="Arial"/>
                <w:b/>
                <w:bCs/>
                <w:color w:val="000000" w:themeColor="text1"/>
              </w:rPr>
              <w:t>y-ȳ</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5" w:type="dxa"/>
              <w:right w:w="105" w:type="dxa"/>
            </w:tcMar>
            <w:vAlign w:val="center"/>
          </w:tcPr>
          <w:p w14:paraId="3B534334" w14:textId="486552CD" w:rsidR="73F31BAE" w:rsidRDefault="73F31BAE" w:rsidP="73F31BAE">
            <w:pPr>
              <w:spacing w:line="360" w:lineRule="auto"/>
              <w:ind w:left="-20" w:right="-20"/>
              <w:jc w:val="both"/>
            </w:pPr>
            <w:r w:rsidRPr="73F31BAE">
              <w:rPr>
                <w:rFonts w:ascii="Arial" w:eastAsia="Arial" w:hAnsi="Arial" w:cs="Arial"/>
                <w:b/>
                <w:bCs/>
                <w:color w:val="000000" w:themeColor="text1"/>
              </w:rPr>
              <w:t>(x-x̄)</w:t>
            </w:r>
            <w:r w:rsidRPr="73F31BAE">
              <w:rPr>
                <w:rFonts w:ascii="Arial" w:eastAsia="Arial" w:hAnsi="Arial" w:cs="Arial"/>
                <w:b/>
                <w:bCs/>
                <w:color w:val="000000" w:themeColor="text1"/>
                <w:vertAlign w:val="superscript"/>
              </w:rPr>
              <w:t>2</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5" w:type="dxa"/>
              <w:right w:w="105" w:type="dxa"/>
            </w:tcMar>
            <w:vAlign w:val="center"/>
          </w:tcPr>
          <w:p w14:paraId="2C62D50D" w14:textId="79D54E00" w:rsidR="73F31BAE" w:rsidRDefault="73F31BAE" w:rsidP="73F31BAE">
            <w:pPr>
              <w:spacing w:line="360" w:lineRule="auto"/>
              <w:ind w:left="-20" w:right="-20"/>
              <w:jc w:val="both"/>
            </w:pPr>
            <w:r w:rsidRPr="73F31BAE">
              <w:rPr>
                <w:rFonts w:ascii="Arial" w:eastAsia="Arial" w:hAnsi="Arial" w:cs="Arial"/>
                <w:b/>
                <w:bCs/>
                <w:color w:val="000000" w:themeColor="text1"/>
              </w:rPr>
              <w:t>(x-x̄) (y-ȳ)</w:t>
            </w:r>
          </w:p>
        </w:tc>
      </w:tr>
      <w:tr w:rsidR="73F31BAE" w14:paraId="7D8FFC8B" w14:textId="77777777" w:rsidTr="73F31BAE">
        <w:trPr>
          <w:trHeight w:val="300"/>
        </w:trPr>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5" w:type="dxa"/>
              <w:right w:w="105" w:type="dxa"/>
            </w:tcMar>
            <w:vAlign w:val="center"/>
          </w:tcPr>
          <w:p w14:paraId="42BD8196" w14:textId="7C3586C7" w:rsidR="73F31BAE" w:rsidRDefault="73F31BAE" w:rsidP="73F31BAE">
            <w:pPr>
              <w:spacing w:line="360" w:lineRule="auto"/>
              <w:ind w:left="-20" w:right="-20"/>
              <w:jc w:val="both"/>
            </w:pPr>
            <w:r w:rsidRPr="73F31BAE">
              <w:rPr>
                <w:rFonts w:ascii="Arial" w:eastAsia="Arial" w:hAnsi="Arial" w:cs="Arial"/>
                <w:color w:val="000000" w:themeColor="text1"/>
              </w:rPr>
              <w:lastRenderedPageBreak/>
              <w:t xml:space="preserve">2.8545 </w:t>
            </w:r>
          </w:p>
          <w:p w14:paraId="40CF40FA" w14:textId="688F3E98" w:rsidR="73F31BAE" w:rsidRDefault="73F31BAE" w:rsidP="73F31BAE">
            <w:pPr>
              <w:spacing w:line="360" w:lineRule="auto"/>
              <w:ind w:left="-20" w:right="-20"/>
              <w:jc w:val="both"/>
            </w:pPr>
            <w:r w:rsidRPr="73F31BAE">
              <w:rPr>
                <w:rFonts w:ascii="Arial" w:eastAsia="Arial" w:hAnsi="Arial" w:cs="Arial"/>
                <w:color w:val="000000" w:themeColor="text1"/>
              </w:rPr>
              <w:t xml:space="preserve">3.3545 </w:t>
            </w:r>
          </w:p>
          <w:p w14:paraId="0CCA0DF3" w14:textId="1F945538" w:rsidR="73F31BAE" w:rsidRDefault="73F31BAE" w:rsidP="73F31BAE">
            <w:pPr>
              <w:spacing w:line="360" w:lineRule="auto"/>
              <w:ind w:left="-20" w:right="-20"/>
              <w:jc w:val="both"/>
            </w:pPr>
            <w:r w:rsidRPr="73F31BAE">
              <w:rPr>
                <w:rFonts w:ascii="Arial" w:eastAsia="Arial" w:hAnsi="Arial" w:cs="Arial"/>
                <w:color w:val="000000" w:themeColor="text1"/>
              </w:rPr>
              <w:t xml:space="preserve">-0.1455 </w:t>
            </w:r>
          </w:p>
          <w:p w14:paraId="5568733E" w14:textId="4633A3F1" w:rsidR="73F31BAE" w:rsidRDefault="73F31BAE" w:rsidP="73F31BAE">
            <w:pPr>
              <w:spacing w:line="360" w:lineRule="auto"/>
              <w:ind w:left="-20" w:right="-20"/>
              <w:jc w:val="both"/>
            </w:pPr>
            <w:r w:rsidRPr="73F31BAE">
              <w:rPr>
                <w:rFonts w:ascii="Arial" w:eastAsia="Arial" w:hAnsi="Arial" w:cs="Arial"/>
                <w:color w:val="000000" w:themeColor="text1"/>
              </w:rPr>
              <w:t xml:space="preserve">-1.6455 </w:t>
            </w:r>
          </w:p>
          <w:p w14:paraId="7217104B" w14:textId="01AE34D8" w:rsidR="73F31BAE" w:rsidRDefault="73F31BAE" w:rsidP="73F31BAE">
            <w:pPr>
              <w:spacing w:line="360" w:lineRule="auto"/>
              <w:ind w:left="-20" w:right="-20"/>
              <w:jc w:val="both"/>
            </w:pPr>
            <w:r w:rsidRPr="73F31BAE">
              <w:rPr>
                <w:rFonts w:ascii="Arial" w:eastAsia="Arial" w:hAnsi="Arial" w:cs="Arial"/>
                <w:color w:val="000000" w:themeColor="text1"/>
              </w:rPr>
              <w:t xml:space="preserve">-1.8955 </w:t>
            </w:r>
          </w:p>
          <w:p w14:paraId="398AC342" w14:textId="3937AED2" w:rsidR="73F31BAE" w:rsidRDefault="73F31BAE" w:rsidP="73F31BAE">
            <w:pPr>
              <w:spacing w:line="360" w:lineRule="auto"/>
              <w:ind w:left="-20" w:right="-20"/>
              <w:jc w:val="both"/>
            </w:pPr>
            <w:r w:rsidRPr="73F31BAE">
              <w:rPr>
                <w:rFonts w:ascii="Arial" w:eastAsia="Arial" w:hAnsi="Arial" w:cs="Arial"/>
                <w:color w:val="000000" w:themeColor="text1"/>
              </w:rPr>
              <w:t xml:space="preserve">-1.6455 </w:t>
            </w:r>
          </w:p>
          <w:p w14:paraId="589D4E2D" w14:textId="5441C4DC" w:rsidR="73F31BAE" w:rsidRDefault="73F31BAE" w:rsidP="73F31BAE">
            <w:pPr>
              <w:spacing w:line="360" w:lineRule="auto"/>
              <w:ind w:left="-20" w:right="-20"/>
              <w:jc w:val="both"/>
            </w:pPr>
            <w:r w:rsidRPr="73F31BAE">
              <w:rPr>
                <w:rFonts w:ascii="Arial" w:eastAsia="Arial" w:hAnsi="Arial" w:cs="Arial"/>
                <w:color w:val="000000" w:themeColor="text1"/>
              </w:rPr>
              <w:t xml:space="preserve">-1.3955 </w:t>
            </w:r>
          </w:p>
          <w:p w14:paraId="088FD0F1" w14:textId="064B9C02" w:rsidR="73F31BAE" w:rsidRDefault="73F31BAE" w:rsidP="73F31BAE">
            <w:pPr>
              <w:spacing w:line="360" w:lineRule="auto"/>
              <w:ind w:left="-20" w:right="-20"/>
              <w:jc w:val="both"/>
            </w:pPr>
            <w:r w:rsidRPr="73F31BAE">
              <w:rPr>
                <w:rFonts w:ascii="Arial" w:eastAsia="Arial" w:hAnsi="Arial" w:cs="Arial"/>
                <w:color w:val="000000" w:themeColor="text1"/>
              </w:rPr>
              <w:t xml:space="preserve">-2.0455 </w:t>
            </w:r>
          </w:p>
          <w:p w14:paraId="32589DB1" w14:textId="55933A9F" w:rsidR="73F31BAE" w:rsidRDefault="73F31BAE" w:rsidP="73F31BAE">
            <w:pPr>
              <w:spacing w:line="360" w:lineRule="auto"/>
              <w:ind w:left="-20" w:right="-20"/>
              <w:jc w:val="both"/>
            </w:pPr>
            <w:r w:rsidRPr="73F31BAE">
              <w:rPr>
                <w:rFonts w:ascii="Arial" w:eastAsia="Arial" w:hAnsi="Arial" w:cs="Arial"/>
                <w:color w:val="000000" w:themeColor="text1"/>
              </w:rPr>
              <w:t xml:space="preserve">-1.8955 </w:t>
            </w:r>
          </w:p>
          <w:p w14:paraId="589499CD" w14:textId="1E3749DC" w:rsidR="73F31BAE" w:rsidRDefault="73F31BAE" w:rsidP="73F31BAE">
            <w:pPr>
              <w:spacing w:line="360" w:lineRule="auto"/>
              <w:ind w:left="-20" w:right="-20"/>
              <w:jc w:val="both"/>
            </w:pPr>
            <w:r w:rsidRPr="73F31BAE">
              <w:rPr>
                <w:rFonts w:ascii="Arial" w:eastAsia="Arial" w:hAnsi="Arial" w:cs="Arial"/>
                <w:color w:val="000000" w:themeColor="text1"/>
              </w:rPr>
              <w:t xml:space="preserve">1.3545 </w:t>
            </w:r>
          </w:p>
          <w:p w14:paraId="2BF1E6E0" w14:textId="22F625CA" w:rsidR="73F31BAE" w:rsidRDefault="73F31BAE" w:rsidP="73F31BAE">
            <w:pPr>
              <w:spacing w:line="360" w:lineRule="auto"/>
              <w:ind w:left="-20" w:right="-20"/>
              <w:jc w:val="both"/>
            </w:pPr>
            <w:r w:rsidRPr="73F31BAE">
              <w:rPr>
                <w:rFonts w:ascii="Arial" w:eastAsia="Arial" w:hAnsi="Arial" w:cs="Arial"/>
                <w:color w:val="000000" w:themeColor="text1"/>
              </w:rPr>
              <w:t xml:space="preserve">3.1045 </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5" w:type="dxa"/>
              <w:right w:w="105" w:type="dxa"/>
            </w:tcMar>
            <w:vAlign w:val="center"/>
          </w:tcPr>
          <w:p w14:paraId="094EDC8C" w14:textId="54A38056" w:rsidR="73F31BAE" w:rsidRDefault="73F31BAE" w:rsidP="73F31BAE">
            <w:pPr>
              <w:spacing w:line="360" w:lineRule="auto"/>
              <w:ind w:left="-20" w:right="-20"/>
              <w:jc w:val="both"/>
            </w:pPr>
            <w:r w:rsidRPr="73F31BAE">
              <w:rPr>
                <w:rFonts w:ascii="Arial" w:eastAsia="Arial" w:hAnsi="Arial" w:cs="Arial"/>
                <w:color w:val="000000" w:themeColor="text1"/>
              </w:rPr>
              <w:t xml:space="preserve">-340.7945 </w:t>
            </w:r>
          </w:p>
          <w:p w14:paraId="2FD532A5" w14:textId="09F205C3" w:rsidR="73F31BAE" w:rsidRDefault="73F31BAE" w:rsidP="73F31BAE">
            <w:pPr>
              <w:spacing w:line="360" w:lineRule="auto"/>
              <w:ind w:left="-20" w:right="-20"/>
              <w:jc w:val="both"/>
            </w:pPr>
            <w:r w:rsidRPr="73F31BAE">
              <w:rPr>
                <w:rFonts w:ascii="Arial" w:eastAsia="Arial" w:hAnsi="Arial" w:cs="Arial"/>
                <w:color w:val="000000" w:themeColor="text1"/>
              </w:rPr>
              <w:t xml:space="preserve">-523.7945 </w:t>
            </w:r>
          </w:p>
          <w:p w14:paraId="2EB07BA8" w14:textId="2C70C5F3" w:rsidR="73F31BAE" w:rsidRDefault="73F31BAE" w:rsidP="73F31BAE">
            <w:pPr>
              <w:spacing w:line="360" w:lineRule="auto"/>
              <w:ind w:left="-20" w:right="-20"/>
              <w:jc w:val="both"/>
            </w:pPr>
            <w:r w:rsidRPr="73F31BAE">
              <w:rPr>
                <w:rFonts w:ascii="Arial" w:eastAsia="Arial" w:hAnsi="Arial" w:cs="Arial"/>
                <w:color w:val="000000" w:themeColor="text1"/>
              </w:rPr>
              <w:t xml:space="preserve">-847.5445 </w:t>
            </w:r>
          </w:p>
          <w:p w14:paraId="77AD4597" w14:textId="5A16D951" w:rsidR="73F31BAE" w:rsidRDefault="73F31BAE" w:rsidP="73F31BAE">
            <w:pPr>
              <w:spacing w:line="360" w:lineRule="auto"/>
              <w:ind w:left="-20" w:right="-20"/>
              <w:jc w:val="both"/>
            </w:pPr>
            <w:r w:rsidRPr="73F31BAE">
              <w:rPr>
                <w:rFonts w:ascii="Arial" w:eastAsia="Arial" w:hAnsi="Arial" w:cs="Arial"/>
                <w:color w:val="000000" w:themeColor="text1"/>
              </w:rPr>
              <w:t xml:space="preserve">52.9455 </w:t>
            </w:r>
          </w:p>
          <w:p w14:paraId="44E78636" w14:textId="50404BBF" w:rsidR="73F31BAE" w:rsidRDefault="73F31BAE" w:rsidP="73F31BAE">
            <w:pPr>
              <w:spacing w:line="360" w:lineRule="auto"/>
              <w:ind w:left="-20" w:right="-20"/>
              <w:jc w:val="both"/>
            </w:pPr>
            <w:r w:rsidRPr="73F31BAE">
              <w:rPr>
                <w:rFonts w:ascii="Arial" w:eastAsia="Arial" w:hAnsi="Arial" w:cs="Arial"/>
                <w:color w:val="000000" w:themeColor="text1"/>
              </w:rPr>
              <w:t xml:space="preserve">597.8855 </w:t>
            </w:r>
          </w:p>
          <w:p w14:paraId="021A352B" w14:textId="19BF59EB" w:rsidR="73F31BAE" w:rsidRDefault="73F31BAE" w:rsidP="73F31BAE">
            <w:pPr>
              <w:spacing w:line="360" w:lineRule="auto"/>
              <w:ind w:left="-20" w:right="-20"/>
              <w:jc w:val="both"/>
            </w:pPr>
            <w:r w:rsidRPr="73F31BAE">
              <w:rPr>
                <w:rFonts w:ascii="Arial" w:eastAsia="Arial" w:hAnsi="Arial" w:cs="Arial"/>
                <w:color w:val="000000" w:themeColor="text1"/>
              </w:rPr>
              <w:t xml:space="preserve">-361.7545 </w:t>
            </w:r>
          </w:p>
          <w:p w14:paraId="2A2CD4C2" w14:textId="2126CCE4" w:rsidR="73F31BAE" w:rsidRDefault="73F31BAE" w:rsidP="73F31BAE">
            <w:pPr>
              <w:spacing w:line="360" w:lineRule="auto"/>
              <w:ind w:left="-20" w:right="-20"/>
              <w:jc w:val="both"/>
            </w:pPr>
            <w:r w:rsidRPr="73F31BAE">
              <w:rPr>
                <w:rFonts w:ascii="Arial" w:eastAsia="Arial" w:hAnsi="Arial" w:cs="Arial"/>
                <w:color w:val="000000" w:themeColor="text1"/>
              </w:rPr>
              <w:t xml:space="preserve">452.5555 </w:t>
            </w:r>
          </w:p>
          <w:p w14:paraId="72FBAE73" w14:textId="084EF07B" w:rsidR="73F31BAE" w:rsidRDefault="73F31BAE" w:rsidP="73F31BAE">
            <w:pPr>
              <w:spacing w:line="360" w:lineRule="auto"/>
              <w:ind w:left="-20" w:right="-20"/>
              <w:jc w:val="both"/>
            </w:pPr>
            <w:r w:rsidRPr="73F31BAE">
              <w:rPr>
                <w:rFonts w:ascii="Arial" w:eastAsia="Arial" w:hAnsi="Arial" w:cs="Arial"/>
                <w:color w:val="000000" w:themeColor="text1"/>
              </w:rPr>
              <w:t xml:space="preserve">-629.3645 </w:t>
            </w:r>
          </w:p>
          <w:p w14:paraId="77CC2135" w14:textId="718CB4E9" w:rsidR="73F31BAE" w:rsidRDefault="73F31BAE" w:rsidP="73F31BAE">
            <w:pPr>
              <w:spacing w:line="360" w:lineRule="auto"/>
              <w:ind w:left="-20" w:right="-20"/>
              <w:jc w:val="both"/>
            </w:pPr>
            <w:r w:rsidRPr="73F31BAE">
              <w:rPr>
                <w:rFonts w:ascii="Arial" w:eastAsia="Arial" w:hAnsi="Arial" w:cs="Arial"/>
                <w:color w:val="000000" w:themeColor="text1"/>
              </w:rPr>
              <w:t xml:space="preserve">594.6555 </w:t>
            </w:r>
          </w:p>
          <w:p w14:paraId="1B0242D3" w14:textId="61A40C79" w:rsidR="73F31BAE" w:rsidRDefault="73F31BAE" w:rsidP="73F31BAE">
            <w:pPr>
              <w:spacing w:line="360" w:lineRule="auto"/>
              <w:ind w:left="-20" w:right="-20"/>
              <w:jc w:val="both"/>
            </w:pPr>
            <w:r w:rsidRPr="73F31BAE">
              <w:rPr>
                <w:rFonts w:ascii="Arial" w:eastAsia="Arial" w:hAnsi="Arial" w:cs="Arial"/>
                <w:color w:val="000000" w:themeColor="text1"/>
              </w:rPr>
              <w:t xml:space="preserve">361.8555 </w:t>
            </w:r>
          </w:p>
          <w:p w14:paraId="287CFECE" w14:textId="2128B8D4" w:rsidR="73F31BAE" w:rsidRDefault="73F31BAE" w:rsidP="73F31BAE">
            <w:pPr>
              <w:spacing w:line="360" w:lineRule="auto"/>
              <w:ind w:left="-20" w:right="-20"/>
              <w:jc w:val="both"/>
            </w:pPr>
            <w:r w:rsidRPr="73F31BAE">
              <w:rPr>
                <w:rFonts w:ascii="Arial" w:eastAsia="Arial" w:hAnsi="Arial" w:cs="Arial"/>
                <w:color w:val="000000" w:themeColor="text1"/>
              </w:rPr>
              <w:t xml:space="preserve">643.3555 </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5" w:type="dxa"/>
              <w:right w:w="105" w:type="dxa"/>
            </w:tcMar>
            <w:vAlign w:val="center"/>
          </w:tcPr>
          <w:p w14:paraId="293F8105" w14:textId="187B5736" w:rsidR="73F31BAE" w:rsidRDefault="73F31BAE" w:rsidP="73F31BAE">
            <w:pPr>
              <w:spacing w:line="360" w:lineRule="auto"/>
              <w:ind w:left="-20" w:right="-20"/>
              <w:jc w:val="both"/>
            </w:pPr>
            <w:r w:rsidRPr="73F31BAE">
              <w:rPr>
                <w:rFonts w:ascii="Arial" w:eastAsia="Arial" w:hAnsi="Arial" w:cs="Arial"/>
                <w:color w:val="000000" w:themeColor="text1"/>
              </w:rPr>
              <w:t xml:space="preserve">8.1484 </w:t>
            </w:r>
          </w:p>
          <w:p w14:paraId="286237E5" w14:textId="1EC04C32" w:rsidR="73F31BAE" w:rsidRDefault="73F31BAE" w:rsidP="73F31BAE">
            <w:pPr>
              <w:spacing w:line="360" w:lineRule="auto"/>
              <w:ind w:left="-20" w:right="-20"/>
              <w:jc w:val="both"/>
            </w:pPr>
            <w:r w:rsidRPr="73F31BAE">
              <w:rPr>
                <w:rFonts w:ascii="Arial" w:eastAsia="Arial" w:hAnsi="Arial" w:cs="Arial"/>
                <w:color w:val="000000" w:themeColor="text1"/>
              </w:rPr>
              <w:t xml:space="preserve">11.253 </w:t>
            </w:r>
          </w:p>
          <w:p w14:paraId="1F165E82" w14:textId="53574CAB" w:rsidR="73F31BAE" w:rsidRDefault="73F31BAE" w:rsidP="73F31BAE">
            <w:pPr>
              <w:spacing w:line="360" w:lineRule="auto"/>
              <w:ind w:left="-20" w:right="-20"/>
              <w:jc w:val="both"/>
            </w:pPr>
            <w:r w:rsidRPr="73F31BAE">
              <w:rPr>
                <w:rFonts w:ascii="Arial" w:eastAsia="Arial" w:hAnsi="Arial" w:cs="Arial"/>
                <w:color w:val="000000" w:themeColor="text1"/>
              </w:rPr>
              <w:t xml:space="preserve">0.02116 </w:t>
            </w:r>
          </w:p>
          <w:p w14:paraId="399716F8" w14:textId="0EEF0F3A" w:rsidR="73F31BAE" w:rsidRDefault="73F31BAE" w:rsidP="73F31BAE">
            <w:pPr>
              <w:spacing w:line="360" w:lineRule="auto"/>
              <w:ind w:left="-20" w:right="-20"/>
              <w:jc w:val="both"/>
            </w:pPr>
            <w:r w:rsidRPr="73F31BAE">
              <w:rPr>
                <w:rFonts w:ascii="Arial" w:eastAsia="Arial" w:hAnsi="Arial" w:cs="Arial"/>
                <w:color w:val="000000" w:themeColor="text1"/>
              </w:rPr>
              <w:t xml:space="preserve">2.7075 </w:t>
            </w:r>
          </w:p>
          <w:p w14:paraId="604C45FF" w14:textId="09AF71C3" w:rsidR="73F31BAE" w:rsidRDefault="73F31BAE" w:rsidP="73F31BAE">
            <w:pPr>
              <w:spacing w:line="360" w:lineRule="auto"/>
              <w:ind w:left="-20" w:right="-20"/>
              <w:jc w:val="both"/>
            </w:pPr>
            <w:r w:rsidRPr="73F31BAE">
              <w:rPr>
                <w:rFonts w:ascii="Arial" w:eastAsia="Arial" w:hAnsi="Arial" w:cs="Arial"/>
                <w:color w:val="000000" w:themeColor="text1"/>
              </w:rPr>
              <w:t xml:space="preserve">3.5927 </w:t>
            </w:r>
          </w:p>
          <w:p w14:paraId="43D430B9" w14:textId="5A4DC0F1" w:rsidR="73F31BAE" w:rsidRDefault="73F31BAE" w:rsidP="73F31BAE">
            <w:pPr>
              <w:spacing w:line="360" w:lineRule="auto"/>
              <w:ind w:left="-20" w:right="-20"/>
              <w:jc w:val="both"/>
            </w:pPr>
            <w:r w:rsidRPr="73F31BAE">
              <w:rPr>
                <w:rFonts w:ascii="Arial" w:eastAsia="Arial" w:hAnsi="Arial" w:cs="Arial"/>
                <w:color w:val="000000" w:themeColor="text1"/>
              </w:rPr>
              <w:t xml:space="preserve">2.7075 </w:t>
            </w:r>
          </w:p>
          <w:p w14:paraId="2FD1648A" w14:textId="3DAA653E" w:rsidR="73F31BAE" w:rsidRDefault="73F31BAE" w:rsidP="73F31BAE">
            <w:pPr>
              <w:spacing w:line="360" w:lineRule="auto"/>
              <w:ind w:left="-20" w:right="-20"/>
              <w:jc w:val="both"/>
            </w:pPr>
            <w:r w:rsidRPr="73F31BAE">
              <w:rPr>
                <w:rFonts w:ascii="Arial" w:eastAsia="Arial" w:hAnsi="Arial" w:cs="Arial"/>
                <w:color w:val="000000" w:themeColor="text1"/>
              </w:rPr>
              <w:t xml:space="preserve">1.9473 </w:t>
            </w:r>
          </w:p>
          <w:p w14:paraId="65C0FFB2" w14:textId="3A4C860A" w:rsidR="73F31BAE" w:rsidRDefault="73F31BAE" w:rsidP="73F31BAE">
            <w:pPr>
              <w:spacing w:line="360" w:lineRule="auto"/>
              <w:ind w:left="-20" w:right="-20"/>
              <w:jc w:val="both"/>
            </w:pPr>
            <w:r w:rsidRPr="73F31BAE">
              <w:rPr>
                <w:rFonts w:ascii="Arial" w:eastAsia="Arial" w:hAnsi="Arial" w:cs="Arial"/>
                <w:color w:val="000000" w:themeColor="text1"/>
              </w:rPr>
              <w:t xml:space="preserve">4.1839 </w:t>
            </w:r>
          </w:p>
          <w:p w14:paraId="198834F3" w14:textId="2B3A5C02" w:rsidR="73F31BAE" w:rsidRDefault="73F31BAE" w:rsidP="73F31BAE">
            <w:pPr>
              <w:spacing w:line="360" w:lineRule="auto"/>
              <w:ind w:left="-20" w:right="-20"/>
              <w:jc w:val="both"/>
            </w:pPr>
            <w:r w:rsidRPr="73F31BAE">
              <w:rPr>
                <w:rFonts w:ascii="Arial" w:eastAsia="Arial" w:hAnsi="Arial" w:cs="Arial"/>
                <w:color w:val="000000" w:themeColor="text1"/>
              </w:rPr>
              <w:t xml:space="preserve">3.5927 </w:t>
            </w:r>
          </w:p>
          <w:p w14:paraId="2D3030E2" w14:textId="10E345E4" w:rsidR="73F31BAE" w:rsidRDefault="73F31BAE" w:rsidP="73F31BAE">
            <w:pPr>
              <w:spacing w:line="360" w:lineRule="auto"/>
              <w:ind w:left="-20" w:right="-20"/>
              <w:jc w:val="both"/>
            </w:pPr>
            <w:r w:rsidRPr="73F31BAE">
              <w:rPr>
                <w:rFonts w:ascii="Arial" w:eastAsia="Arial" w:hAnsi="Arial" w:cs="Arial"/>
                <w:color w:val="000000" w:themeColor="text1"/>
              </w:rPr>
              <w:t xml:space="preserve">1.8348 </w:t>
            </w:r>
          </w:p>
          <w:p w14:paraId="5D224C37" w14:textId="081CE0B7" w:rsidR="73F31BAE" w:rsidRDefault="73F31BAE" w:rsidP="73F31BAE">
            <w:pPr>
              <w:spacing w:line="360" w:lineRule="auto"/>
              <w:ind w:left="-20" w:right="-20"/>
              <w:jc w:val="both"/>
            </w:pPr>
            <w:r w:rsidRPr="73F31BAE">
              <w:rPr>
                <w:rFonts w:ascii="Arial" w:eastAsia="Arial" w:hAnsi="Arial" w:cs="Arial"/>
                <w:color w:val="000000" w:themeColor="text1"/>
              </w:rPr>
              <w:t xml:space="preserve">9.6382 </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5" w:type="dxa"/>
              <w:right w:w="105" w:type="dxa"/>
            </w:tcMar>
            <w:vAlign w:val="center"/>
          </w:tcPr>
          <w:p w14:paraId="335123BE" w14:textId="7807EF33" w:rsidR="73F31BAE" w:rsidRDefault="73F31BAE" w:rsidP="73F31BAE">
            <w:pPr>
              <w:spacing w:line="360" w:lineRule="auto"/>
              <w:ind w:left="-20" w:right="-20"/>
              <w:jc w:val="both"/>
            </w:pPr>
            <w:r w:rsidRPr="73F31BAE">
              <w:rPr>
                <w:rFonts w:ascii="Arial" w:eastAsia="Arial" w:hAnsi="Arial" w:cs="Arial"/>
                <w:color w:val="000000" w:themeColor="text1"/>
              </w:rPr>
              <w:t xml:space="preserve">-972.8135 -1757.0926 </w:t>
            </w:r>
          </w:p>
          <w:p w14:paraId="4BEB0AD6" w14:textId="6A44CFD0" w:rsidR="73F31BAE" w:rsidRDefault="73F31BAE" w:rsidP="73F31BAE">
            <w:pPr>
              <w:spacing w:line="360" w:lineRule="auto"/>
              <w:ind w:left="-20" w:right="-20"/>
              <w:jc w:val="both"/>
            </w:pPr>
            <w:r w:rsidRPr="73F31BAE">
              <w:rPr>
                <w:rFonts w:ascii="Arial" w:eastAsia="Arial" w:hAnsi="Arial" w:cs="Arial"/>
                <w:color w:val="000000" w:themeColor="text1"/>
              </w:rPr>
              <w:t xml:space="preserve">123.2792 </w:t>
            </w:r>
          </w:p>
          <w:p w14:paraId="48D65E6D" w14:textId="03820B95" w:rsidR="73F31BAE" w:rsidRDefault="73F31BAE" w:rsidP="73F31BAE">
            <w:pPr>
              <w:spacing w:line="360" w:lineRule="auto"/>
              <w:ind w:left="-20" w:right="-20"/>
              <w:jc w:val="both"/>
            </w:pPr>
            <w:r w:rsidRPr="73F31BAE">
              <w:rPr>
                <w:rFonts w:ascii="Arial" w:eastAsia="Arial" w:hAnsi="Arial" w:cs="Arial"/>
                <w:color w:val="000000" w:themeColor="text1"/>
              </w:rPr>
              <w:t xml:space="preserve">-87.1193 </w:t>
            </w:r>
          </w:p>
          <w:p w14:paraId="66E8D7E8" w14:textId="7B4C3C72" w:rsidR="73F31BAE" w:rsidRDefault="73F31BAE" w:rsidP="73F31BAE">
            <w:pPr>
              <w:spacing w:line="360" w:lineRule="auto"/>
              <w:ind w:left="-20" w:right="-20"/>
              <w:jc w:val="both"/>
            </w:pPr>
            <w:r w:rsidRPr="73F31BAE">
              <w:rPr>
                <w:rFonts w:ascii="Arial" w:eastAsia="Arial" w:hAnsi="Arial" w:cs="Arial"/>
                <w:color w:val="000000" w:themeColor="text1"/>
              </w:rPr>
              <w:t xml:space="preserve">-1133.2647 </w:t>
            </w:r>
          </w:p>
          <w:p w14:paraId="1B4EB13D" w14:textId="254582EF" w:rsidR="73F31BAE" w:rsidRDefault="73F31BAE" w:rsidP="73F31BAE">
            <w:pPr>
              <w:spacing w:line="360" w:lineRule="auto"/>
              <w:ind w:left="-20" w:right="-20"/>
              <w:jc w:val="both"/>
            </w:pPr>
            <w:r w:rsidRPr="73F31BAE">
              <w:rPr>
                <w:rFonts w:ascii="Arial" w:eastAsia="Arial" w:hAnsi="Arial" w:cs="Arial"/>
                <w:color w:val="000000" w:themeColor="text1"/>
              </w:rPr>
              <w:t xml:space="preserve">595.2507 </w:t>
            </w:r>
          </w:p>
          <w:p w14:paraId="255BAE66" w14:textId="2B991B67" w:rsidR="73F31BAE" w:rsidRDefault="73F31BAE" w:rsidP="73F31BAE">
            <w:pPr>
              <w:spacing w:line="360" w:lineRule="auto"/>
              <w:ind w:left="-20" w:right="-20"/>
              <w:jc w:val="both"/>
            </w:pPr>
            <w:r w:rsidRPr="73F31BAE">
              <w:rPr>
                <w:rFonts w:ascii="Arial" w:eastAsia="Arial" w:hAnsi="Arial" w:cs="Arial"/>
                <w:color w:val="000000" w:themeColor="text1"/>
              </w:rPr>
              <w:t xml:space="preserve">-631.5206 </w:t>
            </w:r>
          </w:p>
          <w:p w14:paraId="0ECD7EC8" w14:textId="1BEEE939" w:rsidR="73F31BAE" w:rsidRDefault="73F31BAE" w:rsidP="73F31BAE">
            <w:pPr>
              <w:spacing w:line="360" w:lineRule="auto"/>
              <w:ind w:left="-20" w:right="-20"/>
              <w:jc w:val="both"/>
            </w:pPr>
            <w:r w:rsidRPr="73F31BAE">
              <w:rPr>
                <w:rFonts w:ascii="Arial" w:eastAsia="Arial" w:hAnsi="Arial" w:cs="Arial"/>
                <w:color w:val="000000" w:themeColor="text1"/>
              </w:rPr>
              <w:t xml:space="preserve">1287.3366 -1127.1424 </w:t>
            </w:r>
          </w:p>
          <w:p w14:paraId="50D70DAC" w14:textId="65EB1709" w:rsidR="73F31BAE" w:rsidRDefault="73F31BAE" w:rsidP="73F31BAE">
            <w:pPr>
              <w:spacing w:line="360" w:lineRule="auto"/>
              <w:ind w:left="-20" w:right="-20"/>
              <w:jc w:val="both"/>
            </w:pPr>
            <w:r w:rsidRPr="73F31BAE">
              <w:rPr>
                <w:rFonts w:ascii="Arial" w:eastAsia="Arial" w:hAnsi="Arial" w:cs="Arial"/>
                <w:color w:val="000000" w:themeColor="text1"/>
              </w:rPr>
              <w:t xml:space="preserve">490.1497 </w:t>
            </w:r>
          </w:p>
          <w:p w14:paraId="68342C9A" w14:textId="38B50EA2" w:rsidR="73F31BAE" w:rsidRDefault="73F31BAE" w:rsidP="73F31BAE">
            <w:pPr>
              <w:spacing w:line="360" w:lineRule="auto"/>
              <w:ind w:left="-20" w:right="-20"/>
              <w:jc w:val="both"/>
            </w:pPr>
            <w:r w:rsidRPr="73F31BAE">
              <w:rPr>
                <w:rFonts w:ascii="Arial" w:eastAsia="Arial" w:hAnsi="Arial" w:cs="Arial"/>
                <w:color w:val="000000" w:themeColor="text1"/>
              </w:rPr>
              <w:t xml:space="preserve">1997.3263 </w:t>
            </w:r>
          </w:p>
        </w:tc>
      </w:tr>
      <w:tr w:rsidR="73F31BAE" w14:paraId="542E3461" w14:textId="77777777" w:rsidTr="73F31BAE">
        <w:trPr>
          <w:trHeight w:val="300"/>
        </w:trPr>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5" w:type="dxa"/>
              <w:right w:w="105" w:type="dxa"/>
            </w:tcMar>
            <w:vAlign w:val="center"/>
          </w:tcPr>
          <w:p w14:paraId="709A8460" w14:textId="27E87DBB" w:rsidR="73F31BAE" w:rsidRDefault="73F31BAE" w:rsidP="73F31BAE">
            <w:pPr>
              <w:spacing w:line="360" w:lineRule="auto"/>
              <w:ind w:left="-20" w:right="-20"/>
              <w:jc w:val="both"/>
            </w:pPr>
            <w:r w:rsidRPr="73F31BAE">
              <w:rPr>
                <w:rFonts w:ascii="Arial" w:eastAsia="Arial" w:hAnsi="Arial" w:cs="Arial"/>
                <w:color w:val="000000" w:themeColor="text1"/>
              </w:rPr>
              <w:t>0</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5" w:type="dxa"/>
              <w:right w:w="105" w:type="dxa"/>
            </w:tcMar>
            <w:vAlign w:val="center"/>
          </w:tcPr>
          <w:p w14:paraId="28AA429D" w14:textId="468A9A6E" w:rsidR="73F31BAE" w:rsidRDefault="73F31BAE" w:rsidP="73F31BAE">
            <w:pPr>
              <w:spacing w:line="360" w:lineRule="auto"/>
              <w:ind w:left="-20" w:right="-20"/>
              <w:jc w:val="both"/>
            </w:pPr>
            <w:r w:rsidRPr="73F31BAE">
              <w:rPr>
                <w:rFonts w:ascii="Arial" w:eastAsia="Arial" w:hAnsi="Arial" w:cs="Arial"/>
                <w:color w:val="000000" w:themeColor="text1"/>
              </w:rPr>
              <w:t>0</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5" w:type="dxa"/>
              <w:right w:w="105" w:type="dxa"/>
            </w:tcMar>
            <w:vAlign w:val="center"/>
          </w:tcPr>
          <w:p w14:paraId="40B38C22" w14:textId="7460A3F8" w:rsidR="73F31BAE" w:rsidRDefault="73F31BAE" w:rsidP="73F31BAE">
            <w:pPr>
              <w:spacing w:line="360" w:lineRule="auto"/>
              <w:ind w:left="-20" w:right="-20"/>
              <w:jc w:val="both"/>
            </w:pPr>
            <w:r w:rsidRPr="73F31BAE">
              <w:rPr>
                <w:rFonts w:ascii="Arial" w:eastAsia="Arial" w:hAnsi="Arial" w:cs="Arial"/>
                <w:b/>
                <w:bCs/>
                <w:color w:val="000000" w:themeColor="text1"/>
              </w:rPr>
              <w:t>49.6273</w:t>
            </w:r>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SS</w:t>
            </w:r>
            <w:r w:rsidRPr="73F31BAE">
              <w:rPr>
                <w:rFonts w:ascii="Arial" w:eastAsia="Arial" w:hAnsi="Arial" w:cs="Arial"/>
                <w:color w:val="000000" w:themeColor="text1"/>
                <w:vertAlign w:val="subscript"/>
              </w:rPr>
              <w:t>x</w:t>
            </w:r>
            <w:proofErr w:type="spellEnd"/>
            <w:r w:rsidRPr="73F31BAE">
              <w:rPr>
                <w:rFonts w:ascii="Arial" w:eastAsia="Arial" w:hAnsi="Arial" w:cs="Arial"/>
                <w:color w:val="000000" w:themeColor="text1"/>
              </w:rPr>
              <w:t>)</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5" w:type="dxa"/>
              <w:right w:w="105" w:type="dxa"/>
            </w:tcMar>
            <w:vAlign w:val="center"/>
          </w:tcPr>
          <w:p w14:paraId="489B52B3" w14:textId="4864D97A" w:rsidR="73F31BAE" w:rsidRDefault="73F31BAE" w:rsidP="73F31BAE">
            <w:pPr>
              <w:spacing w:line="360" w:lineRule="auto"/>
              <w:ind w:left="-20" w:right="-20"/>
              <w:jc w:val="both"/>
            </w:pPr>
            <w:r w:rsidRPr="73F31BAE">
              <w:rPr>
                <w:rFonts w:ascii="Arial" w:eastAsia="Arial" w:hAnsi="Arial" w:cs="Arial"/>
                <w:b/>
                <w:bCs/>
                <w:color w:val="000000" w:themeColor="text1"/>
              </w:rPr>
              <w:t>-1215.6108</w:t>
            </w:r>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SP</w:t>
            </w:r>
            <w:r w:rsidRPr="73F31BAE">
              <w:rPr>
                <w:rFonts w:ascii="Arial" w:eastAsia="Arial" w:hAnsi="Arial" w:cs="Arial"/>
                <w:color w:val="000000" w:themeColor="text1"/>
                <w:vertAlign w:val="subscript"/>
              </w:rPr>
              <w:t>xy</w:t>
            </w:r>
            <w:proofErr w:type="spellEnd"/>
          </w:p>
        </w:tc>
      </w:tr>
    </w:tbl>
    <w:p w14:paraId="066722B1" w14:textId="64C9878B" w:rsidR="42F54629" w:rsidRDefault="42F54629" w:rsidP="73F31BAE">
      <w:pPr>
        <w:jc w:val="center"/>
        <w:rPr>
          <w:rFonts w:ascii="Arial" w:eastAsia="Arial" w:hAnsi="Arial" w:cs="Arial"/>
          <w:color w:val="000000" w:themeColor="text1"/>
        </w:rPr>
      </w:pPr>
      <w:r w:rsidRPr="73F31BAE">
        <w:rPr>
          <w:rFonts w:ascii="Arial" w:eastAsia="Arial" w:hAnsi="Arial" w:cs="Arial"/>
          <w:color w:val="000000" w:themeColor="text1"/>
        </w:rPr>
        <w:t>Source: Author s Computation, 2024</w:t>
      </w:r>
    </w:p>
    <w:p w14:paraId="2966C5A8" w14:textId="5E084448" w:rsidR="73F31BAE" w:rsidRDefault="73F31BAE" w:rsidP="73F31BAE">
      <w:pPr>
        <w:jc w:val="both"/>
        <w:rPr>
          <w:rFonts w:ascii="Arial" w:eastAsia="Arial" w:hAnsi="Arial" w:cs="Arial"/>
          <w:color w:val="000000" w:themeColor="text1"/>
          <w:u w:val="single"/>
        </w:rPr>
      </w:pPr>
    </w:p>
    <w:p w14:paraId="5DF38A4D" w14:textId="4A6CDDDB" w:rsidR="42F54629" w:rsidRDefault="42F54629" w:rsidP="73F31BAE">
      <w:pPr>
        <w:jc w:val="both"/>
        <w:rPr>
          <w:rFonts w:ascii="Arial" w:eastAsia="Arial" w:hAnsi="Arial" w:cs="Arial"/>
        </w:rPr>
      </w:pPr>
      <w:r w:rsidRPr="73F31BAE">
        <w:rPr>
          <w:rFonts w:ascii="Arial" w:eastAsia="Arial" w:hAnsi="Arial" w:cs="Arial"/>
          <w:color w:val="000000" w:themeColor="text1"/>
          <w:u w:val="single"/>
        </w:rPr>
        <w:t>Confidence Interval</w:t>
      </w:r>
      <w:r>
        <w:br/>
      </w:r>
      <w:r w:rsidRPr="73F31BAE">
        <w:rPr>
          <w:rFonts w:ascii="Arial" w:eastAsia="Arial" w:hAnsi="Arial" w:cs="Arial"/>
        </w:rPr>
        <w:t xml:space="preserve"> </w:t>
      </w:r>
      <w:r w:rsidRPr="73F31BAE">
        <w:rPr>
          <w:rFonts w:ascii="Arial" w:eastAsia="Arial" w:hAnsi="Arial" w:cs="Arial"/>
          <w:color w:val="000000" w:themeColor="text1"/>
        </w:rPr>
        <w:t xml:space="preserve">The confidence interval is the prediction interval for the </w:t>
      </w:r>
      <w:r w:rsidRPr="73F31BAE">
        <w:rPr>
          <w:rFonts w:ascii="Arial" w:eastAsia="Arial" w:hAnsi="Arial" w:cs="Arial"/>
          <w:b/>
          <w:bCs/>
          <w:color w:val="000000" w:themeColor="text1"/>
        </w:rPr>
        <w:t>mean value</w:t>
      </w:r>
      <w:r w:rsidRPr="73F31BAE">
        <w:rPr>
          <w:rFonts w:ascii="Arial" w:eastAsia="Arial" w:hAnsi="Arial" w:cs="Arial"/>
          <w:color w:val="000000" w:themeColor="text1"/>
        </w:rPr>
        <w:t xml:space="preserve"> of the dependent variable.</w:t>
      </w:r>
      <w:r>
        <w:br/>
      </w:r>
      <w:r w:rsidRPr="73F31BAE">
        <w:rPr>
          <w:rFonts w:ascii="Arial" w:eastAsia="Arial" w:hAnsi="Arial" w:cs="Arial"/>
        </w:rPr>
        <w:t xml:space="preserve"> </w:t>
      </w:r>
    </w:p>
    <w:p w14:paraId="6A65EC56" w14:textId="3915A788" w:rsidR="42F54629" w:rsidRDefault="42F54629" w:rsidP="73F31BAE">
      <w:pPr>
        <w:jc w:val="both"/>
        <w:rPr>
          <w:rFonts w:ascii="Arial" w:eastAsia="Arial" w:hAnsi="Arial" w:cs="Arial"/>
        </w:rPr>
      </w:pPr>
      <w:r w:rsidRPr="73F31BAE">
        <w:rPr>
          <w:rFonts w:ascii="Arial" w:eastAsia="Arial" w:hAnsi="Arial" w:cs="Arial"/>
          <w:color w:val="000000" w:themeColor="text1"/>
        </w:rPr>
        <w:t>Calculating the standard error</w:t>
      </w:r>
    </w:p>
    <w:tbl>
      <w:tblPr>
        <w:tblStyle w:val="TableGrid"/>
        <w:tblW w:w="0" w:type="auto"/>
        <w:tblLayout w:type="fixed"/>
        <w:tblLook w:val="06A0" w:firstRow="1" w:lastRow="0" w:firstColumn="1" w:lastColumn="0" w:noHBand="1" w:noVBand="1"/>
      </w:tblPr>
      <w:tblGrid>
        <w:gridCol w:w="1335"/>
        <w:gridCol w:w="236"/>
        <w:gridCol w:w="1110"/>
        <w:gridCol w:w="450"/>
        <w:gridCol w:w="885"/>
        <w:gridCol w:w="675"/>
        <w:gridCol w:w="660"/>
        <w:gridCol w:w="900"/>
        <w:gridCol w:w="435"/>
        <w:gridCol w:w="1125"/>
        <w:gridCol w:w="236"/>
        <w:gridCol w:w="1335"/>
        <w:gridCol w:w="236"/>
      </w:tblGrid>
      <w:tr w:rsidR="73F31BAE" w14:paraId="7777CA88" w14:textId="77777777" w:rsidTr="73F31BAE">
        <w:trPr>
          <w:trHeight w:val="300"/>
        </w:trPr>
        <w:tc>
          <w:tcPr>
            <w:tcW w:w="1560" w:type="dxa"/>
            <w:gridSpan w:val="2"/>
            <w:vMerge w:val="restart"/>
            <w:tcBorders>
              <w:top w:val="single" w:sz="8" w:space="0" w:color="auto"/>
              <w:left w:val="single" w:sz="8" w:space="0" w:color="auto"/>
              <w:bottom w:val="nil"/>
              <w:right w:val="nil"/>
            </w:tcBorders>
            <w:tcMar>
              <w:left w:w="105" w:type="dxa"/>
              <w:right w:w="105" w:type="dxa"/>
            </w:tcMar>
            <w:vAlign w:val="center"/>
          </w:tcPr>
          <w:p w14:paraId="0BBE01EA" w14:textId="541B0DEC" w:rsidR="73F31BAE" w:rsidRDefault="73F31BAE" w:rsidP="73F31BAE">
            <w:pPr>
              <w:spacing w:line="360" w:lineRule="auto"/>
              <w:ind w:left="-20" w:right="-20"/>
              <w:jc w:val="both"/>
            </w:pPr>
            <w:r w:rsidRPr="73F31BAE">
              <w:rPr>
                <w:rFonts w:ascii="Arial" w:eastAsia="Arial" w:hAnsi="Arial" w:cs="Arial"/>
                <w:color w:val="000000" w:themeColor="text1"/>
              </w:rPr>
              <w:t xml:space="preserve">S. E </w:t>
            </w:r>
            <w:r w:rsidRPr="73F31BAE">
              <w:rPr>
                <w:rFonts w:ascii="Arial" w:eastAsia="Arial" w:hAnsi="Arial" w:cs="Arial"/>
                <w:color w:val="000000" w:themeColor="text1"/>
                <w:vertAlign w:val="subscript"/>
              </w:rPr>
              <w:t>ci</w:t>
            </w:r>
            <w:r w:rsidRPr="73F31BAE">
              <w:rPr>
                <w:rFonts w:ascii="Arial" w:eastAsia="Arial" w:hAnsi="Arial" w:cs="Arial"/>
                <w:color w:val="000000" w:themeColor="text1"/>
              </w:rPr>
              <w:t xml:space="preserve"> = S </w:t>
            </w:r>
            <w:r w:rsidRPr="73F31BAE">
              <w:rPr>
                <w:rFonts w:ascii="Arial" w:eastAsia="Arial" w:hAnsi="Arial" w:cs="Arial"/>
                <w:color w:val="000000" w:themeColor="text1"/>
                <w:vertAlign w:val="subscript"/>
              </w:rPr>
              <w:t>residual</w:t>
            </w:r>
          </w:p>
        </w:tc>
        <w:tc>
          <w:tcPr>
            <w:tcW w:w="1560" w:type="dxa"/>
            <w:gridSpan w:val="2"/>
            <w:vMerge w:val="restart"/>
            <w:tcBorders>
              <w:top w:val="single" w:sz="8" w:space="0" w:color="auto"/>
              <w:left w:val="nil"/>
              <w:bottom w:val="nil"/>
              <w:right w:val="nil"/>
            </w:tcBorders>
            <w:tcMar>
              <w:left w:w="105" w:type="dxa"/>
              <w:right w:w="105" w:type="dxa"/>
            </w:tcMar>
            <w:vAlign w:val="center"/>
          </w:tcPr>
          <w:p w14:paraId="47A399BD" w14:textId="2A79BDB7" w:rsidR="73F31BAE" w:rsidRDefault="73F31BAE" w:rsidP="73F31BAE">
            <w:pPr>
              <w:spacing w:line="360" w:lineRule="auto"/>
              <w:ind w:left="-20" w:right="-20"/>
              <w:jc w:val="both"/>
            </w:pPr>
            <w:r w:rsidRPr="73F31BAE">
              <w:rPr>
                <w:rFonts w:ascii="Arial" w:eastAsia="Arial" w:hAnsi="Arial" w:cs="Arial"/>
                <w:color w:val="000000" w:themeColor="text1"/>
              </w:rPr>
              <w:t>(</w:t>
            </w:r>
          </w:p>
        </w:tc>
        <w:tc>
          <w:tcPr>
            <w:tcW w:w="1560" w:type="dxa"/>
            <w:gridSpan w:val="2"/>
            <w:tcBorders>
              <w:top w:val="single" w:sz="8" w:space="0" w:color="auto"/>
              <w:left w:val="nil"/>
              <w:bottom w:val="single" w:sz="8" w:space="0" w:color="343A40"/>
              <w:right w:val="nil"/>
            </w:tcBorders>
            <w:tcMar>
              <w:left w:w="105" w:type="dxa"/>
              <w:right w:w="105" w:type="dxa"/>
            </w:tcMar>
            <w:vAlign w:val="center"/>
          </w:tcPr>
          <w:p w14:paraId="75AD9ADD" w14:textId="4EE6A776" w:rsidR="73F31BAE" w:rsidRDefault="73F31BAE" w:rsidP="73F31BAE">
            <w:pPr>
              <w:spacing w:line="360" w:lineRule="auto"/>
              <w:ind w:left="-20" w:right="-20"/>
              <w:jc w:val="both"/>
            </w:pPr>
            <w:r w:rsidRPr="73F31BAE">
              <w:rPr>
                <w:rFonts w:ascii="Arial" w:eastAsia="Arial" w:hAnsi="Arial" w:cs="Arial"/>
                <w:color w:val="000000" w:themeColor="text1"/>
              </w:rPr>
              <w:t>1</w:t>
            </w:r>
          </w:p>
        </w:tc>
        <w:tc>
          <w:tcPr>
            <w:tcW w:w="1560" w:type="dxa"/>
            <w:gridSpan w:val="2"/>
            <w:vMerge w:val="restart"/>
            <w:tcBorders>
              <w:top w:val="single" w:sz="8" w:space="0" w:color="auto"/>
              <w:left w:val="nil"/>
              <w:bottom w:val="nil"/>
              <w:right w:val="nil"/>
            </w:tcBorders>
            <w:tcMar>
              <w:left w:w="105" w:type="dxa"/>
              <w:right w:w="105" w:type="dxa"/>
            </w:tcMar>
            <w:vAlign w:val="center"/>
          </w:tcPr>
          <w:p w14:paraId="7786B4AE" w14:textId="50B62379" w:rsidR="73F31BAE" w:rsidRDefault="73F31BAE" w:rsidP="73F31BAE">
            <w:pPr>
              <w:spacing w:line="360" w:lineRule="auto"/>
              <w:ind w:left="-20" w:right="-20"/>
              <w:jc w:val="both"/>
            </w:pPr>
            <w:r w:rsidRPr="73F31BAE">
              <w:rPr>
                <w:rFonts w:ascii="Arial" w:eastAsia="Arial" w:hAnsi="Arial" w:cs="Arial"/>
                <w:color w:val="000000" w:themeColor="text1"/>
              </w:rPr>
              <w:t>+</w:t>
            </w:r>
          </w:p>
        </w:tc>
        <w:tc>
          <w:tcPr>
            <w:tcW w:w="1560" w:type="dxa"/>
            <w:gridSpan w:val="2"/>
            <w:tcBorders>
              <w:top w:val="single" w:sz="8" w:space="0" w:color="auto"/>
              <w:left w:val="nil"/>
              <w:bottom w:val="single" w:sz="8" w:space="0" w:color="343A40"/>
              <w:right w:val="nil"/>
            </w:tcBorders>
            <w:tcMar>
              <w:left w:w="105" w:type="dxa"/>
              <w:right w:w="105" w:type="dxa"/>
            </w:tcMar>
            <w:vAlign w:val="center"/>
          </w:tcPr>
          <w:p w14:paraId="2C530555" w14:textId="0031FE0E" w:rsidR="73F31BAE" w:rsidRDefault="73F31BAE" w:rsidP="73F31BAE">
            <w:pPr>
              <w:spacing w:line="360" w:lineRule="auto"/>
              <w:ind w:left="-20" w:right="-20"/>
              <w:jc w:val="both"/>
            </w:pPr>
            <w:r w:rsidRPr="73F31BAE">
              <w:rPr>
                <w:rFonts w:ascii="Arial" w:eastAsia="Arial" w:hAnsi="Arial" w:cs="Arial"/>
                <w:color w:val="000000" w:themeColor="text1"/>
              </w:rPr>
              <w:t xml:space="preserve">(x₀ - x̄)  </w:t>
            </w:r>
          </w:p>
        </w:tc>
        <w:tc>
          <w:tcPr>
            <w:tcW w:w="1560" w:type="dxa"/>
            <w:gridSpan w:val="3"/>
            <w:vMerge w:val="restart"/>
            <w:tcBorders>
              <w:top w:val="single" w:sz="8" w:space="0" w:color="auto"/>
              <w:left w:val="nil"/>
              <w:bottom w:val="nil"/>
              <w:right w:val="single" w:sz="8" w:space="0" w:color="auto"/>
            </w:tcBorders>
            <w:tcMar>
              <w:left w:w="105" w:type="dxa"/>
              <w:right w:w="105" w:type="dxa"/>
            </w:tcMar>
            <w:vAlign w:val="center"/>
          </w:tcPr>
          <w:p w14:paraId="32EB6429" w14:textId="4D4314E0" w:rsidR="73F31BAE" w:rsidRDefault="73F31BAE" w:rsidP="73F31BAE">
            <w:pPr>
              <w:spacing w:line="360" w:lineRule="auto"/>
              <w:ind w:left="-20" w:right="-20"/>
              <w:jc w:val="both"/>
            </w:pPr>
            <w:r w:rsidRPr="73F31BAE">
              <w:rPr>
                <w:rFonts w:ascii="Arial" w:eastAsia="Arial" w:hAnsi="Arial" w:cs="Arial"/>
                <w:color w:val="000000" w:themeColor="text1"/>
              </w:rPr>
              <w:t>)</w:t>
            </w:r>
          </w:p>
        </w:tc>
      </w:tr>
      <w:tr w:rsidR="73F31BAE" w14:paraId="34184EF3" w14:textId="77777777" w:rsidTr="73F31BAE">
        <w:trPr>
          <w:trHeight w:val="300"/>
        </w:trPr>
        <w:tc>
          <w:tcPr>
            <w:tcW w:w="1560" w:type="dxa"/>
            <w:gridSpan w:val="2"/>
            <w:vMerge/>
            <w:tcBorders>
              <w:left w:val="single" w:sz="0" w:space="0" w:color="auto"/>
            </w:tcBorders>
            <w:vAlign w:val="center"/>
          </w:tcPr>
          <w:p w14:paraId="0F19E65C" w14:textId="77777777" w:rsidR="00912F60" w:rsidRDefault="00912F60"/>
        </w:tc>
        <w:tc>
          <w:tcPr>
            <w:tcW w:w="1560" w:type="dxa"/>
            <w:gridSpan w:val="2"/>
            <w:vMerge/>
            <w:tcBorders>
              <w:left w:val="nil"/>
            </w:tcBorders>
            <w:vAlign w:val="center"/>
          </w:tcPr>
          <w:p w14:paraId="753C98E4" w14:textId="77777777" w:rsidR="00912F60" w:rsidRDefault="00912F60"/>
        </w:tc>
        <w:tc>
          <w:tcPr>
            <w:tcW w:w="1560" w:type="dxa"/>
            <w:gridSpan w:val="2"/>
            <w:tcBorders>
              <w:top w:val="single" w:sz="8" w:space="0" w:color="343A40"/>
              <w:left w:val="nil"/>
              <w:bottom w:val="nil"/>
              <w:right w:val="nil"/>
            </w:tcBorders>
            <w:tcMar>
              <w:left w:w="105" w:type="dxa"/>
              <w:right w:w="105" w:type="dxa"/>
            </w:tcMar>
            <w:vAlign w:val="center"/>
          </w:tcPr>
          <w:p w14:paraId="4B475059" w14:textId="6249A8DA" w:rsidR="73F31BAE" w:rsidRDefault="73F31BAE" w:rsidP="73F31BAE">
            <w:pPr>
              <w:spacing w:line="360" w:lineRule="auto"/>
              <w:ind w:left="-20" w:right="-20"/>
              <w:jc w:val="both"/>
            </w:pPr>
            <w:r w:rsidRPr="73F31BAE">
              <w:rPr>
                <w:rFonts w:ascii="Arial" w:eastAsia="Arial" w:hAnsi="Arial" w:cs="Arial"/>
                <w:color w:val="000000" w:themeColor="text1"/>
              </w:rPr>
              <w:t>n</w:t>
            </w:r>
          </w:p>
        </w:tc>
        <w:tc>
          <w:tcPr>
            <w:tcW w:w="1560" w:type="dxa"/>
            <w:gridSpan w:val="2"/>
            <w:vMerge/>
            <w:tcBorders>
              <w:left w:val="nil"/>
            </w:tcBorders>
            <w:vAlign w:val="center"/>
          </w:tcPr>
          <w:p w14:paraId="1DD88CA2" w14:textId="77777777" w:rsidR="00912F60" w:rsidRDefault="00912F60"/>
        </w:tc>
        <w:tc>
          <w:tcPr>
            <w:tcW w:w="1560" w:type="dxa"/>
            <w:gridSpan w:val="2"/>
            <w:tcBorders>
              <w:top w:val="single" w:sz="8" w:space="0" w:color="343A40"/>
              <w:left w:val="nil"/>
              <w:bottom w:val="nil"/>
              <w:right w:val="nil"/>
            </w:tcBorders>
            <w:tcMar>
              <w:left w:w="105" w:type="dxa"/>
              <w:right w:w="105" w:type="dxa"/>
            </w:tcMar>
            <w:vAlign w:val="center"/>
          </w:tcPr>
          <w:p w14:paraId="6D0CB99B" w14:textId="29885537" w:rsidR="73F31BAE" w:rsidRDefault="73F31BAE" w:rsidP="73F31BAE">
            <w:pPr>
              <w:spacing w:line="360" w:lineRule="auto"/>
              <w:ind w:left="-20" w:right="-20"/>
              <w:jc w:val="both"/>
            </w:pPr>
            <w:proofErr w:type="spellStart"/>
            <w:r w:rsidRPr="73F31BAE">
              <w:rPr>
                <w:rFonts w:ascii="Arial" w:eastAsia="Arial" w:hAnsi="Arial" w:cs="Arial"/>
                <w:color w:val="000000" w:themeColor="text1"/>
              </w:rPr>
              <w:t>SS</w:t>
            </w:r>
            <w:r w:rsidRPr="73F31BAE">
              <w:rPr>
                <w:rFonts w:ascii="Arial" w:eastAsia="Arial" w:hAnsi="Arial" w:cs="Arial"/>
                <w:color w:val="000000" w:themeColor="text1"/>
                <w:vertAlign w:val="subscript"/>
              </w:rPr>
              <w:t>x</w:t>
            </w:r>
            <w:proofErr w:type="spellEnd"/>
          </w:p>
        </w:tc>
        <w:tc>
          <w:tcPr>
            <w:tcW w:w="1560" w:type="dxa"/>
            <w:gridSpan w:val="3"/>
            <w:vMerge/>
            <w:tcBorders>
              <w:left w:val="nil"/>
              <w:right w:val="single" w:sz="0" w:space="0" w:color="auto"/>
            </w:tcBorders>
            <w:vAlign w:val="center"/>
          </w:tcPr>
          <w:p w14:paraId="27150586" w14:textId="77777777" w:rsidR="00912F60" w:rsidRDefault="00912F60"/>
        </w:tc>
      </w:tr>
      <w:tr w:rsidR="73F31BAE" w14:paraId="45B996F6" w14:textId="77777777" w:rsidTr="73F31BAE">
        <w:trPr>
          <w:trHeight w:val="300"/>
        </w:trPr>
        <w:tc>
          <w:tcPr>
            <w:tcW w:w="1335" w:type="dxa"/>
            <w:vMerge w:val="restart"/>
            <w:tcBorders>
              <w:top w:val="nil"/>
              <w:left w:val="single" w:sz="8" w:space="0" w:color="auto"/>
              <w:bottom w:val="single" w:sz="8" w:space="0" w:color="auto"/>
              <w:right w:val="nil"/>
            </w:tcBorders>
            <w:tcMar>
              <w:left w:w="105" w:type="dxa"/>
              <w:right w:w="105" w:type="dxa"/>
            </w:tcMar>
            <w:vAlign w:val="center"/>
          </w:tcPr>
          <w:p w14:paraId="7B503A82" w14:textId="7DDCC035" w:rsidR="73F31BAE" w:rsidRDefault="73F31BAE" w:rsidP="73F31BAE">
            <w:pPr>
              <w:spacing w:line="360" w:lineRule="auto"/>
              <w:ind w:left="-20" w:right="-20"/>
              <w:jc w:val="both"/>
            </w:pPr>
            <w:r w:rsidRPr="73F31BAE">
              <w:rPr>
                <w:rFonts w:ascii="Arial" w:eastAsia="Arial" w:hAnsi="Arial" w:cs="Arial"/>
                <w:color w:val="000000" w:themeColor="text1"/>
              </w:rPr>
              <w:t xml:space="preserve">S. E </w:t>
            </w:r>
            <w:r w:rsidRPr="73F31BAE">
              <w:rPr>
                <w:rFonts w:ascii="Arial" w:eastAsia="Arial" w:hAnsi="Arial" w:cs="Arial"/>
                <w:color w:val="000000" w:themeColor="text1"/>
                <w:vertAlign w:val="subscript"/>
              </w:rPr>
              <w:t>ci</w:t>
            </w:r>
            <w:r w:rsidRPr="73F31BAE">
              <w:rPr>
                <w:rFonts w:ascii="Arial" w:eastAsia="Arial" w:hAnsi="Arial" w:cs="Arial"/>
                <w:color w:val="000000" w:themeColor="text1"/>
              </w:rPr>
              <w:t xml:space="preserve"> = 584.0054 </w:t>
            </w:r>
          </w:p>
        </w:tc>
        <w:tc>
          <w:tcPr>
            <w:tcW w:w="1335" w:type="dxa"/>
            <w:gridSpan w:val="2"/>
            <w:vMerge w:val="restart"/>
            <w:tcBorders>
              <w:top w:val="nil"/>
              <w:left w:val="nil"/>
              <w:bottom w:val="single" w:sz="8" w:space="0" w:color="auto"/>
              <w:right w:val="nil"/>
            </w:tcBorders>
            <w:tcMar>
              <w:left w:w="105" w:type="dxa"/>
              <w:right w:w="105" w:type="dxa"/>
            </w:tcMar>
            <w:vAlign w:val="center"/>
          </w:tcPr>
          <w:p w14:paraId="32652D0B" w14:textId="1B3923B4" w:rsidR="73F31BAE" w:rsidRDefault="73F31BAE" w:rsidP="73F31BAE">
            <w:pPr>
              <w:spacing w:line="360" w:lineRule="auto"/>
              <w:ind w:left="-20" w:right="-20"/>
              <w:jc w:val="both"/>
            </w:pPr>
            <w:r w:rsidRPr="73F31BAE">
              <w:rPr>
                <w:rFonts w:ascii="Arial" w:eastAsia="Arial" w:hAnsi="Arial" w:cs="Arial"/>
                <w:color w:val="000000" w:themeColor="text1"/>
              </w:rPr>
              <w:t>(</w:t>
            </w:r>
          </w:p>
        </w:tc>
        <w:tc>
          <w:tcPr>
            <w:tcW w:w="1335" w:type="dxa"/>
            <w:gridSpan w:val="2"/>
            <w:tcBorders>
              <w:top w:val="nil"/>
              <w:left w:val="nil"/>
              <w:bottom w:val="single" w:sz="8" w:space="0" w:color="343A40"/>
              <w:right w:val="nil"/>
            </w:tcBorders>
            <w:tcMar>
              <w:left w:w="105" w:type="dxa"/>
              <w:right w:w="105" w:type="dxa"/>
            </w:tcMar>
            <w:vAlign w:val="center"/>
          </w:tcPr>
          <w:p w14:paraId="4A67E5B4" w14:textId="1875C911" w:rsidR="73F31BAE" w:rsidRDefault="73F31BAE" w:rsidP="73F31BAE">
            <w:pPr>
              <w:spacing w:line="360" w:lineRule="auto"/>
              <w:ind w:left="-20" w:right="-20"/>
              <w:jc w:val="both"/>
            </w:pPr>
            <w:r w:rsidRPr="73F31BAE">
              <w:rPr>
                <w:rFonts w:ascii="Arial" w:eastAsia="Arial" w:hAnsi="Arial" w:cs="Arial"/>
                <w:color w:val="000000" w:themeColor="text1"/>
              </w:rPr>
              <w:t>1</w:t>
            </w:r>
          </w:p>
        </w:tc>
        <w:tc>
          <w:tcPr>
            <w:tcW w:w="1335" w:type="dxa"/>
            <w:gridSpan w:val="2"/>
            <w:vMerge w:val="restart"/>
            <w:tcBorders>
              <w:top w:val="nil"/>
              <w:left w:val="nil"/>
              <w:bottom w:val="single" w:sz="8" w:space="0" w:color="auto"/>
              <w:right w:val="nil"/>
            </w:tcBorders>
            <w:tcMar>
              <w:left w:w="105" w:type="dxa"/>
              <w:right w:w="105" w:type="dxa"/>
            </w:tcMar>
            <w:vAlign w:val="center"/>
          </w:tcPr>
          <w:p w14:paraId="0C65CAC9" w14:textId="47327FD4" w:rsidR="73F31BAE" w:rsidRDefault="73F31BAE" w:rsidP="73F31BAE">
            <w:pPr>
              <w:spacing w:line="360" w:lineRule="auto"/>
              <w:ind w:left="-20" w:right="-20"/>
              <w:jc w:val="both"/>
            </w:pPr>
            <w:r w:rsidRPr="73F31BAE">
              <w:rPr>
                <w:rFonts w:ascii="Arial" w:eastAsia="Arial" w:hAnsi="Arial" w:cs="Arial"/>
                <w:color w:val="000000" w:themeColor="text1"/>
              </w:rPr>
              <w:t>+</w:t>
            </w:r>
          </w:p>
        </w:tc>
        <w:tc>
          <w:tcPr>
            <w:tcW w:w="1335" w:type="dxa"/>
            <w:gridSpan w:val="2"/>
            <w:tcBorders>
              <w:top w:val="nil"/>
              <w:left w:val="nil"/>
              <w:bottom w:val="single" w:sz="8" w:space="0" w:color="343A40"/>
              <w:right w:val="nil"/>
            </w:tcBorders>
            <w:tcMar>
              <w:left w:w="105" w:type="dxa"/>
              <w:right w:w="105" w:type="dxa"/>
            </w:tcMar>
            <w:vAlign w:val="center"/>
          </w:tcPr>
          <w:p w14:paraId="0FE1F917" w14:textId="63E31C34" w:rsidR="73F31BAE" w:rsidRDefault="73F31BAE" w:rsidP="73F31BAE">
            <w:pPr>
              <w:spacing w:line="360" w:lineRule="auto"/>
              <w:ind w:left="-20" w:right="-20"/>
              <w:jc w:val="both"/>
            </w:pPr>
            <w:r w:rsidRPr="73F31BAE">
              <w:rPr>
                <w:rFonts w:ascii="Arial" w:eastAsia="Arial" w:hAnsi="Arial" w:cs="Arial"/>
                <w:color w:val="000000" w:themeColor="text1"/>
              </w:rPr>
              <w:t xml:space="preserve">(7 - 2.1455)  </w:t>
            </w:r>
          </w:p>
        </w:tc>
        <w:tc>
          <w:tcPr>
            <w:tcW w:w="1335" w:type="dxa"/>
            <w:gridSpan w:val="2"/>
            <w:vMerge w:val="restart"/>
            <w:tcBorders>
              <w:top w:val="nil"/>
              <w:left w:val="nil"/>
              <w:bottom w:val="single" w:sz="8" w:space="0" w:color="auto"/>
              <w:right w:val="nil"/>
            </w:tcBorders>
            <w:tcMar>
              <w:left w:w="105" w:type="dxa"/>
              <w:right w:w="105" w:type="dxa"/>
            </w:tcMar>
            <w:vAlign w:val="center"/>
          </w:tcPr>
          <w:p w14:paraId="539B82F7" w14:textId="78F0325D" w:rsidR="73F31BAE" w:rsidRDefault="73F31BAE" w:rsidP="73F31BAE">
            <w:pPr>
              <w:spacing w:line="360" w:lineRule="auto"/>
              <w:ind w:left="-20" w:right="-20"/>
              <w:jc w:val="both"/>
            </w:pPr>
            <w:r w:rsidRPr="73F31BAE">
              <w:rPr>
                <w:rFonts w:ascii="Arial" w:eastAsia="Arial" w:hAnsi="Arial" w:cs="Arial"/>
                <w:color w:val="000000" w:themeColor="text1"/>
              </w:rPr>
              <w:t>)</w:t>
            </w:r>
          </w:p>
        </w:tc>
        <w:tc>
          <w:tcPr>
            <w:tcW w:w="1335" w:type="dxa"/>
            <w:vMerge w:val="restart"/>
            <w:tcBorders>
              <w:top w:val="nil"/>
              <w:left w:val="nil"/>
              <w:bottom w:val="single" w:sz="8" w:space="0" w:color="auto"/>
              <w:right w:val="single" w:sz="8" w:space="0" w:color="auto"/>
            </w:tcBorders>
            <w:tcMar>
              <w:left w:w="105" w:type="dxa"/>
              <w:right w:w="105" w:type="dxa"/>
            </w:tcMar>
            <w:vAlign w:val="center"/>
          </w:tcPr>
          <w:p w14:paraId="4C3B3991" w14:textId="3222E35D" w:rsidR="73F31BAE" w:rsidRDefault="73F31BAE" w:rsidP="73F31BAE">
            <w:pPr>
              <w:spacing w:line="360" w:lineRule="auto"/>
              <w:ind w:left="-20" w:right="-20"/>
              <w:jc w:val="both"/>
            </w:pPr>
            <w:r w:rsidRPr="73F31BAE">
              <w:rPr>
                <w:rFonts w:ascii="Arial" w:eastAsia="Arial" w:hAnsi="Arial" w:cs="Arial"/>
                <w:color w:val="000000" w:themeColor="text1"/>
              </w:rPr>
              <w:t xml:space="preserve">=2315.857 </w:t>
            </w:r>
          </w:p>
        </w:tc>
        <w:tc>
          <w:tcPr>
            <w:tcW w:w="15" w:type="dxa"/>
            <w:tcBorders>
              <w:top w:val="nil"/>
              <w:left w:val="single" w:sz="8" w:space="0" w:color="auto"/>
              <w:bottom w:val="nil"/>
              <w:right w:val="nil"/>
            </w:tcBorders>
            <w:vAlign w:val="center"/>
          </w:tcPr>
          <w:p w14:paraId="2499304E" w14:textId="0703DDDE" w:rsidR="73F31BAE" w:rsidRDefault="73F31BAE" w:rsidP="73F31BAE">
            <w:pPr>
              <w:ind w:left="-20" w:right="-20"/>
            </w:pPr>
            <w:r>
              <w:t xml:space="preserve"> </w:t>
            </w:r>
          </w:p>
        </w:tc>
      </w:tr>
      <w:tr w:rsidR="73F31BAE" w14:paraId="7FA78735" w14:textId="77777777" w:rsidTr="73F31BAE">
        <w:trPr>
          <w:trHeight w:val="300"/>
        </w:trPr>
        <w:tc>
          <w:tcPr>
            <w:tcW w:w="1335" w:type="dxa"/>
            <w:vMerge/>
            <w:tcBorders>
              <w:left w:val="single" w:sz="0" w:space="0" w:color="auto"/>
              <w:bottom w:val="single" w:sz="0" w:space="0" w:color="auto"/>
            </w:tcBorders>
            <w:vAlign w:val="center"/>
          </w:tcPr>
          <w:p w14:paraId="18EBBD9C" w14:textId="77777777" w:rsidR="00912F60" w:rsidRDefault="00912F60"/>
        </w:tc>
        <w:tc>
          <w:tcPr>
            <w:tcW w:w="1335" w:type="dxa"/>
            <w:gridSpan w:val="2"/>
            <w:vMerge/>
            <w:tcBorders>
              <w:left w:val="nil"/>
              <w:bottom w:val="single" w:sz="0" w:space="0" w:color="auto"/>
            </w:tcBorders>
            <w:vAlign w:val="center"/>
          </w:tcPr>
          <w:p w14:paraId="3A5A0E52" w14:textId="77777777" w:rsidR="00912F60" w:rsidRDefault="00912F60"/>
        </w:tc>
        <w:tc>
          <w:tcPr>
            <w:tcW w:w="1335" w:type="dxa"/>
            <w:gridSpan w:val="2"/>
            <w:tcBorders>
              <w:top w:val="single" w:sz="8" w:space="0" w:color="343A40"/>
              <w:left w:val="nil"/>
              <w:bottom w:val="single" w:sz="8" w:space="0" w:color="343A40"/>
              <w:right w:val="nil"/>
            </w:tcBorders>
            <w:tcMar>
              <w:left w:w="105" w:type="dxa"/>
              <w:right w:w="105" w:type="dxa"/>
            </w:tcMar>
            <w:vAlign w:val="center"/>
          </w:tcPr>
          <w:p w14:paraId="1030EE90" w14:textId="484151A2" w:rsidR="73F31BAE" w:rsidRDefault="73F31BAE" w:rsidP="73F31BAE">
            <w:pPr>
              <w:spacing w:line="360" w:lineRule="auto"/>
              <w:ind w:left="-20" w:right="-20"/>
              <w:jc w:val="both"/>
            </w:pPr>
            <w:r w:rsidRPr="73F31BAE">
              <w:rPr>
                <w:rFonts w:ascii="Arial" w:eastAsia="Arial" w:hAnsi="Arial" w:cs="Arial"/>
                <w:color w:val="000000" w:themeColor="text1"/>
              </w:rPr>
              <w:t>11</w:t>
            </w:r>
          </w:p>
        </w:tc>
        <w:tc>
          <w:tcPr>
            <w:tcW w:w="1335" w:type="dxa"/>
            <w:gridSpan w:val="2"/>
            <w:vMerge/>
            <w:tcBorders>
              <w:left w:val="nil"/>
              <w:bottom w:val="single" w:sz="0" w:space="0" w:color="auto"/>
            </w:tcBorders>
            <w:vAlign w:val="center"/>
          </w:tcPr>
          <w:p w14:paraId="0B7CEC26" w14:textId="77777777" w:rsidR="00912F60" w:rsidRDefault="00912F60"/>
        </w:tc>
        <w:tc>
          <w:tcPr>
            <w:tcW w:w="1335" w:type="dxa"/>
            <w:gridSpan w:val="2"/>
            <w:tcBorders>
              <w:top w:val="single" w:sz="8" w:space="0" w:color="343A40"/>
              <w:left w:val="nil"/>
              <w:bottom w:val="single" w:sz="8" w:space="0" w:color="343A40"/>
              <w:right w:val="nil"/>
            </w:tcBorders>
            <w:tcMar>
              <w:left w:w="105" w:type="dxa"/>
              <w:right w:w="105" w:type="dxa"/>
            </w:tcMar>
            <w:vAlign w:val="center"/>
          </w:tcPr>
          <w:p w14:paraId="3403C3C2" w14:textId="72DD0BA8" w:rsidR="73F31BAE" w:rsidRDefault="73F31BAE" w:rsidP="73F31BAE">
            <w:pPr>
              <w:spacing w:line="360" w:lineRule="auto"/>
              <w:ind w:left="-20" w:right="-20"/>
              <w:jc w:val="both"/>
            </w:pPr>
            <w:r w:rsidRPr="73F31BAE">
              <w:rPr>
                <w:rFonts w:ascii="Arial" w:eastAsia="Arial" w:hAnsi="Arial" w:cs="Arial"/>
                <w:color w:val="000000" w:themeColor="text1"/>
              </w:rPr>
              <w:t>49.6273</w:t>
            </w:r>
          </w:p>
        </w:tc>
        <w:tc>
          <w:tcPr>
            <w:tcW w:w="1335" w:type="dxa"/>
            <w:gridSpan w:val="2"/>
            <w:vMerge/>
            <w:tcBorders>
              <w:left w:val="nil"/>
              <w:bottom w:val="single" w:sz="0" w:space="0" w:color="auto"/>
            </w:tcBorders>
            <w:vAlign w:val="center"/>
          </w:tcPr>
          <w:p w14:paraId="1279028B" w14:textId="77777777" w:rsidR="00912F60" w:rsidRDefault="00912F60"/>
        </w:tc>
        <w:tc>
          <w:tcPr>
            <w:tcW w:w="1335" w:type="dxa"/>
            <w:vMerge/>
            <w:tcBorders>
              <w:left w:val="nil"/>
              <w:bottom w:val="single" w:sz="0" w:space="0" w:color="auto"/>
              <w:right w:val="single" w:sz="0" w:space="0" w:color="auto"/>
            </w:tcBorders>
            <w:vAlign w:val="center"/>
          </w:tcPr>
          <w:p w14:paraId="6D03D5E4" w14:textId="77777777" w:rsidR="00912F60" w:rsidRDefault="00912F60"/>
        </w:tc>
        <w:tc>
          <w:tcPr>
            <w:tcW w:w="15" w:type="dxa"/>
            <w:tcBorders>
              <w:top w:val="nil"/>
              <w:left w:val="nil"/>
              <w:bottom w:val="nil"/>
              <w:right w:val="nil"/>
            </w:tcBorders>
            <w:vAlign w:val="center"/>
          </w:tcPr>
          <w:p w14:paraId="28848FF1" w14:textId="528B5FD5" w:rsidR="73F31BAE" w:rsidRDefault="73F31BAE" w:rsidP="73F31BAE">
            <w:pPr>
              <w:ind w:left="-20" w:right="-20"/>
            </w:pPr>
            <w:r>
              <w:t xml:space="preserve"> </w:t>
            </w:r>
          </w:p>
        </w:tc>
      </w:tr>
      <w:tr w:rsidR="73F31BAE" w14:paraId="7AEA9A81" w14:textId="77777777" w:rsidTr="73F31BAE">
        <w:trPr>
          <w:trHeight w:val="300"/>
        </w:trPr>
        <w:tc>
          <w:tcPr>
            <w:tcW w:w="1335" w:type="dxa"/>
            <w:tcBorders>
              <w:top w:val="nil"/>
              <w:left w:val="nil"/>
              <w:bottom w:val="nil"/>
              <w:right w:val="nil"/>
            </w:tcBorders>
            <w:vAlign w:val="center"/>
          </w:tcPr>
          <w:p w14:paraId="10050CF2" w14:textId="10D12E11" w:rsidR="73F31BAE" w:rsidRDefault="73F31BAE"/>
        </w:tc>
        <w:tc>
          <w:tcPr>
            <w:tcW w:w="225" w:type="dxa"/>
            <w:tcBorders>
              <w:top w:val="nil"/>
              <w:left w:val="nil"/>
              <w:bottom w:val="nil"/>
              <w:right w:val="nil"/>
            </w:tcBorders>
            <w:vAlign w:val="center"/>
          </w:tcPr>
          <w:p w14:paraId="22AE33B4" w14:textId="126D01B7" w:rsidR="73F31BAE" w:rsidRDefault="73F31BAE"/>
        </w:tc>
        <w:tc>
          <w:tcPr>
            <w:tcW w:w="1110" w:type="dxa"/>
            <w:tcBorders>
              <w:top w:val="nil"/>
              <w:left w:val="nil"/>
              <w:bottom w:val="nil"/>
              <w:right w:val="nil"/>
            </w:tcBorders>
            <w:vAlign w:val="center"/>
          </w:tcPr>
          <w:p w14:paraId="3A14DAF0" w14:textId="350284BF" w:rsidR="73F31BAE" w:rsidRDefault="73F31BAE"/>
        </w:tc>
        <w:tc>
          <w:tcPr>
            <w:tcW w:w="450" w:type="dxa"/>
            <w:tcBorders>
              <w:top w:val="single" w:sz="8" w:space="0" w:color="343A40"/>
              <w:left w:val="nil"/>
              <w:bottom w:val="nil"/>
              <w:right w:val="nil"/>
            </w:tcBorders>
            <w:vAlign w:val="center"/>
          </w:tcPr>
          <w:p w14:paraId="2780CC67" w14:textId="2AF5A05A" w:rsidR="73F31BAE" w:rsidRDefault="73F31BAE"/>
        </w:tc>
        <w:tc>
          <w:tcPr>
            <w:tcW w:w="885" w:type="dxa"/>
            <w:tcBorders>
              <w:top w:val="nil"/>
              <w:left w:val="nil"/>
              <w:bottom w:val="nil"/>
              <w:right w:val="nil"/>
            </w:tcBorders>
            <w:vAlign w:val="center"/>
          </w:tcPr>
          <w:p w14:paraId="1033DAB6" w14:textId="32A80E86" w:rsidR="73F31BAE" w:rsidRDefault="73F31BAE"/>
        </w:tc>
        <w:tc>
          <w:tcPr>
            <w:tcW w:w="675" w:type="dxa"/>
            <w:tcBorders>
              <w:top w:val="nil"/>
              <w:left w:val="nil"/>
              <w:bottom w:val="nil"/>
              <w:right w:val="nil"/>
            </w:tcBorders>
            <w:vAlign w:val="center"/>
          </w:tcPr>
          <w:p w14:paraId="696C718C" w14:textId="3A25869E" w:rsidR="73F31BAE" w:rsidRDefault="73F31BAE"/>
        </w:tc>
        <w:tc>
          <w:tcPr>
            <w:tcW w:w="660" w:type="dxa"/>
            <w:tcBorders>
              <w:top w:val="nil"/>
              <w:left w:val="nil"/>
              <w:bottom w:val="nil"/>
              <w:right w:val="nil"/>
            </w:tcBorders>
            <w:vAlign w:val="center"/>
          </w:tcPr>
          <w:p w14:paraId="6F34B15C" w14:textId="546C4581" w:rsidR="73F31BAE" w:rsidRDefault="73F31BAE"/>
        </w:tc>
        <w:tc>
          <w:tcPr>
            <w:tcW w:w="900" w:type="dxa"/>
            <w:tcBorders>
              <w:top w:val="single" w:sz="8" w:space="0" w:color="343A40"/>
              <w:left w:val="nil"/>
              <w:bottom w:val="nil"/>
              <w:right w:val="nil"/>
            </w:tcBorders>
            <w:vAlign w:val="center"/>
          </w:tcPr>
          <w:p w14:paraId="7434B20C" w14:textId="224BBCE1" w:rsidR="73F31BAE" w:rsidRDefault="73F31BAE"/>
        </w:tc>
        <w:tc>
          <w:tcPr>
            <w:tcW w:w="435" w:type="dxa"/>
            <w:tcBorders>
              <w:top w:val="nil"/>
              <w:left w:val="nil"/>
              <w:bottom w:val="nil"/>
              <w:right w:val="nil"/>
            </w:tcBorders>
            <w:vAlign w:val="center"/>
          </w:tcPr>
          <w:p w14:paraId="4A5458B0" w14:textId="50025854" w:rsidR="73F31BAE" w:rsidRDefault="73F31BAE"/>
        </w:tc>
        <w:tc>
          <w:tcPr>
            <w:tcW w:w="1125" w:type="dxa"/>
            <w:tcBorders>
              <w:top w:val="nil"/>
              <w:left w:val="nil"/>
              <w:bottom w:val="nil"/>
              <w:right w:val="nil"/>
            </w:tcBorders>
            <w:vAlign w:val="center"/>
          </w:tcPr>
          <w:p w14:paraId="04B9120D" w14:textId="2ABEDBFA" w:rsidR="73F31BAE" w:rsidRDefault="73F31BAE"/>
        </w:tc>
        <w:tc>
          <w:tcPr>
            <w:tcW w:w="210" w:type="dxa"/>
            <w:tcBorders>
              <w:top w:val="nil"/>
              <w:left w:val="nil"/>
              <w:bottom w:val="nil"/>
              <w:right w:val="nil"/>
            </w:tcBorders>
            <w:vAlign w:val="center"/>
          </w:tcPr>
          <w:p w14:paraId="4912A1F4" w14:textId="52347903" w:rsidR="73F31BAE" w:rsidRDefault="73F31BAE"/>
        </w:tc>
        <w:tc>
          <w:tcPr>
            <w:tcW w:w="1335" w:type="dxa"/>
            <w:tcBorders>
              <w:top w:val="nil"/>
              <w:left w:val="nil"/>
              <w:bottom w:val="nil"/>
              <w:right w:val="nil"/>
            </w:tcBorders>
            <w:vAlign w:val="center"/>
          </w:tcPr>
          <w:p w14:paraId="4FAC64D2" w14:textId="25F722FA" w:rsidR="73F31BAE" w:rsidRDefault="73F31BAE"/>
        </w:tc>
        <w:tc>
          <w:tcPr>
            <w:tcW w:w="15" w:type="dxa"/>
            <w:tcBorders>
              <w:top w:val="nil"/>
              <w:left w:val="nil"/>
              <w:bottom w:val="nil"/>
              <w:right w:val="nil"/>
            </w:tcBorders>
            <w:vAlign w:val="center"/>
          </w:tcPr>
          <w:p w14:paraId="5D658D5D" w14:textId="10E6D437" w:rsidR="73F31BAE" w:rsidRDefault="73F31BAE"/>
        </w:tc>
      </w:tr>
    </w:tbl>
    <w:p w14:paraId="5EA2B3F7" w14:textId="62377E6D" w:rsidR="3C8EAFC5" w:rsidRDefault="3C8EAFC5" w:rsidP="73F31BAE">
      <w:pPr>
        <w:jc w:val="both"/>
        <w:rPr>
          <w:rFonts w:ascii="Arial" w:eastAsia="Arial" w:hAnsi="Arial" w:cs="Arial"/>
        </w:rPr>
      </w:pPr>
      <w:proofErr w:type="spellStart"/>
      <w:proofErr w:type="gramStart"/>
      <w:r w:rsidRPr="73F31BAE">
        <w:rPr>
          <w:rFonts w:ascii="Arial" w:eastAsia="Arial" w:hAnsi="Arial" w:cs="Arial"/>
          <w:color w:val="000000" w:themeColor="text1"/>
        </w:rPr>
        <w:t>S.E</w:t>
      </w:r>
      <w:r w:rsidRPr="73F31BAE">
        <w:rPr>
          <w:rFonts w:ascii="Arial" w:eastAsia="Arial" w:hAnsi="Arial" w:cs="Arial"/>
          <w:color w:val="000000" w:themeColor="text1"/>
          <w:vertAlign w:val="subscript"/>
        </w:rPr>
        <w:t>ci</w:t>
      </w:r>
      <w:proofErr w:type="spellEnd"/>
      <w:proofErr w:type="gramEnd"/>
      <w:r w:rsidRPr="73F31BAE">
        <w:rPr>
          <w:rFonts w:ascii="Arial" w:eastAsia="Arial" w:hAnsi="Arial" w:cs="Arial"/>
          <w:color w:val="000000" w:themeColor="text1"/>
        </w:rPr>
        <w:t xml:space="preserve"> =2315.857</w:t>
      </w:r>
      <w:r>
        <w:br/>
      </w:r>
    </w:p>
    <w:p w14:paraId="2DD56684" w14:textId="44C37F46" w:rsidR="3C8EAFC5" w:rsidRDefault="3C8EAFC5" w:rsidP="73F31BAE">
      <w:pPr>
        <w:jc w:val="both"/>
        <w:rPr>
          <w:rFonts w:ascii="Arial" w:eastAsia="Arial" w:hAnsi="Arial" w:cs="Arial"/>
        </w:rPr>
      </w:pPr>
      <w:r w:rsidRPr="73F31BAE">
        <w:rPr>
          <w:rFonts w:ascii="Arial" w:eastAsia="Arial" w:hAnsi="Arial" w:cs="Arial"/>
          <w:color w:val="000000" w:themeColor="text1"/>
        </w:rPr>
        <w:t>Calculating the confidence interval</w:t>
      </w:r>
    </w:p>
    <w:p w14:paraId="556FDD2A" w14:textId="0244248B" w:rsidR="3C8EAFC5" w:rsidRDefault="3C8EAFC5" w:rsidP="73F31BAE">
      <w:pPr>
        <w:jc w:val="both"/>
      </w:pPr>
      <w:r w:rsidRPr="73F31BAE">
        <w:rPr>
          <w:rFonts w:ascii="Arial" w:eastAsia="Arial" w:hAnsi="Arial" w:cs="Arial"/>
          <w:color w:val="000000" w:themeColor="text1"/>
        </w:rPr>
        <w:t>Ŷ   T</w:t>
      </w:r>
      <w:r w:rsidRPr="73F31BAE">
        <w:rPr>
          <w:rFonts w:ascii="Arial" w:eastAsia="Arial" w:hAnsi="Arial" w:cs="Arial"/>
          <w:color w:val="000000" w:themeColor="text1"/>
          <w:vertAlign w:val="subscript"/>
        </w:rPr>
        <w:t>1-α/2</w:t>
      </w:r>
      <w:r w:rsidRPr="73F31BAE">
        <w:rPr>
          <w:rFonts w:ascii="Arial" w:eastAsia="Arial" w:hAnsi="Arial" w:cs="Arial"/>
          <w:color w:val="000000" w:themeColor="text1"/>
        </w:rPr>
        <w:t>(n-2) *</w:t>
      </w:r>
      <w:proofErr w:type="spellStart"/>
      <w:proofErr w:type="gramStart"/>
      <w:r w:rsidRPr="73F31BAE">
        <w:rPr>
          <w:rFonts w:ascii="Arial" w:eastAsia="Arial" w:hAnsi="Arial" w:cs="Arial"/>
          <w:color w:val="000000" w:themeColor="text1"/>
        </w:rPr>
        <w:t>S.E</w:t>
      </w:r>
      <w:r w:rsidRPr="73F31BAE">
        <w:rPr>
          <w:rFonts w:ascii="Arial" w:eastAsia="Arial" w:hAnsi="Arial" w:cs="Arial"/>
          <w:color w:val="000000" w:themeColor="text1"/>
          <w:vertAlign w:val="subscript"/>
        </w:rPr>
        <w:t>ci</w:t>
      </w:r>
      <w:proofErr w:type="spellEnd"/>
      <w:proofErr w:type="gramEnd"/>
      <w:r>
        <w:br/>
      </w:r>
      <w:r w:rsidRPr="73F31BAE">
        <w:rPr>
          <w:rFonts w:ascii="Arial" w:eastAsia="Arial" w:hAnsi="Arial" w:cs="Arial"/>
        </w:rPr>
        <w:t xml:space="preserve"> </w:t>
      </w:r>
      <w:r w:rsidRPr="73F31BAE">
        <w:rPr>
          <w:rFonts w:ascii="Arial" w:eastAsia="Arial" w:hAnsi="Arial" w:cs="Arial"/>
          <w:color w:val="000000" w:themeColor="text1"/>
        </w:rPr>
        <w:t>6970.9734   T</w:t>
      </w:r>
      <w:r w:rsidRPr="73F31BAE">
        <w:rPr>
          <w:rFonts w:ascii="Arial" w:eastAsia="Arial" w:hAnsi="Arial" w:cs="Arial"/>
          <w:color w:val="000000" w:themeColor="text1"/>
          <w:vertAlign w:val="subscript"/>
        </w:rPr>
        <w:t>1-0.05/2</w:t>
      </w:r>
      <w:r w:rsidRPr="73F31BAE">
        <w:rPr>
          <w:rFonts w:ascii="Arial" w:eastAsia="Arial" w:hAnsi="Arial" w:cs="Arial"/>
          <w:color w:val="000000" w:themeColor="text1"/>
        </w:rPr>
        <w:t>(11-2) *</w:t>
      </w:r>
      <w:proofErr w:type="spellStart"/>
      <w:r w:rsidRPr="73F31BAE">
        <w:rPr>
          <w:rFonts w:ascii="Arial" w:eastAsia="Arial" w:hAnsi="Arial" w:cs="Arial"/>
          <w:color w:val="000000" w:themeColor="text1"/>
        </w:rPr>
        <w:t>S.E</w:t>
      </w:r>
      <w:r w:rsidRPr="73F31BAE">
        <w:rPr>
          <w:rFonts w:ascii="Arial" w:eastAsia="Arial" w:hAnsi="Arial" w:cs="Arial"/>
          <w:color w:val="000000" w:themeColor="text1"/>
          <w:vertAlign w:val="subscript"/>
        </w:rPr>
        <w:t>ci</w:t>
      </w:r>
      <w:proofErr w:type="spellEnd"/>
      <w:r>
        <w:br/>
      </w:r>
      <w:r w:rsidRPr="73F31BAE">
        <w:rPr>
          <w:rFonts w:ascii="Arial" w:eastAsia="Arial" w:hAnsi="Arial" w:cs="Arial"/>
        </w:rPr>
        <w:t xml:space="preserve"> </w:t>
      </w:r>
      <w:r w:rsidRPr="73F31BAE">
        <w:rPr>
          <w:rFonts w:ascii="Arial" w:eastAsia="Arial" w:hAnsi="Arial" w:cs="Arial"/>
          <w:color w:val="000000" w:themeColor="text1"/>
        </w:rPr>
        <w:t>6970.9734   2.2622*2315.857</w:t>
      </w:r>
      <w:r>
        <w:br/>
      </w:r>
      <w:r w:rsidRPr="73F31BAE">
        <w:rPr>
          <w:rFonts w:ascii="Arial" w:eastAsia="Arial" w:hAnsi="Arial" w:cs="Arial"/>
        </w:rPr>
        <w:t xml:space="preserve"> </w:t>
      </w:r>
      <w:r w:rsidRPr="73F31BAE">
        <w:rPr>
          <w:rFonts w:ascii="Arial" w:eastAsia="Arial" w:hAnsi="Arial" w:cs="Arial"/>
          <w:color w:val="000000" w:themeColor="text1"/>
        </w:rPr>
        <w:t>6970.9734   5238.8326</w:t>
      </w:r>
    </w:p>
    <w:p w14:paraId="5CE59C39" w14:textId="62289C55" w:rsidR="3C8EAFC5" w:rsidRDefault="3C8EAFC5" w:rsidP="73F31BAE">
      <w:pPr>
        <w:jc w:val="both"/>
        <w:rPr>
          <w:rFonts w:ascii="Arial" w:eastAsia="Arial" w:hAnsi="Arial" w:cs="Arial"/>
          <w:color w:val="000000" w:themeColor="text1"/>
        </w:rPr>
      </w:pPr>
      <w:r w:rsidRPr="73F31BAE">
        <w:rPr>
          <w:rFonts w:ascii="Arial" w:eastAsia="Arial" w:hAnsi="Arial" w:cs="Arial"/>
          <w:color w:val="000000" w:themeColor="text1"/>
          <w:u w:val="single"/>
        </w:rPr>
        <w:t>Prediction Interval</w:t>
      </w:r>
      <w:r>
        <w:br/>
      </w:r>
      <w:r w:rsidRPr="73F31BAE">
        <w:rPr>
          <w:rFonts w:ascii="Arial" w:eastAsia="Arial" w:hAnsi="Arial" w:cs="Arial"/>
        </w:rPr>
        <w:t xml:space="preserve"> </w:t>
      </w:r>
      <w:r w:rsidRPr="73F31BAE">
        <w:rPr>
          <w:rFonts w:ascii="Arial" w:eastAsia="Arial" w:hAnsi="Arial" w:cs="Arial"/>
          <w:color w:val="000000" w:themeColor="text1"/>
        </w:rPr>
        <w:t xml:space="preserve">This is the prediction interval for a </w:t>
      </w:r>
      <w:r w:rsidRPr="73F31BAE">
        <w:rPr>
          <w:rFonts w:ascii="Arial" w:eastAsia="Arial" w:hAnsi="Arial" w:cs="Arial"/>
          <w:b/>
          <w:bCs/>
          <w:color w:val="000000" w:themeColor="text1"/>
        </w:rPr>
        <w:t>specific point value</w:t>
      </w:r>
      <w:r w:rsidRPr="73F31BAE">
        <w:rPr>
          <w:rFonts w:ascii="Arial" w:eastAsia="Arial" w:hAnsi="Arial" w:cs="Arial"/>
          <w:color w:val="000000" w:themeColor="text1"/>
        </w:rPr>
        <w:t xml:space="preserve"> of the dependent variable.</w:t>
      </w:r>
    </w:p>
    <w:p w14:paraId="45B0258D" w14:textId="4A114D89" w:rsidR="73F31BAE" w:rsidRDefault="73F31BAE" w:rsidP="73F31BAE">
      <w:pPr>
        <w:jc w:val="both"/>
        <w:rPr>
          <w:rFonts w:ascii="Arial" w:eastAsia="Arial" w:hAnsi="Arial" w:cs="Arial"/>
          <w:color w:val="000000" w:themeColor="text1"/>
        </w:rPr>
      </w:pPr>
    </w:p>
    <w:p w14:paraId="0261EAB8" w14:textId="79F1231D" w:rsidR="73F31BAE" w:rsidRDefault="73F31BAE" w:rsidP="73F31BAE">
      <w:pPr>
        <w:jc w:val="both"/>
        <w:rPr>
          <w:rFonts w:ascii="Arial" w:eastAsia="Arial" w:hAnsi="Arial" w:cs="Arial"/>
          <w:color w:val="000000" w:themeColor="text1"/>
        </w:rPr>
      </w:pPr>
    </w:p>
    <w:p w14:paraId="79AFA300" w14:textId="56FB12BC" w:rsidR="3C8EAFC5" w:rsidRDefault="3C8EAFC5" w:rsidP="73F31BAE">
      <w:pPr>
        <w:jc w:val="both"/>
        <w:rPr>
          <w:rFonts w:ascii="Arial" w:eastAsia="Arial" w:hAnsi="Arial" w:cs="Arial"/>
        </w:rPr>
      </w:pPr>
      <w:r w:rsidRPr="73F31BAE">
        <w:rPr>
          <w:rFonts w:ascii="Arial" w:eastAsia="Arial" w:hAnsi="Arial" w:cs="Arial"/>
          <w:color w:val="000000" w:themeColor="text1"/>
        </w:rPr>
        <w:lastRenderedPageBreak/>
        <w:t>Calculating the standard error</w:t>
      </w:r>
    </w:p>
    <w:tbl>
      <w:tblPr>
        <w:tblStyle w:val="TableGrid"/>
        <w:tblW w:w="0" w:type="auto"/>
        <w:tblLayout w:type="fixed"/>
        <w:tblLook w:val="06A0" w:firstRow="1" w:lastRow="0" w:firstColumn="1" w:lastColumn="0" w:noHBand="1" w:noVBand="1"/>
      </w:tblPr>
      <w:tblGrid>
        <w:gridCol w:w="1199"/>
        <w:gridCol w:w="236"/>
        <w:gridCol w:w="982"/>
        <w:gridCol w:w="289"/>
        <w:gridCol w:w="838"/>
        <w:gridCol w:w="433"/>
        <w:gridCol w:w="693"/>
        <w:gridCol w:w="578"/>
        <w:gridCol w:w="549"/>
        <w:gridCol w:w="722"/>
        <w:gridCol w:w="404"/>
        <w:gridCol w:w="867"/>
        <w:gridCol w:w="260"/>
        <w:gridCol w:w="1401"/>
      </w:tblGrid>
      <w:tr w:rsidR="73F31BAE" w14:paraId="4B1DB5F0" w14:textId="77777777" w:rsidTr="73F31BAE">
        <w:trPr>
          <w:trHeight w:val="300"/>
        </w:trPr>
        <w:tc>
          <w:tcPr>
            <w:tcW w:w="1343" w:type="dxa"/>
            <w:gridSpan w:val="2"/>
            <w:vMerge w:val="restart"/>
            <w:tcBorders>
              <w:top w:val="single" w:sz="8" w:space="0" w:color="auto"/>
              <w:left w:val="single" w:sz="8" w:space="0" w:color="auto"/>
              <w:bottom w:val="nil"/>
              <w:right w:val="nil"/>
            </w:tcBorders>
            <w:tcMar>
              <w:left w:w="105" w:type="dxa"/>
              <w:right w:w="105" w:type="dxa"/>
            </w:tcMar>
            <w:vAlign w:val="center"/>
          </w:tcPr>
          <w:p w14:paraId="7F388F2B" w14:textId="107E2BE4" w:rsidR="73F31BAE" w:rsidRDefault="73F31BAE" w:rsidP="73F31BAE">
            <w:pPr>
              <w:spacing w:line="360" w:lineRule="auto"/>
              <w:ind w:left="-20" w:right="-20"/>
              <w:jc w:val="both"/>
            </w:pPr>
            <w:r w:rsidRPr="73F31BAE">
              <w:rPr>
                <w:rFonts w:ascii="Arial" w:eastAsia="Arial" w:hAnsi="Arial" w:cs="Arial"/>
                <w:color w:val="000000" w:themeColor="text1"/>
              </w:rPr>
              <w:t xml:space="preserve">S.E </w:t>
            </w:r>
            <w:r w:rsidRPr="73F31BAE">
              <w:rPr>
                <w:rFonts w:ascii="Arial" w:eastAsia="Arial" w:hAnsi="Arial" w:cs="Arial"/>
                <w:color w:val="000000" w:themeColor="text1"/>
                <w:vertAlign w:val="subscript"/>
              </w:rPr>
              <w:t>prediction</w:t>
            </w:r>
            <w:r w:rsidRPr="73F31BAE">
              <w:rPr>
                <w:rFonts w:ascii="Arial" w:eastAsia="Arial" w:hAnsi="Arial" w:cs="Arial"/>
                <w:color w:val="000000" w:themeColor="text1"/>
              </w:rPr>
              <w:t xml:space="preserve"> = S </w:t>
            </w:r>
            <w:r w:rsidRPr="73F31BAE">
              <w:rPr>
                <w:rFonts w:ascii="Arial" w:eastAsia="Arial" w:hAnsi="Arial" w:cs="Arial"/>
                <w:color w:val="000000" w:themeColor="text1"/>
                <w:vertAlign w:val="subscript"/>
              </w:rPr>
              <w:t>residual</w:t>
            </w:r>
          </w:p>
        </w:tc>
        <w:tc>
          <w:tcPr>
            <w:tcW w:w="1271" w:type="dxa"/>
            <w:gridSpan w:val="2"/>
            <w:vMerge w:val="restart"/>
            <w:tcBorders>
              <w:top w:val="single" w:sz="8" w:space="0" w:color="auto"/>
              <w:left w:val="nil"/>
              <w:bottom w:val="nil"/>
              <w:right w:val="nil"/>
            </w:tcBorders>
            <w:tcMar>
              <w:left w:w="105" w:type="dxa"/>
              <w:right w:w="105" w:type="dxa"/>
            </w:tcMar>
            <w:vAlign w:val="center"/>
          </w:tcPr>
          <w:p w14:paraId="4EE4B7A5" w14:textId="3671188C" w:rsidR="73F31BAE" w:rsidRDefault="73F31BAE" w:rsidP="73F31BAE">
            <w:pPr>
              <w:spacing w:line="360" w:lineRule="auto"/>
              <w:ind w:left="-20" w:right="-20"/>
              <w:jc w:val="both"/>
            </w:pPr>
            <w:r w:rsidRPr="73F31BAE">
              <w:rPr>
                <w:rFonts w:ascii="Arial" w:eastAsia="Arial" w:hAnsi="Arial" w:cs="Arial"/>
                <w:color w:val="000000" w:themeColor="text1"/>
              </w:rPr>
              <w:t>(</w:t>
            </w:r>
          </w:p>
        </w:tc>
        <w:tc>
          <w:tcPr>
            <w:tcW w:w="1271" w:type="dxa"/>
            <w:gridSpan w:val="2"/>
            <w:vMerge w:val="restart"/>
            <w:tcBorders>
              <w:top w:val="single" w:sz="8" w:space="0" w:color="auto"/>
              <w:left w:val="nil"/>
              <w:bottom w:val="nil"/>
              <w:right w:val="nil"/>
            </w:tcBorders>
            <w:tcMar>
              <w:left w:w="105" w:type="dxa"/>
              <w:right w:w="105" w:type="dxa"/>
            </w:tcMar>
            <w:vAlign w:val="center"/>
          </w:tcPr>
          <w:p w14:paraId="44219BC0" w14:textId="6BE5CD52" w:rsidR="73F31BAE" w:rsidRDefault="73F31BAE" w:rsidP="73F31BAE">
            <w:pPr>
              <w:spacing w:line="360" w:lineRule="auto"/>
              <w:ind w:left="-20" w:right="-20"/>
              <w:jc w:val="both"/>
            </w:pPr>
            <w:r w:rsidRPr="73F31BAE">
              <w:rPr>
                <w:rFonts w:ascii="Arial" w:eastAsia="Arial" w:hAnsi="Arial" w:cs="Arial"/>
                <w:color w:val="000000" w:themeColor="text1"/>
              </w:rPr>
              <w:t>1+</w:t>
            </w:r>
          </w:p>
        </w:tc>
        <w:tc>
          <w:tcPr>
            <w:tcW w:w="1271" w:type="dxa"/>
            <w:gridSpan w:val="2"/>
            <w:tcBorders>
              <w:top w:val="single" w:sz="8" w:space="0" w:color="auto"/>
              <w:left w:val="nil"/>
              <w:bottom w:val="single" w:sz="8" w:space="0" w:color="343A40"/>
              <w:right w:val="nil"/>
            </w:tcBorders>
            <w:tcMar>
              <w:left w:w="105" w:type="dxa"/>
              <w:right w:w="105" w:type="dxa"/>
            </w:tcMar>
            <w:vAlign w:val="center"/>
          </w:tcPr>
          <w:p w14:paraId="37A2ED66" w14:textId="528FF859" w:rsidR="73F31BAE" w:rsidRDefault="73F31BAE" w:rsidP="73F31BAE">
            <w:pPr>
              <w:spacing w:line="360" w:lineRule="auto"/>
              <w:ind w:left="-20" w:right="-20"/>
              <w:jc w:val="both"/>
            </w:pPr>
            <w:r w:rsidRPr="73F31BAE">
              <w:rPr>
                <w:rFonts w:ascii="Arial" w:eastAsia="Arial" w:hAnsi="Arial" w:cs="Arial"/>
                <w:color w:val="000000" w:themeColor="text1"/>
              </w:rPr>
              <w:t>1</w:t>
            </w:r>
          </w:p>
        </w:tc>
        <w:tc>
          <w:tcPr>
            <w:tcW w:w="1271" w:type="dxa"/>
            <w:gridSpan w:val="2"/>
            <w:vMerge w:val="restart"/>
            <w:tcBorders>
              <w:top w:val="single" w:sz="8" w:space="0" w:color="auto"/>
              <w:left w:val="nil"/>
              <w:bottom w:val="nil"/>
              <w:right w:val="nil"/>
            </w:tcBorders>
            <w:tcMar>
              <w:left w:w="105" w:type="dxa"/>
              <w:right w:w="105" w:type="dxa"/>
            </w:tcMar>
            <w:vAlign w:val="center"/>
          </w:tcPr>
          <w:p w14:paraId="07A8DB39" w14:textId="0990BC71" w:rsidR="73F31BAE" w:rsidRDefault="73F31BAE" w:rsidP="73F31BAE">
            <w:pPr>
              <w:spacing w:line="360" w:lineRule="auto"/>
              <w:ind w:left="-20" w:right="-20"/>
              <w:jc w:val="both"/>
            </w:pPr>
            <w:r w:rsidRPr="73F31BAE">
              <w:rPr>
                <w:rFonts w:ascii="Arial" w:eastAsia="Arial" w:hAnsi="Arial" w:cs="Arial"/>
                <w:color w:val="000000" w:themeColor="text1"/>
              </w:rPr>
              <w:t>+</w:t>
            </w:r>
          </w:p>
        </w:tc>
        <w:tc>
          <w:tcPr>
            <w:tcW w:w="1271" w:type="dxa"/>
            <w:gridSpan w:val="2"/>
            <w:tcBorders>
              <w:top w:val="single" w:sz="8" w:space="0" w:color="auto"/>
              <w:left w:val="nil"/>
              <w:bottom w:val="single" w:sz="8" w:space="0" w:color="343A40"/>
              <w:right w:val="nil"/>
            </w:tcBorders>
            <w:tcMar>
              <w:left w:w="105" w:type="dxa"/>
              <w:right w:w="105" w:type="dxa"/>
            </w:tcMar>
            <w:vAlign w:val="center"/>
          </w:tcPr>
          <w:p w14:paraId="45777F24" w14:textId="56130FA4" w:rsidR="73F31BAE" w:rsidRDefault="73F31BAE" w:rsidP="73F31BAE">
            <w:pPr>
              <w:spacing w:line="360" w:lineRule="auto"/>
              <w:ind w:left="-20" w:right="-20"/>
              <w:jc w:val="both"/>
            </w:pPr>
            <w:r w:rsidRPr="73F31BAE">
              <w:rPr>
                <w:rFonts w:ascii="Arial" w:eastAsia="Arial" w:hAnsi="Arial" w:cs="Arial"/>
                <w:color w:val="000000" w:themeColor="text1"/>
              </w:rPr>
              <w:t xml:space="preserve">(x₀ - x̄)  </w:t>
            </w:r>
          </w:p>
        </w:tc>
        <w:tc>
          <w:tcPr>
            <w:tcW w:w="1661" w:type="dxa"/>
            <w:gridSpan w:val="2"/>
            <w:vMerge w:val="restart"/>
            <w:tcBorders>
              <w:top w:val="single" w:sz="8" w:space="0" w:color="auto"/>
              <w:left w:val="nil"/>
              <w:bottom w:val="nil"/>
              <w:right w:val="single" w:sz="8" w:space="0" w:color="auto"/>
            </w:tcBorders>
            <w:tcMar>
              <w:left w:w="105" w:type="dxa"/>
              <w:right w:w="105" w:type="dxa"/>
            </w:tcMar>
            <w:vAlign w:val="center"/>
          </w:tcPr>
          <w:p w14:paraId="1484205C" w14:textId="29F1DEF4" w:rsidR="73F31BAE" w:rsidRDefault="73F31BAE" w:rsidP="73F31BAE">
            <w:pPr>
              <w:spacing w:line="360" w:lineRule="auto"/>
              <w:ind w:left="-20" w:right="-20"/>
              <w:jc w:val="both"/>
            </w:pPr>
            <w:r w:rsidRPr="73F31BAE">
              <w:rPr>
                <w:rFonts w:ascii="Arial" w:eastAsia="Arial" w:hAnsi="Arial" w:cs="Arial"/>
                <w:color w:val="000000" w:themeColor="text1"/>
              </w:rPr>
              <w:t>)</w:t>
            </w:r>
          </w:p>
        </w:tc>
      </w:tr>
      <w:tr w:rsidR="73F31BAE" w14:paraId="7D9B6A5C" w14:textId="77777777" w:rsidTr="73F31BAE">
        <w:trPr>
          <w:trHeight w:val="300"/>
        </w:trPr>
        <w:tc>
          <w:tcPr>
            <w:tcW w:w="1343" w:type="dxa"/>
            <w:gridSpan w:val="2"/>
            <w:vMerge/>
            <w:tcBorders>
              <w:left w:val="single" w:sz="0" w:space="0" w:color="auto"/>
            </w:tcBorders>
            <w:vAlign w:val="center"/>
          </w:tcPr>
          <w:p w14:paraId="114D9BD0" w14:textId="77777777" w:rsidR="00912F60" w:rsidRDefault="00912F60"/>
        </w:tc>
        <w:tc>
          <w:tcPr>
            <w:tcW w:w="1271" w:type="dxa"/>
            <w:gridSpan w:val="2"/>
            <w:vMerge/>
            <w:tcBorders>
              <w:left w:val="nil"/>
            </w:tcBorders>
            <w:vAlign w:val="center"/>
          </w:tcPr>
          <w:p w14:paraId="6AAE4464" w14:textId="77777777" w:rsidR="00912F60" w:rsidRDefault="00912F60"/>
        </w:tc>
        <w:tc>
          <w:tcPr>
            <w:tcW w:w="1271" w:type="dxa"/>
            <w:gridSpan w:val="2"/>
            <w:vMerge/>
            <w:tcBorders>
              <w:left w:val="nil"/>
            </w:tcBorders>
            <w:vAlign w:val="center"/>
          </w:tcPr>
          <w:p w14:paraId="3694A42B" w14:textId="77777777" w:rsidR="00912F60" w:rsidRDefault="00912F60"/>
        </w:tc>
        <w:tc>
          <w:tcPr>
            <w:tcW w:w="1271" w:type="dxa"/>
            <w:gridSpan w:val="2"/>
            <w:tcBorders>
              <w:top w:val="single" w:sz="8" w:space="0" w:color="343A40"/>
              <w:left w:val="nil"/>
              <w:bottom w:val="nil"/>
              <w:right w:val="nil"/>
            </w:tcBorders>
            <w:tcMar>
              <w:left w:w="105" w:type="dxa"/>
              <w:right w:w="105" w:type="dxa"/>
            </w:tcMar>
            <w:vAlign w:val="center"/>
          </w:tcPr>
          <w:p w14:paraId="4EF790AE" w14:textId="1E714CE2" w:rsidR="73F31BAE" w:rsidRDefault="73F31BAE" w:rsidP="73F31BAE">
            <w:pPr>
              <w:spacing w:line="360" w:lineRule="auto"/>
              <w:ind w:left="-20" w:right="-20"/>
              <w:jc w:val="both"/>
            </w:pPr>
            <w:r w:rsidRPr="73F31BAE">
              <w:rPr>
                <w:rFonts w:ascii="Arial" w:eastAsia="Arial" w:hAnsi="Arial" w:cs="Arial"/>
                <w:color w:val="000000" w:themeColor="text1"/>
              </w:rPr>
              <w:t>n</w:t>
            </w:r>
          </w:p>
        </w:tc>
        <w:tc>
          <w:tcPr>
            <w:tcW w:w="1271" w:type="dxa"/>
            <w:gridSpan w:val="2"/>
            <w:vMerge/>
            <w:tcBorders>
              <w:left w:val="nil"/>
            </w:tcBorders>
            <w:vAlign w:val="center"/>
          </w:tcPr>
          <w:p w14:paraId="05B9A8A9" w14:textId="77777777" w:rsidR="00912F60" w:rsidRDefault="00912F60"/>
        </w:tc>
        <w:tc>
          <w:tcPr>
            <w:tcW w:w="1271" w:type="dxa"/>
            <w:gridSpan w:val="2"/>
            <w:tcBorders>
              <w:top w:val="single" w:sz="8" w:space="0" w:color="343A40"/>
              <w:left w:val="nil"/>
              <w:bottom w:val="nil"/>
              <w:right w:val="nil"/>
            </w:tcBorders>
            <w:tcMar>
              <w:left w:w="105" w:type="dxa"/>
              <w:right w:w="105" w:type="dxa"/>
            </w:tcMar>
            <w:vAlign w:val="center"/>
          </w:tcPr>
          <w:p w14:paraId="42F16D3C" w14:textId="78D30B71" w:rsidR="73F31BAE" w:rsidRDefault="73F31BAE" w:rsidP="73F31BAE">
            <w:pPr>
              <w:spacing w:line="360" w:lineRule="auto"/>
              <w:ind w:left="-20" w:right="-20"/>
              <w:jc w:val="both"/>
            </w:pPr>
            <w:proofErr w:type="spellStart"/>
            <w:r w:rsidRPr="73F31BAE">
              <w:rPr>
                <w:rFonts w:ascii="Arial" w:eastAsia="Arial" w:hAnsi="Arial" w:cs="Arial"/>
                <w:color w:val="000000" w:themeColor="text1"/>
              </w:rPr>
              <w:t>SS</w:t>
            </w:r>
            <w:r w:rsidRPr="73F31BAE">
              <w:rPr>
                <w:rFonts w:ascii="Arial" w:eastAsia="Arial" w:hAnsi="Arial" w:cs="Arial"/>
                <w:color w:val="000000" w:themeColor="text1"/>
                <w:vertAlign w:val="subscript"/>
              </w:rPr>
              <w:t>x</w:t>
            </w:r>
            <w:proofErr w:type="spellEnd"/>
          </w:p>
        </w:tc>
        <w:tc>
          <w:tcPr>
            <w:tcW w:w="1661" w:type="dxa"/>
            <w:gridSpan w:val="2"/>
            <w:vMerge/>
            <w:tcBorders>
              <w:left w:val="nil"/>
              <w:right w:val="single" w:sz="0" w:space="0" w:color="auto"/>
            </w:tcBorders>
            <w:vAlign w:val="center"/>
          </w:tcPr>
          <w:p w14:paraId="2533A719" w14:textId="77777777" w:rsidR="00912F60" w:rsidRDefault="00912F60"/>
        </w:tc>
      </w:tr>
      <w:tr w:rsidR="73F31BAE" w14:paraId="4F844AF2" w14:textId="77777777" w:rsidTr="73F31BAE">
        <w:trPr>
          <w:trHeight w:val="300"/>
        </w:trPr>
        <w:tc>
          <w:tcPr>
            <w:tcW w:w="1199" w:type="dxa"/>
            <w:vMerge w:val="restart"/>
            <w:tcBorders>
              <w:top w:val="nil"/>
              <w:left w:val="single" w:sz="8" w:space="0" w:color="auto"/>
              <w:bottom w:val="single" w:sz="8" w:space="0" w:color="auto"/>
              <w:right w:val="nil"/>
            </w:tcBorders>
            <w:tcMar>
              <w:left w:w="105" w:type="dxa"/>
              <w:right w:w="105" w:type="dxa"/>
            </w:tcMar>
            <w:vAlign w:val="center"/>
          </w:tcPr>
          <w:p w14:paraId="439E6734" w14:textId="7902A762" w:rsidR="73F31BAE" w:rsidRDefault="73F31BAE" w:rsidP="73F31BAE">
            <w:pPr>
              <w:spacing w:line="360" w:lineRule="auto"/>
              <w:ind w:left="-20" w:right="-20"/>
              <w:jc w:val="both"/>
            </w:pPr>
            <w:r w:rsidRPr="73F31BAE">
              <w:rPr>
                <w:rFonts w:ascii="Arial" w:eastAsia="Arial" w:hAnsi="Arial" w:cs="Arial"/>
                <w:color w:val="000000" w:themeColor="text1"/>
              </w:rPr>
              <w:t xml:space="preserve">S.E </w:t>
            </w:r>
            <w:r w:rsidRPr="73F31BAE">
              <w:rPr>
                <w:rFonts w:ascii="Arial" w:eastAsia="Arial" w:hAnsi="Arial" w:cs="Arial"/>
                <w:color w:val="000000" w:themeColor="text1"/>
                <w:vertAlign w:val="subscript"/>
              </w:rPr>
              <w:t>prediction</w:t>
            </w:r>
            <w:r w:rsidRPr="73F31BAE">
              <w:rPr>
                <w:rFonts w:ascii="Arial" w:eastAsia="Arial" w:hAnsi="Arial" w:cs="Arial"/>
                <w:color w:val="000000" w:themeColor="text1"/>
              </w:rPr>
              <w:t xml:space="preserve"> = 584.0054 </w:t>
            </w:r>
          </w:p>
        </w:tc>
        <w:tc>
          <w:tcPr>
            <w:tcW w:w="1126" w:type="dxa"/>
            <w:gridSpan w:val="2"/>
            <w:vMerge w:val="restart"/>
            <w:tcBorders>
              <w:top w:val="nil"/>
              <w:left w:val="nil"/>
              <w:bottom w:val="single" w:sz="8" w:space="0" w:color="auto"/>
              <w:right w:val="nil"/>
            </w:tcBorders>
            <w:tcMar>
              <w:left w:w="105" w:type="dxa"/>
              <w:right w:w="105" w:type="dxa"/>
            </w:tcMar>
            <w:vAlign w:val="center"/>
          </w:tcPr>
          <w:p w14:paraId="7F3FCE0D" w14:textId="32524D75" w:rsidR="73F31BAE" w:rsidRDefault="73F31BAE" w:rsidP="73F31BAE">
            <w:pPr>
              <w:spacing w:line="360" w:lineRule="auto"/>
              <w:ind w:left="-20" w:right="-20"/>
              <w:jc w:val="both"/>
            </w:pPr>
            <w:r w:rsidRPr="73F31BAE">
              <w:rPr>
                <w:rFonts w:ascii="Arial" w:eastAsia="Arial" w:hAnsi="Arial" w:cs="Arial"/>
                <w:color w:val="000000" w:themeColor="text1"/>
              </w:rPr>
              <w:t>(</w:t>
            </w:r>
          </w:p>
        </w:tc>
        <w:tc>
          <w:tcPr>
            <w:tcW w:w="1127" w:type="dxa"/>
            <w:gridSpan w:val="2"/>
            <w:vMerge w:val="restart"/>
            <w:tcBorders>
              <w:top w:val="nil"/>
              <w:left w:val="nil"/>
              <w:bottom w:val="single" w:sz="8" w:space="0" w:color="auto"/>
              <w:right w:val="nil"/>
            </w:tcBorders>
            <w:tcMar>
              <w:left w:w="105" w:type="dxa"/>
              <w:right w:w="105" w:type="dxa"/>
            </w:tcMar>
            <w:vAlign w:val="center"/>
          </w:tcPr>
          <w:p w14:paraId="645039B1" w14:textId="3BB6FA91" w:rsidR="73F31BAE" w:rsidRDefault="73F31BAE" w:rsidP="73F31BAE">
            <w:pPr>
              <w:spacing w:line="360" w:lineRule="auto"/>
              <w:ind w:left="-20" w:right="-20"/>
              <w:jc w:val="both"/>
            </w:pPr>
            <w:r w:rsidRPr="73F31BAE">
              <w:rPr>
                <w:rFonts w:ascii="Arial" w:eastAsia="Arial" w:hAnsi="Arial" w:cs="Arial"/>
                <w:color w:val="000000" w:themeColor="text1"/>
              </w:rPr>
              <w:t>1+</w:t>
            </w:r>
          </w:p>
        </w:tc>
        <w:tc>
          <w:tcPr>
            <w:tcW w:w="1126" w:type="dxa"/>
            <w:gridSpan w:val="2"/>
            <w:tcBorders>
              <w:top w:val="nil"/>
              <w:left w:val="nil"/>
              <w:bottom w:val="single" w:sz="8" w:space="0" w:color="343A40"/>
              <w:right w:val="nil"/>
            </w:tcBorders>
            <w:tcMar>
              <w:left w:w="105" w:type="dxa"/>
              <w:right w:w="105" w:type="dxa"/>
            </w:tcMar>
            <w:vAlign w:val="center"/>
          </w:tcPr>
          <w:p w14:paraId="37C97D09" w14:textId="2ABA5F06" w:rsidR="73F31BAE" w:rsidRDefault="73F31BAE" w:rsidP="73F31BAE">
            <w:pPr>
              <w:spacing w:line="360" w:lineRule="auto"/>
              <w:ind w:left="-20" w:right="-20"/>
              <w:jc w:val="both"/>
            </w:pPr>
            <w:r w:rsidRPr="73F31BAE">
              <w:rPr>
                <w:rFonts w:ascii="Arial" w:eastAsia="Arial" w:hAnsi="Arial" w:cs="Arial"/>
                <w:color w:val="000000" w:themeColor="text1"/>
              </w:rPr>
              <w:t>1</w:t>
            </w:r>
          </w:p>
        </w:tc>
        <w:tc>
          <w:tcPr>
            <w:tcW w:w="1127" w:type="dxa"/>
            <w:gridSpan w:val="2"/>
            <w:vMerge w:val="restart"/>
            <w:tcBorders>
              <w:top w:val="nil"/>
              <w:left w:val="nil"/>
              <w:bottom w:val="single" w:sz="8" w:space="0" w:color="auto"/>
              <w:right w:val="nil"/>
            </w:tcBorders>
            <w:tcMar>
              <w:left w:w="105" w:type="dxa"/>
              <w:right w:w="105" w:type="dxa"/>
            </w:tcMar>
            <w:vAlign w:val="center"/>
          </w:tcPr>
          <w:p w14:paraId="6431E132" w14:textId="41D0F046" w:rsidR="73F31BAE" w:rsidRDefault="73F31BAE" w:rsidP="73F31BAE">
            <w:pPr>
              <w:spacing w:line="360" w:lineRule="auto"/>
              <w:ind w:left="-20" w:right="-20"/>
              <w:jc w:val="both"/>
            </w:pPr>
            <w:r w:rsidRPr="73F31BAE">
              <w:rPr>
                <w:rFonts w:ascii="Arial" w:eastAsia="Arial" w:hAnsi="Arial" w:cs="Arial"/>
                <w:color w:val="000000" w:themeColor="text1"/>
              </w:rPr>
              <w:t>+</w:t>
            </w:r>
          </w:p>
        </w:tc>
        <w:tc>
          <w:tcPr>
            <w:tcW w:w="1126" w:type="dxa"/>
            <w:gridSpan w:val="2"/>
            <w:tcBorders>
              <w:top w:val="nil"/>
              <w:left w:val="nil"/>
              <w:bottom w:val="single" w:sz="8" w:space="0" w:color="343A40"/>
              <w:right w:val="nil"/>
            </w:tcBorders>
            <w:tcMar>
              <w:left w:w="105" w:type="dxa"/>
              <w:right w:w="105" w:type="dxa"/>
            </w:tcMar>
            <w:vAlign w:val="center"/>
          </w:tcPr>
          <w:p w14:paraId="2AA2AA7D" w14:textId="2E2F0FD7" w:rsidR="73F31BAE" w:rsidRDefault="73F31BAE" w:rsidP="73F31BAE">
            <w:pPr>
              <w:spacing w:line="360" w:lineRule="auto"/>
              <w:ind w:left="-20" w:right="-20"/>
              <w:jc w:val="both"/>
            </w:pPr>
            <w:r w:rsidRPr="73F31BAE">
              <w:rPr>
                <w:rFonts w:ascii="Arial" w:eastAsia="Arial" w:hAnsi="Arial" w:cs="Arial"/>
                <w:color w:val="000000" w:themeColor="text1"/>
              </w:rPr>
              <w:t xml:space="preserve">(7 - 2.1455)  </w:t>
            </w:r>
          </w:p>
        </w:tc>
        <w:tc>
          <w:tcPr>
            <w:tcW w:w="1127" w:type="dxa"/>
            <w:gridSpan w:val="2"/>
            <w:vMerge w:val="restart"/>
            <w:tcBorders>
              <w:top w:val="nil"/>
              <w:left w:val="nil"/>
              <w:bottom w:val="single" w:sz="8" w:space="0" w:color="auto"/>
              <w:right w:val="nil"/>
            </w:tcBorders>
            <w:tcMar>
              <w:left w:w="105" w:type="dxa"/>
              <w:right w:w="105" w:type="dxa"/>
            </w:tcMar>
            <w:vAlign w:val="center"/>
          </w:tcPr>
          <w:p w14:paraId="7E63E3EF" w14:textId="0BD36141" w:rsidR="73F31BAE" w:rsidRDefault="73F31BAE" w:rsidP="73F31BAE">
            <w:pPr>
              <w:spacing w:line="360" w:lineRule="auto"/>
              <w:ind w:left="-20" w:right="-20"/>
              <w:jc w:val="both"/>
            </w:pPr>
            <w:r w:rsidRPr="73F31BAE">
              <w:rPr>
                <w:rFonts w:ascii="Arial" w:eastAsia="Arial" w:hAnsi="Arial" w:cs="Arial"/>
                <w:color w:val="000000" w:themeColor="text1"/>
              </w:rPr>
              <w:t>)</w:t>
            </w:r>
          </w:p>
        </w:tc>
        <w:tc>
          <w:tcPr>
            <w:tcW w:w="1401" w:type="dxa"/>
            <w:vMerge w:val="restart"/>
            <w:tcBorders>
              <w:top w:val="nil"/>
              <w:left w:val="nil"/>
              <w:bottom w:val="single" w:sz="8" w:space="0" w:color="auto"/>
              <w:right w:val="single" w:sz="8" w:space="0" w:color="auto"/>
            </w:tcBorders>
            <w:tcMar>
              <w:left w:w="105" w:type="dxa"/>
              <w:right w:w="105" w:type="dxa"/>
            </w:tcMar>
            <w:vAlign w:val="center"/>
          </w:tcPr>
          <w:p w14:paraId="3EA08147" w14:textId="7348388D" w:rsidR="73F31BAE" w:rsidRDefault="73F31BAE" w:rsidP="73F31BAE">
            <w:pPr>
              <w:spacing w:line="360" w:lineRule="auto"/>
              <w:ind w:left="-20" w:right="-20"/>
              <w:jc w:val="both"/>
            </w:pPr>
            <w:r w:rsidRPr="73F31BAE">
              <w:rPr>
                <w:rFonts w:ascii="Arial" w:eastAsia="Arial" w:hAnsi="Arial" w:cs="Arial"/>
                <w:color w:val="000000" w:themeColor="text1"/>
              </w:rPr>
              <w:t xml:space="preserve">=2388.3584 </w:t>
            </w:r>
          </w:p>
        </w:tc>
      </w:tr>
      <w:tr w:rsidR="73F31BAE" w14:paraId="49AF18F7" w14:textId="77777777" w:rsidTr="73F31BAE">
        <w:trPr>
          <w:trHeight w:val="300"/>
        </w:trPr>
        <w:tc>
          <w:tcPr>
            <w:tcW w:w="1199" w:type="dxa"/>
            <w:vMerge/>
            <w:tcBorders>
              <w:left w:val="single" w:sz="0" w:space="0" w:color="auto"/>
              <w:bottom w:val="single" w:sz="0" w:space="0" w:color="auto"/>
            </w:tcBorders>
            <w:vAlign w:val="center"/>
          </w:tcPr>
          <w:p w14:paraId="67079AD4" w14:textId="77777777" w:rsidR="00912F60" w:rsidRDefault="00912F60"/>
        </w:tc>
        <w:tc>
          <w:tcPr>
            <w:tcW w:w="1126" w:type="dxa"/>
            <w:gridSpan w:val="2"/>
            <w:vMerge/>
            <w:tcBorders>
              <w:left w:val="nil"/>
              <w:bottom w:val="single" w:sz="0" w:space="0" w:color="auto"/>
            </w:tcBorders>
            <w:vAlign w:val="center"/>
          </w:tcPr>
          <w:p w14:paraId="4630EE83" w14:textId="77777777" w:rsidR="00912F60" w:rsidRDefault="00912F60"/>
        </w:tc>
        <w:tc>
          <w:tcPr>
            <w:tcW w:w="1127" w:type="dxa"/>
            <w:gridSpan w:val="2"/>
            <w:vMerge/>
            <w:tcBorders>
              <w:left w:val="nil"/>
              <w:bottom w:val="single" w:sz="0" w:space="0" w:color="auto"/>
            </w:tcBorders>
            <w:vAlign w:val="center"/>
          </w:tcPr>
          <w:p w14:paraId="246A0956" w14:textId="77777777" w:rsidR="00912F60" w:rsidRDefault="00912F60"/>
        </w:tc>
        <w:tc>
          <w:tcPr>
            <w:tcW w:w="1126" w:type="dxa"/>
            <w:gridSpan w:val="2"/>
            <w:tcBorders>
              <w:top w:val="single" w:sz="8" w:space="0" w:color="343A40"/>
              <w:left w:val="nil"/>
              <w:bottom w:val="single" w:sz="8" w:space="0" w:color="343A40"/>
              <w:right w:val="nil"/>
            </w:tcBorders>
            <w:tcMar>
              <w:left w:w="105" w:type="dxa"/>
              <w:right w:w="105" w:type="dxa"/>
            </w:tcMar>
            <w:vAlign w:val="center"/>
          </w:tcPr>
          <w:p w14:paraId="7E7E3335" w14:textId="756A64FB" w:rsidR="73F31BAE" w:rsidRDefault="73F31BAE" w:rsidP="73F31BAE">
            <w:pPr>
              <w:spacing w:line="360" w:lineRule="auto"/>
              <w:ind w:left="-20" w:right="-20"/>
              <w:jc w:val="both"/>
            </w:pPr>
            <w:r w:rsidRPr="73F31BAE">
              <w:rPr>
                <w:rFonts w:ascii="Arial" w:eastAsia="Arial" w:hAnsi="Arial" w:cs="Arial"/>
                <w:color w:val="000000" w:themeColor="text1"/>
              </w:rPr>
              <w:t>11</w:t>
            </w:r>
          </w:p>
        </w:tc>
        <w:tc>
          <w:tcPr>
            <w:tcW w:w="1127" w:type="dxa"/>
            <w:gridSpan w:val="2"/>
            <w:vMerge/>
            <w:tcBorders>
              <w:left w:val="nil"/>
              <w:bottom w:val="single" w:sz="0" w:space="0" w:color="auto"/>
            </w:tcBorders>
            <w:vAlign w:val="center"/>
          </w:tcPr>
          <w:p w14:paraId="632A645B" w14:textId="77777777" w:rsidR="00912F60" w:rsidRDefault="00912F60"/>
        </w:tc>
        <w:tc>
          <w:tcPr>
            <w:tcW w:w="1126" w:type="dxa"/>
            <w:gridSpan w:val="2"/>
            <w:tcBorders>
              <w:top w:val="single" w:sz="8" w:space="0" w:color="343A40"/>
              <w:left w:val="nil"/>
              <w:bottom w:val="single" w:sz="8" w:space="0" w:color="343A40"/>
              <w:right w:val="nil"/>
            </w:tcBorders>
            <w:tcMar>
              <w:left w:w="105" w:type="dxa"/>
              <w:right w:w="105" w:type="dxa"/>
            </w:tcMar>
            <w:vAlign w:val="center"/>
          </w:tcPr>
          <w:p w14:paraId="0E1ADC1A" w14:textId="03C8A072" w:rsidR="73F31BAE" w:rsidRDefault="73F31BAE" w:rsidP="73F31BAE">
            <w:pPr>
              <w:spacing w:line="360" w:lineRule="auto"/>
              <w:ind w:left="-20" w:right="-20"/>
              <w:jc w:val="both"/>
            </w:pPr>
            <w:r w:rsidRPr="73F31BAE">
              <w:rPr>
                <w:rFonts w:ascii="Arial" w:eastAsia="Arial" w:hAnsi="Arial" w:cs="Arial"/>
                <w:color w:val="000000" w:themeColor="text1"/>
              </w:rPr>
              <w:t>49.6273</w:t>
            </w:r>
          </w:p>
        </w:tc>
        <w:tc>
          <w:tcPr>
            <w:tcW w:w="1127" w:type="dxa"/>
            <w:gridSpan w:val="2"/>
            <w:vMerge/>
            <w:tcBorders>
              <w:left w:val="nil"/>
              <w:bottom w:val="single" w:sz="0" w:space="0" w:color="auto"/>
            </w:tcBorders>
            <w:vAlign w:val="center"/>
          </w:tcPr>
          <w:p w14:paraId="2D8E5EAA" w14:textId="77777777" w:rsidR="00912F60" w:rsidRDefault="00912F60"/>
        </w:tc>
        <w:tc>
          <w:tcPr>
            <w:tcW w:w="1401" w:type="dxa"/>
            <w:vMerge/>
            <w:tcBorders>
              <w:left w:val="nil"/>
              <w:bottom w:val="single" w:sz="0" w:space="0" w:color="auto"/>
              <w:right w:val="single" w:sz="0" w:space="0" w:color="auto"/>
            </w:tcBorders>
            <w:vAlign w:val="center"/>
          </w:tcPr>
          <w:p w14:paraId="30E41D33" w14:textId="77777777" w:rsidR="00912F60" w:rsidRDefault="00912F60"/>
        </w:tc>
      </w:tr>
      <w:tr w:rsidR="73F31BAE" w14:paraId="7F5DBDF2" w14:textId="77777777" w:rsidTr="73F31BAE">
        <w:trPr>
          <w:trHeight w:val="300"/>
        </w:trPr>
        <w:tc>
          <w:tcPr>
            <w:tcW w:w="1199" w:type="dxa"/>
            <w:tcBorders>
              <w:top w:val="nil"/>
              <w:left w:val="nil"/>
              <w:bottom w:val="nil"/>
              <w:right w:val="nil"/>
            </w:tcBorders>
            <w:vAlign w:val="center"/>
          </w:tcPr>
          <w:p w14:paraId="38ABEAA3" w14:textId="033240DA" w:rsidR="73F31BAE" w:rsidRDefault="73F31BAE"/>
        </w:tc>
        <w:tc>
          <w:tcPr>
            <w:tcW w:w="144" w:type="dxa"/>
            <w:tcBorders>
              <w:top w:val="nil"/>
              <w:left w:val="nil"/>
              <w:bottom w:val="nil"/>
              <w:right w:val="nil"/>
            </w:tcBorders>
            <w:vAlign w:val="center"/>
          </w:tcPr>
          <w:p w14:paraId="254A8494" w14:textId="35A778F9" w:rsidR="73F31BAE" w:rsidRDefault="73F31BAE"/>
        </w:tc>
        <w:tc>
          <w:tcPr>
            <w:tcW w:w="982" w:type="dxa"/>
            <w:tcBorders>
              <w:top w:val="nil"/>
              <w:left w:val="nil"/>
              <w:bottom w:val="nil"/>
              <w:right w:val="nil"/>
            </w:tcBorders>
            <w:vAlign w:val="center"/>
          </w:tcPr>
          <w:p w14:paraId="7020F703" w14:textId="7A4C8A9C" w:rsidR="73F31BAE" w:rsidRDefault="73F31BAE"/>
        </w:tc>
        <w:tc>
          <w:tcPr>
            <w:tcW w:w="289" w:type="dxa"/>
            <w:tcBorders>
              <w:top w:val="nil"/>
              <w:left w:val="nil"/>
              <w:bottom w:val="nil"/>
              <w:right w:val="nil"/>
            </w:tcBorders>
            <w:vAlign w:val="center"/>
          </w:tcPr>
          <w:p w14:paraId="2D0C612C" w14:textId="089DB9CF" w:rsidR="73F31BAE" w:rsidRDefault="73F31BAE"/>
        </w:tc>
        <w:tc>
          <w:tcPr>
            <w:tcW w:w="838" w:type="dxa"/>
            <w:tcBorders>
              <w:top w:val="nil"/>
              <w:left w:val="nil"/>
              <w:bottom w:val="nil"/>
              <w:right w:val="nil"/>
            </w:tcBorders>
            <w:vAlign w:val="center"/>
          </w:tcPr>
          <w:p w14:paraId="48EB51EC" w14:textId="49CF916F" w:rsidR="73F31BAE" w:rsidRDefault="73F31BAE"/>
        </w:tc>
        <w:tc>
          <w:tcPr>
            <w:tcW w:w="433" w:type="dxa"/>
            <w:tcBorders>
              <w:top w:val="single" w:sz="8" w:space="0" w:color="343A40"/>
              <w:left w:val="nil"/>
              <w:bottom w:val="nil"/>
              <w:right w:val="nil"/>
            </w:tcBorders>
            <w:vAlign w:val="center"/>
          </w:tcPr>
          <w:p w14:paraId="103866B7" w14:textId="379F6E4C" w:rsidR="73F31BAE" w:rsidRDefault="73F31BAE"/>
        </w:tc>
        <w:tc>
          <w:tcPr>
            <w:tcW w:w="693" w:type="dxa"/>
            <w:tcBorders>
              <w:top w:val="nil"/>
              <w:left w:val="nil"/>
              <w:bottom w:val="nil"/>
              <w:right w:val="nil"/>
            </w:tcBorders>
            <w:vAlign w:val="center"/>
          </w:tcPr>
          <w:p w14:paraId="15E8443F" w14:textId="3D5A16E2" w:rsidR="73F31BAE" w:rsidRDefault="73F31BAE"/>
        </w:tc>
        <w:tc>
          <w:tcPr>
            <w:tcW w:w="578" w:type="dxa"/>
            <w:tcBorders>
              <w:top w:val="nil"/>
              <w:left w:val="nil"/>
              <w:bottom w:val="nil"/>
              <w:right w:val="nil"/>
            </w:tcBorders>
            <w:vAlign w:val="center"/>
          </w:tcPr>
          <w:p w14:paraId="13441178" w14:textId="3B5D7D7B" w:rsidR="73F31BAE" w:rsidRDefault="73F31BAE"/>
        </w:tc>
        <w:tc>
          <w:tcPr>
            <w:tcW w:w="549" w:type="dxa"/>
            <w:tcBorders>
              <w:top w:val="nil"/>
              <w:left w:val="nil"/>
              <w:bottom w:val="nil"/>
              <w:right w:val="nil"/>
            </w:tcBorders>
            <w:vAlign w:val="center"/>
          </w:tcPr>
          <w:p w14:paraId="5B6F813C" w14:textId="4027C6CB" w:rsidR="73F31BAE" w:rsidRDefault="73F31BAE"/>
        </w:tc>
        <w:tc>
          <w:tcPr>
            <w:tcW w:w="722" w:type="dxa"/>
            <w:tcBorders>
              <w:top w:val="single" w:sz="8" w:space="0" w:color="343A40"/>
              <w:left w:val="nil"/>
              <w:bottom w:val="nil"/>
              <w:right w:val="nil"/>
            </w:tcBorders>
            <w:vAlign w:val="center"/>
          </w:tcPr>
          <w:p w14:paraId="6E0C6AE7" w14:textId="3A852A14" w:rsidR="73F31BAE" w:rsidRDefault="73F31BAE"/>
        </w:tc>
        <w:tc>
          <w:tcPr>
            <w:tcW w:w="404" w:type="dxa"/>
            <w:tcBorders>
              <w:top w:val="nil"/>
              <w:left w:val="nil"/>
              <w:bottom w:val="nil"/>
              <w:right w:val="nil"/>
            </w:tcBorders>
            <w:vAlign w:val="center"/>
          </w:tcPr>
          <w:p w14:paraId="607A3DF6" w14:textId="62263C44" w:rsidR="73F31BAE" w:rsidRDefault="73F31BAE"/>
        </w:tc>
        <w:tc>
          <w:tcPr>
            <w:tcW w:w="867" w:type="dxa"/>
            <w:tcBorders>
              <w:top w:val="nil"/>
              <w:left w:val="nil"/>
              <w:bottom w:val="nil"/>
              <w:right w:val="nil"/>
            </w:tcBorders>
            <w:vAlign w:val="center"/>
          </w:tcPr>
          <w:p w14:paraId="4CE7BF9D" w14:textId="702066B9" w:rsidR="73F31BAE" w:rsidRDefault="73F31BAE"/>
        </w:tc>
        <w:tc>
          <w:tcPr>
            <w:tcW w:w="260" w:type="dxa"/>
            <w:tcBorders>
              <w:top w:val="nil"/>
              <w:left w:val="nil"/>
              <w:bottom w:val="nil"/>
              <w:right w:val="nil"/>
            </w:tcBorders>
            <w:vAlign w:val="center"/>
          </w:tcPr>
          <w:p w14:paraId="26AA6638" w14:textId="6D8BBB0C" w:rsidR="73F31BAE" w:rsidRDefault="73F31BAE"/>
        </w:tc>
        <w:tc>
          <w:tcPr>
            <w:tcW w:w="1401" w:type="dxa"/>
            <w:tcBorders>
              <w:top w:val="nil"/>
              <w:left w:val="nil"/>
              <w:bottom w:val="nil"/>
              <w:right w:val="nil"/>
            </w:tcBorders>
            <w:vAlign w:val="center"/>
          </w:tcPr>
          <w:p w14:paraId="1A31FC71" w14:textId="1F59BB96" w:rsidR="73F31BAE" w:rsidRDefault="73F31BAE"/>
        </w:tc>
      </w:tr>
    </w:tbl>
    <w:p w14:paraId="467C087A" w14:textId="394EB994" w:rsidR="50F34286" w:rsidRDefault="50F34286" w:rsidP="73F31BAE">
      <w:pPr>
        <w:jc w:val="both"/>
      </w:pPr>
      <w:proofErr w:type="spellStart"/>
      <w:proofErr w:type="gramStart"/>
      <w:r w:rsidRPr="73F31BAE">
        <w:rPr>
          <w:rFonts w:ascii="Arial" w:eastAsia="Arial" w:hAnsi="Arial" w:cs="Arial"/>
          <w:color w:val="000000" w:themeColor="text1"/>
        </w:rPr>
        <w:t>S.E</w:t>
      </w:r>
      <w:r w:rsidRPr="73F31BAE">
        <w:rPr>
          <w:rFonts w:ascii="Arial" w:eastAsia="Arial" w:hAnsi="Arial" w:cs="Arial"/>
          <w:color w:val="000000" w:themeColor="text1"/>
          <w:vertAlign w:val="subscript"/>
        </w:rPr>
        <w:t>prediction</w:t>
      </w:r>
      <w:proofErr w:type="spellEnd"/>
      <w:proofErr w:type="gramEnd"/>
      <w:r w:rsidRPr="73F31BAE">
        <w:rPr>
          <w:rFonts w:ascii="Arial" w:eastAsia="Arial" w:hAnsi="Arial" w:cs="Arial"/>
          <w:color w:val="000000" w:themeColor="text1"/>
        </w:rPr>
        <w:t xml:space="preserve"> = 2388.3584</w:t>
      </w:r>
    </w:p>
    <w:p w14:paraId="3A68CC6F" w14:textId="70ABC64E" w:rsidR="50F34286" w:rsidRDefault="50F34286" w:rsidP="73F31BAE">
      <w:pPr>
        <w:jc w:val="both"/>
      </w:pPr>
      <w:r w:rsidRPr="73F31BAE">
        <w:rPr>
          <w:rFonts w:ascii="Arial" w:eastAsia="Arial" w:hAnsi="Arial" w:cs="Arial"/>
          <w:color w:val="000000" w:themeColor="text1"/>
        </w:rPr>
        <w:t>Calculating the prediction interval</w:t>
      </w:r>
    </w:p>
    <w:p w14:paraId="3D9D2D20" w14:textId="35481D84" w:rsidR="50F34286" w:rsidRDefault="50F34286" w:rsidP="73F31BAE">
      <w:pPr>
        <w:spacing w:line="360" w:lineRule="auto"/>
        <w:ind w:left="-7"/>
        <w:jc w:val="both"/>
        <w:rPr>
          <w:rFonts w:ascii="Arial" w:eastAsia="Arial" w:hAnsi="Arial" w:cs="Arial"/>
          <w:color w:val="000000" w:themeColor="text1"/>
        </w:rPr>
      </w:pPr>
      <w:r w:rsidRPr="73F31BAE">
        <w:rPr>
          <w:rFonts w:ascii="Arial" w:eastAsia="Arial" w:hAnsi="Arial" w:cs="Arial"/>
          <w:color w:val="000000" w:themeColor="text1"/>
        </w:rPr>
        <w:t>Ŷ   T</w:t>
      </w:r>
      <w:r w:rsidRPr="73F31BAE">
        <w:rPr>
          <w:rFonts w:ascii="Arial" w:eastAsia="Arial" w:hAnsi="Arial" w:cs="Arial"/>
          <w:color w:val="000000" w:themeColor="text1"/>
          <w:vertAlign w:val="subscript"/>
        </w:rPr>
        <w:t>1-α/2</w:t>
      </w:r>
      <w:r w:rsidRPr="73F31BAE">
        <w:rPr>
          <w:rFonts w:ascii="Arial" w:eastAsia="Arial" w:hAnsi="Arial" w:cs="Arial"/>
          <w:color w:val="000000" w:themeColor="text1"/>
        </w:rPr>
        <w:t>(n-2) *</w:t>
      </w:r>
      <w:proofErr w:type="spellStart"/>
      <w:proofErr w:type="gramStart"/>
      <w:r w:rsidRPr="73F31BAE">
        <w:rPr>
          <w:rFonts w:ascii="Arial" w:eastAsia="Arial" w:hAnsi="Arial" w:cs="Arial"/>
          <w:color w:val="000000" w:themeColor="text1"/>
        </w:rPr>
        <w:t>S.E</w:t>
      </w:r>
      <w:r w:rsidRPr="73F31BAE">
        <w:rPr>
          <w:rFonts w:ascii="Arial" w:eastAsia="Arial" w:hAnsi="Arial" w:cs="Arial"/>
          <w:color w:val="000000" w:themeColor="text1"/>
          <w:vertAlign w:val="subscript"/>
        </w:rPr>
        <w:t>prediction</w:t>
      </w:r>
      <w:proofErr w:type="spellEnd"/>
      <w:proofErr w:type="gramEnd"/>
      <w:r>
        <w:br/>
      </w:r>
      <w:r w:rsidRPr="73F31BAE">
        <w:rPr>
          <w:rFonts w:ascii="Arial" w:eastAsia="Arial" w:hAnsi="Arial" w:cs="Arial"/>
        </w:rPr>
        <w:t xml:space="preserve"> </w:t>
      </w:r>
      <w:r w:rsidRPr="73F31BAE">
        <w:rPr>
          <w:rFonts w:ascii="Arial" w:eastAsia="Arial" w:hAnsi="Arial" w:cs="Arial"/>
          <w:color w:val="000000" w:themeColor="text1"/>
        </w:rPr>
        <w:t>6970.9734   T</w:t>
      </w:r>
      <w:r w:rsidRPr="73F31BAE">
        <w:rPr>
          <w:rFonts w:ascii="Arial" w:eastAsia="Arial" w:hAnsi="Arial" w:cs="Arial"/>
          <w:color w:val="000000" w:themeColor="text1"/>
          <w:vertAlign w:val="subscript"/>
        </w:rPr>
        <w:t>1-0.05/2</w:t>
      </w:r>
      <w:r w:rsidRPr="73F31BAE">
        <w:rPr>
          <w:rFonts w:ascii="Arial" w:eastAsia="Arial" w:hAnsi="Arial" w:cs="Arial"/>
          <w:color w:val="000000" w:themeColor="text1"/>
        </w:rPr>
        <w:t>(11-2) *</w:t>
      </w:r>
      <w:proofErr w:type="spellStart"/>
      <w:r w:rsidRPr="73F31BAE">
        <w:rPr>
          <w:rFonts w:ascii="Arial" w:eastAsia="Arial" w:hAnsi="Arial" w:cs="Arial"/>
          <w:color w:val="000000" w:themeColor="text1"/>
        </w:rPr>
        <w:t>S.E</w:t>
      </w:r>
      <w:r w:rsidRPr="73F31BAE">
        <w:rPr>
          <w:rFonts w:ascii="Arial" w:eastAsia="Arial" w:hAnsi="Arial" w:cs="Arial"/>
          <w:color w:val="000000" w:themeColor="text1"/>
          <w:vertAlign w:val="subscript"/>
        </w:rPr>
        <w:t>prediction</w:t>
      </w:r>
      <w:proofErr w:type="spellEnd"/>
      <w:r>
        <w:br/>
      </w:r>
      <w:r w:rsidRPr="73F31BAE">
        <w:rPr>
          <w:rFonts w:ascii="Arial" w:eastAsia="Arial" w:hAnsi="Arial" w:cs="Arial"/>
        </w:rPr>
        <w:t xml:space="preserve"> </w:t>
      </w:r>
      <w:r w:rsidRPr="73F31BAE">
        <w:rPr>
          <w:rFonts w:ascii="Arial" w:eastAsia="Arial" w:hAnsi="Arial" w:cs="Arial"/>
          <w:color w:val="000000" w:themeColor="text1"/>
        </w:rPr>
        <w:t>6970.9734   2.2622*2388.3584</w:t>
      </w:r>
      <w:r>
        <w:br/>
      </w:r>
      <w:r w:rsidRPr="73F31BAE">
        <w:rPr>
          <w:rFonts w:ascii="Arial" w:eastAsia="Arial" w:hAnsi="Arial" w:cs="Arial"/>
        </w:rPr>
        <w:t xml:space="preserve"> </w:t>
      </w:r>
      <w:r w:rsidRPr="73F31BAE">
        <w:rPr>
          <w:rFonts w:ascii="Arial" w:eastAsia="Arial" w:hAnsi="Arial" w:cs="Arial"/>
          <w:color w:val="000000" w:themeColor="text1"/>
        </w:rPr>
        <w:t>6970.9734   5402.8422</w:t>
      </w:r>
      <w:r>
        <w:br/>
      </w:r>
      <w:r w:rsidRPr="73F31BAE">
        <w:rPr>
          <w:rFonts w:ascii="Arial" w:eastAsia="Arial" w:hAnsi="Arial" w:cs="Arial"/>
        </w:rPr>
        <w:t xml:space="preserve"> </w:t>
      </w:r>
      <w:r w:rsidRPr="73F31BAE">
        <w:rPr>
          <w:rFonts w:ascii="Arial" w:eastAsia="Arial" w:hAnsi="Arial" w:cs="Arial"/>
          <w:color w:val="000000" w:themeColor="text1"/>
        </w:rPr>
        <w:t>Y and X relationship</w:t>
      </w:r>
    </w:p>
    <w:p w14:paraId="3C79AF36" w14:textId="21B08CFC" w:rsidR="50F34286" w:rsidRDefault="50F34286" w:rsidP="73F31BAE">
      <w:pPr>
        <w:jc w:val="both"/>
        <w:rPr>
          <w:rFonts w:ascii="Arial" w:eastAsia="Arial" w:hAnsi="Arial" w:cs="Arial"/>
          <w:color w:val="000000" w:themeColor="text1"/>
        </w:rPr>
      </w:pPr>
      <w:r w:rsidRPr="73F31BAE">
        <w:rPr>
          <w:rFonts w:ascii="Arial" w:eastAsia="Arial" w:hAnsi="Arial" w:cs="Arial"/>
          <w:color w:val="000000" w:themeColor="text1"/>
        </w:rPr>
        <w:t>R-Squared (R</w:t>
      </w:r>
      <w:r w:rsidRPr="73F31BAE">
        <w:rPr>
          <w:rFonts w:ascii="Arial" w:eastAsia="Arial" w:hAnsi="Arial" w:cs="Arial"/>
          <w:color w:val="000000" w:themeColor="text1"/>
          <w:vertAlign w:val="superscript"/>
        </w:rPr>
        <w:t>2</w:t>
      </w:r>
      <w:r w:rsidRPr="73F31BAE">
        <w:rPr>
          <w:rFonts w:ascii="Arial" w:eastAsia="Arial" w:hAnsi="Arial" w:cs="Arial"/>
          <w:color w:val="000000" w:themeColor="text1"/>
        </w:rPr>
        <w:t xml:space="preserve">) equals </w:t>
      </w:r>
      <w:r w:rsidRPr="73F31BAE">
        <w:rPr>
          <w:rFonts w:ascii="Arial" w:eastAsia="Arial" w:hAnsi="Arial" w:cs="Arial"/>
          <w:b/>
          <w:bCs/>
          <w:color w:val="000000" w:themeColor="text1"/>
        </w:rPr>
        <w:t>0.009607.</w:t>
      </w:r>
      <w:r w:rsidRPr="73F31BAE">
        <w:rPr>
          <w:rFonts w:ascii="Arial" w:eastAsia="Arial" w:hAnsi="Arial" w:cs="Arial"/>
          <w:color w:val="000000" w:themeColor="text1"/>
        </w:rPr>
        <w:t xml:space="preserve"> This means that 1% of the variability of Y is explained by X.</w:t>
      </w:r>
      <w:r>
        <w:br/>
      </w:r>
      <w:r w:rsidRPr="73F31BAE">
        <w:t xml:space="preserve"> </w:t>
      </w:r>
      <w:r w:rsidRPr="73F31BAE">
        <w:rPr>
          <w:rFonts w:ascii="Arial" w:eastAsia="Arial" w:hAnsi="Arial" w:cs="Arial"/>
          <w:color w:val="000000" w:themeColor="text1"/>
        </w:rPr>
        <w:t xml:space="preserve">Correlation (R) equals </w:t>
      </w:r>
      <w:r w:rsidRPr="73F31BAE">
        <w:rPr>
          <w:rFonts w:ascii="Arial" w:eastAsia="Arial" w:hAnsi="Arial" w:cs="Arial"/>
          <w:b/>
          <w:bCs/>
          <w:color w:val="000000" w:themeColor="text1"/>
        </w:rPr>
        <w:t>-0.09802</w:t>
      </w:r>
      <w:r w:rsidRPr="73F31BAE">
        <w:rPr>
          <w:rFonts w:ascii="Arial" w:eastAsia="Arial" w:hAnsi="Arial" w:cs="Arial"/>
          <w:color w:val="000000" w:themeColor="text1"/>
        </w:rPr>
        <w:t xml:space="preserve">. This means that there is a </w:t>
      </w:r>
      <w:r w:rsidRPr="73F31BAE">
        <w:rPr>
          <w:rFonts w:ascii="Arial" w:eastAsia="Arial" w:hAnsi="Arial" w:cs="Arial"/>
          <w:b/>
          <w:bCs/>
          <w:color w:val="000000" w:themeColor="text1"/>
        </w:rPr>
        <w:t>very weak inverse relationship</w:t>
      </w:r>
      <w:r w:rsidRPr="73F31BAE">
        <w:rPr>
          <w:rFonts w:ascii="Arial" w:eastAsia="Arial" w:hAnsi="Arial" w:cs="Arial"/>
          <w:color w:val="000000" w:themeColor="text1"/>
        </w:rPr>
        <w:t xml:space="preserve"> between X and Y.</w:t>
      </w:r>
      <w:r>
        <w:br/>
      </w:r>
      <w:r w:rsidRPr="73F31BAE">
        <w:t xml:space="preserve"> </w:t>
      </w:r>
      <w:r w:rsidRPr="73F31BAE">
        <w:rPr>
          <w:rFonts w:ascii="Arial" w:eastAsia="Arial" w:hAnsi="Arial" w:cs="Arial"/>
          <w:color w:val="000000" w:themeColor="text1"/>
        </w:rPr>
        <w:t>The Standard deviation of the residuals (</w:t>
      </w:r>
    </w:p>
    <w:p w14:paraId="77A92EE4" w14:textId="34BDC898" w:rsidR="50F34286" w:rsidRDefault="50F34286" w:rsidP="73F31BAE">
      <w:pPr>
        <w:jc w:val="both"/>
      </w:pPr>
      <w:r w:rsidRPr="73F31BAE">
        <w:rPr>
          <w:rFonts w:ascii="Arial" w:eastAsia="Arial" w:hAnsi="Arial" w:cs="Arial"/>
          <w:color w:val="000000" w:themeColor="text1"/>
        </w:rPr>
        <w:t xml:space="preserve">) </w:t>
      </w:r>
      <w:r w:rsidR="48A33E1A" w:rsidRPr="73F31BAE">
        <w:rPr>
          <w:rFonts w:ascii="Arial" w:eastAsia="Arial" w:hAnsi="Arial" w:cs="Arial"/>
          <w:color w:val="000000" w:themeColor="text1"/>
        </w:rPr>
        <w:t>Equals</w:t>
      </w:r>
      <w:r w:rsidRPr="73F31BAE">
        <w:rPr>
          <w:rFonts w:ascii="Arial" w:eastAsia="Arial" w:hAnsi="Arial" w:cs="Arial"/>
          <w:color w:val="000000" w:themeColor="text1"/>
        </w:rPr>
        <w:t xml:space="preserve"> </w:t>
      </w:r>
      <w:r w:rsidRPr="73F31BAE">
        <w:rPr>
          <w:rFonts w:ascii="Arial" w:eastAsia="Arial" w:hAnsi="Arial" w:cs="Arial"/>
          <w:b/>
          <w:bCs/>
          <w:color w:val="000000" w:themeColor="text1"/>
        </w:rPr>
        <w:t>584.0054</w:t>
      </w:r>
      <w:r w:rsidRPr="73F31BAE">
        <w:rPr>
          <w:rFonts w:ascii="Arial" w:eastAsia="Arial" w:hAnsi="Arial" w:cs="Arial"/>
          <w:color w:val="000000" w:themeColor="text1"/>
        </w:rPr>
        <w:t>.</w:t>
      </w:r>
      <w:r>
        <w:br/>
      </w:r>
      <w:r w:rsidRPr="73F31BAE">
        <w:rPr>
          <w:rFonts w:ascii="Arial" w:eastAsia="Arial" w:hAnsi="Arial" w:cs="Arial"/>
        </w:rPr>
        <w:t xml:space="preserve"> </w:t>
      </w:r>
      <w:r w:rsidRPr="73F31BAE">
        <w:rPr>
          <w:rFonts w:ascii="Arial" w:eastAsia="Arial" w:hAnsi="Arial" w:cs="Arial"/>
          <w:color w:val="000000" w:themeColor="text1"/>
        </w:rPr>
        <w:t>The slope: b₁=</w:t>
      </w:r>
      <w:r w:rsidRPr="73F31BAE">
        <w:rPr>
          <w:rFonts w:ascii="Arial" w:eastAsia="Arial" w:hAnsi="Arial" w:cs="Arial"/>
          <w:b/>
          <w:bCs/>
          <w:color w:val="000000" w:themeColor="text1"/>
        </w:rPr>
        <w:t>-24.4948</w:t>
      </w:r>
      <w:r w:rsidRPr="73F31BAE">
        <w:rPr>
          <w:rFonts w:ascii="Arial" w:eastAsia="Arial" w:hAnsi="Arial" w:cs="Arial"/>
          <w:color w:val="000000" w:themeColor="text1"/>
        </w:rPr>
        <w:t xml:space="preserve"> CI [-212.0286, 163.0389] means that when you increase X by 1, the value of Y decreases by 24.4948.</w:t>
      </w:r>
      <w:r>
        <w:br/>
      </w:r>
      <w:r w:rsidRPr="73F31BAE">
        <w:rPr>
          <w:rFonts w:ascii="Arial" w:eastAsia="Arial" w:hAnsi="Arial" w:cs="Arial"/>
        </w:rPr>
        <w:t xml:space="preserve"> </w:t>
      </w:r>
      <w:r w:rsidRPr="73F31BAE">
        <w:rPr>
          <w:rFonts w:ascii="Arial" w:eastAsia="Arial" w:hAnsi="Arial" w:cs="Arial"/>
          <w:color w:val="000000" w:themeColor="text1"/>
        </w:rPr>
        <w:t>The y-intercept: b₀=</w:t>
      </w:r>
      <w:r w:rsidRPr="73F31BAE">
        <w:rPr>
          <w:rFonts w:ascii="Arial" w:eastAsia="Arial" w:hAnsi="Arial" w:cs="Arial"/>
          <w:b/>
          <w:bCs/>
          <w:color w:val="000000" w:themeColor="text1"/>
        </w:rPr>
        <w:t>7142.4371</w:t>
      </w:r>
      <w:r w:rsidRPr="73F31BAE">
        <w:rPr>
          <w:rFonts w:ascii="Arial" w:eastAsia="Arial" w:hAnsi="Arial" w:cs="Arial"/>
          <w:color w:val="000000" w:themeColor="text1"/>
        </w:rPr>
        <w:t xml:space="preserve"> CI [6576.2669, 7708.6072] means that when X equals 0, the prediction of Y's value is 7142.4371.</w:t>
      </w:r>
      <w:r>
        <w:br/>
      </w:r>
      <w:r w:rsidRPr="73F31BAE">
        <w:rPr>
          <w:rFonts w:ascii="Arial" w:eastAsia="Arial" w:hAnsi="Arial" w:cs="Arial"/>
        </w:rPr>
        <w:t xml:space="preserve"> </w:t>
      </w:r>
      <w:r w:rsidRPr="73F31BAE">
        <w:rPr>
          <w:rFonts w:ascii="Arial" w:eastAsia="Arial" w:hAnsi="Arial" w:cs="Arial"/>
          <w:color w:val="000000" w:themeColor="text1"/>
        </w:rPr>
        <w:t>The x-intercept equals 291.5898.</w:t>
      </w:r>
    </w:p>
    <w:p w14:paraId="6136E74A" w14:textId="644A01E0" w:rsidR="50F34286" w:rsidRDefault="50F34286" w:rsidP="73F31BAE">
      <w:r w:rsidRPr="73F31BAE">
        <w:rPr>
          <w:rFonts w:ascii="Arial" w:eastAsia="Arial" w:hAnsi="Arial" w:cs="Arial"/>
          <w:color w:val="000000" w:themeColor="text1"/>
        </w:rPr>
        <w:t>Goodness of fit</w:t>
      </w:r>
    </w:p>
    <w:p w14:paraId="5F58F013" w14:textId="1D62B440" w:rsidR="50F34286" w:rsidRDefault="50F34286" w:rsidP="73F31BAE">
      <w:r w:rsidRPr="73F31BAE">
        <w:rPr>
          <w:rFonts w:ascii="Arial" w:eastAsia="Arial" w:hAnsi="Arial" w:cs="Arial"/>
          <w:color w:val="000000" w:themeColor="text1"/>
        </w:rPr>
        <w:t xml:space="preserve">Overall regression: right-tailed, F (1,9) = </w:t>
      </w:r>
      <w:r w:rsidRPr="73F31BAE">
        <w:rPr>
          <w:rFonts w:ascii="Arial" w:eastAsia="Arial" w:hAnsi="Arial" w:cs="Arial"/>
          <w:b/>
          <w:bCs/>
          <w:color w:val="000000" w:themeColor="text1"/>
        </w:rPr>
        <w:t>0.0873</w:t>
      </w:r>
      <w:r w:rsidRPr="73F31BAE">
        <w:rPr>
          <w:rFonts w:ascii="Arial" w:eastAsia="Arial" w:hAnsi="Arial" w:cs="Arial"/>
          <w:color w:val="000000" w:themeColor="text1"/>
        </w:rPr>
        <w:t xml:space="preserve">, p-value = </w:t>
      </w:r>
      <w:r w:rsidRPr="73F31BAE">
        <w:rPr>
          <w:rFonts w:ascii="Arial" w:eastAsia="Arial" w:hAnsi="Arial" w:cs="Arial"/>
          <w:b/>
          <w:bCs/>
          <w:color w:val="000000" w:themeColor="text1"/>
        </w:rPr>
        <w:t>0.7743</w:t>
      </w:r>
      <w:r w:rsidRPr="73F31BAE">
        <w:rPr>
          <w:rFonts w:ascii="Arial" w:eastAsia="Arial" w:hAnsi="Arial" w:cs="Arial"/>
          <w:color w:val="000000" w:themeColor="text1"/>
        </w:rPr>
        <w:t>. Since p-value ≥ α (0.05), we accept H</w:t>
      </w:r>
      <w:r w:rsidRPr="73F31BAE">
        <w:rPr>
          <w:rFonts w:ascii="Arial" w:eastAsia="Arial" w:hAnsi="Arial" w:cs="Arial"/>
          <w:color w:val="000000" w:themeColor="text1"/>
          <w:vertAlign w:val="subscript"/>
        </w:rPr>
        <w:t>0</w:t>
      </w:r>
      <w:r w:rsidRPr="73F31BAE">
        <w:rPr>
          <w:rFonts w:ascii="Arial" w:eastAsia="Arial" w:hAnsi="Arial" w:cs="Arial"/>
          <w:color w:val="000000" w:themeColor="text1"/>
        </w:rPr>
        <w:t>.</w:t>
      </w:r>
      <w:r>
        <w:br/>
      </w:r>
      <w:r w:rsidRPr="73F31BAE">
        <w:t xml:space="preserve"> </w:t>
      </w:r>
      <w:r w:rsidRPr="73F31BAE">
        <w:rPr>
          <w:rFonts w:ascii="Arial" w:eastAsia="Arial" w:hAnsi="Arial" w:cs="Arial"/>
          <w:color w:val="000000" w:themeColor="text1"/>
        </w:rPr>
        <w:t xml:space="preserve">The linear regression model, </w:t>
      </w:r>
      <w:r w:rsidRPr="73F31BAE">
        <w:rPr>
          <w:rFonts w:ascii="Arial" w:eastAsia="Arial" w:hAnsi="Arial" w:cs="Arial"/>
          <w:b/>
          <w:bCs/>
          <w:color w:val="000000" w:themeColor="text1"/>
        </w:rPr>
        <w:t>Y = b</w:t>
      </w:r>
      <w:r w:rsidRPr="73F31BAE">
        <w:rPr>
          <w:rFonts w:ascii="Arial" w:eastAsia="Arial" w:hAnsi="Arial" w:cs="Arial"/>
          <w:b/>
          <w:bCs/>
          <w:color w:val="000000" w:themeColor="text1"/>
          <w:vertAlign w:val="subscript"/>
        </w:rPr>
        <w:t>0</w:t>
      </w:r>
      <w:r w:rsidRPr="73F31BAE">
        <w:rPr>
          <w:rFonts w:ascii="Arial" w:eastAsia="Arial" w:hAnsi="Arial" w:cs="Arial"/>
          <w:b/>
          <w:bCs/>
          <w:color w:val="000000" w:themeColor="text1"/>
        </w:rPr>
        <w:t>+ b</w:t>
      </w:r>
      <w:r w:rsidRPr="73F31BAE">
        <w:rPr>
          <w:rFonts w:ascii="Arial" w:eastAsia="Arial" w:hAnsi="Arial" w:cs="Arial"/>
          <w:b/>
          <w:bCs/>
          <w:color w:val="000000" w:themeColor="text1"/>
          <w:vertAlign w:val="subscript"/>
        </w:rPr>
        <w:t>1</w:t>
      </w:r>
      <w:r w:rsidRPr="73F31BAE">
        <w:rPr>
          <w:rFonts w:ascii="Arial" w:eastAsia="Arial" w:hAnsi="Arial" w:cs="Arial"/>
          <w:b/>
          <w:bCs/>
          <w:color w:val="000000" w:themeColor="text1"/>
        </w:rPr>
        <w:t>X + ε</w:t>
      </w:r>
      <w:r w:rsidRPr="73F31BAE">
        <w:rPr>
          <w:rFonts w:ascii="Arial" w:eastAsia="Arial" w:hAnsi="Arial" w:cs="Arial"/>
          <w:color w:val="000000" w:themeColor="text1"/>
        </w:rPr>
        <w:t xml:space="preserve">, does not provide a better fit than the model without the independent variable resulting in </w:t>
      </w:r>
      <w:r w:rsidRPr="73F31BAE">
        <w:rPr>
          <w:rFonts w:ascii="Arial" w:eastAsia="Arial" w:hAnsi="Arial" w:cs="Arial"/>
          <w:b/>
          <w:bCs/>
          <w:color w:val="000000" w:themeColor="text1"/>
        </w:rPr>
        <w:t>Y = b</w:t>
      </w:r>
      <w:r w:rsidRPr="73F31BAE">
        <w:rPr>
          <w:rFonts w:ascii="Arial" w:eastAsia="Arial" w:hAnsi="Arial" w:cs="Arial"/>
          <w:b/>
          <w:bCs/>
          <w:color w:val="000000" w:themeColor="text1"/>
          <w:vertAlign w:val="subscript"/>
        </w:rPr>
        <w:t>0</w:t>
      </w:r>
      <w:r w:rsidRPr="73F31BAE">
        <w:rPr>
          <w:rFonts w:ascii="Arial" w:eastAsia="Arial" w:hAnsi="Arial" w:cs="Arial"/>
          <w:b/>
          <w:bCs/>
          <w:color w:val="000000" w:themeColor="text1"/>
        </w:rPr>
        <w:t xml:space="preserve"> + ε</w:t>
      </w:r>
      <w:r w:rsidRPr="73F31BAE">
        <w:rPr>
          <w:rFonts w:ascii="Arial" w:eastAsia="Arial" w:hAnsi="Arial" w:cs="Arial"/>
          <w:color w:val="000000" w:themeColor="text1"/>
        </w:rPr>
        <w:t>.</w:t>
      </w:r>
      <w:r>
        <w:br/>
      </w:r>
      <w:r w:rsidRPr="73F31BAE">
        <w:t xml:space="preserve"> </w:t>
      </w:r>
      <w:r w:rsidRPr="73F31BAE">
        <w:rPr>
          <w:rFonts w:ascii="Arial" w:eastAsia="Arial" w:hAnsi="Arial" w:cs="Arial"/>
          <w:color w:val="000000" w:themeColor="text1"/>
        </w:rPr>
        <w:t>The slope (b₁): two-tailed, T (9) =</w:t>
      </w:r>
      <w:r w:rsidRPr="73F31BAE">
        <w:rPr>
          <w:rFonts w:ascii="Arial" w:eastAsia="Arial" w:hAnsi="Arial" w:cs="Arial"/>
          <w:b/>
          <w:bCs/>
          <w:color w:val="000000" w:themeColor="text1"/>
        </w:rPr>
        <w:t>-0.2955</w:t>
      </w:r>
      <w:r w:rsidRPr="73F31BAE">
        <w:rPr>
          <w:rFonts w:ascii="Arial" w:eastAsia="Arial" w:hAnsi="Arial" w:cs="Arial"/>
          <w:color w:val="000000" w:themeColor="text1"/>
        </w:rPr>
        <w:t xml:space="preserve">, p-value = </w:t>
      </w:r>
      <w:r w:rsidRPr="73F31BAE">
        <w:rPr>
          <w:rFonts w:ascii="Arial" w:eastAsia="Arial" w:hAnsi="Arial" w:cs="Arial"/>
          <w:b/>
          <w:bCs/>
          <w:color w:val="000000" w:themeColor="text1"/>
        </w:rPr>
        <w:t>0.7743</w:t>
      </w:r>
      <w:r w:rsidRPr="73F31BAE">
        <w:rPr>
          <w:rFonts w:ascii="Arial" w:eastAsia="Arial" w:hAnsi="Arial" w:cs="Arial"/>
          <w:color w:val="000000" w:themeColor="text1"/>
        </w:rPr>
        <w:t>. For one predictor it is the same as the p-value for the overall model.</w:t>
      </w:r>
      <w:r>
        <w:br/>
      </w:r>
      <w:r w:rsidRPr="73F31BAE">
        <w:t xml:space="preserve"> </w:t>
      </w:r>
      <w:r w:rsidRPr="73F31BAE">
        <w:rPr>
          <w:rFonts w:ascii="Arial" w:eastAsia="Arial" w:hAnsi="Arial" w:cs="Arial"/>
          <w:color w:val="000000" w:themeColor="text1"/>
        </w:rPr>
        <w:t xml:space="preserve">The y-intercept (b₀): two-tailed, T (9) = </w:t>
      </w:r>
      <w:r w:rsidRPr="73F31BAE">
        <w:rPr>
          <w:rFonts w:ascii="Arial" w:eastAsia="Arial" w:hAnsi="Arial" w:cs="Arial"/>
          <w:b/>
          <w:bCs/>
          <w:color w:val="000000" w:themeColor="text1"/>
        </w:rPr>
        <w:t>28.5379</w:t>
      </w:r>
      <w:r w:rsidRPr="73F31BAE">
        <w:rPr>
          <w:rFonts w:ascii="Arial" w:eastAsia="Arial" w:hAnsi="Arial" w:cs="Arial"/>
          <w:color w:val="000000" w:themeColor="text1"/>
        </w:rPr>
        <w:t xml:space="preserve">, p-value = </w:t>
      </w:r>
      <w:r w:rsidRPr="73F31BAE">
        <w:rPr>
          <w:rFonts w:ascii="Arial" w:eastAsia="Arial" w:hAnsi="Arial" w:cs="Arial"/>
          <w:b/>
          <w:bCs/>
          <w:color w:val="000000" w:themeColor="text1"/>
        </w:rPr>
        <w:t>3.877e-10</w:t>
      </w:r>
      <w:r w:rsidRPr="73F31BAE">
        <w:rPr>
          <w:rFonts w:ascii="Arial" w:eastAsia="Arial" w:hAnsi="Arial" w:cs="Arial"/>
          <w:color w:val="000000" w:themeColor="text1"/>
        </w:rPr>
        <w:t>. Hence, b₀ is significantly different from zero.</w:t>
      </w:r>
    </w:p>
    <w:p w14:paraId="3988CEFB" w14:textId="1DCE3DCD" w:rsidR="50F34286" w:rsidRDefault="50F34286" w:rsidP="73F31BAE">
      <w:r w:rsidRPr="73F31BAE">
        <w:rPr>
          <w:rFonts w:ascii="Arial" w:eastAsia="Arial" w:hAnsi="Arial" w:cs="Arial"/>
          <w:color w:val="000000" w:themeColor="text1"/>
        </w:rPr>
        <w:t>Residual normality</w:t>
      </w:r>
    </w:p>
    <w:p w14:paraId="639D704C" w14:textId="04B6A06E" w:rsidR="50F34286" w:rsidRDefault="50F34286" w:rsidP="73F31BAE">
      <w:pPr>
        <w:jc w:val="both"/>
      </w:pPr>
      <w:r w:rsidRPr="73F31BAE">
        <w:rPr>
          <w:rFonts w:ascii="Arial" w:eastAsia="Arial" w:hAnsi="Arial" w:cs="Arial"/>
          <w:color w:val="000000" w:themeColor="text1"/>
        </w:rPr>
        <w:t xml:space="preserve">The linear regression model assumes normality for residual errors. The Shapiro-Wilk p-value equals </w:t>
      </w:r>
      <w:r w:rsidRPr="73F31BAE">
        <w:rPr>
          <w:rFonts w:ascii="Arial" w:eastAsia="Arial" w:hAnsi="Arial" w:cs="Arial"/>
          <w:b/>
          <w:bCs/>
          <w:color w:val="000000" w:themeColor="text1"/>
        </w:rPr>
        <w:t>0.2762</w:t>
      </w:r>
      <w:r w:rsidRPr="73F31BAE">
        <w:rPr>
          <w:rFonts w:ascii="Arial" w:eastAsia="Arial" w:hAnsi="Arial" w:cs="Arial"/>
          <w:color w:val="000000" w:themeColor="text1"/>
        </w:rPr>
        <w:t>. It is assumed that the data is normally distributed.</w:t>
      </w:r>
    </w:p>
    <w:p w14:paraId="15E5C7B1" w14:textId="77777777" w:rsidR="00CD52D8" w:rsidRDefault="00CD52D8">
      <w:pPr>
        <w:rPr>
          <w:rFonts w:ascii="Arial" w:eastAsia="Arial" w:hAnsi="Arial" w:cs="Arial"/>
          <w:b/>
          <w:bCs/>
          <w:color w:val="000000" w:themeColor="text1"/>
        </w:rPr>
      </w:pPr>
      <w:r>
        <w:rPr>
          <w:rFonts w:ascii="Arial" w:eastAsia="Arial" w:hAnsi="Arial" w:cs="Arial"/>
          <w:b/>
          <w:bCs/>
          <w:color w:val="000000" w:themeColor="text1"/>
        </w:rPr>
        <w:br w:type="page"/>
      </w:r>
    </w:p>
    <w:p w14:paraId="75752850" w14:textId="42CEE2F6" w:rsidR="50F34286" w:rsidRDefault="50F34286" w:rsidP="73F31BAE">
      <w:pPr>
        <w:jc w:val="both"/>
      </w:pPr>
      <w:r w:rsidRPr="73F31BAE">
        <w:rPr>
          <w:rFonts w:ascii="Arial" w:eastAsia="Arial" w:hAnsi="Arial" w:cs="Arial"/>
          <w:b/>
          <w:bCs/>
          <w:color w:val="000000" w:themeColor="text1"/>
        </w:rPr>
        <w:lastRenderedPageBreak/>
        <w:t xml:space="preserve">Appendix no. 2 </w:t>
      </w:r>
    </w:p>
    <w:p w14:paraId="7B5E1326" w14:textId="39A0CE17" w:rsidR="50F34286" w:rsidRDefault="50F34286" w:rsidP="73F31BAE">
      <w:pPr>
        <w:jc w:val="both"/>
      </w:pPr>
      <w:r w:rsidRPr="73F31BAE">
        <w:rPr>
          <w:rFonts w:ascii="Arial" w:eastAsia="Arial" w:hAnsi="Arial" w:cs="Arial"/>
          <w:b/>
          <w:bCs/>
          <w:color w:val="000000" w:themeColor="text1"/>
        </w:rPr>
        <w:t>Linear Regression showing the relationship between the United Kingdom s Inflation Rate and stock market prices (FTSE All-Share).</w:t>
      </w:r>
    </w:p>
    <w:p w14:paraId="3B8A22AA" w14:textId="158C2998" w:rsidR="50F34286" w:rsidRDefault="50F34286" w:rsidP="73F31BAE">
      <w:r w:rsidRPr="73F31BAE">
        <w:rPr>
          <w:rFonts w:ascii="Arial" w:eastAsia="Arial" w:hAnsi="Arial" w:cs="Arial"/>
          <w:color w:val="000000" w:themeColor="text1"/>
        </w:rPr>
        <w:t>Regression line equation</w:t>
      </w:r>
    </w:p>
    <w:p w14:paraId="73E50C63" w14:textId="153A8AE6" w:rsidR="50F34286" w:rsidRDefault="50F34286" w:rsidP="73F31BAE">
      <w:pPr>
        <w:jc w:val="both"/>
      </w:pPr>
      <w:r w:rsidRPr="73F31BAE">
        <w:rPr>
          <w:rFonts w:ascii="Arial" w:eastAsia="Arial" w:hAnsi="Arial" w:cs="Arial"/>
          <w:b/>
          <w:bCs/>
          <w:color w:val="000000" w:themeColor="text1"/>
        </w:rPr>
        <w:t>Ŷ = 3706.4473 + 62.31X</w:t>
      </w:r>
    </w:p>
    <w:p w14:paraId="650912F4" w14:textId="79EF39F1" w:rsidR="50F34286" w:rsidRDefault="50F34286" w:rsidP="73F31BAE">
      <w:pPr>
        <w:rPr>
          <w:rFonts w:ascii="Arial" w:eastAsia="Arial" w:hAnsi="Arial" w:cs="Arial"/>
          <w:color w:val="000000" w:themeColor="text1"/>
        </w:rPr>
      </w:pPr>
      <w:bookmarkStart w:id="4" w:name="_Int_5yCzbXqs"/>
      <w:r w:rsidRPr="73F31BAE">
        <w:rPr>
          <w:rFonts w:ascii="Arial" w:eastAsia="Arial" w:hAnsi="Arial" w:cs="Arial"/>
          <w:color w:val="000000" w:themeColor="text1"/>
        </w:rPr>
        <w:t xml:space="preserve">Reporting linear regression </w:t>
      </w:r>
      <w:bookmarkEnd w:id="4"/>
    </w:p>
    <w:p w14:paraId="2F795672" w14:textId="7389EFC1" w:rsidR="50F34286" w:rsidRDefault="50F34286" w:rsidP="73F31BAE">
      <w:pPr>
        <w:jc w:val="both"/>
      </w:pPr>
      <w:r w:rsidRPr="73F31BAE">
        <w:rPr>
          <w:rFonts w:ascii="Arial" w:eastAsia="Arial" w:hAnsi="Arial" w:cs="Arial"/>
          <w:i/>
          <w:iCs/>
          <w:color w:val="000000" w:themeColor="text1"/>
        </w:rPr>
        <w:t>R</w:t>
      </w:r>
      <w:r w:rsidRPr="73F31BAE">
        <w:rPr>
          <w:rFonts w:ascii="Arial" w:eastAsia="Arial" w:hAnsi="Arial" w:cs="Arial"/>
          <w:color w:val="000000" w:themeColor="text1"/>
          <w:vertAlign w:val="superscript"/>
        </w:rPr>
        <w:t>2</w:t>
      </w:r>
      <w:r w:rsidRPr="73F31BAE">
        <w:rPr>
          <w:rFonts w:ascii="Arial" w:eastAsia="Arial" w:hAnsi="Arial" w:cs="Arial"/>
          <w:color w:val="000000" w:themeColor="text1"/>
        </w:rPr>
        <w:t xml:space="preserve"> = .19, </w:t>
      </w:r>
      <w:r w:rsidRPr="73F31BAE">
        <w:rPr>
          <w:rFonts w:ascii="Arial" w:eastAsia="Arial" w:hAnsi="Arial" w:cs="Arial"/>
          <w:i/>
          <w:iCs/>
          <w:color w:val="000000" w:themeColor="text1"/>
        </w:rPr>
        <w:t>F (</w:t>
      </w:r>
      <w:r w:rsidRPr="73F31BAE">
        <w:rPr>
          <w:rFonts w:ascii="Arial" w:eastAsia="Arial" w:hAnsi="Arial" w:cs="Arial"/>
          <w:color w:val="000000" w:themeColor="text1"/>
        </w:rPr>
        <w:t xml:space="preserve">1,8) = 1.83, </w:t>
      </w:r>
      <w:r w:rsidRPr="73F31BAE">
        <w:rPr>
          <w:rFonts w:ascii="Arial" w:eastAsia="Arial" w:hAnsi="Arial" w:cs="Arial"/>
          <w:i/>
          <w:iCs/>
          <w:color w:val="000000" w:themeColor="text1"/>
        </w:rPr>
        <w:t>p</w:t>
      </w:r>
      <w:r w:rsidRPr="73F31BAE">
        <w:rPr>
          <w:rFonts w:ascii="Arial" w:eastAsia="Arial" w:hAnsi="Arial" w:cs="Arial"/>
          <w:color w:val="000000" w:themeColor="text1"/>
        </w:rPr>
        <w:t xml:space="preserve"> = .213.</w:t>
      </w:r>
      <w:r>
        <w:br/>
      </w:r>
      <w:r w:rsidRPr="73F31BAE">
        <w:t xml:space="preserve"> </w:t>
      </w:r>
      <w:r w:rsidRPr="73F31BAE">
        <w:rPr>
          <w:rFonts w:ascii="Arial" w:eastAsia="Arial" w:hAnsi="Arial" w:cs="Arial"/>
          <w:color w:val="000000" w:themeColor="text1"/>
        </w:rPr>
        <w:t xml:space="preserve">β = 62.31, </w:t>
      </w:r>
      <w:r w:rsidRPr="73F31BAE">
        <w:rPr>
          <w:rFonts w:ascii="Arial" w:eastAsia="Arial" w:hAnsi="Arial" w:cs="Arial"/>
          <w:i/>
          <w:iCs/>
          <w:color w:val="000000" w:themeColor="text1"/>
        </w:rPr>
        <w:t>p</w:t>
      </w:r>
      <w:r w:rsidRPr="73F31BAE">
        <w:rPr>
          <w:rFonts w:ascii="Arial" w:eastAsia="Arial" w:hAnsi="Arial" w:cs="Arial"/>
          <w:color w:val="000000" w:themeColor="text1"/>
        </w:rPr>
        <w:t xml:space="preserve"> = .213, α = 3706.45, </w:t>
      </w:r>
      <w:r w:rsidRPr="73F31BAE">
        <w:rPr>
          <w:rFonts w:ascii="Arial" w:eastAsia="Arial" w:hAnsi="Arial" w:cs="Arial"/>
          <w:i/>
          <w:iCs/>
          <w:color w:val="000000" w:themeColor="text1"/>
        </w:rPr>
        <w:t>p</w:t>
      </w:r>
      <w:r w:rsidRPr="73F31BAE">
        <w:rPr>
          <w:rFonts w:ascii="Arial" w:eastAsia="Arial" w:hAnsi="Arial" w:cs="Arial"/>
          <w:color w:val="000000" w:themeColor="text1"/>
        </w:rPr>
        <w:t xml:space="preserve"> &lt; .001.</w:t>
      </w:r>
    </w:p>
    <w:tbl>
      <w:tblPr>
        <w:tblW w:w="0" w:type="auto"/>
        <w:tblLayout w:type="fixed"/>
        <w:tblLook w:val="06A0" w:firstRow="1" w:lastRow="0" w:firstColumn="1" w:lastColumn="0" w:noHBand="1" w:noVBand="1"/>
      </w:tblPr>
      <w:tblGrid>
        <w:gridCol w:w="1560"/>
        <w:gridCol w:w="1965"/>
        <w:gridCol w:w="2160"/>
        <w:gridCol w:w="2175"/>
        <w:gridCol w:w="1425"/>
      </w:tblGrid>
      <w:tr w:rsidR="73F31BAE" w14:paraId="7F86474F" w14:textId="77777777" w:rsidTr="73F31BAE">
        <w:trPr>
          <w:trHeight w:val="300"/>
        </w:trPr>
        <w:tc>
          <w:tcPr>
            <w:tcW w:w="15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AF5F9E5" w14:textId="2D5BD636" w:rsidR="73F31BAE" w:rsidRDefault="73F31BAE" w:rsidP="73F31BAE">
            <w:pPr>
              <w:spacing w:after="0" w:line="360" w:lineRule="auto"/>
              <w:ind w:left="-7"/>
              <w:jc w:val="both"/>
            </w:pPr>
            <w:r w:rsidRPr="73F31BAE">
              <w:rPr>
                <w:rFonts w:ascii="Arial" w:eastAsia="Arial" w:hAnsi="Arial" w:cs="Arial"/>
                <w:b/>
                <w:bCs/>
                <w:color w:val="000000" w:themeColor="text1"/>
              </w:rPr>
              <w:t>Year</w:t>
            </w:r>
          </w:p>
        </w:tc>
        <w:tc>
          <w:tcPr>
            <w:tcW w:w="19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863D21A" w14:textId="490FD220" w:rsidR="73F31BAE" w:rsidRDefault="73F31BAE" w:rsidP="73F31BAE">
            <w:pPr>
              <w:spacing w:after="0" w:line="360" w:lineRule="auto"/>
              <w:ind w:left="-7"/>
              <w:jc w:val="both"/>
            </w:pPr>
            <w:r w:rsidRPr="73F31BAE">
              <w:rPr>
                <w:rFonts w:ascii="Arial" w:eastAsia="Arial" w:hAnsi="Arial" w:cs="Arial"/>
                <w:b/>
                <w:bCs/>
                <w:color w:val="000000" w:themeColor="text1"/>
              </w:rPr>
              <w:t>Inflation</w:t>
            </w:r>
          </w:p>
        </w:tc>
        <w:tc>
          <w:tcPr>
            <w:tcW w:w="21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CF45307" w14:textId="1F24AC32" w:rsidR="73F31BAE" w:rsidRDefault="73F31BAE" w:rsidP="73F31BAE">
            <w:pPr>
              <w:spacing w:after="0" w:line="360" w:lineRule="auto"/>
              <w:ind w:left="-7"/>
              <w:jc w:val="both"/>
            </w:pPr>
            <w:r w:rsidRPr="73F31BAE">
              <w:rPr>
                <w:rFonts w:ascii="Arial" w:eastAsia="Arial" w:hAnsi="Arial" w:cs="Arial"/>
                <w:b/>
                <w:bCs/>
                <w:color w:val="000000" w:themeColor="text1"/>
              </w:rPr>
              <w:t>FTSE ALL-SHARE</w:t>
            </w:r>
          </w:p>
        </w:tc>
        <w:tc>
          <w:tcPr>
            <w:tcW w:w="217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F408A28" w14:textId="7936E769" w:rsidR="73F31BAE" w:rsidRDefault="73F31BAE" w:rsidP="73F31BAE">
            <w:pPr>
              <w:spacing w:after="0" w:line="360" w:lineRule="auto"/>
              <w:ind w:left="-7"/>
              <w:jc w:val="both"/>
            </w:pPr>
            <w:r w:rsidRPr="73F31BAE">
              <w:rPr>
                <w:rFonts w:ascii="Arial" w:eastAsia="Arial" w:hAnsi="Arial" w:cs="Arial"/>
                <w:b/>
                <w:bCs/>
                <w:color w:val="000000" w:themeColor="text1"/>
              </w:rPr>
              <w:t>Ŷ (Predicted Y)</w:t>
            </w:r>
          </w:p>
        </w:tc>
        <w:tc>
          <w:tcPr>
            <w:tcW w:w="142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5622293" w14:textId="04122D6A" w:rsidR="73F31BAE" w:rsidRDefault="73F31BAE" w:rsidP="73F31BAE">
            <w:pPr>
              <w:spacing w:after="0" w:line="360" w:lineRule="auto"/>
              <w:ind w:left="-7"/>
              <w:jc w:val="both"/>
            </w:pPr>
            <w:r w:rsidRPr="73F31BAE">
              <w:rPr>
                <w:rFonts w:ascii="Arial" w:eastAsia="Arial" w:hAnsi="Arial" w:cs="Arial"/>
                <w:b/>
                <w:bCs/>
                <w:color w:val="000000" w:themeColor="text1"/>
              </w:rPr>
              <w:t>Residual</w:t>
            </w:r>
          </w:p>
        </w:tc>
      </w:tr>
      <w:tr w:rsidR="73F31BAE" w14:paraId="225675BD" w14:textId="77777777" w:rsidTr="73F31BAE">
        <w:trPr>
          <w:trHeight w:val="300"/>
        </w:trPr>
        <w:tc>
          <w:tcPr>
            <w:tcW w:w="15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B631E1D" w14:textId="7165B541" w:rsidR="73F31BAE" w:rsidRDefault="73F31BAE" w:rsidP="73F31BAE">
            <w:pPr>
              <w:spacing w:after="0" w:line="360" w:lineRule="auto"/>
              <w:ind w:left="-7"/>
              <w:jc w:val="both"/>
            </w:pPr>
            <w:r w:rsidRPr="73F31BAE">
              <w:rPr>
                <w:rFonts w:ascii="Arial" w:eastAsia="Arial" w:hAnsi="Arial" w:cs="Arial"/>
                <w:color w:val="000000" w:themeColor="text1"/>
              </w:rPr>
              <w:t>2013</w:t>
            </w:r>
          </w:p>
        </w:tc>
        <w:tc>
          <w:tcPr>
            <w:tcW w:w="19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012CB5F" w14:textId="2AA46539" w:rsidR="73F31BAE" w:rsidRDefault="73F31BAE" w:rsidP="73F31BAE">
            <w:pPr>
              <w:spacing w:after="0" w:line="360" w:lineRule="auto"/>
              <w:ind w:left="-7"/>
              <w:jc w:val="both"/>
            </w:pPr>
            <w:r w:rsidRPr="73F31BAE">
              <w:rPr>
                <w:rFonts w:ascii="Arial" w:eastAsia="Arial" w:hAnsi="Arial" w:cs="Arial"/>
                <w:color w:val="000000" w:themeColor="text1"/>
              </w:rPr>
              <w:t>2.3</w:t>
            </w:r>
          </w:p>
        </w:tc>
        <w:tc>
          <w:tcPr>
            <w:tcW w:w="21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794B1BA" w14:textId="44B96485" w:rsidR="73F31BAE" w:rsidRDefault="73F31BAE" w:rsidP="73F31BAE">
            <w:pPr>
              <w:spacing w:after="0" w:line="360" w:lineRule="auto"/>
              <w:ind w:left="-7"/>
              <w:jc w:val="both"/>
            </w:pPr>
            <w:r w:rsidRPr="73F31BAE">
              <w:rPr>
                <w:rFonts w:ascii="Arial" w:eastAsia="Arial" w:hAnsi="Arial" w:cs="Arial"/>
                <w:color w:val="000000" w:themeColor="text1"/>
              </w:rPr>
              <w:t>3609.63</w:t>
            </w:r>
          </w:p>
        </w:tc>
        <w:tc>
          <w:tcPr>
            <w:tcW w:w="217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E75FD13" w14:textId="00838DE8" w:rsidR="73F31BAE" w:rsidRDefault="73F31BAE" w:rsidP="73F31BAE">
            <w:pPr>
              <w:spacing w:after="0" w:line="360" w:lineRule="auto"/>
              <w:ind w:left="-7"/>
              <w:jc w:val="both"/>
            </w:pPr>
            <w:r w:rsidRPr="73F31BAE">
              <w:rPr>
                <w:rFonts w:ascii="Arial" w:eastAsia="Arial" w:hAnsi="Arial" w:cs="Arial"/>
                <w:color w:val="000000" w:themeColor="text1"/>
              </w:rPr>
              <w:t>3849.7519</w:t>
            </w:r>
          </w:p>
        </w:tc>
        <w:tc>
          <w:tcPr>
            <w:tcW w:w="142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23350D2" w14:textId="0653F282" w:rsidR="73F31BAE" w:rsidRDefault="73F31BAE" w:rsidP="73F31BAE">
            <w:pPr>
              <w:spacing w:after="0" w:line="360" w:lineRule="auto"/>
              <w:ind w:left="-7"/>
              <w:jc w:val="both"/>
            </w:pPr>
            <w:r w:rsidRPr="73F31BAE">
              <w:rPr>
                <w:rFonts w:ascii="Arial" w:eastAsia="Arial" w:hAnsi="Arial" w:cs="Arial"/>
                <w:color w:val="000000" w:themeColor="text1"/>
              </w:rPr>
              <w:t>-240.1219</w:t>
            </w:r>
          </w:p>
        </w:tc>
      </w:tr>
      <w:tr w:rsidR="73F31BAE" w14:paraId="3669ACD8" w14:textId="77777777" w:rsidTr="73F31BAE">
        <w:trPr>
          <w:trHeight w:val="300"/>
        </w:trPr>
        <w:tc>
          <w:tcPr>
            <w:tcW w:w="15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1165EFC" w14:textId="2B7B9F41" w:rsidR="73F31BAE" w:rsidRDefault="73F31BAE" w:rsidP="73F31BAE">
            <w:pPr>
              <w:spacing w:after="0" w:line="360" w:lineRule="auto"/>
              <w:ind w:left="-7"/>
              <w:jc w:val="both"/>
            </w:pPr>
            <w:r w:rsidRPr="73F31BAE">
              <w:rPr>
                <w:rFonts w:ascii="Arial" w:eastAsia="Arial" w:hAnsi="Arial" w:cs="Arial"/>
                <w:color w:val="000000" w:themeColor="text1"/>
              </w:rPr>
              <w:t>2014</w:t>
            </w:r>
          </w:p>
        </w:tc>
        <w:tc>
          <w:tcPr>
            <w:tcW w:w="19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CF2A5CF" w14:textId="6AFA94E3" w:rsidR="73F31BAE" w:rsidRDefault="73F31BAE" w:rsidP="73F31BAE">
            <w:pPr>
              <w:spacing w:after="0" w:line="360" w:lineRule="auto"/>
              <w:ind w:left="-7"/>
              <w:jc w:val="both"/>
            </w:pPr>
            <w:r w:rsidRPr="73F31BAE">
              <w:rPr>
                <w:rFonts w:ascii="Arial" w:eastAsia="Arial" w:hAnsi="Arial" w:cs="Arial"/>
                <w:color w:val="000000" w:themeColor="text1"/>
              </w:rPr>
              <w:t>1.5</w:t>
            </w:r>
          </w:p>
        </w:tc>
        <w:tc>
          <w:tcPr>
            <w:tcW w:w="21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51EDD93" w14:textId="1E09A21B" w:rsidR="73F31BAE" w:rsidRDefault="73F31BAE" w:rsidP="73F31BAE">
            <w:pPr>
              <w:spacing w:after="0" w:line="360" w:lineRule="auto"/>
              <w:ind w:left="-7"/>
              <w:jc w:val="both"/>
            </w:pPr>
            <w:r w:rsidRPr="73F31BAE">
              <w:rPr>
                <w:rFonts w:ascii="Arial" w:eastAsia="Arial" w:hAnsi="Arial" w:cs="Arial"/>
                <w:color w:val="000000" w:themeColor="text1"/>
              </w:rPr>
              <w:t>3532.74</w:t>
            </w:r>
          </w:p>
        </w:tc>
        <w:tc>
          <w:tcPr>
            <w:tcW w:w="217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0278F09" w14:textId="38DEBD62" w:rsidR="73F31BAE" w:rsidRDefault="73F31BAE" w:rsidP="73F31BAE">
            <w:pPr>
              <w:spacing w:after="0" w:line="360" w:lineRule="auto"/>
              <w:ind w:left="-7"/>
              <w:jc w:val="both"/>
            </w:pPr>
            <w:r w:rsidRPr="73F31BAE">
              <w:rPr>
                <w:rFonts w:ascii="Arial" w:eastAsia="Arial" w:hAnsi="Arial" w:cs="Arial"/>
                <w:color w:val="000000" w:themeColor="text1"/>
              </w:rPr>
              <w:t>3799.9068</w:t>
            </w:r>
          </w:p>
        </w:tc>
        <w:tc>
          <w:tcPr>
            <w:tcW w:w="142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D27CD32" w14:textId="0A3A6DA4" w:rsidR="73F31BAE" w:rsidRDefault="73F31BAE" w:rsidP="73F31BAE">
            <w:pPr>
              <w:spacing w:after="0" w:line="360" w:lineRule="auto"/>
              <w:ind w:left="-7"/>
              <w:jc w:val="both"/>
            </w:pPr>
            <w:r w:rsidRPr="73F31BAE">
              <w:rPr>
                <w:rFonts w:ascii="Arial" w:eastAsia="Arial" w:hAnsi="Arial" w:cs="Arial"/>
                <w:color w:val="000000" w:themeColor="text1"/>
              </w:rPr>
              <w:t>-267.1668</w:t>
            </w:r>
          </w:p>
        </w:tc>
      </w:tr>
      <w:tr w:rsidR="73F31BAE" w14:paraId="1991BF1C" w14:textId="77777777" w:rsidTr="73F31BAE">
        <w:trPr>
          <w:trHeight w:val="300"/>
        </w:trPr>
        <w:tc>
          <w:tcPr>
            <w:tcW w:w="15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9593D53" w14:textId="4F446557" w:rsidR="73F31BAE" w:rsidRDefault="73F31BAE" w:rsidP="73F31BAE">
            <w:pPr>
              <w:spacing w:after="0" w:line="360" w:lineRule="auto"/>
              <w:ind w:left="-7"/>
              <w:jc w:val="both"/>
            </w:pPr>
            <w:r w:rsidRPr="73F31BAE">
              <w:rPr>
                <w:rFonts w:ascii="Arial" w:eastAsia="Arial" w:hAnsi="Arial" w:cs="Arial"/>
                <w:color w:val="000000" w:themeColor="text1"/>
              </w:rPr>
              <w:t>2015</w:t>
            </w:r>
          </w:p>
        </w:tc>
        <w:tc>
          <w:tcPr>
            <w:tcW w:w="19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8E2E8F7" w14:textId="0588370B" w:rsidR="73F31BAE" w:rsidRDefault="73F31BAE" w:rsidP="73F31BAE">
            <w:pPr>
              <w:spacing w:after="0" w:line="360" w:lineRule="auto"/>
              <w:ind w:left="-7"/>
              <w:jc w:val="both"/>
            </w:pPr>
            <w:r w:rsidRPr="73F31BAE">
              <w:rPr>
                <w:rFonts w:ascii="Arial" w:eastAsia="Arial" w:hAnsi="Arial" w:cs="Arial"/>
                <w:color w:val="000000" w:themeColor="text1"/>
              </w:rPr>
              <w:t>0.4</w:t>
            </w:r>
          </w:p>
        </w:tc>
        <w:tc>
          <w:tcPr>
            <w:tcW w:w="21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5355AF3" w14:textId="074F2C88" w:rsidR="73F31BAE" w:rsidRDefault="73F31BAE" w:rsidP="73F31BAE">
            <w:pPr>
              <w:spacing w:after="0" w:line="360" w:lineRule="auto"/>
              <w:ind w:left="-7"/>
              <w:jc w:val="both"/>
            </w:pPr>
            <w:r w:rsidRPr="73F31BAE">
              <w:rPr>
                <w:rFonts w:ascii="Arial" w:eastAsia="Arial" w:hAnsi="Arial" w:cs="Arial"/>
                <w:color w:val="000000" w:themeColor="text1"/>
              </w:rPr>
              <w:t>3444.26</w:t>
            </w:r>
          </w:p>
        </w:tc>
        <w:tc>
          <w:tcPr>
            <w:tcW w:w="217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67B9728" w14:textId="7585FC2B" w:rsidR="73F31BAE" w:rsidRDefault="73F31BAE" w:rsidP="73F31BAE">
            <w:pPr>
              <w:spacing w:after="0" w:line="360" w:lineRule="auto"/>
              <w:ind w:left="-7"/>
              <w:jc w:val="both"/>
            </w:pPr>
            <w:r w:rsidRPr="73F31BAE">
              <w:rPr>
                <w:rFonts w:ascii="Arial" w:eastAsia="Arial" w:hAnsi="Arial" w:cs="Arial"/>
                <w:color w:val="000000" w:themeColor="text1"/>
              </w:rPr>
              <w:t>3731.3698</w:t>
            </w:r>
          </w:p>
        </w:tc>
        <w:tc>
          <w:tcPr>
            <w:tcW w:w="142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A252843" w14:textId="4681B17F" w:rsidR="73F31BAE" w:rsidRDefault="73F31BAE" w:rsidP="73F31BAE">
            <w:pPr>
              <w:spacing w:after="0" w:line="360" w:lineRule="auto"/>
              <w:ind w:left="-7"/>
              <w:jc w:val="both"/>
            </w:pPr>
            <w:r w:rsidRPr="73F31BAE">
              <w:rPr>
                <w:rFonts w:ascii="Arial" w:eastAsia="Arial" w:hAnsi="Arial" w:cs="Arial"/>
                <w:color w:val="000000" w:themeColor="text1"/>
              </w:rPr>
              <w:t>-287.1098</w:t>
            </w:r>
          </w:p>
        </w:tc>
      </w:tr>
      <w:tr w:rsidR="73F31BAE" w14:paraId="5F6EA2E1" w14:textId="77777777" w:rsidTr="73F31BAE">
        <w:trPr>
          <w:trHeight w:val="300"/>
        </w:trPr>
        <w:tc>
          <w:tcPr>
            <w:tcW w:w="15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F1F23DA" w14:textId="3D517389" w:rsidR="73F31BAE" w:rsidRDefault="73F31BAE" w:rsidP="73F31BAE">
            <w:pPr>
              <w:spacing w:after="0" w:line="360" w:lineRule="auto"/>
              <w:ind w:left="-7"/>
              <w:jc w:val="both"/>
            </w:pPr>
            <w:r w:rsidRPr="73F31BAE">
              <w:rPr>
                <w:rFonts w:ascii="Arial" w:eastAsia="Arial" w:hAnsi="Arial" w:cs="Arial"/>
                <w:color w:val="000000" w:themeColor="text1"/>
              </w:rPr>
              <w:t>2016</w:t>
            </w:r>
          </w:p>
        </w:tc>
        <w:tc>
          <w:tcPr>
            <w:tcW w:w="19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50D6494" w14:textId="294211AE" w:rsidR="73F31BAE" w:rsidRDefault="73F31BAE" w:rsidP="73F31BAE">
            <w:pPr>
              <w:spacing w:after="0" w:line="360" w:lineRule="auto"/>
              <w:ind w:left="-7"/>
              <w:jc w:val="both"/>
            </w:pPr>
            <w:r w:rsidRPr="73F31BAE">
              <w:rPr>
                <w:rFonts w:ascii="Arial" w:eastAsia="Arial" w:hAnsi="Arial" w:cs="Arial"/>
                <w:color w:val="000000" w:themeColor="text1"/>
              </w:rPr>
              <w:t>1</w:t>
            </w:r>
          </w:p>
        </w:tc>
        <w:tc>
          <w:tcPr>
            <w:tcW w:w="21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7817B8B" w14:textId="1FE78AE8" w:rsidR="73F31BAE" w:rsidRDefault="73F31BAE" w:rsidP="73F31BAE">
            <w:pPr>
              <w:spacing w:after="0" w:line="360" w:lineRule="auto"/>
              <w:ind w:left="-7"/>
              <w:jc w:val="both"/>
            </w:pPr>
            <w:r w:rsidRPr="73F31BAE">
              <w:rPr>
                <w:rFonts w:ascii="Arial" w:eastAsia="Arial" w:hAnsi="Arial" w:cs="Arial"/>
                <w:color w:val="000000" w:themeColor="text1"/>
              </w:rPr>
              <w:t>3873.22</w:t>
            </w:r>
          </w:p>
        </w:tc>
        <w:tc>
          <w:tcPr>
            <w:tcW w:w="217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26A73FF" w14:textId="66E9F259" w:rsidR="73F31BAE" w:rsidRDefault="73F31BAE" w:rsidP="73F31BAE">
            <w:pPr>
              <w:spacing w:after="0" w:line="360" w:lineRule="auto"/>
              <w:ind w:left="-7"/>
              <w:jc w:val="both"/>
            </w:pPr>
            <w:r w:rsidRPr="73F31BAE">
              <w:rPr>
                <w:rFonts w:ascii="Arial" w:eastAsia="Arial" w:hAnsi="Arial" w:cs="Arial"/>
                <w:color w:val="000000" w:themeColor="text1"/>
              </w:rPr>
              <w:t>3768.7536</w:t>
            </w:r>
          </w:p>
        </w:tc>
        <w:tc>
          <w:tcPr>
            <w:tcW w:w="142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AEEC9C9" w14:textId="50D041DF" w:rsidR="73F31BAE" w:rsidRDefault="73F31BAE" w:rsidP="73F31BAE">
            <w:pPr>
              <w:spacing w:after="0" w:line="360" w:lineRule="auto"/>
              <w:ind w:left="-7"/>
              <w:jc w:val="both"/>
            </w:pPr>
            <w:r w:rsidRPr="73F31BAE">
              <w:rPr>
                <w:rFonts w:ascii="Arial" w:eastAsia="Arial" w:hAnsi="Arial" w:cs="Arial"/>
                <w:color w:val="000000" w:themeColor="text1"/>
              </w:rPr>
              <w:t>104.4664</w:t>
            </w:r>
          </w:p>
        </w:tc>
      </w:tr>
      <w:tr w:rsidR="73F31BAE" w14:paraId="3DBAA4F7" w14:textId="77777777" w:rsidTr="73F31BAE">
        <w:trPr>
          <w:trHeight w:val="300"/>
        </w:trPr>
        <w:tc>
          <w:tcPr>
            <w:tcW w:w="15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C03A0B2" w14:textId="162FA595" w:rsidR="73F31BAE" w:rsidRDefault="73F31BAE" w:rsidP="73F31BAE">
            <w:pPr>
              <w:spacing w:after="0" w:line="360" w:lineRule="auto"/>
              <w:ind w:left="-7"/>
              <w:jc w:val="both"/>
            </w:pPr>
            <w:r w:rsidRPr="73F31BAE">
              <w:rPr>
                <w:rFonts w:ascii="Arial" w:eastAsia="Arial" w:hAnsi="Arial" w:cs="Arial"/>
                <w:color w:val="000000" w:themeColor="text1"/>
              </w:rPr>
              <w:t>2017</w:t>
            </w:r>
          </w:p>
        </w:tc>
        <w:tc>
          <w:tcPr>
            <w:tcW w:w="19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5EDC10E" w14:textId="44012F9F" w:rsidR="73F31BAE" w:rsidRDefault="73F31BAE" w:rsidP="73F31BAE">
            <w:pPr>
              <w:spacing w:after="0" w:line="360" w:lineRule="auto"/>
              <w:ind w:left="-7"/>
              <w:jc w:val="both"/>
            </w:pPr>
            <w:r w:rsidRPr="73F31BAE">
              <w:rPr>
                <w:rFonts w:ascii="Arial" w:eastAsia="Arial" w:hAnsi="Arial" w:cs="Arial"/>
                <w:color w:val="000000" w:themeColor="text1"/>
              </w:rPr>
              <w:t>2.6</w:t>
            </w:r>
          </w:p>
        </w:tc>
        <w:tc>
          <w:tcPr>
            <w:tcW w:w="21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A019DE2" w14:textId="1D3C094E" w:rsidR="73F31BAE" w:rsidRDefault="73F31BAE" w:rsidP="73F31BAE">
            <w:pPr>
              <w:spacing w:after="0" w:line="360" w:lineRule="auto"/>
              <w:ind w:left="-7"/>
              <w:jc w:val="both"/>
            </w:pPr>
            <w:r w:rsidRPr="73F31BAE">
              <w:rPr>
                <w:rFonts w:ascii="Arial" w:eastAsia="Arial" w:hAnsi="Arial" w:cs="Arial"/>
                <w:color w:val="000000" w:themeColor="text1"/>
              </w:rPr>
              <w:t>4221.82</w:t>
            </w:r>
          </w:p>
        </w:tc>
        <w:tc>
          <w:tcPr>
            <w:tcW w:w="217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3890174" w14:textId="239FFBFE" w:rsidR="73F31BAE" w:rsidRDefault="73F31BAE" w:rsidP="73F31BAE">
            <w:pPr>
              <w:spacing w:after="0" w:line="360" w:lineRule="auto"/>
              <w:ind w:left="-7"/>
              <w:jc w:val="both"/>
            </w:pPr>
            <w:r w:rsidRPr="73F31BAE">
              <w:rPr>
                <w:rFonts w:ascii="Arial" w:eastAsia="Arial" w:hAnsi="Arial" w:cs="Arial"/>
                <w:color w:val="000000" w:themeColor="text1"/>
              </w:rPr>
              <w:t>3868.4438</w:t>
            </w:r>
          </w:p>
        </w:tc>
        <w:tc>
          <w:tcPr>
            <w:tcW w:w="142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FD2D4ED" w14:textId="3AE173B9" w:rsidR="73F31BAE" w:rsidRDefault="73F31BAE" w:rsidP="73F31BAE">
            <w:pPr>
              <w:spacing w:after="0" w:line="360" w:lineRule="auto"/>
              <w:ind w:left="-7"/>
              <w:jc w:val="both"/>
            </w:pPr>
            <w:r w:rsidRPr="73F31BAE">
              <w:rPr>
                <w:rFonts w:ascii="Arial" w:eastAsia="Arial" w:hAnsi="Arial" w:cs="Arial"/>
                <w:color w:val="000000" w:themeColor="text1"/>
              </w:rPr>
              <w:t>353.3762</w:t>
            </w:r>
          </w:p>
        </w:tc>
      </w:tr>
      <w:tr w:rsidR="73F31BAE" w14:paraId="175563EB" w14:textId="77777777" w:rsidTr="73F31BAE">
        <w:trPr>
          <w:trHeight w:val="300"/>
        </w:trPr>
        <w:tc>
          <w:tcPr>
            <w:tcW w:w="15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18C9F72" w14:textId="630FBEEA" w:rsidR="73F31BAE" w:rsidRDefault="73F31BAE" w:rsidP="73F31BAE">
            <w:pPr>
              <w:spacing w:after="0" w:line="360" w:lineRule="auto"/>
              <w:ind w:left="-7"/>
              <w:jc w:val="both"/>
            </w:pPr>
            <w:r w:rsidRPr="73F31BAE">
              <w:rPr>
                <w:rFonts w:ascii="Arial" w:eastAsia="Arial" w:hAnsi="Arial" w:cs="Arial"/>
                <w:color w:val="000000" w:themeColor="text1"/>
              </w:rPr>
              <w:t>2018</w:t>
            </w:r>
          </w:p>
        </w:tc>
        <w:tc>
          <w:tcPr>
            <w:tcW w:w="19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7F7E35A" w14:textId="35C49D1F" w:rsidR="73F31BAE" w:rsidRDefault="73F31BAE" w:rsidP="73F31BAE">
            <w:pPr>
              <w:spacing w:after="0" w:line="360" w:lineRule="auto"/>
              <w:ind w:left="-7"/>
              <w:jc w:val="both"/>
            </w:pPr>
            <w:r w:rsidRPr="73F31BAE">
              <w:rPr>
                <w:rFonts w:ascii="Arial" w:eastAsia="Arial" w:hAnsi="Arial" w:cs="Arial"/>
                <w:color w:val="000000" w:themeColor="text1"/>
              </w:rPr>
              <w:t>2.3</w:t>
            </w:r>
          </w:p>
        </w:tc>
        <w:tc>
          <w:tcPr>
            <w:tcW w:w="21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D9BFB9F" w14:textId="54D052B0" w:rsidR="73F31BAE" w:rsidRDefault="73F31BAE" w:rsidP="73F31BAE">
            <w:pPr>
              <w:spacing w:after="0" w:line="360" w:lineRule="auto"/>
              <w:ind w:left="-7"/>
              <w:jc w:val="both"/>
            </w:pPr>
            <w:r w:rsidRPr="73F31BAE">
              <w:rPr>
                <w:rFonts w:ascii="Arial" w:eastAsia="Arial" w:hAnsi="Arial" w:cs="Arial"/>
                <w:color w:val="000000" w:themeColor="text1"/>
              </w:rPr>
              <w:t>3675.06</w:t>
            </w:r>
          </w:p>
        </w:tc>
        <w:tc>
          <w:tcPr>
            <w:tcW w:w="217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0358B1D" w14:textId="77476537" w:rsidR="73F31BAE" w:rsidRDefault="73F31BAE" w:rsidP="73F31BAE">
            <w:pPr>
              <w:spacing w:after="0" w:line="360" w:lineRule="auto"/>
              <w:ind w:left="-7"/>
              <w:jc w:val="both"/>
            </w:pPr>
            <w:r w:rsidRPr="73F31BAE">
              <w:rPr>
                <w:rFonts w:ascii="Arial" w:eastAsia="Arial" w:hAnsi="Arial" w:cs="Arial"/>
                <w:color w:val="000000" w:themeColor="text1"/>
              </w:rPr>
              <w:t>3849.7519</w:t>
            </w:r>
          </w:p>
        </w:tc>
        <w:tc>
          <w:tcPr>
            <w:tcW w:w="142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C6F7670" w14:textId="4E531D00" w:rsidR="73F31BAE" w:rsidRDefault="73F31BAE" w:rsidP="73F31BAE">
            <w:pPr>
              <w:spacing w:after="0" w:line="360" w:lineRule="auto"/>
              <w:ind w:left="-7"/>
              <w:jc w:val="both"/>
            </w:pPr>
            <w:r w:rsidRPr="73F31BAE">
              <w:rPr>
                <w:rFonts w:ascii="Arial" w:eastAsia="Arial" w:hAnsi="Arial" w:cs="Arial"/>
                <w:color w:val="000000" w:themeColor="text1"/>
              </w:rPr>
              <w:t>-174.6919</w:t>
            </w:r>
          </w:p>
        </w:tc>
      </w:tr>
      <w:tr w:rsidR="73F31BAE" w14:paraId="2B8C8B03" w14:textId="77777777" w:rsidTr="73F31BAE">
        <w:trPr>
          <w:trHeight w:val="300"/>
        </w:trPr>
        <w:tc>
          <w:tcPr>
            <w:tcW w:w="15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A9890A5" w14:textId="20A28C59" w:rsidR="73F31BAE" w:rsidRDefault="73F31BAE" w:rsidP="73F31BAE">
            <w:pPr>
              <w:spacing w:after="0" w:line="360" w:lineRule="auto"/>
              <w:ind w:left="-7"/>
              <w:jc w:val="both"/>
            </w:pPr>
            <w:r w:rsidRPr="73F31BAE">
              <w:rPr>
                <w:rFonts w:ascii="Arial" w:eastAsia="Arial" w:hAnsi="Arial" w:cs="Arial"/>
                <w:color w:val="000000" w:themeColor="text1"/>
              </w:rPr>
              <w:t>2019</w:t>
            </w:r>
          </w:p>
        </w:tc>
        <w:tc>
          <w:tcPr>
            <w:tcW w:w="19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85FD121" w14:textId="5DFFEE5E" w:rsidR="73F31BAE" w:rsidRDefault="73F31BAE" w:rsidP="73F31BAE">
            <w:pPr>
              <w:spacing w:after="0" w:line="360" w:lineRule="auto"/>
              <w:ind w:left="-7"/>
              <w:jc w:val="both"/>
            </w:pPr>
            <w:r w:rsidRPr="73F31BAE">
              <w:rPr>
                <w:rFonts w:ascii="Arial" w:eastAsia="Arial" w:hAnsi="Arial" w:cs="Arial"/>
                <w:color w:val="000000" w:themeColor="text1"/>
              </w:rPr>
              <w:t>1.7</w:t>
            </w:r>
          </w:p>
        </w:tc>
        <w:tc>
          <w:tcPr>
            <w:tcW w:w="21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2D0E6EA" w14:textId="29FB5393" w:rsidR="73F31BAE" w:rsidRDefault="73F31BAE" w:rsidP="73F31BAE">
            <w:pPr>
              <w:spacing w:after="0" w:line="360" w:lineRule="auto"/>
              <w:ind w:left="-7"/>
              <w:jc w:val="both"/>
            </w:pPr>
            <w:r w:rsidRPr="73F31BAE">
              <w:rPr>
                <w:rFonts w:ascii="Arial" w:eastAsia="Arial" w:hAnsi="Arial" w:cs="Arial"/>
                <w:color w:val="000000" w:themeColor="text1"/>
              </w:rPr>
              <w:t>4196.47</w:t>
            </w:r>
          </w:p>
        </w:tc>
        <w:tc>
          <w:tcPr>
            <w:tcW w:w="217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CBCE562" w14:textId="2D8BD40A" w:rsidR="73F31BAE" w:rsidRDefault="73F31BAE" w:rsidP="73F31BAE">
            <w:pPr>
              <w:spacing w:after="0" w:line="360" w:lineRule="auto"/>
              <w:ind w:left="-7"/>
              <w:jc w:val="both"/>
            </w:pPr>
            <w:r w:rsidRPr="73F31BAE">
              <w:rPr>
                <w:rFonts w:ascii="Arial" w:eastAsia="Arial" w:hAnsi="Arial" w:cs="Arial"/>
                <w:color w:val="000000" w:themeColor="text1"/>
              </w:rPr>
              <w:t>3812.3681</w:t>
            </w:r>
          </w:p>
        </w:tc>
        <w:tc>
          <w:tcPr>
            <w:tcW w:w="142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74AFEF3" w14:textId="6C413864" w:rsidR="73F31BAE" w:rsidRDefault="73F31BAE" w:rsidP="73F31BAE">
            <w:pPr>
              <w:spacing w:after="0" w:line="360" w:lineRule="auto"/>
              <w:ind w:left="-7"/>
              <w:jc w:val="both"/>
            </w:pPr>
            <w:r w:rsidRPr="73F31BAE">
              <w:rPr>
                <w:rFonts w:ascii="Arial" w:eastAsia="Arial" w:hAnsi="Arial" w:cs="Arial"/>
                <w:color w:val="000000" w:themeColor="text1"/>
              </w:rPr>
              <w:t>384.1019</w:t>
            </w:r>
          </w:p>
        </w:tc>
      </w:tr>
      <w:tr w:rsidR="73F31BAE" w14:paraId="4AC529EC" w14:textId="77777777" w:rsidTr="73F31BAE">
        <w:trPr>
          <w:trHeight w:val="300"/>
        </w:trPr>
        <w:tc>
          <w:tcPr>
            <w:tcW w:w="15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78053BE" w14:textId="1A23AD05" w:rsidR="73F31BAE" w:rsidRDefault="73F31BAE" w:rsidP="73F31BAE">
            <w:pPr>
              <w:spacing w:after="0" w:line="360" w:lineRule="auto"/>
              <w:ind w:left="-7"/>
              <w:jc w:val="both"/>
            </w:pPr>
            <w:r w:rsidRPr="73F31BAE">
              <w:rPr>
                <w:rFonts w:ascii="Arial" w:eastAsia="Arial" w:hAnsi="Arial" w:cs="Arial"/>
                <w:color w:val="000000" w:themeColor="text1"/>
              </w:rPr>
              <w:t>2020</w:t>
            </w:r>
          </w:p>
        </w:tc>
        <w:tc>
          <w:tcPr>
            <w:tcW w:w="19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C47511F" w14:textId="49457B03" w:rsidR="73F31BAE" w:rsidRDefault="73F31BAE" w:rsidP="73F31BAE">
            <w:pPr>
              <w:spacing w:after="0" w:line="360" w:lineRule="auto"/>
              <w:ind w:left="-7"/>
              <w:jc w:val="both"/>
            </w:pPr>
            <w:r w:rsidRPr="73F31BAE">
              <w:rPr>
                <w:rFonts w:ascii="Arial" w:eastAsia="Arial" w:hAnsi="Arial" w:cs="Arial"/>
                <w:color w:val="000000" w:themeColor="text1"/>
              </w:rPr>
              <w:t>1</w:t>
            </w:r>
          </w:p>
        </w:tc>
        <w:tc>
          <w:tcPr>
            <w:tcW w:w="21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2839384" w14:textId="58AFB247" w:rsidR="73F31BAE" w:rsidRDefault="73F31BAE" w:rsidP="73F31BAE">
            <w:pPr>
              <w:spacing w:after="0" w:line="360" w:lineRule="auto"/>
              <w:ind w:left="-7"/>
              <w:jc w:val="both"/>
            </w:pPr>
            <w:r w:rsidRPr="73F31BAE">
              <w:rPr>
                <w:rFonts w:ascii="Arial" w:eastAsia="Arial" w:hAnsi="Arial" w:cs="Arial"/>
                <w:color w:val="000000" w:themeColor="text1"/>
              </w:rPr>
              <w:t>3673.63</w:t>
            </w:r>
          </w:p>
        </w:tc>
        <w:tc>
          <w:tcPr>
            <w:tcW w:w="217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2D3642A" w14:textId="164EC957" w:rsidR="73F31BAE" w:rsidRDefault="73F31BAE" w:rsidP="73F31BAE">
            <w:pPr>
              <w:spacing w:after="0" w:line="360" w:lineRule="auto"/>
              <w:ind w:left="-7"/>
              <w:jc w:val="both"/>
            </w:pPr>
            <w:r w:rsidRPr="73F31BAE">
              <w:rPr>
                <w:rFonts w:ascii="Arial" w:eastAsia="Arial" w:hAnsi="Arial" w:cs="Arial"/>
                <w:color w:val="000000" w:themeColor="text1"/>
              </w:rPr>
              <w:t>3768.7536</w:t>
            </w:r>
          </w:p>
        </w:tc>
        <w:tc>
          <w:tcPr>
            <w:tcW w:w="142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058B74C" w14:textId="0CD43DF2" w:rsidR="73F31BAE" w:rsidRDefault="73F31BAE" w:rsidP="73F31BAE">
            <w:pPr>
              <w:spacing w:after="0" w:line="360" w:lineRule="auto"/>
              <w:ind w:left="-7"/>
              <w:jc w:val="both"/>
            </w:pPr>
            <w:r w:rsidRPr="73F31BAE">
              <w:rPr>
                <w:rFonts w:ascii="Arial" w:eastAsia="Arial" w:hAnsi="Arial" w:cs="Arial"/>
                <w:color w:val="000000" w:themeColor="text1"/>
              </w:rPr>
              <w:t>-95.1236</w:t>
            </w:r>
          </w:p>
        </w:tc>
      </w:tr>
      <w:tr w:rsidR="73F31BAE" w14:paraId="446FA74A" w14:textId="77777777" w:rsidTr="73F31BAE">
        <w:trPr>
          <w:trHeight w:val="300"/>
        </w:trPr>
        <w:tc>
          <w:tcPr>
            <w:tcW w:w="15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0FB01F75" w14:textId="781EF54B" w:rsidR="73F31BAE" w:rsidRDefault="73F31BAE" w:rsidP="73F31BAE">
            <w:pPr>
              <w:spacing w:after="0" w:line="360" w:lineRule="auto"/>
              <w:ind w:left="-7"/>
              <w:jc w:val="both"/>
            </w:pPr>
            <w:r w:rsidRPr="73F31BAE">
              <w:rPr>
                <w:rFonts w:ascii="Arial" w:eastAsia="Arial" w:hAnsi="Arial" w:cs="Arial"/>
                <w:color w:val="000000" w:themeColor="text1"/>
              </w:rPr>
              <w:t>2021</w:t>
            </w:r>
          </w:p>
        </w:tc>
        <w:tc>
          <w:tcPr>
            <w:tcW w:w="19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D6DCF6F" w14:textId="069E4806" w:rsidR="73F31BAE" w:rsidRDefault="73F31BAE" w:rsidP="73F31BAE">
            <w:pPr>
              <w:spacing w:after="0" w:line="360" w:lineRule="auto"/>
              <w:ind w:left="-7"/>
              <w:jc w:val="both"/>
            </w:pPr>
            <w:r w:rsidRPr="73F31BAE">
              <w:rPr>
                <w:rFonts w:ascii="Arial" w:eastAsia="Arial" w:hAnsi="Arial" w:cs="Arial"/>
                <w:color w:val="000000" w:themeColor="text1"/>
              </w:rPr>
              <w:t>2.5</w:t>
            </w:r>
          </w:p>
        </w:tc>
        <w:tc>
          <w:tcPr>
            <w:tcW w:w="21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C3255B7" w14:textId="328FC464" w:rsidR="73F31BAE" w:rsidRDefault="73F31BAE" w:rsidP="73F31BAE">
            <w:pPr>
              <w:spacing w:after="0" w:line="360" w:lineRule="auto"/>
              <w:ind w:left="-7"/>
              <w:jc w:val="both"/>
            </w:pPr>
            <w:r w:rsidRPr="73F31BAE">
              <w:rPr>
                <w:rFonts w:ascii="Arial" w:eastAsia="Arial" w:hAnsi="Arial" w:cs="Arial"/>
                <w:color w:val="000000" w:themeColor="text1"/>
              </w:rPr>
              <w:t>4208.02</w:t>
            </w:r>
          </w:p>
        </w:tc>
        <w:tc>
          <w:tcPr>
            <w:tcW w:w="217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92C7085" w14:textId="4D2127A6" w:rsidR="73F31BAE" w:rsidRDefault="73F31BAE" w:rsidP="73F31BAE">
            <w:pPr>
              <w:spacing w:after="0" w:line="360" w:lineRule="auto"/>
              <w:ind w:left="-7"/>
              <w:jc w:val="both"/>
            </w:pPr>
            <w:r w:rsidRPr="73F31BAE">
              <w:rPr>
                <w:rFonts w:ascii="Arial" w:eastAsia="Arial" w:hAnsi="Arial" w:cs="Arial"/>
                <w:color w:val="000000" w:themeColor="text1"/>
              </w:rPr>
              <w:t>3862.2131</w:t>
            </w:r>
          </w:p>
        </w:tc>
        <w:tc>
          <w:tcPr>
            <w:tcW w:w="142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737CE9F" w14:textId="585CFC14" w:rsidR="73F31BAE" w:rsidRDefault="73F31BAE" w:rsidP="73F31BAE">
            <w:pPr>
              <w:spacing w:after="0" w:line="360" w:lineRule="auto"/>
              <w:ind w:left="-7"/>
              <w:jc w:val="both"/>
            </w:pPr>
            <w:r w:rsidRPr="73F31BAE">
              <w:rPr>
                <w:rFonts w:ascii="Arial" w:eastAsia="Arial" w:hAnsi="Arial" w:cs="Arial"/>
                <w:color w:val="000000" w:themeColor="text1"/>
              </w:rPr>
              <w:t>345.8069</w:t>
            </w:r>
          </w:p>
        </w:tc>
      </w:tr>
      <w:tr w:rsidR="73F31BAE" w14:paraId="76D5CFF1" w14:textId="77777777" w:rsidTr="73F31BAE">
        <w:trPr>
          <w:trHeight w:val="300"/>
        </w:trPr>
        <w:tc>
          <w:tcPr>
            <w:tcW w:w="15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C50F877" w14:textId="39CCDECC" w:rsidR="73F31BAE" w:rsidRDefault="73F31BAE" w:rsidP="73F31BAE">
            <w:pPr>
              <w:spacing w:after="0" w:line="360" w:lineRule="auto"/>
              <w:ind w:left="-7"/>
              <w:jc w:val="both"/>
            </w:pPr>
            <w:r w:rsidRPr="73F31BAE">
              <w:rPr>
                <w:rFonts w:ascii="Arial" w:eastAsia="Arial" w:hAnsi="Arial" w:cs="Arial"/>
                <w:color w:val="000000" w:themeColor="text1"/>
              </w:rPr>
              <w:t>2022</w:t>
            </w:r>
          </w:p>
        </w:tc>
        <w:tc>
          <w:tcPr>
            <w:tcW w:w="196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AE8FC0F" w14:textId="69BF5EFA" w:rsidR="73F31BAE" w:rsidRDefault="73F31BAE" w:rsidP="73F31BAE">
            <w:pPr>
              <w:spacing w:after="0" w:line="360" w:lineRule="auto"/>
              <w:ind w:left="-7"/>
              <w:jc w:val="both"/>
            </w:pPr>
            <w:r w:rsidRPr="73F31BAE">
              <w:rPr>
                <w:rFonts w:ascii="Arial" w:eastAsia="Arial" w:hAnsi="Arial" w:cs="Arial"/>
                <w:color w:val="000000" w:themeColor="text1"/>
              </w:rPr>
              <w:t xml:space="preserve">7.9 </w:t>
            </w:r>
          </w:p>
        </w:tc>
        <w:tc>
          <w:tcPr>
            <w:tcW w:w="2160"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97EAC13" w14:textId="5E223F3F" w:rsidR="73F31BAE" w:rsidRDefault="73F31BAE" w:rsidP="73F31BAE">
            <w:pPr>
              <w:spacing w:after="0" w:line="360" w:lineRule="auto"/>
              <w:ind w:left="-7"/>
              <w:jc w:val="both"/>
            </w:pPr>
            <w:r w:rsidRPr="73F31BAE">
              <w:rPr>
                <w:rFonts w:ascii="Arial" w:eastAsia="Arial" w:hAnsi="Arial" w:cs="Arial"/>
                <w:color w:val="000000" w:themeColor="text1"/>
              </w:rPr>
              <w:t>4075.13</w:t>
            </w:r>
          </w:p>
        </w:tc>
        <w:tc>
          <w:tcPr>
            <w:tcW w:w="217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772CD41" w14:textId="00129EE6" w:rsidR="73F31BAE" w:rsidRDefault="73F31BAE" w:rsidP="73F31BAE">
            <w:pPr>
              <w:spacing w:after="0" w:line="360" w:lineRule="auto"/>
              <w:ind w:left="-7"/>
              <w:jc w:val="both"/>
            </w:pPr>
            <w:r w:rsidRPr="73F31BAE">
              <w:rPr>
                <w:rFonts w:ascii="Arial" w:eastAsia="Arial" w:hAnsi="Arial" w:cs="Arial"/>
                <w:color w:val="000000" w:themeColor="text1"/>
              </w:rPr>
              <w:t>4198.6674</w:t>
            </w:r>
          </w:p>
        </w:tc>
        <w:tc>
          <w:tcPr>
            <w:tcW w:w="142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CFC494C" w14:textId="31350CBC" w:rsidR="73F31BAE" w:rsidRDefault="73F31BAE" w:rsidP="73F31BAE">
            <w:pPr>
              <w:spacing w:after="0" w:line="360" w:lineRule="auto"/>
              <w:ind w:left="-7"/>
              <w:jc w:val="both"/>
            </w:pPr>
            <w:r w:rsidRPr="73F31BAE">
              <w:rPr>
                <w:rFonts w:ascii="Arial" w:eastAsia="Arial" w:hAnsi="Arial" w:cs="Arial"/>
                <w:color w:val="000000" w:themeColor="text1"/>
              </w:rPr>
              <w:t>-123.5374</w:t>
            </w:r>
          </w:p>
        </w:tc>
      </w:tr>
    </w:tbl>
    <w:p w14:paraId="7ED14E7E" w14:textId="2FCDA322" w:rsidR="73F31BAE" w:rsidRDefault="73F31BAE" w:rsidP="73F31BAE">
      <w:pPr>
        <w:jc w:val="both"/>
      </w:pPr>
    </w:p>
    <w:p w14:paraId="61FD9B2F" w14:textId="52967DA6" w:rsidR="1A7F5EE8" w:rsidRDefault="1A7F5EE8" w:rsidP="73F31BAE">
      <w:pPr>
        <w:jc w:val="center"/>
        <w:rPr>
          <w:rFonts w:ascii="Arial" w:eastAsia="Arial" w:hAnsi="Arial" w:cs="Arial"/>
          <w:b/>
          <w:bCs/>
          <w:color w:val="000000" w:themeColor="text1"/>
        </w:rPr>
      </w:pPr>
      <w:bookmarkStart w:id="5" w:name="_Int_Z08WIg7x"/>
      <w:r w:rsidRPr="73F31BAE">
        <w:rPr>
          <w:rFonts w:ascii="Arial" w:eastAsia="Arial" w:hAnsi="Arial" w:cs="Arial"/>
          <w:b/>
          <w:bCs/>
          <w:color w:val="000000" w:themeColor="text1"/>
        </w:rPr>
        <w:t>Line Fit Plot</w:t>
      </w:r>
      <w:bookmarkEnd w:id="5"/>
    </w:p>
    <w:p w14:paraId="06F7F407" w14:textId="6BEBEB76" w:rsidR="1A7F5EE8" w:rsidRDefault="1A7F5EE8" w:rsidP="73F31BAE">
      <w:pPr>
        <w:jc w:val="center"/>
      </w:pPr>
      <w:r>
        <w:rPr>
          <w:noProof/>
        </w:rPr>
        <w:drawing>
          <wp:inline distT="0" distB="0" distL="0" distR="0" wp14:anchorId="0B97F4DA" wp14:editId="7D0CD1B0">
            <wp:extent cx="4572000" cy="1971675"/>
            <wp:effectExtent l="0" t="0" r="0" b="0"/>
            <wp:docPr id="1390218462" name="Picture 1390218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4572000" cy="1971675"/>
                    </a:xfrm>
                    <a:prstGeom prst="rect">
                      <a:avLst/>
                    </a:prstGeom>
                  </pic:spPr>
                </pic:pic>
              </a:graphicData>
            </a:graphic>
          </wp:inline>
        </w:drawing>
      </w:r>
    </w:p>
    <w:p w14:paraId="7042CF5A" w14:textId="742A0CB8" w:rsidR="39A40DD7" w:rsidRDefault="39A40DD7" w:rsidP="73F31BAE">
      <w:pPr>
        <w:jc w:val="center"/>
      </w:pPr>
      <w:r w:rsidRPr="73F31BAE">
        <w:rPr>
          <w:rFonts w:ascii="Arial" w:eastAsia="Arial" w:hAnsi="Arial" w:cs="Arial"/>
          <w:color w:val="000000" w:themeColor="text1"/>
        </w:rPr>
        <w:t>Source: Author s Computation, 2024</w:t>
      </w:r>
    </w:p>
    <w:p w14:paraId="172487C2" w14:textId="3FF9A7B3" w:rsidR="73F31BAE" w:rsidRDefault="73F31BAE" w:rsidP="73F31BAE">
      <w:pPr>
        <w:jc w:val="center"/>
        <w:rPr>
          <w:rFonts w:ascii="Arial" w:eastAsia="Arial" w:hAnsi="Arial" w:cs="Arial"/>
          <w:b/>
          <w:bCs/>
          <w:color w:val="000000" w:themeColor="text1"/>
        </w:rPr>
      </w:pPr>
    </w:p>
    <w:p w14:paraId="7CC4D3F4" w14:textId="2B54ECB4" w:rsidR="73F31BAE" w:rsidRDefault="73F31BAE" w:rsidP="73F31BAE">
      <w:pPr>
        <w:jc w:val="center"/>
        <w:rPr>
          <w:rFonts w:ascii="Arial" w:eastAsia="Arial" w:hAnsi="Arial" w:cs="Arial"/>
          <w:b/>
          <w:bCs/>
          <w:color w:val="000000" w:themeColor="text1"/>
        </w:rPr>
      </w:pPr>
    </w:p>
    <w:p w14:paraId="1AD8BC2D" w14:textId="34D57EF5" w:rsidR="73F31BAE" w:rsidRDefault="73F31BAE" w:rsidP="73F31BAE">
      <w:pPr>
        <w:jc w:val="center"/>
        <w:rPr>
          <w:rFonts w:ascii="Arial" w:eastAsia="Arial" w:hAnsi="Arial" w:cs="Arial"/>
          <w:b/>
          <w:bCs/>
          <w:color w:val="000000" w:themeColor="text1"/>
        </w:rPr>
      </w:pPr>
    </w:p>
    <w:p w14:paraId="5D2576DF" w14:textId="0C4249A7" w:rsidR="1A7F5EE8" w:rsidRDefault="1A7F5EE8" w:rsidP="73F31BAE">
      <w:pPr>
        <w:jc w:val="center"/>
      </w:pPr>
      <w:r w:rsidRPr="73F31BAE">
        <w:rPr>
          <w:rFonts w:ascii="Arial" w:eastAsia="Arial" w:hAnsi="Arial" w:cs="Arial"/>
          <w:b/>
          <w:bCs/>
          <w:color w:val="000000" w:themeColor="text1"/>
        </w:rPr>
        <w:t>Prediction Interval</w:t>
      </w:r>
    </w:p>
    <w:p w14:paraId="16053D8B" w14:textId="2582E0F9" w:rsidR="1A7F5EE8" w:rsidRDefault="1A7F5EE8" w:rsidP="73F31BAE">
      <w:pPr>
        <w:jc w:val="center"/>
      </w:pPr>
      <w:r>
        <w:rPr>
          <w:noProof/>
        </w:rPr>
        <w:drawing>
          <wp:inline distT="0" distB="0" distL="0" distR="0" wp14:anchorId="78663D7A" wp14:editId="32088204">
            <wp:extent cx="4572000" cy="1971675"/>
            <wp:effectExtent l="0" t="0" r="0" b="0"/>
            <wp:docPr id="462338500" name="Picture 462338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extLst>
                        <a:ext uri="{28A0092B-C50C-407E-A947-70E740481C1C}">
                          <a14:useLocalDpi xmlns:a14="http://schemas.microsoft.com/office/drawing/2010/main" val="0"/>
                        </a:ext>
                      </a:extLst>
                    </a:blip>
                    <a:stretch>
                      <a:fillRect/>
                    </a:stretch>
                  </pic:blipFill>
                  <pic:spPr>
                    <a:xfrm>
                      <a:off x="0" y="0"/>
                      <a:ext cx="4572000" cy="1971675"/>
                    </a:xfrm>
                    <a:prstGeom prst="rect">
                      <a:avLst/>
                    </a:prstGeom>
                  </pic:spPr>
                </pic:pic>
              </a:graphicData>
            </a:graphic>
          </wp:inline>
        </w:drawing>
      </w:r>
    </w:p>
    <w:p w14:paraId="5EAABBA0" w14:textId="742A0CB8" w:rsidR="1A7F5EE8" w:rsidRDefault="1A7F5EE8" w:rsidP="73F31BAE">
      <w:pPr>
        <w:jc w:val="center"/>
      </w:pPr>
      <w:r w:rsidRPr="73F31BAE">
        <w:rPr>
          <w:rFonts w:ascii="Arial" w:eastAsia="Arial" w:hAnsi="Arial" w:cs="Arial"/>
          <w:color w:val="000000" w:themeColor="text1"/>
        </w:rPr>
        <w:t>Source: Author s Computation, 2024</w:t>
      </w:r>
    </w:p>
    <w:p w14:paraId="12A4B212" w14:textId="7A8C3671" w:rsidR="73F31BAE" w:rsidRDefault="73F31BAE" w:rsidP="73F31BAE">
      <w:pPr>
        <w:jc w:val="both"/>
        <w:rPr>
          <w:rFonts w:ascii="Arial" w:eastAsia="Arial" w:hAnsi="Arial" w:cs="Arial"/>
          <w:b/>
          <w:bCs/>
          <w:color w:val="000000" w:themeColor="text1"/>
        </w:rPr>
      </w:pPr>
    </w:p>
    <w:p w14:paraId="7DA26D4D" w14:textId="03F872B4" w:rsidR="1A7F5EE8" w:rsidRDefault="1A7F5EE8" w:rsidP="73F31BAE">
      <w:pPr>
        <w:jc w:val="center"/>
      </w:pPr>
      <w:r w:rsidRPr="73F31BAE">
        <w:rPr>
          <w:rFonts w:ascii="Arial" w:eastAsia="Arial" w:hAnsi="Arial" w:cs="Arial"/>
          <w:b/>
          <w:bCs/>
          <w:color w:val="000000" w:themeColor="text1"/>
        </w:rPr>
        <w:t>Residual Plot</w:t>
      </w:r>
    </w:p>
    <w:p w14:paraId="6842D935" w14:textId="002D1BA3" w:rsidR="1A7F5EE8" w:rsidRDefault="1A7F5EE8" w:rsidP="73F31BAE">
      <w:pPr>
        <w:jc w:val="center"/>
      </w:pPr>
      <w:r>
        <w:rPr>
          <w:noProof/>
        </w:rPr>
        <w:drawing>
          <wp:inline distT="0" distB="0" distL="0" distR="0" wp14:anchorId="49C9E17B" wp14:editId="03FCED4A">
            <wp:extent cx="4572000" cy="1476375"/>
            <wp:effectExtent l="0" t="0" r="0" b="0"/>
            <wp:docPr id="1103870744" name="Picture 1103870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4572000" cy="1476375"/>
                    </a:xfrm>
                    <a:prstGeom prst="rect">
                      <a:avLst/>
                    </a:prstGeom>
                  </pic:spPr>
                </pic:pic>
              </a:graphicData>
            </a:graphic>
          </wp:inline>
        </w:drawing>
      </w:r>
    </w:p>
    <w:p w14:paraId="70932EB0" w14:textId="742A0CB8" w:rsidR="7E2B574A" w:rsidRDefault="7E2B574A" w:rsidP="73F31BAE">
      <w:pPr>
        <w:jc w:val="center"/>
      </w:pPr>
      <w:r w:rsidRPr="73F31BAE">
        <w:rPr>
          <w:rFonts w:ascii="Arial" w:eastAsia="Arial" w:hAnsi="Arial" w:cs="Arial"/>
          <w:color w:val="000000" w:themeColor="text1"/>
        </w:rPr>
        <w:t>Source: Author s Computation, 2024</w:t>
      </w:r>
    </w:p>
    <w:p w14:paraId="32440332" w14:textId="0953A327" w:rsidR="73F31BAE" w:rsidRDefault="73F31BAE" w:rsidP="73F31BAE">
      <w:pPr>
        <w:jc w:val="center"/>
      </w:pPr>
    </w:p>
    <w:tbl>
      <w:tblPr>
        <w:tblStyle w:val="TableGrid"/>
        <w:tblW w:w="0" w:type="auto"/>
        <w:tblLayout w:type="fixed"/>
        <w:tblLook w:val="06A0" w:firstRow="1" w:lastRow="0" w:firstColumn="1" w:lastColumn="0" w:noHBand="1" w:noVBand="1"/>
      </w:tblPr>
      <w:tblGrid>
        <w:gridCol w:w="1560"/>
        <w:gridCol w:w="1560"/>
        <w:gridCol w:w="1560"/>
        <w:gridCol w:w="1560"/>
        <w:gridCol w:w="1560"/>
        <w:gridCol w:w="1560"/>
      </w:tblGrid>
      <w:tr w:rsidR="73F31BAE" w14:paraId="2E289F2F" w14:textId="77777777" w:rsidTr="73F31BAE">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0B0DB96" w14:textId="53B2D0F3" w:rsidR="73F31BAE" w:rsidRDefault="73F31BAE" w:rsidP="73F31BAE">
            <w:pPr>
              <w:spacing w:line="360" w:lineRule="auto"/>
              <w:ind w:left="-20" w:right="-20"/>
              <w:jc w:val="both"/>
            </w:pPr>
            <w:r w:rsidRPr="73F31BAE">
              <w:rPr>
                <w:rFonts w:ascii="Arial" w:eastAsia="Arial" w:hAnsi="Arial" w:cs="Arial"/>
                <w:b/>
                <w:bCs/>
                <w:color w:val="000000" w:themeColor="text1"/>
              </w:rPr>
              <w:t>Source</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B453BEA" w14:textId="25A2C9D5" w:rsidR="73F31BAE" w:rsidRDefault="73F31BAE" w:rsidP="73F31BAE">
            <w:pPr>
              <w:spacing w:line="360" w:lineRule="auto"/>
              <w:ind w:left="-20" w:right="-20"/>
              <w:jc w:val="both"/>
            </w:pPr>
            <w:r w:rsidRPr="73F31BAE">
              <w:rPr>
                <w:rFonts w:ascii="Arial" w:eastAsia="Arial" w:hAnsi="Arial" w:cs="Arial"/>
                <w:b/>
                <w:bCs/>
                <w:color w:val="000000" w:themeColor="text1"/>
              </w:rPr>
              <w:t>DF</w:t>
            </w:r>
          </w:p>
          <w:p w14:paraId="424B3E74" w14:textId="10705F3A" w:rsidR="73F31BAE" w:rsidRDefault="73F31BAE" w:rsidP="73F31BAE">
            <w:pPr>
              <w:spacing w:line="360" w:lineRule="auto"/>
              <w:ind w:left="-20" w:right="-20"/>
              <w:jc w:val="both"/>
            </w:pPr>
            <w:r w:rsidRPr="73F31BAE">
              <w:rPr>
                <w:rFonts w:ascii="Arial" w:eastAsia="Arial" w:hAnsi="Arial" w:cs="Arial"/>
                <w:b/>
                <w:bCs/>
                <w:color w:val="000000" w:themeColor="text1"/>
              </w:rPr>
              <w:t>(Degree of freedom)</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BCE5F7B" w14:textId="76340FDF" w:rsidR="73F31BAE" w:rsidRDefault="73F31BAE" w:rsidP="73F31BAE">
            <w:pPr>
              <w:spacing w:line="360" w:lineRule="auto"/>
              <w:ind w:left="-20" w:right="-20"/>
              <w:jc w:val="both"/>
            </w:pPr>
            <w:r w:rsidRPr="73F31BAE">
              <w:rPr>
                <w:rFonts w:ascii="Arial" w:eastAsia="Arial" w:hAnsi="Arial" w:cs="Arial"/>
                <w:b/>
                <w:bCs/>
                <w:color w:val="000000" w:themeColor="text1"/>
              </w:rPr>
              <w:t>Sum of Square</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79E40DF" w14:textId="79D6DF3E" w:rsidR="73F31BAE" w:rsidRDefault="73F31BAE" w:rsidP="73F31BAE">
            <w:pPr>
              <w:spacing w:line="360" w:lineRule="auto"/>
              <w:ind w:left="-20" w:right="-20"/>
              <w:jc w:val="both"/>
            </w:pPr>
            <w:r w:rsidRPr="73F31BAE">
              <w:rPr>
                <w:rFonts w:ascii="Arial" w:eastAsia="Arial" w:hAnsi="Arial" w:cs="Arial"/>
                <w:b/>
                <w:bCs/>
                <w:color w:val="000000" w:themeColor="text1"/>
              </w:rPr>
              <w:t>Mean Square</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DD78317" w14:textId="6A93BFEA" w:rsidR="73F31BAE" w:rsidRDefault="73F31BAE" w:rsidP="73F31BAE">
            <w:pPr>
              <w:spacing w:line="360" w:lineRule="auto"/>
              <w:ind w:left="-20" w:right="-20"/>
              <w:jc w:val="both"/>
            </w:pPr>
            <w:r w:rsidRPr="73F31BAE">
              <w:rPr>
                <w:rFonts w:ascii="Arial" w:eastAsia="Arial" w:hAnsi="Arial" w:cs="Arial"/>
                <w:b/>
                <w:bCs/>
                <w:color w:val="000000" w:themeColor="text1"/>
              </w:rPr>
              <w:t>F Statistic (df1, df2))</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0E4907C" w14:textId="68DBE760" w:rsidR="73F31BAE" w:rsidRDefault="73F31BAE" w:rsidP="73F31BAE">
            <w:pPr>
              <w:spacing w:line="360" w:lineRule="auto"/>
              <w:ind w:left="-20" w:right="-20"/>
              <w:jc w:val="both"/>
            </w:pPr>
            <w:r w:rsidRPr="73F31BAE">
              <w:rPr>
                <w:rFonts w:ascii="Arial" w:eastAsia="Arial" w:hAnsi="Arial" w:cs="Arial"/>
                <w:b/>
                <w:bCs/>
                <w:color w:val="000000" w:themeColor="text1"/>
              </w:rPr>
              <w:t>P-value</w:t>
            </w:r>
          </w:p>
        </w:tc>
      </w:tr>
      <w:tr w:rsidR="73F31BAE" w14:paraId="054B058A" w14:textId="77777777" w:rsidTr="73F31BAE">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9D02AB9" w14:textId="107745C5" w:rsidR="73F31BAE" w:rsidRDefault="73F31BAE" w:rsidP="73F31BAE">
            <w:pPr>
              <w:spacing w:line="360" w:lineRule="auto"/>
              <w:ind w:left="-20" w:right="-20"/>
              <w:jc w:val="both"/>
            </w:pPr>
            <w:r w:rsidRPr="73F31BAE">
              <w:rPr>
                <w:rFonts w:ascii="Arial" w:eastAsia="Arial" w:hAnsi="Arial" w:cs="Arial"/>
                <w:b/>
                <w:bCs/>
                <w:color w:val="000000" w:themeColor="text1"/>
              </w:rPr>
              <w:t>Regression</w:t>
            </w:r>
            <w:r>
              <w:br/>
              <w:t xml:space="preserve"> </w:t>
            </w:r>
            <w:r w:rsidRPr="73F31BAE">
              <w:rPr>
                <w:rFonts w:ascii="Arial" w:eastAsia="Arial" w:hAnsi="Arial" w:cs="Arial"/>
                <w:color w:val="000000" w:themeColor="text1"/>
              </w:rPr>
              <w:t xml:space="preserve">(between </w:t>
            </w:r>
            <w:proofErr w:type="spellStart"/>
            <w:r w:rsidRPr="73F31BAE">
              <w:rPr>
                <w:rFonts w:ascii="Arial" w:eastAsia="Arial" w:hAnsi="Arial" w:cs="Arial"/>
                <w:color w:val="000000" w:themeColor="text1"/>
              </w:rPr>
              <w:t>ŷ</w:t>
            </w:r>
            <w:r w:rsidRPr="73F31BAE">
              <w:rPr>
                <w:rFonts w:ascii="Arial" w:eastAsia="Arial" w:hAnsi="Arial" w:cs="Arial"/>
                <w:color w:val="000000" w:themeColor="text1"/>
                <w:vertAlign w:val="subscript"/>
              </w:rPr>
              <w:t>i</w:t>
            </w:r>
            <w:proofErr w:type="spellEnd"/>
            <w:r w:rsidRPr="73F31BAE">
              <w:rPr>
                <w:rFonts w:ascii="Arial" w:eastAsia="Arial" w:hAnsi="Arial" w:cs="Arial"/>
                <w:color w:val="000000" w:themeColor="text1"/>
              </w:rPr>
              <w:t xml:space="preserve"> and ȳ)</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FC036E7" w14:textId="0F6B0719" w:rsidR="73F31BAE" w:rsidRDefault="73F31BAE" w:rsidP="73F31BAE">
            <w:pPr>
              <w:spacing w:line="360" w:lineRule="auto"/>
              <w:ind w:left="-20" w:right="-20"/>
              <w:jc w:val="both"/>
            </w:pPr>
            <w:r w:rsidRPr="73F31BAE">
              <w:rPr>
                <w:rFonts w:ascii="Arial" w:eastAsia="Arial" w:hAnsi="Arial" w:cs="Arial"/>
                <w:color w:val="000000" w:themeColor="text1"/>
              </w:rPr>
              <w:t>1</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6F76ACF" w14:textId="743AB3FA" w:rsidR="73F31BAE" w:rsidRDefault="73F31BAE" w:rsidP="73F31BAE">
            <w:pPr>
              <w:spacing w:line="360" w:lineRule="auto"/>
              <w:ind w:left="-20" w:right="-20"/>
              <w:jc w:val="both"/>
            </w:pPr>
            <w:r w:rsidRPr="73F31BAE">
              <w:rPr>
                <w:rFonts w:ascii="Arial" w:eastAsia="Arial" w:hAnsi="Arial" w:cs="Arial"/>
                <w:color w:val="000000" w:themeColor="text1"/>
              </w:rPr>
              <w:t>153249.0304</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F3396DE" w14:textId="3AA86A91" w:rsidR="73F31BAE" w:rsidRDefault="73F31BAE" w:rsidP="73F31BAE">
            <w:pPr>
              <w:spacing w:line="360" w:lineRule="auto"/>
              <w:ind w:left="-20" w:right="-20"/>
              <w:jc w:val="both"/>
            </w:pPr>
            <w:r w:rsidRPr="73F31BAE">
              <w:rPr>
                <w:rFonts w:ascii="Arial" w:eastAsia="Arial" w:hAnsi="Arial" w:cs="Arial"/>
                <w:color w:val="000000" w:themeColor="text1"/>
              </w:rPr>
              <w:t>153249.0304</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5E5CA2D" w14:textId="4D842773" w:rsidR="73F31BAE" w:rsidRDefault="73F31BAE" w:rsidP="73F31BAE">
            <w:pPr>
              <w:spacing w:line="360" w:lineRule="auto"/>
              <w:ind w:left="-20" w:right="-20"/>
              <w:jc w:val="both"/>
            </w:pPr>
            <w:r w:rsidRPr="73F31BAE">
              <w:rPr>
                <w:rFonts w:ascii="Arial" w:eastAsia="Arial" w:hAnsi="Arial" w:cs="Arial"/>
                <w:color w:val="000000" w:themeColor="text1"/>
              </w:rPr>
              <w:t>1.832 (1,8)</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BC99DA4" w14:textId="5A0CA050" w:rsidR="73F31BAE" w:rsidRDefault="73F31BAE" w:rsidP="73F31BAE">
            <w:pPr>
              <w:spacing w:line="360" w:lineRule="auto"/>
              <w:ind w:left="-20" w:right="-20"/>
              <w:jc w:val="both"/>
            </w:pPr>
            <w:r w:rsidRPr="73F31BAE">
              <w:rPr>
                <w:rFonts w:ascii="Arial" w:eastAsia="Arial" w:hAnsi="Arial" w:cs="Arial"/>
                <w:color w:val="000000" w:themeColor="text1"/>
              </w:rPr>
              <w:t>0.2129</w:t>
            </w:r>
          </w:p>
        </w:tc>
      </w:tr>
      <w:tr w:rsidR="73F31BAE" w14:paraId="20DEB018" w14:textId="77777777" w:rsidTr="73F31BAE">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E5FADC4" w14:textId="4CD5FB34" w:rsidR="73F31BAE" w:rsidRDefault="73F31BAE" w:rsidP="73F31BAE">
            <w:pPr>
              <w:spacing w:line="360" w:lineRule="auto"/>
              <w:ind w:left="-20" w:right="-20"/>
              <w:jc w:val="both"/>
            </w:pPr>
            <w:r w:rsidRPr="73F31BAE">
              <w:rPr>
                <w:rFonts w:ascii="Arial" w:eastAsia="Arial" w:hAnsi="Arial" w:cs="Arial"/>
                <w:b/>
                <w:bCs/>
                <w:color w:val="000000" w:themeColor="text1"/>
              </w:rPr>
              <w:t>Residual</w:t>
            </w:r>
            <w:r>
              <w:br/>
              <w:t xml:space="preserve"> </w:t>
            </w:r>
            <w:r w:rsidRPr="73F31BAE">
              <w:rPr>
                <w:rFonts w:ascii="Arial" w:eastAsia="Arial" w:hAnsi="Arial" w:cs="Arial"/>
                <w:color w:val="000000" w:themeColor="text1"/>
              </w:rPr>
              <w:t xml:space="preserve">(between </w:t>
            </w:r>
            <w:proofErr w:type="spellStart"/>
            <w:r w:rsidRPr="73F31BAE">
              <w:rPr>
                <w:rFonts w:ascii="Arial" w:eastAsia="Arial" w:hAnsi="Arial" w:cs="Arial"/>
                <w:color w:val="000000" w:themeColor="text1"/>
              </w:rPr>
              <w:t>y</w:t>
            </w:r>
            <w:r w:rsidRPr="73F31BAE">
              <w:rPr>
                <w:rFonts w:ascii="Arial" w:eastAsia="Arial" w:hAnsi="Arial" w:cs="Arial"/>
                <w:color w:val="000000" w:themeColor="text1"/>
                <w:vertAlign w:val="subscript"/>
              </w:rPr>
              <w:t>i</w:t>
            </w:r>
            <w:proofErr w:type="spellEnd"/>
            <w:r w:rsidRPr="73F31BAE">
              <w:rPr>
                <w:rFonts w:ascii="Arial" w:eastAsia="Arial" w:hAnsi="Arial" w:cs="Arial"/>
                <w:color w:val="000000" w:themeColor="text1"/>
              </w:rPr>
              <w:t xml:space="preserve"> and </w:t>
            </w:r>
            <w:proofErr w:type="spellStart"/>
            <w:r w:rsidRPr="73F31BAE">
              <w:rPr>
                <w:rFonts w:ascii="Arial" w:eastAsia="Arial" w:hAnsi="Arial" w:cs="Arial"/>
                <w:color w:val="000000" w:themeColor="text1"/>
              </w:rPr>
              <w:t>ŷ</w:t>
            </w:r>
            <w:r w:rsidRPr="73F31BAE">
              <w:rPr>
                <w:rFonts w:ascii="Arial" w:eastAsia="Arial" w:hAnsi="Arial" w:cs="Arial"/>
                <w:color w:val="000000" w:themeColor="text1"/>
                <w:vertAlign w:val="subscript"/>
              </w:rPr>
              <w:t>i</w:t>
            </w:r>
            <w:proofErr w:type="spellEnd"/>
            <w:r w:rsidRPr="73F31BAE">
              <w:rPr>
                <w:rFonts w:ascii="Arial" w:eastAsia="Arial" w:hAnsi="Arial" w:cs="Arial"/>
                <w:color w:val="000000" w:themeColor="text1"/>
              </w:rPr>
              <w:t>)</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D0FBB71" w14:textId="233B5FA9" w:rsidR="73F31BAE" w:rsidRDefault="73F31BAE" w:rsidP="73F31BAE">
            <w:pPr>
              <w:spacing w:line="360" w:lineRule="auto"/>
              <w:ind w:left="-20" w:right="-20"/>
              <w:jc w:val="both"/>
            </w:pPr>
            <w:r w:rsidRPr="73F31BAE">
              <w:rPr>
                <w:rFonts w:ascii="Arial" w:eastAsia="Arial" w:hAnsi="Arial" w:cs="Arial"/>
                <w:color w:val="000000" w:themeColor="text1"/>
              </w:rPr>
              <w:t>8</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88A6570" w14:textId="0960A1AE" w:rsidR="73F31BAE" w:rsidRDefault="73F31BAE" w:rsidP="73F31BAE">
            <w:pPr>
              <w:spacing w:line="360" w:lineRule="auto"/>
              <w:ind w:left="-20" w:right="-20"/>
              <w:jc w:val="both"/>
            </w:pPr>
            <w:r w:rsidRPr="73F31BAE">
              <w:rPr>
                <w:rFonts w:ascii="Arial" w:eastAsia="Arial" w:hAnsi="Arial" w:cs="Arial"/>
                <w:color w:val="000000" w:themeColor="text1"/>
              </w:rPr>
              <w:t>669200.5612</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C9FF230" w14:textId="097C8632" w:rsidR="73F31BAE" w:rsidRDefault="73F31BAE" w:rsidP="73F31BAE">
            <w:pPr>
              <w:spacing w:line="360" w:lineRule="auto"/>
              <w:ind w:left="-20" w:right="-20"/>
              <w:jc w:val="both"/>
            </w:pPr>
            <w:r w:rsidRPr="73F31BAE">
              <w:rPr>
                <w:rFonts w:ascii="Arial" w:eastAsia="Arial" w:hAnsi="Arial" w:cs="Arial"/>
                <w:color w:val="000000" w:themeColor="text1"/>
              </w:rPr>
              <w:t>83650.0701</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78335A0" w14:textId="1EB7E357" w:rsidR="73F31BAE" w:rsidRDefault="73F31BAE"/>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15553FF" w14:textId="4F3E205C" w:rsidR="73F31BAE" w:rsidRDefault="73F31BAE"/>
        </w:tc>
      </w:tr>
      <w:tr w:rsidR="73F31BAE" w14:paraId="6CC01D92" w14:textId="77777777" w:rsidTr="73F31BAE">
        <w:trPr>
          <w:trHeight w:val="300"/>
        </w:trPr>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vAlign w:val="center"/>
          </w:tcPr>
          <w:p w14:paraId="75B401AC" w14:textId="3EFBCADC" w:rsidR="73F31BAE" w:rsidRDefault="73F31BAE" w:rsidP="73F31BAE">
            <w:pPr>
              <w:spacing w:line="360" w:lineRule="auto"/>
              <w:ind w:left="-20" w:right="-20"/>
              <w:jc w:val="both"/>
            </w:pPr>
            <w:r w:rsidRPr="73F31BAE">
              <w:rPr>
                <w:rFonts w:ascii="Arial" w:eastAsia="Arial" w:hAnsi="Arial" w:cs="Arial"/>
                <w:b/>
                <w:bCs/>
                <w:color w:val="000000" w:themeColor="text1"/>
              </w:rPr>
              <w:lastRenderedPageBreak/>
              <w:t>Total</w:t>
            </w:r>
            <w:r w:rsidRPr="73F31BAE">
              <w:rPr>
                <w:rFonts w:ascii="Arial" w:eastAsia="Arial" w:hAnsi="Arial" w:cs="Arial"/>
                <w:color w:val="000000" w:themeColor="text1"/>
              </w:rPr>
              <w:t xml:space="preserve"> (between </w:t>
            </w:r>
            <w:proofErr w:type="spellStart"/>
            <w:r w:rsidRPr="73F31BAE">
              <w:rPr>
                <w:rFonts w:ascii="Arial" w:eastAsia="Arial" w:hAnsi="Arial" w:cs="Arial"/>
                <w:color w:val="000000" w:themeColor="text1"/>
              </w:rPr>
              <w:t>y</w:t>
            </w:r>
            <w:r w:rsidRPr="73F31BAE">
              <w:rPr>
                <w:rFonts w:ascii="Arial" w:eastAsia="Arial" w:hAnsi="Arial" w:cs="Arial"/>
                <w:color w:val="000000" w:themeColor="text1"/>
                <w:vertAlign w:val="subscript"/>
              </w:rPr>
              <w:t>i</w:t>
            </w:r>
            <w:proofErr w:type="spellEnd"/>
            <w:r w:rsidRPr="73F31BAE">
              <w:rPr>
                <w:rFonts w:ascii="Arial" w:eastAsia="Arial" w:hAnsi="Arial" w:cs="Arial"/>
                <w:color w:val="000000" w:themeColor="text1"/>
              </w:rPr>
              <w:t xml:space="preserve"> and ȳ)</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vAlign w:val="center"/>
          </w:tcPr>
          <w:p w14:paraId="52AA6222" w14:textId="20324402" w:rsidR="73F31BAE" w:rsidRDefault="73F31BAE" w:rsidP="73F31BAE">
            <w:pPr>
              <w:spacing w:line="360" w:lineRule="auto"/>
              <w:ind w:left="-20" w:right="-20"/>
              <w:jc w:val="both"/>
            </w:pPr>
            <w:r w:rsidRPr="73F31BAE">
              <w:rPr>
                <w:rFonts w:ascii="Arial" w:eastAsia="Arial" w:hAnsi="Arial" w:cs="Arial"/>
                <w:color w:val="000000" w:themeColor="text1"/>
              </w:rPr>
              <w:t>9</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vAlign w:val="center"/>
          </w:tcPr>
          <w:p w14:paraId="5384796C" w14:textId="6836BA1E" w:rsidR="73F31BAE" w:rsidRDefault="73F31BAE" w:rsidP="73F31BAE">
            <w:pPr>
              <w:spacing w:line="360" w:lineRule="auto"/>
              <w:ind w:left="-20" w:right="-20"/>
              <w:jc w:val="both"/>
            </w:pPr>
            <w:r w:rsidRPr="73F31BAE">
              <w:rPr>
                <w:rFonts w:ascii="Arial" w:eastAsia="Arial" w:hAnsi="Arial" w:cs="Arial"/>
                <w:color w:val="000000" w:themeColor="text1"/>
              </w:rPr>
              <w:t>822449.5916</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left w:w="108" w:type="dxa"/>
              <w:right w:w="108" w:type="dxa"/>
            </w:tcMar>
            <w:vAlign w:val="center"/>
          </w:tcPr>
          <w:p w14:paraId="555EAB99" w14:textId="14F6F831" w:rsidR="73F31BAE" w:rsidRDefault="73F31BAE" w:rsidP="73F31BAE">
            <w:pPr>
              <w:spacing w:line="360" w:lineRule="auto"/>
              <w:ind w:left="-20" w:right="-20"/>
              <w:jc w:val="both"/>
            </w:pPr>
            <w:r w:rsidRPr="73F31BAE">
              <w:rPr>
                <w:rFonts w:ascii="Arial" w:eastAsia="Arial" w:hAnsi="Arial" w:cs="Arial"/>
                <w:color w:val="000000" w:themeColor="text1"/>
              </w:rPr>
              <w:t>91383.288</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9463BA6" w14:textId="2B312F29" w:rsidR="73F31BAE" w:rsidRDefault="73F31BAE"/>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4C9CBFD" w14:textId="684A8B7A" w:rsidR="73F31BAE" w:rsidRDefault="73F31BAE"/>
        </w:tc>
      </w:tr>
    </w:tbl>
    <w:p w14:paraId="4A089909" w14:textId="07FC1472" w:rsidR="73F31BAE" w:rsidRDefault="73F31BAE" w:rsidP="73F31BAE">
      <w:pPr>
        <w:jc w:val="both"/>
      </w:pPr>
    </w:p>
    <w:p w14:paraId="61C66B5B" w14:textId="2DCA6B85" w:rsidR="3053EE39" w:rsidRDefault="3053EE39" w:rsidP="73F31BAE">
      <w:r w:rsidRPr="73F31BAE">
        <w:rPr>
          <w:rFonts w:ascii="Arial" w:eastAsia="Arial" w:hAnsi="Arial" w:cs="Arial"/>
          <w:color w:val="000000" w:themeColor="text1"/>
        </w:rPr>
        <w:t>Step-by-step solution</w:t>
      </w:r>
    </w:p>
    <w:p w14:paraId="42E59258" w14:textId="23A563F5" w:rsidR="3053EE39" w:rsidRDefault="3053EE39" w:rsidP="73F31BAE">
      <w:pPr>
        <w:jc w:val="both"/>
      </w:pPr>
      <w:r w:rsidRPr="73F31BAE">
        <w:rPr>
          <w:rFonts w:ascii="Arial" w:eastAsia="Arial" w:hAnsi="Arial" w:cs="Arial"/>
          <w:color w:val="000000" w:themeColor="text1"/>
        </w:rPr>
        <w:t>Ŷ = b</w:t>
      </w:r>
      <w:r w:rsidRPr="73F31BAE">
        <w:rPr>
          <w:rFonts w:ascii="Arial" w:eastAsia="Arial" w:hAnsi="Arial" w:cs="Arial"/>
          <w:color w:val="000000" w:themeColor="text1"/>
          <w:vertAlign w:val="subscript"/>
        </w:rPr>
        <w:t>0</w:t>
      </w:r>
      <w:r w:rsidRPr="73F31BAE">
        <w:rPr>
          <w:rFonts w:ascii="Arial" w:eastAsia="Arial" w:hAnsi="Arial" w:cs="Arial"/>
          <w:color w:val="000000" w:themeColor="text1"/>
        </w:rPr>
        <w:t xml:space="preserve"> +b</w:t>
      </w:r>
      <w:r w:rsidRPr="73F31BAE">
        <w:rPr>
          <w:rFonts w:ascii="Arial" w:eastAsia="Arial" w:hAnsi="Arial" w:cs="Arial"/>
          <w:color w:val="000000" w:themeColor="text1"/>
          <w:vertAlign w:val="subscript"/>
        </w:rPr>
        <w:t>1</w:t>
      </w:r>
      <w:r w:rsidRPr="73F31BAE">
        <w:rPr>
          <w:rFonts w:ascii="Arial" w:eastAsia="Arial" w:hAnsi="Arial" w:cs="Arial"/>
          <w:color w:val="000000" w:themeColor="text1"/>
        </w:rPr>
        <w:t>X</w:t>
      </w:r>
      <w:r>
        <w:br/>
      </w:r>
      <w:r w:rsidRPr="73F31BAE">
        <w:t xml:space="preserve"> </w:t>
      </w:r>
      <w:r>
        <w:br/>
      </w:r>
    </w:p>
    <w:tbl>
      <w:tblPr>
        <w:tblStyle w:val="TableGrid"/>
        <w:tblW w:w="0" w:type="auto"/>
        <w:tblLayout w:type="fixed"/>
        <w:tblLook w:val="06A0" w:firstRow="1" w:lastRow="0" w:firstColumn="1" w:lastColumn="0" w:noHBand="1" w:noVBand="1"/>
      </w:tblPr>
      <w:tblGrid>
        <w:gridCol w:w="2340"/>
        <w:gridCol w:w="780"/>
        <w:gridCol w:w="1560"/>
        <w:gridCol w:w="1560"/>
        <w:gridCol w:w="780"/>
        <w:gridCol w:w="2340"/>
      </w:tblGrid>
      <w:tr w:rsidR="73F31BAE" w14:paraId="1A0E41D4" w14:textId="77777777" w:rsidTr="73F31BAE">
        <w:trPr>
          <w:trHeight w:val="300"/>
        </w:trPr>
        <w:tc>
          <w:tcPr>
            <w:tcW w:w="2340" w:type="dxa"/>
            <w:vMerge w:val="restart"/>
            <w:tcBorders>
              <w:top w:val="single" w:sz="12" w:space="0" w:color="000000" w:themeColor="text1"/>
              <w:left w:val="single" w:sz="12" w:space="0" w:color="000000" w:themeColor="text1"/>
              <w:bottom w:val="nil"/>
              <w:right w:val="nil"/>
            </w:tcBorders>
            <w:tcMar>
              <w:left w:w="108" w:type="dxa"/>
              <w:right w:w="108" w:type="dxa"/>
            </w:tcMar>
            <w:vAlign w:val="center"/>
          </w:tcPr>
          <w:p w14:paraId="01C3CD45" w14:textId="389C8837" w:rsidR="73F31BAE" w:rsidRDefault="73F31BAE" w:rsidP="73F31BAE">
            <w:pPr>
              <w:spacing w:line="360" w:lineRule="auto"/>
              <w:ind w:left="-20" w:right="-20"/>
              <w:jc w:val="both"/>
            </w:pPr>
            <w:r w:rsidRPr="73F31BAE">
              <w:rPr>
                <w:rFonts w:ascii="Arial" w:eastAsia="Arial" w:hAnsi="Arial" w:cs="Arial"/>
                <w:color w:val="000000" w:themeColor="text1"/>
              </w:rPr>
              <w:t>b</w:t>
            </w:r>
            <w:r w:rsidRPr="73F31BAE">
              <w:rPr>
                <w:rFonts w:ascii="Arial" w:eastAsia="Arial" w:hAnsi="Arial" w:cs="Arial"/>
                <w:color w:val="000000" w:themeColor="text1"/>
                <w:vertAlign w:val="subscript"/>
              </w:rPr>
              <w:t>1</w:t>
            </w:r>
            <w:r w:rsidRPr="73F31BAE">
              <w:rPr>
                <w:rFonts w:ascii="Arial" w:eastAsia="Arial" w:hAnsi="Arial" w:cs="Arial"/>
                <w:color w:val="000000" w:themeColor="text1"/>
              </w:rPr>
              <w:t xml:space="preserve"> =</w:t>
            </w:r>
          </w:p>
        </w:tc>
        <w:tc>
          <w:tcPr>
            <w:tcW w:w="2340" w:type="dxa"/>
            <w:gridSpan w:val="2"/>
            <w:tcBorders>
              <w:top w:val="single" w:sz="12" w:space="0" w:color="000000" w:themeColor="text1"/>
              <w:left w:val="nil"/>
              <w:bottom w:val="single" w:sz="8" w:space="0" w:color="343A40"/>
              <w:right w:val="nil"/>
            </w:tcBorders>
            <w:tcMar>
              <w:left w:w="108" w:type="dxa"/>
              <w:right w:w="108" w:type="dxa"/>
            </w:tcMar>
            <w:vAlign w:val="center"/>
          </w:tcPr>
          <w:p w14:paraId="60B7B618" w14:textId="4D03C869" w:rsidR="73F31BAE" w:rsidRDefault="73F31BAE" w:rsidP="73F31BAE">
            <w:pPr>
              <w:spacing w:line="360" w:lineRule="auto"/>
              <w:ind w:left="-20" w:right="-20"/>
              <w:jc w:val="both"/>
            </w:pPr>
            <w:proofErr w:type="spellStart"/>
            <w:r w:rsidRPr="73F31BAE">
              <w:rPr>
                <w:rFonts w:ascii="Arial" w:eastAsia="Arial" w:hAnsi="Arial" w:cs="Arial"/>
                <w:color w:val="000000" w:themeColor="text1"/>
              </w:rPr>
              <w:t>SP</w:t>
            </w:r>
            <w:r w:rsidRPr="73F31BAE">
              <w:rPr>
                <w:rFonts w:ascii="Arial" w:eastAsia="Arial" w:hAnsi="Arial" w:cs="Arial"/>
                <w:color w:val="000000" w:themeColor="text1"/>
                <w:vertAlign w:val="subscript"/>
              </w:rPr>
              <w:t>xy</w:t>
            </w:r>
            <w:proofErr w:type="spellEnd"/>
          </w:p>
        </w:tc>
        <w:tc>
          <w:tcPr>
            <w:tcW w:w="2340" w:type="dxa"/>
            <w:gridSpan w:val="2"/>
            <w:vMerge w:val="restart"/>
            <w:tcBorders>
              <w:top w:val="single" w:sz="12" w:space="0" w:color="000000" w:themeColor="text1"/>
              <w:left w:val="nil"/>
              <w:bottom w:val="nil"/>
              <w:right w:val="nil"/>
            </w:tcBorders>
            <w:tcMar>
              <w:left w:w="108" w:type="dxa"/>
              <w:right w:w="108" w:type="dxa"/>
            </w:tcMar>
            <w:vAlign w:val="center"/>
          </w:tcPr>
          <w:p w14:paraId="6CA29ED8" w14:textId="4B2B9FED" w:rsidR="73F31BAE" w:rsidRDefault="73F31BAE" w:rsidP="73F31BAE">
            <w:pPr>
              <w:spacing w:line="360" w:lineRule="auto"/>
              <w:ind w:left="-20" w:right="-20"/>
              <w:jc w:val="both"/>
            </w:pPr>
            <w:r w:rsidRPr="73F31BAE">
              <w:rPr>
                <w:rFonts w:ascii="Arial" w:eastAsia="Arial" w:hAnsi="Arial" w:cs="Arial"/>
                <w:color w:val="000000" w:themeColor="text1"/>
              </w:rPr>
              <w:t>=</w:t>
            </w:r>
          </w:p>
        </w:tc>
        <w:tc>
          <w:tcPr>
            <w:tcW w:w="2340" w:type="dxa"/>
            <w:tcBorders>
              <w:top w:val="single" w:sz="12" w:space="0" w:color="000000" w:themeColor="text1"/>
              <w:left w:val="nil"/>
              <w:bottom w:val="single" w:sz="8" w:space="0" w:color="343A40"/>
              <w:right w:val="single" w:sz="12" w:space="0" w:color="000000" w:themeColor="text1"/>
            </w:tcBorders>
            <w:tcMar>
              <w:left w:w="108" w:type="dxa"/>
              <w:right w:w="108" w:type="dxa"/>
            </w:tcMar>
            <w:vAlign w:val="center"/>
          </w:tcPr>
          <w:p w14:paraId="250AD013" w14:textId="1B8552AB" w:rsidR="73F31BAE" w:rsidRDefault="73F31BAE" w:rsidP="73F31BAE">
            <w:pPr>
              <w:spacing w:line="360" w:lineRule="auto"/>
              <w:ind w:left="-20" w:right="-20"/>
              <w:jc w:val="both"/>
            </w:pPr>
            <w:r w:rsidRPr="73F31BAE">
              <w:rPr>
                <w:rFonts w:ascii="Arial" w:eastAsia="Arial" w:hAnsi="Arial" w:cs="Arial"/>
                <w:color w:val="000000" w:themeColor="text1"/>
              </w:rPr>
              <w:t>Σ(x</w:t>
            </w:r>
            <w:r w:rsidRPr="73F31BAE">
              <w:rPr>
                <w:rFonts w:ascii="Arial" w:eastAsia="Arial" w:hAnsi="Arial" w:cs="Arial"/>
                <w:color w:val="000000" w:themeColor="text1"/>
                <w:vertAlign w:val="subscript"/>
              </w:rPr>
              <w:t>i</w:t>
            </w:r>
            <w:r w:rsidRPr="73F31BAE">
              <w:rPr>
                <w:rFonts w:ascii="Arial" w:eastAsia="Arial" w:hAnsi="Arial" w:cs="Arial"/>
                <w:color w:val="000000" w:themeColor="text1"/>
              </w:rPr>
              <w:t>-x̄) (</w:t>
            </w:r>
            <w:proofErr w:type="spellStart"/>
            <w:r w:rsidRPr="73F31BAE">
              <w:rPr>
                <w:rFonts w:ascii="Arial" w:eastAsia="Arial" w:hAnsi="Arial" w:cs="Arial"/>
                <w:color w:val="000000" w:themeColor="text1"/>
              </w:rPr>
              <w:t>y</w:t>
            </w:r>
            <w:r w:rsidRPr="73F31BAE">
              <w:rPr>
                <w:rFonts w:ascii="Arial" w:eastAsia="Arial" w:hAnsi="Arial" w:cs="Arial"/>
                <w:color w:val="000000" w:themeColor="text1"/>
                <w:vertAlign w:val="subscript"/>
              </w:rPr>
              <w:t>i</w:t>
            </w:r>
            <w:proofErr w:type="spellEnd"/>
            <w:r w:rsidRPr="73F31BAE">
              <w:rPr>
                <w:rFonts w:ascii="Arial" w:eastAsia="Arial" w:hAnsi="Arial" w:cs="Arial"/>
                <w:color w:val="000000" w:themeColor="text1"/>
              </w:rPr>
              <w:t>-ȳ)</w:t>
            </w:r>
          </w:p>
        </w:tc>
      </w:tr>
      <w:tr w:rsidR="73F31BAE" w14:paraId="444B3829" w14:textId="77777777" w:rsidTr="73F31BAE">
        <w:trPr>
          <w:trHeight w:val="300"/>
        </w:trPr>
        <w:tc>
          <w:tcPr>
            <w:tcW w:w="2340" w:type="dxa"/>
            <w:vMerge/>
            <w:tcBorders>
              <w:left w:val="single" w:sz="0" w:space="0" w:color="000000" w:themeColor="text1"/>
            </w:tcBorders>
            <w:vAlign w:val="center"/>
          </w:tcPr>
          <w:p w14:paraId="58D55DB3" w14:textId="77777777" w:rsidR="00912F60" w:rsidRDefault="00912F60"/>
        </w:tc>
        <w:tc>
          <w:tcPr>
            <w:tcW w:w="2340" w:type="dxa"/>
            <w:gridSpan w:val="2"/>
            <w:tcBorders>
              <w:top w:val="single" w:sz="8" w:space="0" w:color="343A40"/>
              <w:left w:val="nil"/>
              <w:bottom w:val="nil"/>
              <w:right w:val="nil"/>
            </w:tcBorders>
            <w:tcMar>
              <w:left w:w="108" w:type="dxa"/>
              <w:right w:w="108" w:type="dxa"/>
            </w:tcMar>
            <w:vAlign w:val="center"/>
          </w:tcPr>
          <w:p w14:paraId="0AA44EC2" w14:textId="65920B99" w:rsidR="73F31BAE" w:rsidRDefault="73F31BAE" w:rsidP="73F31BAE">
            <w:pPr>
              <w:spacing w:line="360" w:lineRule="auto"/>
              <w:ind w:left="-20" w:right="-20"/>
              <w:jc w:val="both"/>
            </w:pPr>
            <w:proofErr w:type="spellStart"/>
            <w:r w:rsidRPr="73F31BAE">
              <w:rPr>
                <w:rFonts w:ascii="Arial" w:eastAsia="Arial" w:hAnsi="Arial" w:cs="Arial"/>
                <w:color w:val="000000" w:themeColor="text1"/>
              </w:rPr>
              <w:t>SS</w:t>
            </w:r>
            <w:r w:rsidRPr="73F31BAE">
              <w:rPr>
                <w:rFonts w:ascii="Arial" w:eastAsia="Arial" w:hAnsi="Arial" w:cs="Arial"/>
                <w:color w:val="000000" w:themeColor="text1"/>
                <w:vertAlign w:val="subscript"/>
              </w:rPr>
              <w:t>x</w:t>
            </w:r>
            <w:proofErr w:type="spellEnd"/>
          </w:p>
        </w:tc>
        <w:tc>
          <w:tcPr>
            <w:tcW w:w="2340" w:type="dxa"/>
            <w:gridSpan w:val="2"/>
            <w:vMerge/>
            <w:tcBorders>
              <w:left w:val="nil"/>
            </w:tcBorders>
            <w:vAlign w:val="center"/>
          </w:tcPr>
          <w:p w14:paraId="7B6C0535" w14:textId="77777777" w:rsidR="00912F60" w:rsidRDefault="00912F60"/>
        </w:tc>
        <w:tc>
          <w:tcPr>
            <w:tcW w:w="2340" w:type="dxa"/>
            <w:tcBorders>
              <w:top w:val="single" w:sz="8" w:space="0" w:color="343A40"/>
              <w:left w:val="nil"/>
              <w:bottom w:val="nil"/>
              <w:right w:val="single" w:sz="12" w:space="0" w:color="000000" w:themeColor="text1"/>
            </w:tcBorders>
            <w:tcMar>
              <w:left w:w="108" w:type="dxa"/>
              <w:right w:w="108" w:type="dxa"/>
            </w:tcMar>
            <w:vAlign w:val="center"/>
          </w:tcPr>
          <w:p w14:paraId="72818E61" w14:textId="53A54C3B" w:rsidR="73F31BAE" w:rsidRDefault="73F31BAE" w:rsidP="73F31BAE">
            <w:pPr>
              <w:spacing w:line="360" w:lineRule="auto"/>
              <w:ind w:left="-20" w:right="-20"/>
              <w:jc w:val="both"/>
            </w:pPr>
            <w:r w:rsidRPr="73F31BAE">
              <w:rPr>
                <w:rFonts w:ascii="Arial" w:eastAsia="Arial" w:hAnsi="Arial" w:cs="Arial"/>
                <w:color w:val="000000" w:themeColor="text1"/>
              </w:rPr>
              <w:t>Σ(x</w:t>
            </w:r>
            <w:r w:rsidRPr="73F31BAE">
              <w:rPr>
                <w:rFonts w:ascii="Arial" w:eastAsia="Arial" w:hAnsi="Arial" w:cs="Arial"/>
                <w:color w:val="000000" w:themeColor="text1"/>
                <w:vertAlign w:val="subscript"/>
              </w:rPr>
              <w:t>i</w:t>
            </w:r>
            <w:r w:rsidRPr="73F31BAE">
              <w:rPr>
                <w:rFonts w:ascii="Arial" w:eastAsia="Arial" w:hAnsi="Arial" w:cs="Arial"/>
                <w:color w:val="000000" w:themeColor="text1"/>
              </w:rPr>
              <w:t>-x̄)</w:t>
            </w:r>
            <w:r w:rsidRPr="73F31BAE">
              <w:rPr>
                <w:rFonts w:ascii="Arial" w:eastAsia="Arial" w:hAnsi="Arial" w:cs="Arial"/>
                <w:color w:val="000000" w:themeColor="text1"/>
                <w:vertAlign w:val="superscript"/>
              </w:rPr>
              <w:t>2</w:t>
            </w:r>
          </w:p>
        </w:tc>
      </w:tr>
      <w:tr w:rsidR="73F31BAE" w14:paraId="3BD982CB" w14:textId="77777777" w:rsidTr="73F31BAE">
        <w:trPr>
          <w:trHeight w:val="300"/>
        </w:trPr>
        <w:tc>
          <w:tcPr>
            <w:tcW w:w="2340" w:type="dxa"/>
            <w:tcBorders>
              <w:top w:val="nil"/>
              <w:left w:val="single" w:sz="12" w:space="0" w:color="000000" w:themeColor="text1"/>
              <w:bottom w:val="nil"/>
              <w:right w:val="nil"/>
            </w:tcBorders>
            <w:tcMar>
              <w:left w:w="108" w:type="dxa"/>
              <w:right w:w="108" w:type="dxa"/>
            </w:tcMar>
            <w:vAlign w:val="center"/>
          </w:tcPr>
          <w:p w14:paraId="6A362A70" w14:textId="42049CAC" w:rsidR="73F31BAE" w:rsidRDefault="73F31BAE"/>
        </w:tc>
        <w:tc>
          <w:tcPr>
            <w:tcW w:w="2340" w:type="dxa"/>
            <w:gridSpan w:val="2"/>
            <w:tcBorders>
              <w:top w:val="nil"/>
              <w:left w:val="nil"/>
              <w:bottom w:val="nil"/>
              <w:right w:val="nil"/>
            </w:tcBorders>
            <w:tcMar>
              <w:left w:w="108" w:type="dxa"/>
              <w:right w:w="108" w:type="dxa"/>
            </w:tcMar>
            <w:vAlign w:val="center"/>
          </w:tcPr>
          <w:p w14:paraId="4A5CA062" w14:textId="3CFC1FA0" w:rsidR="73F31BAE" w:rsidRDefault="73F31BAE"/>
        </w:tc>
        <w:tc>
          <w:tcPr>
            <w:tcW w:w="2340" w:type="dxa"/>
            <w:gridSpan w:val="2"/>
            <w:tcBorders>
              <w:top w:val="nil"/>
              <w:left w:val="nil"/>
              <w:bottom w:val="nil"/>
              <w:right w:val="nil"/>
            </w:tcBorders>
            <w:tcMar>
              <w:left w:w="108" w:type="dxa"/>
              <w:right w:w="108" w:type="dxa"/>
            </w:tcMar>
            <w:vAlign w:val="center"/>
          </w:tcPr>
          <w:p w14:paraId="374A90E2" w14:textId="3611397B" w:rsidR="73F31BAE" w:rsidRDefault="73F31BAE"/>
        </w:tc>
        <w:tc>
          <w:tcPr>
            <w:tcW w:w="2340" w:type="dxa"/>
            <w:tcBorders>
              <w:top w:val="nil"/>
              <w:left w:val="nil"/>
              <w:bottom w:val="nil"/>
              <w:right w:val="single" w:sz="12" w:space="0" w:color="000000" w:themeColor="text1"/>
            </w:tcBorders>
            <w:tcMar>
              <w:left w:w="108" w:type="dxa"/>
              <w:right w:w="108" w:type="dxa"/>
            </w:tcMar>
            <w:vAlign w:val="center"/>
          </w:tcPr>
          <w:p w14:paraId="098182CB" w14:textId="7A29772B" w:rsidR="73F31BAE" w:rsidRDefault="73F31BAE"/>
        </w:tc>
      </w:tr>
      <w:tr w:rsidR="73F31BAE" w14:paraId="0C725DE8" w14:textId="77777777" w:rsidTr="73F31BAE">
        <w:trPr>
          <w:trHeight w:val="300"/>
        </w:trPr>
        <w:tc>
          <w:tcPr>
            <w:tcW w:w="3120" w:type="dxa"/>
            <w:gridSpan w:val="2"/>
            <w:vMerge w:val="restart"/>
            <w:tcBorders>
              <w:top w:val="single" w:sz="12" w:space="0" w:color="000000" w:themeColor="text1"/>
              <w:left w:val="single" w:sz="12" w:space="0" w:color="000000" w:themeColor="text1"/>
              <w:bottom w:val="single" w:sz="12" w:space="0" w:color="000000" w:themeColor="text1"/>
              <w:right w:val="nil"/>
            </w:tcBorders>
            <w:tcMar>
              <w:left w:w="108" w:type="dxa"/>
              <w:right w:w="108" w:type="dxa"/>
            </w:tcMar>
            <w:vAlign w:val="center"/>
          </w:tcPr>
          <w:p w14:paraId="2874BB15" w14:textId="5BE55511" w:rsidR="73F31BAE" w:rsidRDefault="73F31BAE" w:rsidP="73F31BAE">
            <w:pPr>
              <w:spacing w:line="360" w:lineRule="auto"/>
              <w:ind w:left="-20" w:right="-20"/>
              <w:jc w:val="both"/>
            </w:pPr>
            <w:r w:rsidRPr="73F31BAE">
              <w:rPr>
                <w:rFonts w:ascii="Arial" w:eastAsia="Arial" w:hAnsi="Arial" w:cs="Arial"/>
                <w:color w:val="000000" w:themeColor="text1"/>
              </w:rPr>
              <w:t>b</w:t>
            </w:r>
            <w:r w:rsidRPr="73F31BAE">
              <w:rPr>
                <w:rFonts w:ascii="Arial" w:eastAsia="Arial" w:hAnsi="Arial" w:cs="Arial"/>
                <w:color w:val="000000" w:themeColor="text1"/>
                <w:vertAlign w:val="subscript"/>
              </w:rPr>
              <w:t>1</w:t>
            </w:r>
            <w:r w:rsidRPr="73F31BAE">
              <w:rPr>
                <w:rFonts w:ascii="Arial" w:eastAsia="Arial" w:hAnsi="Arial" w:cs="Arial"/>
                <w:color w:val="000000" w:themeColor="text1"/>
              </w:rPr>
              <w:t xml:space="preserve"> =</w:t>
            </w:r>
          </w:p>
        </w:tc>
        <w:tc>
          <w:tcPr>
            <w:tcW w:w="3120" w:type="dxa"/>
            <w:gridSpan w:val="2"/>
            <w:tcBorders>
              <w:top w:val="single" w:sz="12" w:space="0" w:color="000000" w:themeColor="text1"/>
              <w:left w:val="nil"/>
              <w:bottom w:val="single" w:sz="12" w:space="0" w:color="000000" w:themeColor="text1"/>
              <w:right w:val="nil"/>
            </w:tcBorders>
            <w:tcMar>
              <w:left w:w="108" w:type="dxa"/>
              <w:right w:w="108" w:type="dxa"/>
            </w:tcMar>
            <w:vAlign w:val="center"/>
          </w:tcPr>
          <w:p w14:paraId="60AA815F" w14:textId="5057F892" w:rsidR="73F31BAE" w:rsidRDefault="73F31BAE" w:rsidP="73F31BAE">
            <w:pPr>
              <w:spacing w:line="360" w:lineRule="auto"/>
              <w:ind w:left="-20" w:right="-20"/>
              <w:jc w:val="both"/>
            </w:pPr>
            <w:r w:rsidRPr="73F31BAE">
              <w:rPr>
                <w:rFonts w:ascii="Arial" w:eastAsia="Arial" w:hAnsi="Arial" w:cs="Arial"/>
                <w:color w:val="000000" w:themeColor="text1"/>
              </w:rPr>
              <w:t>2459.6054</w:t>
            </w:r>
          </w:p>
        </w:tc>
        <w:tc>
          <w:tcPr>
            <w:tcW w:w="3120" w:type="dxa"/>
            <w:gridSpan w:val="2"/>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787AC6AD" w14:textId="6FD42CBF" w:rsidR="73F31BAE" w:rsidRDefault="73F31BAE" w:rsidP="73F31BAE">
            <w:pPr>
              <w:spacing w:line="360" w:lineRule="auto"/>
              <w:ind w:left="-20" w:right="-20"/>
              <w:jc w:val="both"/>
            </w:pPr>
            <w:r w:rsidRPr="73F31BAE">
              <w:rPr>
                <w:rFonts w:ascii="Arial" w:eastAsia="Arial" w:hAnsi="Arial" w:cs="Arial"/>
                <w:color w:val="000000" w:themeColor="text1"/>
              </w:rPr>
              <w:t>= 62.3063</w:t>
            </w:r>
          </w:p>
        </w:tc>
      </w:tr>
      <w:tr w:rsidR="73F31BAE" w14:paraId="3401DD07" w14:textId="77777777" w:rsidTr="73F31BAE">
        <w:trPr>
          <w:trHeight w:val="300"/>
        </w:trPr>
        <w:tc>
          <w:tcPr>
            <w:tcW w:w="3120" w:type="dxa"/>
            <w:gridSpan w:val="2"/>
            <w:vMerge/>
            <w:tcBorders>
              <w:left w:val="single" w:sz="0" w:space="0" w:color="000000" w:themeColor="text1"/>
              <w:bottom w:val="single" w:sz="0" w:space="0" w:color="000000" w:themeColor="text1"/>
            </w:tcBorders>
            <w:vAlign w:val="center"/>
          </w:tcPr>
          <w:p w14:paraId="2A670662" w14:textId="77777777" w:rsidR="00912F60" w:rsidRDefault="00912F60"/>
        </w:tc>
        <w:tc>
          <w:tcPr>
            <w:tcW w:w="3120" w:type="dxa"/>
            <w:gridSpan w:val="2"/>
            <w:tcBorders>
              <w:top w:val="single" w:sz="12" w:space="0" w:color="000000" w:themeColor="text1"/>
              <w:left w:val="nil"/>
              <w:bottom w:val="nil"/>
              <w:right w:val="nil"/>
            </w:tcBorders>
            <w:tcMar>
              <w:left w:w="108" w:type="dxa"/>
              <w:right w:w="108" w:type="dxa"/>
            </w:tcMar>
            <w:vAlign w:val="center"/>
          </w:tcPr>
          <w:p w14:paraId="25BE207F" w14:textId="3EFF49EF" w:rsidR="73F31BAE" w:rsidRDefault="73F31BAE" w:rsidP="73F31BAE">
            <w:pPr>
              <w:spacing w:line="360" w:lineRule="auto"/>
              <w:ind w:left="-20" w:right="-20"/>
              <w:jc w:val="both"/>
            </w:pPr>
            <w:r w:rsidRPr="73F31BAE">
              <w:rPr>
                <w:rFonts w:ascii="Arial" w:eastAsia="Arial" w:hAnsi="Arial" w:cs="Arial"/>
                <w:color w:val="000000" w:themeColor="text1"/>
              </w:rPr>
              <w:t>39.476</w:t>
            </w:r>
          </w:p>
        </w:tc>
        <w:tc>
          <w:tcPr>
            <w:tcW w:w="3120" w:type="dxa"/>
            <w:gridSpan w:val="2"/>
            <w:vMerge/>
            <w:tcBorders>
              <w:left w:val="nil"/>
              <w:bottom w:val="single" w:sz="0" w:space="0" w:color="000000" w:themeColor="text1"/>
              <w:right w:val="single" w:sz="0" w:space="0" w:color="000000" w:themeColor="text1"/>
            </w:tcBorders>
            <w:vAlign w:val="center"/>
          </w:tcPr>
          <w:p w14:paraId="0E488E0C" w14:textId="77777777" w:rsidR="00912F60" w:rsidRDefault="00912F60"/>
        </w:tc>
      </w:tr>
      <w:tr w:rsidR="73F31BAE" w14:paraId="1620335D" w14:textId="77777777" w:rsidTr="73F31BAE">
        <w:trPr>
          <w:trHeight w:val="300"/>
        </w:trPr>
        <w:tc>
          <w:tcPr>
            <w:tcW w:w="2340" w:type="dxa"/>
            <w:tcBorders>
              <w:top w:val="nil"/>
              <w:left w:val="nil"/>
              <w:bottom w:val="nil"/>
              <w:right w:val="nil"/>
            </w:tcBorders>
            <w:vAlign w:val="center"/>
          </w:tcPr>
          <w:p w14:paraId="13818E04" w14:textId="4486E394" w:rsidR="73F31BAE" w:rsidRDefault="73F31BAE"/>
        </w:tc>
        <w:tc>
          <w:tcPr>
            <w:tcW w:w="780" w:type="dxa"/>
            <w:tcBorders>
              <w:top w:val="nil"/>
              <w:left w:val="nil"/>
              <w:bottom w:val="nil"/>
              <w:right w:val="nil"/>
            </w:tcBorders>
            <w:vAlign w:val="center"/>
          </w:tcPr>
          <w:p w14:paraId="7F1B4C0D" w14:textId="7EFBB479" w:rsidR="73F31BAE" w:rsidRDefault="73F31BAE"/>
        </w:tc>
        <w:tc>
          <w:tcPr>
            <w:tcW w:w="1560" w:type="dxa"/>
            <w:tcBorders>
              <w:top w:val="nil"/>
              <w:left w:val="nil"/>
              <w:bottom w:val="nil"/>
              <w:right w:val="nil"/>
            </w:tcBorders>
            <w:vAlign w:val="center"/>
          </w:tcPr>
          <w:p w14:paraId="0538C91E" w14:textId="5EA7F45D" w:rsidR="73F31BAE" w:rsidRDefault="73F31BAE"/>
        </w:tc>
        <w:tc>
          <w:tcPr>
            <w:tcW w:w="1560" w:type="dxa"/>
            <w:tcBorders>
              <w:top w:val="nil"/>
              <w:left w:val="nil"/>
              <w:bottom w:val="nil"/>
              <w:right w:val="nil"/>
            </w:tcBorders>
            <w:vAlign w:val="center"/>
          </w:tcPr>
          <w:p w14:paraId="45712C6D" w14:textId="4750A55F" w:rsidR="73F31BAE" w:rsidRDefault="73F31BAE"/>
        </w:tc>
        <w:tc>
          <w:tcPr>
            <w:tcW w:w="780" w:type="dxa"/>
            <w:tcBorders>
              <w:top w:val="nil"/>
              <w:left w:val="nil"/>
              <w:bottom w:val="nil"/>
              <w:right w:val="nil"/>
            </w:tcBorders>
            <w:vAlign w:val="center"/>
          </w:tcPr>
          <w:p w14:paraId="5E278AE3" w14:textId="668C4FA0" w:rsidR="73F31BAE" w:rsidRDefault="73F31BAE"/>
        </w:tc>
        <w:tc>
          <w:tcPr>
            <w:tcW w:w="2340" w:type="dxa"/>
            <w:tcBorders>
              <w:top w:val="nil"/>
              <w:left w:val="nil"/>
              <w:bottom w:val="nil"/>
              <w:right w:val="nil"/>
            </w:tcBorders>
            <w:vAlign w:val="center"/>
          </w:tcPr>
          <w:p w14:paraId="2B2B11A6" w14:textId="1EBEF256" w:rsidR="73F31BAE" w:rsidRDefault="73F31BAE"/>
        </w:tc>
      </w:tr>
    </w:tbl>
    <w:p w14:paraId="39463F46" w14:textId="50EF5798" w:rsidR="73F31BAE" w:rsidRDefault="73F31BAE" w:rsidP="73F31BAE">
      <w:pPr>
        <w:jc w:val="both"/>
      </w:pPr>
    </w:p>
    <w:p w14:paraId="2F4399BD" w14:textId="7D956203" w:rsidR="6A164DF7" w:rsidRDefault="6A164DF7" w:rsidP="73F31BAE">
      <w:pPr>
        <w:jc w:val="both"/>
      </w:pPr>
      <w:r w:rsidRPr="73F31BAE">
        <w:rPr>
          <w:rFonts w:ascii="Arial" w:eastAsia="Arial" w:hAnsi="Arial" w:cs="Arial"/>
          <w:color w:val="000000" w:themeColor="text1"/>
        </w:rPr>
        <w:t>b</w:t>
      </w:r>
      <w:r w:rsidRPr="73F31BAE">
        <w:rPr>
          <w:rFonts w:ascii="Arial" w:eastAsia="Arial" w:hAnsi="Arial" w:cs="Arial"/>
          <w:color w:val="000000" w:themeColor="text1"/>
          <w:vertAlign w:val="subscript"/>
        </w:rPr>
        <w:t>0</w:t>
      </w:r>
      <w:r w:rsidRPr="73F31BAE">
        <w:rPr>
          <w:rFonts w:ascii="Arial" w:eastAsia="Arial" w:hAnsi="Arial" w:cs="Arial"/>
          <w:color w:val="000000" w:themeColor="text1"/>
        </w:rPr>
        <w:t xml:space="preserve"> = ȳ - b</w:t>
      </w:r>
      <w:r w:rsidRPr="73F31BAE">
        <w:rPr>
          <w:rFonts w:ascii="Arial" w:eastAsia="Arial" w:hAnsi="Arial" w:cs="Arial"/>
          <w:color w:val="000000" w:themeColor="text1"/>
          <w:vertAlign w:val="subscript"/>
        </w:rPr>
        <w:t>1</w:t>
      </w:r>
      <w:r w:rsidRPr="73F31BAE">
        <w:rPr>
          <w:rFonts w:ascii="Arial" w:eastAsia="Arial" w:hAnsi="Arial" w:cs="Arial"/>
          <w:color w:val="000000" w:themeColor="text1"/>
        </w:rPr>
        <w:t>x̄</w:t>
      </w:r>
      <w:r>
        <w:br/>
      </w:r>
      <w:r w:rsidRPr="73F31BAE">
        <w:rPr>
          <w:rFonts w:ascii="Calibri" w:eastAsia="Calibri" w:hAnsi="Calibri" w:cs="Calibri"/>
        </w:rPr>
        <w:t xml:space="preserve"> </w:t>
      </w:r>
      <w:r w:rsidRPr="73F31BAE">
        <w:rPr>
          <w:rFonts w:ascii="Arial" w:eastAsia="Arial" w:hAnsi="Arial" w:cs="Arial"/>
          <w:color w:val="000000" w:themeColor="text1"/>
        </w:rPr>
        <w:t>x̄ = 2.32</w:t>
      </w:r>
      <w:r>
        <w:br/>
      </w:r>
      <w:r w:rsidRPr="73F31BAE">
        <w:rPr>
          <w:rFonts w:ascii="Calibri" w:eastAsia="Calibri" w:hAnsi="Calibri" w:cs="Calibri"/>
        </w:rPr>
        <w:t xml:space="preserve"> </w:t>
      </w:r>
      <w:r w:rsidRPr="73F31BAE">
        <w:rPr>
          <w:rFonts w:ascii="Arial" w:eastAsia="Arial" w:hAnsi="Arial" w:cs="Arial"/>
          <w:color w:val="000000" w:themeColor="text1"/>
        </w:rPr>
        <w:t>ȳ = 3850.998</w:t>
      </w:r>
      <w:r>
        <w:br/>
      </w:r>
      <w:r w:rsidRPr="73F31BAE">
        <w:rPr>
          <w:rFonts w:ascii="Calibri" w:eastAsia="Calibri" w:hAnsi="Calibri" w:cs="Calibri"/>
        </w:rPr>
        <w:t xml:space="preserve"> </w:t>
      </w:r>
      <w:r w:rsidRPr="73F31BAE">
        <w:rPr>
          <w:rFonts w:ascii="Arial" w:eastAsia="Arial" w:hAnsi="Arial" w:cs="Arial"/>
          <w:color w:val="000000" w:themeColor="text1"/>
        </w:rPr>
        <w:t>b</w:t>
      </w:r>
      <w:r w:rsidRPr="73F31BAE">
        <w:rPr>
          <w:rFonts w:ascii="Arial" w:eastAsia="Arial" w:hAnsi="Arial" w:cs="Arial"/>
          <w:color w:val="000000" w:themeColor="text1"/>
          <w:vertAlign w:val="subscript"/>
        </w:rPr>
        <w:t>0</w:t>
      </w:r>
      <w:r w:rsidRPr="73F31BAE">
        <w:rPr>
          <w:rFonts w:ascii="Arial" w:eastAsia="Arial" w:hAnsi="Arial" w:cs="Arial"/>
          <w:color w:val="000000" w:themeColor="text1"/>
        </w:rPr>
        <w:t xml:space="preserve"> = 3850.998-62.3063*2.32 = 3706.4473</w:t>
      </w:r>
    </w:p>
    <w:tbl>
      <w:tblPr>
        <w:tblStyle w:val="TableGrid"/>
        <w:tblW w:w="0" w:type="auto"/>
        <w:tblLayout w:type="fixed"/>
        <w:tblLook w:val="06A0" w:firstRow="1" w:lastRow="0" w:firstColumn="1" w:lastColumn="0" w:noHBand="1" w:noVBand="1"/>
      </w:tblPr>
      <w:tblGrid>
        <w:gridCol w:w="1335"/>
        <w:gridCol w:w="1335"/>
        <w:gridCol w:w="1335"/>
        <w:gridCol w:w="1335"/>
        <w:gridCol w:w="1335"/>
        <w:gridCol w:w="1335"/>
        <w:gridCol w:w="1335"/>
      </w:tblGrid>
      <w:tr w:rsidR="73F31BAE" w14:paraId="1F888413" w14:textId="77777777" w:rsidTr="73F31BAE">
        <w:trPr>
          <w:trHeight w:val="300"/>
        </w:trPr>
        <w:tc>
          <w:tcPr>
            <w:tcW w:w="1335" w:type="dxa"/>
            <w:vMerge w:val="restart"/>
            <w:tcBorders>
              <w:top w:val="single" w:sz="12" w:space="0" w:color="000000" w:themeColor="text1"/>
              <w:left w:val="single" w:sz="12" w:space="0" w:color="000000" w:themeColor="text1"/>
              <w:bottom w:val="single" w:sz="12" w:space="0" w:color="000000" w:themeColor="text1"/>
              <w:right w:val="nil"/>
            </w:tcBorders>
            <w:tcMar>
              <w:left w:w="108" w:type="dxa"/>
              <w:right w:w="108" w:type="dxa"/>
            </w:tcMar>
            <w:vAlign w:val="center"/>
          </w:tcPr>
          <w:p w14:paraId="37858FAA" w14:textId="03F8E9B2" w:rsidR="73F31BAE" w:rsidRDefault="73F31BAE" w:rsidP="73F31BAE">
            <w:pPr>
              <w:spacing w:line="360" w:lineRule="auto"/>
              <w:ind w:left="-20" w:right="-20"/>
              <w:jc w:val="both"/>
            </w:pPr>
            <w:r w:rsidRPr="73F31BAE">
              <w:rPr>
                <w:rFonts w:ascii="Arial" w:eastAsia="Arial" w:hAnsi="Arial" w:cs="Arial"/>
                <w:color w:val="000000" w:themeColor="text1"/>
              </w:rPr>
              <w:t>R</w:t>
            </w:r>
            <w:r w:rsidRPr="73F31BAE">
              <w:rPr>
                <w:rFonts w:ascii="Arial" w:eastAsia="Arial" w:hAnsi="Arial" w:cs="Arial"/>
                <w:color w:val="000000" w:themeColor="text1"/>
                <w:vertAlign w:val="superscript"/>
              </w:rPr>
              <w:t>2</w:t>
            </w:r>
            <w:r w:rsidRPr="73F31BAE">
              <w:rPr>
                <w:rFonts w:ascii="Arial" w:eastAsia="Arial" w:hAnsi="Arial" w:cs="Arial"/>
                <w:color w:val="000000" w:themeColor="text1"/>
              </w:rPr>
              <w:t xml:space="preserve"> =</w:t>
            </w:r>
          </w:p>
        </w:tc>
        <w:tc>
          <w:tcPr>
            <w:tcW w:w="1335" w:type="dxa"/>
            <w:tcBorders>
              <w:top w:val="single" w:sz="12" w:space="0" w:color="000000" w:themeColor="text1"/>
              <w:left w:val="nil"/>
              <w:bottom w:val="single" w:sz="8" w:space="0" w:color="343A40"/>
              <w:right w:val="nil"/>
            </w:tcBorders>
            <w:tcMar>
              <w:left w:w="108" w:type="dxa"/>
              <w:right w:w="108" w:type="dxa"/>
            </w:tcMar>
            <w:vAlign w:val="center"/>
          </w:tcPr>
          <w:p w14:paraId="2B0BDA44" w14:textId="6FE7BA65" w:rsidR="73F31BAE" w:rsidRDefault="73F31BAE" w:rsidP="73F31BAE">
            <w:pPr>
              <w:spacing w:line="360" w:lineRule="auto"/>
              <w:ind w:left="-20" w:right="-20"/>
              <w:jc w:val="both"/>
            </w:pPr>
            <w:proofErr w:type="spellStart"/>
            <w:r w:rsidRPr="73F31BAE">
              <w:rPr>
                <w:rFonts w:ascii="Arial" w:eastAsia="Arial" w:hAnsi="Arial" w:cs="Arial"/>
                <w:color w:val="000000" w:themeColor="text1"/>
              </w:rPr>
              <w:t>SS</w:t>
            </w:r>
            <w:r w:rsidRPr="73F31BAE">
              <w:rPr>
                <w:rFonts w:ascii="Arial" w:eastAsia="Arial" w:hAnsi="Arial" w:cs="Arial"/>
                <w:color w:val="000000" w:themeColor="text1"/>
                <w:vertAlign w:val="subscript"/>
              </w:rPr>
              <w:t>Regression</w:t>
            </w:r>
            <w:proofErr w:type="spellEnd"/>
          </w:p>
        </w:tc>
        <w:tc>
          <w:tcPr>
            <w:tcW w:w="1335" w:type="dxa"/>
            <w:vMerge w:val="restart"/>
            <w:tcBorders>
              <w:top w:val="single" w:sz="12" w:space="0" w:color="000000" w:themeColor="text1"/>
              <w:left w:val="nil"/>
              <w:bottom w:val="single" w:sz="12" w:space="0" w:color="000000" w:themeColor="text1"/>
              <w:right w:val="nil"/>
            </w:tcBorders>
            <w:tcMar>
              <w:left w:w="108" w:type="dxa"/>
              <w:right w:w="108" w:type="dxa"/>
            </w:tcMar>
            <w:vAlign w:val="center"/>
          </w:tcPr>
          <w:p w14:paraId="6BA4686B" w14:textId="70A50BD5" w:rsidR="73F31BAE" w:rsidRDefault="73F31BAE" w:rsidP="73F31BAE">
            <w:pPr>
              <w:spacing w:line="360" w:lineRule="auto"/>
              <w:ind w:left="-20" w:right="-20"/>
              <w:jc w:val="both"/>
            </w:pPr>
            <w:r w:rsidRPr="73F31BAE">
              <w:rPr>
                <w:rFonts w:ascii="Arial" w:eastAsia="Arial" w:hAnsi="Arial" w:cs="Arial"/>
                <w:color w:val="000000" w:themeColor="text1"/>
              </w:rPr>
              <w:t>=</w:t>
            </w:r>
          </w:p>
        </w:tc>
        <w:tc>
          <w:tcPr>
            <w:tcW w:w="1335" w:type="dxa"/>
            <w:tcBorders>
              <w:top w:val="single" w:sz="12" w:space="0" w:color="000000" w:themeColor="text1"/>
              <w:left w:val="nil"/>
              <w:bottom w:val="single" w:sz="8" w:space="0" w:color="343A40"/>
              <w:right w:val="nil"/>
            </w:tcBorders>
            <w:tcMar>
              <w:left w:w="108" w:type="dxa"/>
              <w:right w:w="108" w:type="dxa"/>
            </w:tcMar>
            <w:vAlign w:val="center"/>
          </w:tcPr>
          <w:p w14:paraId="0C94AE08" w14:textId="4A675E75" w:rsidR="73F31BAE" w:rsidRDefault="73F31BAE" w:rsidP="73F31BAE">
            <w:pPr>
              <w:spacing w:line="360" w:lineRule="auto"/>
              <w:ind w:left="-20" w:right="-20"/>
              <w:jc w:val="both"/>
            </w:pPr>
            <w:proofErr w:type="gramStart"/>
            <w:r w:rsidRPr="73F31BAE">
              <w:rPr>
                <w:rFonts w:ascii="Arial" w:eastAsia="Arial" w:hAnsi="Arial" w:cs="Arial"/>
                <w:color w:val="000000" w:themeColor="text1"/>
              </w:rPr>
              <w:t xml:space="preserve">Σ( </w:t>
            </w:r>
            <w:proofErr w:type="spellStart"/>
            <w:r w:rsidRPr="73F31BAE">
              <w:rPr>
                <w:rFonts w:ascii="Arial" w:eastAsia="Arial" w:hAnsi="Arial" w:cs="Arial"/>
                <w:color w:val="000000" w:themeColor="text1"/>
              </w:rPr>
              <w:t>ŷ</w:t>
            </w:r>
            <w:r w:rsidRPr="73F31BAE">
              <w:rPr>
                <w:rFonts w:ascii="Arial" w:eastAsia="Arial" w:hAnsi="Arial" w:cs="Arial"/>
                <w:color w:val="000000" w:themeColor="text1"/>
                <w:vertAlign w:val="subscript"/>
              </w:rPr>
              <w:t>i</w:t>
            </w:r>
            <w:proofErr w:type="spellEnd"/>
            <w:proofErr w:type="gramEnd"/>
            <w:r w:rsidRPr="73F31BAE">
              <w:rPr>
                <w:rFonts w:ascii="Arial" w:eastAsia="Arial" w:hAnsi="Arial" w:cs="Arial"/>
                <w:color w:val="000000" w:themeColor="text1"/>
              </w:rPr>
              <w:t xml:space="preserve"> - ȳ)</w:t>
            </w:r>
            <w:r w:rsidRPr="73F31BAE">
              <w:rPr>
                <w:rFonts w:ascii="Arial" w:eastAsia="Arial" w:hAnsi="Arial" w:cs="Arial"/>
                <w:color w:val="000000" w:themeColor="text1"/>
                <w:vertAlign w:val="superscript"/>
              </w:rPr>
              <w:t>2</w:t>
            </w:r>
          </w:p>
        </w:tc>
        <w:tc>
          <w:tcPr>
            <w:tcW w:w="1335" w:type="dxa"/>
            <w:vMerge w:val="restart"/>
            <w:tcBorders>
              <w:top w:val="single" w:sz="12" w:space="0" w:color="000000" w:themeColor="text1"/>
              <w:left w:val="nil"/>
              <w:bottom w:val="single" w:sz="12" w:space="0" w:color="000000" w:themeColor="text1"/>
              <w:right w:val="nil"/>
            </w:tcBorders>
            <w:tcMar>
              <w:left w:w="108" w:type="dxa"/>
              <w:right w:w="108" w:type="dxa"/>
            </w:tcMar>
            <w:vAlign w:val="center"/>
          </w:tcPr>
          <w:p w14:paraId="63A2719E" w14:textId="7018DE15" w:rsidR="73F31BAE" w:rsidRDefault="73F31BAE" w:rsidP="73F31BAE">
            <w:pPr>
              <w:spacing w:line="360" w:lineRule="auto"/>
              <w:ind w:left="-20" w:right="-20"/>
              <w:jc w:val="both"/>
            </w:pPr>
            <w:r w:rsidRPr="73F31BAE">
              <w:rPr>
                <w:rFonts w:ascii="Arial" w:eastAsia="Arial" w:hAnsi="Arial" w:cs="Arial"/>
                <w:color w:val="000000" w:themeColor="text1"/>
              </w:rPr>
              <w:t>=</w:t>
            </w:r>
          </w:p>
        </w:tc>
        <w:tc>
          <w:tcPr>
            <w:tcW w:w="1335" w:type="dxa"/>
            <w:tcBorders>
              <w:top w:val="single" w:sz="12" w:space="0" w:color="000000" w:themeColor="text1"/>
              <w:left w:val="nil"/>
              <w:bottom w:val="single" w:sz="8" w:space="0" w:color="343A40"/>
              <w:right w:val="nil"/>
            </w:tcBorders>
            <w:tcMar>
              <w:left w:w="108" w:type="dxa"/>
              <w:right w:w="108" w:type="dxa"/>
            </w:tcMar>
            <w:vAlign w:val="center"/>
          </w:tcPr>
          <w:p w14:paraId="0B450BC8" w14:textId="0504CC50" w:rsidR="73F31BAE" w:rsidRDefault="73F31BAE" w:rsidP="73F31BAE">
            <w:pPr>
              <w:spacing w:line="360" w:lineRule="auto"/>
              <w:ind w:left="-20" w:right="-20"/>
              <w:jc w:val="both"/>
            </w:pPr>
            <w:r w:rsidRPr="73F31BAE">
              <w:rPr>
                <w:rFonts w:ascii="Arial" w:eastAsia="Arial" w:hAnsi="Arial" w:cs="Arial"/>
                <w:color w:val="000000" w:themeColor="text1"/>
              </w:rPr>
              <w:t>153249.0304</w:t>
            </w:r>
          </w:p>
        </w:tc>
        <w:tc>
          <w:tcPr>
            <w:tcW w:w="133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2A161B06" w14:textId="2CB21FB3" w:rsidR="73F31BAE" w:rsidRDefault="73F31BAE" w:rsidP="73F31BAE">
            <w:pPr>
              <w:spacing w:line="360" w:lineRule="auto"/>
              <w:ind w:left="-20" w:right="-20"/>
              <w:jc w:val="both"/>
            </w:pPr>
            <w:r w:rsidRPr="73F31BAE">
              <w:rPr>
                <w:rFonts w:ascii="Arial" w:eastAsia="Arial" w:hAnsi="Arial" w:cs="Arial"/>
                <w:color w:val="000000" w:themeColor="text1"/>
              </w:rPr>
              <w:t>= 0.1863</w:t>
            </w:r>
          </w:p>
        </w:tc>
      </w:tr>
      <w:tr w:rsidR="73F31BAE" w14:paraId="25259622" w14:textId="77777777" w:rsidTr="73F31BAE">
        <w:trPr>
          <w:trHeight w:val="300"/>
        </w:trPr>
        <w:tc>
          <w:tcPr>
            <w:tcW w:w="1335" w:type="dxa"/>
            <w:vMerge/>
            <w:tcBorders>
              <w:top w:val="single" w:sz="0" w:space="0" w:color="000000" w:themeColor="text1"/>
              <w:left w:val="single" w:sz="0" w:space="0" w:color="000000" w:themeColor="text1"/>
              <w:bottom w:val="single" w:sz="0" w:space="0" w:color="000000" w:themeColor="text1"/>
            </w:tcBorders>
            <w:vAlign w:val="center"/>
          </w:tcPr>
          <w:p w14:paraId="6C52BC9A" w14:textId="77777777" w:rsidR="00912F60" w:rsidRDefault="00912F60"/>
        </w:tc>
        <w:tc>
          <w:tcPr>
            <w:tcW w:w="1335" w:type="dxa"/>
            <w:tcBorders>
              <w:top w:val="single" w:sz="8" w:space="0" w:color="343A40"/>
              <w:left w:val="nil"/>
              <w:bottom w:val="single" w:sz="12" w:space="0" w:color="000000" w:themeColor="text1"/>
              <w:right w:val="nil"/>
            </w:tcBorders>
            <w:tcMar>
              <w:left w:w="108" w:type="dxa"/>
              <w:right w:w="108" w:type="dxa"/>
            </w:tcMar>
            <w:vAlign w:val="center"/>
          </w:tcPr>
          <w:p w14:paraId="2ACD1085" w14:textId="46BB4035" w:rsidR="73F31BAE" w:rsidRDefault="73F31BAE" w:rsidP="73F31BAE">
            <w:pPr>
              <w:spacing w:line="360" w:lineRule="auto"/>
              <w:ind w:left="-20" w:right="-20"/>
              <w:jc w:val="both"/>
            </w:pPr>
            <w:proofErr w:type="spellStart"/>
            <w:r w:rsidRPr="73F31BAE">
              <w:rPr>
                <w:rFonts w:ascii="Arial" w:eastAsia="Arial" w:hAnsi="Arial" w:cs="Arial"/>
                <w:color w:val="000000" w:themeColor="text1"/>
              </w:rPr>
              <w:t>SS</w:t>
            </w:r>
            <w:r w:rsidRPr="73F31BAE">
              <w:rPr>
                <w:rFonts w:ascii="Arial" w:eastAsia="Arial" w:hAnsi="Arial" w:cs="Arial"/>
                <w:color w:val="000000" w:themeColor="text1"/>
                <w:vertAlign w:val="subscript"/>
              </w:rPr>
              <w:t>total</w:t>
            </w:r>
            <w:proofErr w:type="spellEnd"/>
          </w:p>
        </w:tc>
        <w:tc>
          <w:tcPr>
            <w:tcW w:w="1335" w:type="dxa"/>
            <w:vMerge/>
            <w:tcBorders>
              <w:top w:val="single" w:sz="0" w:space="0" w:color="000000" w:themeColor="text1"/>
              <w:left w:val="nil"/>
              <w:bottom w:val="single" w:sz="0" w:space="0" w:color="000000" w:themeColor="text1"/>
            </w:tcBorders>
            <w:vAlign w:val="center"/>
          </w:tcPr>
          <w:p w14:paraId="361BDA83" w14:textId="77777777" w:rsidR="00912F60" w:rsidRDefault="00912F60"/>
        </w:tc>
        <w:tc>
          <w:tcPr>
            <w:tcW w:w="1335" w:type="dxa"/>
            <w:tcBorders>
              <w:top w:val="single" w:sz="8" w:space="0" w:color="343A40"/>
              <w:left w:val="nil"/>
              <w:bottom w:val="single" w:sz="12" w:space="0" w:color="000000" w:themeColor="text1"/>
              <w:right w:val="nil"/>
            </w:tcBorders>
            <w:tcMar>
              <w:left w:w="108" w:type="dxa"/>
              <w:right w:w="108" w:type="dxa"/>
            </w:tcMar>
            <w:vAlign w:val="center"/>
          </w:tcPr>
          <w:p w14:paraId="00A50C47" w14:textId="567A8129" w:rsidR="73F31BAE" w:rsidRDefault="73F31BAE" w:rsidP="73F31BAE">
            <w:pPr>
              <w:spacing w:line="360" w:lineRule="auto"/>
              <w:ind w:left="-20" w:right="-20"/>
              <w:jc w:val="both"/>
            </w:pPr>
            <w:proofErr w:type="gramStart"/>
            <w:r w:rsidRPr="73F31BAE">
              <w:rPr>
                <w:rFonts w:ascii="Arial" w:eastAsia="Arial" w:hAnsi="Arial" w:cs="Arial"/>
                <w:color w:val="000000" w:themeColor="text1"/>
              </w:rPr>
              <w:t xml:space="preserve">Σ( </w:t>
            </w:r>
            <w:proofErr w:type="spellStart"/>
            <w:r w:rsidRPr="73F31BAE">
              <w:rPr>
                <w:rFonts w:ascii="Arial" w:eastAsia="Arial" w:hAnsi="Arial" w:cs="Arial"/>
                <w:color w:val="000000" w:themeColor="text1"/>
              </w:rPr>
              <w:t>y</w:t>
            </w:r>
            <w:r w:rsidRPr="73F31BAE">
              <w:rPr>
                <w:rFonts w:ascii="Arial" w:eastAsia="Arial" w:hAnsi="Arial" w:cs="Arial"/>
                <w:color w:val="000000" w:themeColor="text1"/>
                <w:vertAlign w:val="subscript"/>
              </w:rPr>
              <w:t>i</w:t>
            </w:r>
            <w:proofErr w:type="spellEnd"/>
            <w:proofErr w:type="gramEnd"/>
            <w:r w:rsidRPr="73F31BAE">
              <w:rPr>
                <w:rFonts w:ascii="Arial" w:eastAsia="Arial" w:hAnsi="Arial" w:cs="Arial"/>
                <w:color w:val="000000" w:themeColor="text1"/>
              </w:rPr>
              <w:t xml:space="preserve"> - ȳ)</w:t>
            </w:r>
            <w:r w:rsidRPr="73F31BAE">
              <w:rPr>
                <w:rFonts w:ascii="Arial" w:eastAsia="Arial" w:hAnsi="Arial" w:cs="Arial"/>
                <w:color w:val="000000" w:themeColor="text1"/>
                <w:vertAlign w:val="superscript"/>
              </w:rPr>
              <w:t>2</w:t>
            </w:r>
          </w:p>
        </w:tc>
        <w:tc>
          <w:tcPr>
            <w:tcW w:w="1335" w:type="dxa"/>
            <w:vMerge/>
            <w:tcBorders>
              <w:top w:val="single" w:sz="0" w:space="0" w:color="000000" w:themeColor="text1"/>
              <w:left w:val="nil"/>
              <w:bottom w:val="single" w:sz="0" w:space="0" w:color="000000" w:themeColor="text1"/>
            </w:tcBorders>
            <w:vAlign w:val="center"/>
          </w:tcPr>
          <w:p w14:paraId="4E578977" w14:textId="77777777" w:rsidR="00912F60" w:rsidRDefault="00912F60"/>
        </w:tc>
        <w:tc>
          <w:tcPr>
            <w:tcW w:w="1335" w:type="dxa"/>
            <w:tcBorders>
              <w:top w:val="single" w:sz="8" w:space="0" w:color="343A40"/>
              <w:left w:val="nil"/>
              <w:bottom w:val="single" w:sz="12" w:space="0" w:color="000000" w:themeColor="text1"/>
              <w:right w:val="nil"/>
            </w:tcBorders>
            <w:tcMar>
              <w:left w:w="108" w:type="dxa"/>
              <w:right w:w="108" w:type="dxa"/>
            </w:tcMar>
            <w:vAlign w:val="center"/>
          </w:tcPr>
          <w:p w14:paraId="565AB446" w14:textId="0D2BB29D" w:rsidR="73F31BAE" w:rsidRDefault="73F31BAE" w:rsidP="73F31BAE">
            <w:pPr>
              <w:spacing w:line="360" w:lineRule="auto"/>
              <w:ind w:left="-20" w:right="-20"/>
              <w:jc w:val="both"/>
            </w:pPr>
            <w:r w:rsidRPr="73F31BAE">
              <w:rPr>
                <w:rFonts w:ascii="Arial" w:eastAsia="Arial" w:hAnsi="Arial" w:cs="Arial"/>
                <w:color w:val="000000" w:themeColor="text1"/>
              </w:rPr>
              <w:t>822449.5916</w:t>
            </w:r>
          </w:p>
        </w:tc>
        <w:tc>
          <w:tcPr>
            <w:tcW w:w="1335" w:type="dxa"/>
            <w:vMerge/>
            <w:tcBorders>
              <w:top w:val="single" w:sz="0" w:space="0" w:color="000000" w:themeColor="text1"/>
              <w:left w:val="nil"/>
              <w:bottom w:val="single" w:sz="0" w:space="0" w:color="000000" w:themeColor="text1"/>
              <w:right w:val="single" w:sz="0" w:space="0" w:color="000000" w:themeColor="text1"/>
            </w:tcBorders>
            <w:vAlign w:val="center"/>
          </w:tcPr>
          <w:p w14:paraId="618004C4" w14:textId="77777777" w:rsidR="00912F60" w:rsidRDefault="00912F60"/>
        </w:tc>
      </w:tr>
    </w:tbl>
    <w:p w14:paraId="50C55750" w14:textId="6FFD25D6" w:rsidR="73F31BAE" w:rsidRDefault="73F31BAE" w:rsidP="73F31BAE">
      <w:pPr>
        <w:jc w:val="both"/>
      </w:pPr>
    </w:p>
    <w:p w14:paraId="67A08443" w14:textId="29C7614A" w:rsidR="58AA3E2D" w:rsidRDefault="58AA3E2D" w:rsidP="73F31BAE">
      <w:pPr>
        <w:jc w:val="both"/>
        <w:rPr>
          <w:rFonts w:ascii="Arial" w:eastAsia="Arial" w:hAnsi="Arial" w:cs="Arial"/>
        </w:rPr>
      </w:pPr>
      <w:r w:rsidRPr="73F31BAE">
        <w:rPr>
          <w:rFonts w:ascii="Arial" w:eastAsia="Arial" w:hAnsi="Arial" w:cs="Arial"/>
          <w:color w:val="000000" w:themeColor="text1"/>
        </w:rPr>
        <w:t>The standard deviation of the residuals is:</w:t>
      </w:r>
      <w:r>
        <w:br/>
      </w:r>
      <w:r w:rsidRPr="73F31BAE">
        <w:rPr>
          <w:rFonts w:ascii="Arial" w:eastAsia="Arial" w:hAnsi="Arial" w:cs="Arial"/>
        </w:rPr>
        <w:t xml:space="preserve"> </w:t>
      </w:r>
      <w:r>
        <w:br/>
      </w:r>
    </w:p>
    <w:tbl>
      <w:tblPr>
        <w:tblStyle w:val="TableGrid"/>
        <w:tblW w:w="0" w:type="auto"/>
        <w:tblLayout w:type="fixed"/>
        <w:tblLook w:val="06A0" w:firstRow="1" w:lastRow="0" w:firstColumn="1" w:lastColumn="0" w:noHBand="1" w:noVBand="1"/>
      </w:tblPr>
      <w:tblGrid>
        <w:gridCol w:w="4680"/>
        <w:gridCol w:w="4680"/>
      </w:tblGrid>
      <w:tr w:rsidR="73F31BAE" w14:paraId="5DB9F30A" w14:textId="77777777" w:rsidTr="73F31BAE">
        <w:trPr>
          <w:trHeight w:val="300"/>
        </w:trPr>
        <w:tc>
          <w:tcPr>
            <w:tcW w:w="4680" w:type="dxa"/>
            <w:vMerge w:val="restart"/>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9328CA6" w14:textId="39EAAA88" w:rsidR="73F31BAE" w:rsidRDefault="73F31BAE" w:rsidP="73F31BAE">
            <w:pPr>
              <w:spacing w:line="360" w:lineRule="auto"/>
              <w:ind w:left="-20" w:right="-20"/>
              <w:jc w:val="both"/>
            </w:pPr>
            <w:proofErr w:type="spellStart"/>
            <w:r w:rsidRPr="73F31BAE">
              <w:rPr>
                <w:rFonts w:ascii="Arial" w:eastAsia="Arial" w:hAnsi="Arial" w:cs="Arial"/>
                <w:color w:val="000000" w:themeColor="text1"/>
              </w:rPr>
              <w:t>MS</w:t>
            </w:r>
            <w:r w:rsidRPr="73F31BAE">
              <w:rPr>
                <w:rFonts w:ascii="Arial" w:eastAsia="Arial" w:hAnsi="Arial" w:cs="Arial"/>
                <w:color w:val="000000" w:themeColor="text1"/>
                <w:vertAlign w:val="subscript"/>
              </w:rPr>
              <w:t>residual</w:t>
            </w:r>
            <w:proofErr w:type="spellEnd"/>
            <w:r w:rsidRPr="73F31BAE">
              <w:rPr>
                <w:rFonts w:ascii="Arial" w:eastAsia="Arial" w:hAnsi="Arial" w:cs="Arial"/>
                <w:color w:val="000000" w:themeColor="text1"/>
              </w:rPr>
              <w:t xml:space="preserve"> = S</w:t>
            </w:r>
            <w:r w:rsidRPr="73F31BAE">
              <w:rPr>
                <w:rFonts w:ascii="Arial" w:eastAsia="Arial" w:hAnsi="Arial" w:cs="Arial"/>
                <w:color w:val="000000" w:themeColor="text1"/>
                <w:vertAlign w:val="superscript"/>
              </w:rPr>
              <w:t>2</w:t>
            </w:r>
            <w:r w:rsidRPr="73F31BAE">
              <w:rPr>
                <w:rFonts w:ascii="Arial" w:eastAsia="Arial" w:hAnsi="Arial" w:cs="Arial"/>
                <w:color w:val="000000" w:themeColor="text1"/>
                <w:vertAlign w:val="subscript"/>
              </w:rPr>
              <w:t>res</w:t>
            </w:r>
            <w:r w:rsidRPr="73F31BAE">
              <w:rPr>
                <w:rFonts w:ascii="Arial" w:eastAsia="Arial" w:hAnsi="Arial" w:cs="Arial"/>
                <w:color w:val="000000" w:themeColor="text1"/>
              </w:rPr>
              <w:t xml:space="preserve"> =</w:t>
            </w:r>
          </w:p>
        </w:tc>
        <w:tc>
          <w:tcPr>
            <w:tcW w:w="46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5EB9B0CD" w14:textId="10C296AD" w:rsidR="73F31BAE" w:rsidRDefault="73F31BAE" w:rsidP="73F31BAE">
            <w:pPr>
              <w:spacing w:line="360" w:lineRule="auto"/>
              <w:ind w:left="-20" w:right="-20"/>
              <w:jc w:val="both"/>
            </w:pPr>
            <w:proofErr w:type="gramStart"/>
            <w:r w:rsidRPr="73F31BAE">
              <w:rPr>
                <w:rFonts w:ascii="Arial" w:eastAsia="Arial" w:hAnsi="Arial" w:cs="Arial"/>
                <w:color w:val="000000" w:themeColor="text1"/>
              </w:rPr>
              <w:t xml:space="preserve">Σ( </w:t>
            </w:r>
            <w:proofErr w:type="spellStart"/>
            <w:r w:rsidRPr="73F31BAE">
              <w:rPr>
                <w:rFonts w:ascii="Arial" w:eastAsia="Arial" w:hAnsi="Arial" w:cs="Arial"/>
                <w:color w:val="000000" w:themeColor="text1"/>
              </w:rPr>
              <w:t>y</w:t>
            </w:r>
            <w:r w:rsidRPr="73F31BAE">
              <w:rPr>
                <w:rFonts w:ascii="Arial" w:eastAsia="Arial" w:hAnsi="Arial" w:cs="Arial"/>
                <w:color w:val="000000" w:themeColor="text1"/>
                <w:vertAlign w:val="subscript"/>
              </w:rPr>
              <w:t>i</w:t>
            </w:r>
            <w:proofErr w:type="spellEnd"/>
            <w:proofErr w:type="gramEnd"/>
            <w:r w:rsidRPr="73F31BAE">
              <w:rPr>
                <w:rFonts w:ascii="Arial" w:eastAsia="Arial" w:hAnsi="Arial" w:cs="Arial"/>
                <w:color w:val="000000" w:themeColor="text1"/>
              </w:rPr>
              <w:t xml:space="preserve"> - ŷ)</w:t>
            </w:r>
            <w:r w:rsidRPr="73F31BAE">
              <w:rPr>
                <w:rFonts w:ascii="Arial" w:eastAsia="Arial" w:hAnsi="Arial" w:cs="Arial"/>
                <w:color w:val="000000" w:themeColor="text1"/>
                <w:vertAlign w:val="superscript"/>
              </w:rPr>
              <w:t>2</w:t>
            </w:r>
          </w:p>
        </w:tc>
      </w:tr>
      <w:tr w:rsidR="73F31BAE" w14:paraId="4E6A1CCD" w14:textId="77777777" w:rsidTr="73F31BAE">
        <w:trPr>
          <w:trHeight w:val="300"/>
        </w:trPr>
        <w:tc>
          <w:tcPr>
            <w:tcW w:w="4680" w:type="dxa"/>
            <w:vMerge/>
            <w:tcBorders>
              <w:top w:val="single" w:sz="0" w:space="0" w:color="000000" w:themeColor="text1"/>
              <w:left w:val="single" w:sz="0" w:space="0" w:color="000000" w:themeColor="text1"/>
              <w:bottom w:val="single" w:sz="0" w:space="0" w:color="000000" w:themeColor="text1"/>
              <w:right w:val="single" w:sz="0" w:space="0" w:color="000000" w:themeColor="text1"/>
            </w:tcBorders>
            <w:vAlign w:val="center"/>
          </w:tcPr>
          <w:p w14:paraId="2B3D07B0" w14:textId="77777777" w:rsidR="00912F60" w:rsidRDefault="00912F60"/>
        </w:tc>
        <w:tc>
          <w:tcPr>
            <w:tcW w:w="4680" w:type="dxa"/>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18A10D21" w14:textId="0EF05E7B" w:rsidR="73F31BAE" w:rsidRDefault="73F31BAE" w:rsidP="73F31BAE">
            <w:pPr>
              <w:spacing w:line="360" w:lineRule="auto"/>
              <w:ind w:left="-20" w:right="-20"/>
              <w:jc w:val="both"/>
            </w:pPr>
            <w:r w:rsidRPr="73F31BAE">
              <w:rPr>
                <w:rFonts w:ascii="Arial" w:eastAsia="Arial" w:hAnsi="Arial" w:cs="Arial"/>
                <w:color w:val="000000" w:themeColor="text1"/>
              </w:rPr>
              <w:t>n - 2</w:t>
            </w:r>
          </w:p>
        </w:tc>
      </w:tr>
    </w:tbl>
    <w:p w14:paraId="54AF564E" w14:textId="69DAC965" w:rsidR="73F31BAE" w:rsidRDefault="73F31BAE" w:rsidP="73F31BAE">
      <w:pPr>
        <w:jc w:val="both"/>
        <w:rPr>
          <w:rFonts w:ascii="Arial" w:eastAsia="Arial" w:hAnsi="Arial" w:cs="Arial"/>
          <w:b/>
          <w:bCs/>
          <w:color w:val="000000" w:themeColor="text1"/>
          <w:u w:val="single"/>
        </w:rPr>
      </w:pPr>
    </w:p>
    <w:p w14:paraId="0AB2A14E" w14:textId="706EF877" w:rsidR="73F31BAE" w:rsidRDefault="73F31BAE" w:rsidP="73F31BAE">
      <w:pPr>
        <w:jc w:val="both"/>
        <w:rPr>
          <w:rFonts w:ascii="Arial" w:eastAsia="Arial" w:hAnsi="Arial" w:cs="Arial"/>
          <w:b/>
          <w:bCs/>
          <w:color w:val="000000" w:themeColor="text1"/>
          <w:u w:val="single"/>
        </w:rPr>
      </w:pPr>
    </w:p>
    <w:p w14:paraId="7003B49C" w14:textId="7843B2D1" w:rsidR="75EACD1C" w:rsidRDefault="75EACD1C" w:rsidP="73F31BAE">
      <w:pPr>
        <w:jc w:val="both"/>
        <w:rPr>
          <w:rFonts w:ascii="Arial" w:eastAsia="Arial" w:hAnsi="Arial" w:cs="Arial"/>
        </w:rPr>
      </w:pPr>
      <w:r w:rsidRPr="73F31BAE">
        <w:rPr>
          <w:rFonts w:ascii="Arial" w:eastAsia="Arial" w:hAnsi="Arial" w:cs="Arial"/>
          <w:b/>
          <w:bCs/>
          <w:color w:val="000000" w:themeColor="text1"/>
          <w:u w:val="single"/>
        </w:rPr>
        <w:t>Residual</w:t>
      </w:r>
      <w:r w:rsidR="3669A618" w:rsidRPr="73F31BAE">
        <w:rPr>
          <w:rFonts w:ascii="Arial" w:eastAsia="Arial" w:hAnsi="Arial" w:cs="Arial"/>
          <w:b/>
          <w:bCs/>
          <w:color w:val="000000" w:themeColor="text1"/>
          <w:u w:val="single"/>
        </w:rPr>
        <w:t xml:space="preserve"> </w:t>
      </w:r>
      <w:r w:rsidRPr="73F31BAE">
        <w:rPr>
          <w:rFonts w:ascii="Arial" w:eastAsia="Arial" w:hAnsi="Arial" w:cs="Arial"/>
          <w:b/>
          <w:bCs/>
          <w:color w:val="000000" w:themeColor="text1"/>
          <w:u w:val="single"/>
        </w:rPr>
        <w:t>outliers</w:t>
      </w:r>
      <w:r>
        <w:br/>
      </w:r>
      <w:r w:rsidRPr="73F31BAE">
        <w:rPr>
          <w:rFonts w:ascii="Arial" w:eastAsia="Arial" w:hAnsi="Arial" w:cs="Arial"/>
        </w:rPr>
        <w:t xml:space="preserve"> </w:t>
      </w:r>
      <w:proofErr w:type="spellStart"/>
      <w:r w:rsidRPr="73F31BAE">
        <w:rPr>
          <w:rFonts w:ascii="Arial" w:eastAsia="Arial" w:hAnsi="Arial" w:cs="Arial"/>
          <w:color w:val="000000" w:themeColor="text1"/>
        </w:rPr>
        <w:t>S</w:t>
      </w:r>
      <w:r w:rsidRPr="73F31BAE">
        <w:rPr>
          <w:rFonts w:ascii="Arial" w:eastAsia="Arial" w:hAnsi="Arial" w:cs="Arial"/>
          <w:color w:val="000000" w:themeColor="text1"/>
          <w:vertAlign w:val="subscript"/>
        </w:rPr>
        <w:t>res</w:t>
      </w:r>
      <w:proofErr w:type="spellEnd"/>
      <w:r w:rsidRPr="73F31BAE">
        <w:rPr>
          <w:rFonts w:ascii="Arial" w:eastAsia="Arial" w:hAnsi="Arial" w:cs="Arial"/>
          <w:color w:val="000000" w:themeColor="text1"/>
        </w:rPr>
        <w:t xml:space="preserve"> = √MSE = √83650.0701 = 289.2232.</w:t>
      </w:r>
      <w:r>
        <w:br/>
      </w:r>
      <w:r w:rsidRPr="73F31BAE">
        <w:rPr>
          <w:rFonts w:ascii="Arial" w:eastAsia="Arial" w:hAnsi="Arial" w:cs="Arial"/>
        </w:rPr>
        <w:t xml:space="preserve"> </w:t>
      </w:r>
      <w:r w:rsidRPr="73F31BAE">
        <w:rPr>
          <w:rFonts w:ascii="Arial" w:eastAsia="Arial" w:hAnsi="Arial" w:cs="Arial"/>
          <w:color w:val="000000" w:themeColor="text1"/>
        </w:rPr>
        <w:t>The average of the residuals is always zero.</w:t>
      </w:r>
      <w:r>
        <w:br/>
      </w:r>
      <w:r w:rsidRPr="73F31BAE">
        <w:rPr>
          <w:rFonts w:ascii="Arial" w:eastAsia="Arial" w:hAnsi="Arial" w:cs="Arial"/>
        </w:rPr>
        <w:t xml:space="preserve"> </w:t>
      </w:r>
      <w:r w:rsidRPr="73F31BAE">
        <w:rPr>
          <w:rFonts w:ascii="Arial" w:eastAsia="Arial" w:hAnsi="Arial" w:cs="Arial"/>
          <w:color w:val="000000" w:themeColor="text1"/>
        </w:rPr>
        <w:t>The thresholds used to calculate the outliers are:  k*</w:t>
      </w:r>
      <w:proofErr w:type="spellStart"/>
      <w:r w:rsidRPr="73F31BAE">
        <w:rPr>
          <w:rFonts w:ascii="Arial" w:eastAsia="Arial" w:hAnsi="Arial" w:cs="Arial"/>
          <w:color w:val="000000" w:themeColor="text1"/>
        </w:rPr>
        <w:t>S</w:t>
      </w:r>
      <w:r w:rsidRPr="73F31BAE">
        <w:rPr>
          <w:rFonts w:ascii="Arial" w:eastAsia="Arial" w:hAnsi="Arial" w:cs="Arial"/>
          <w:color w:val="000000" w:themeColor="text1"/>
          <w:vertAlign w:val="subscript"/>
        </w:rPr>
        <w:t>res</w:t>
      </w:r>
      <w:proofErr w:type="spellEnd"/>
      <w:r w:rsidRPr="73F31BAE">
        <w:rPr>
          <w:rFonts w:ascii="Arial" w:eastAsia="Arial" w:hAnsi="Arial" w:cs="Arial"/>
          <w:color w:val="000000" w:themeColor="text1"/>
        </w:rPr>
        <w:t>.</w:t>
      </w:r>
      <w:r>
        <w:br/>
      </w:r>
      <w:r w:rsidRPr="73F31BAE">
        <w:rPr>
          <w:rFonts w:ascii="Arial" w:eastAsia="Arial" w:hAnsi="Arial" w:cs="Arial"/>
        </w:rPr>
        <w:lastRenderedPageBreak/>
        <w:t xml:space="preserve"> </w:t>
      </w:r>
      <w:r w:rsidRPr="73F31BAE">
        <w:rPr>
          <w:rFonts w:ascii="Arial" w:eastAsia="Arial" w:hAnsi="Arial" w:cs="Arial"/>
          <w:color w:val="000000" w:themeColor="text1"/>
        </w:rPr>
        <w:t xml:space="preserve">In this case, the thresholds </w:t>
      </w:r>
      <w:r w:rsidR="256D5B70" w:rsidRPr="73F31BAE">
        <w:rPr>
          <w:rFonts w:ascii="Arial" w:eastAsia="Arial" w:hAnsi="Arial" w:cs="Arial"/>
          <w:color w:val="000000" w:themeColor="text1"/>
        </w:rPr>
        <w:t>are 3</w:t>
      </w:r>
      <w:r w:rsidRPr="73F31BAE">
        <w:rPr>
          <w:rFonts w:ascii="Arial" w:eastAsia="Arial" w:hAnsi="Arial" w:cs="Arial"/>
          <w:color w:val="000000" w:themeColor="text1"/>
        </w:rPr>
        <w:t xml:space="preserve">*289.2232 </w:t>
      </w:r>
      <w:proofErr w:type="gramStart"/>
      <w:r w:rsidRPr="73F31BAE">
        <w:rPr>
          <w:rFonts w:ascii="Arial" w:eastAsia="Arial" w:hAnsi="Arial" w:cs="Arial"/>
          <w:color w:val="000000" w:themeColor="text1"/>
        </w:rPr>
        <w:t>=  867</w:t>
      </w:r>
      <w:proofErr w:type="gramEnd"/>
      <w:r w:rsidRPr="73F31BAE">
        <w:rPr>
          <w:rFonts w:ascii="Arial" w:eastAsia="Arial" w:hAnsi="Arial" w:cs="Arial"/>
          <w:color w:val="000000" w:themeColor="text1"/>
        </w:rPr>
        <w:t>.6697.</w:t>
      </w:r>
      <w:r>
        <w:br/>
      </w:r>
      <w:r w:rsidRPr="73F31BAE">
        <w:rPr>
          <w:rFonts w:ascii="Arial" w:eastAsia="Arial" w:hAnsi="Arial" w:cs="Arial"/>
        </w:rPr>
        <w:t xml:space="preserve"> </w:t>
      </w:r>
      <w:r>
        <w:br/>
      </w:r>
      <w:proofErr w:type="spellStart"/>
      <w:r w:rsidRPr="73F31BAE">
        <w:rPr>
          <w:rFonts w:ascii="Arial" w:eastAsia="Arial" w:hAnsi="Arial" w:cs="Arial"/>
          <w:b/>
          <w:bCs/>
          <w:color w:val="000000" w:themeColor="text1"/>
          <w:u w:val="single"/>
        </w:rPr>
        <w:t>SS</w:t>
      </w:r>
      <w:r w:rsidRPr="73F31BAE">
        <w:rPr>
          <w:rFonts w:ascii="Arial" w:eastAsia="Arial" w:hAnsi="Arial" w:cs="Arial"/>
          <w:b/>
          <w:bCs/>
          <w:color w:val="000000" w:themeColor="text1"/>
          <w:u w:val="single"/>
          <w:vertAlign w:val="subscript"/>
        </w:rPr>
        <w:t>x</w:t>
      </w:r>
      <w:proofErr w:type="spellEnd"/>
      <w:r w:rsidRPr="73F31BAE">
        <w:rPr>
          <w:rFonts w:ascii="Arial" w:eastAsia="Arial" w:hAnsi="Arial" w:cs="Arial"/>
          <w:b/>
          <w:bCs/>
          <w:color w:val="000000" w:themeColor="text1"/>
          <w:u w:val="single"/>
        </w:rPr>
        <w:t xml:space="preserve"> and </w:t>
      </w:r>
      <w:proofErr w:type="spellStart"/>
      <w:r w:rsidRPr="73F31BAE">
        <w:rPr>
          <w:rFonts w:ascii="Arial" w:eastAsia="Arial" w:hAnsi="Arial" w:cs="Arial"/>
          <w:b/>
          <w:bCs/>
          <w:color w:val="000000" w:themeColor="text1"/>
          <w:u w:val="single"/>
        </w:rPr>
        <w:t>SP</w:t>
      </w:r>
      <w:r w:rsidRPr="73F31BAE">
        <w:rPr>
          <w:rFonts w:ascii="Arial" w:eastAsia="Arial" w:hAnsi="Arial" w:cs="Arial"/>
          <w:b/>
          <w:bCs/>
          <w:color w:val="000000" w:themeColor="text1"/>
          <w:u w:val="single"/>
          <w:vertAlign w:val="subscript"/>
        </w:rPr>
        <w:t>xy</w:t>
      </w:r>
      <w:proofErr w:type="spellEnd"/>
    </w:p>
    <w:tbl>
      <w:tblPr>
        <w:tblStyle w:val="TableGrid"/>
        <w:tblW w:w="0" w:type="auto"/>
        <w:tblLayout w:type="fixed"/>
        <w:tblLook w:val="06A0" w:firstRow="1" w:lastRow="0" w:firstColumn="1" w:lastColumn="0" w:noHBand="1" w:noVBand="1"/>
      </w:tblPr>
      <w:tblGrid>
        <w:gridCol w:w="2340"/>
        <w:gridCol w:w="2340"/>
        <w:gridCol w:w="2340"/>
        <w:gridCol w:w="2340"/>
      </w:tblGrid>
      <w:tr w:rsidR="73F31BAE" w14:paraId="3FF33137" w14:textId="77777777" w:rsidTr="73F31BAE">
        <w:trPr>
          <w:trHeight w:val="300"/>
        </w:trPr>
        <w:tc>
          <w:tcPr>
            <w:tcW w:w="23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C9D000B" w14:textId="6EA0DF4A" w:rsidR="73F31BAE" w:rsidRDefault="73F31BAE" w:rsidP="73F31BAE">
            <w:pPr>
              <w:spacing w:line="360" w:lineRule="auto"/>
              <w:ind w:left="-20" w:right="-20"/>
              <w:jc w:val="both"/>
            </w:pPr>
            <w:r w:rsidRPr="73F31BAE">
              <w:rPr>
                <w:rFonts w:ascii="Arial" w:eastAsia="Arial" w:hAnsi="Arial" w:cs="Arial"/>
                <w:b/>
                <w:bCs/>
                <w:color w:val="000000" w:themeColor="text1"/>
              </w:rPr>
              <w:t>x-x̄</w:t>
            </w:r>
          </w:p>
        </w:tc>
        <w:tc>
          <w:tcPr>
            <w:tcW w:w="23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652CCBA" w14:textId="4004EAFD" w:rsidR="73F31BAE" w:rsidRDefault="73F31BAE" w:rsidP="73F31BAE">
            <w:pPr>
              <w:spacing w:line="360" w:lineRule="auto"/>
              <w:ind w:left="-20" w:right="-20"/>
              <w:jc w:val="both"/>
            </w:pPr>
            <w:r w:rsidRPr="73F31BAE">
              <w:rPr>
                <w:rFonts w:ascii="Arial" w:eastAsia="Arial" w:hAnsi="Arial" w:cs="Arial"/>
                <w:b/>
                <w:bCs/>
                <w:color w:val="000000" w:themeColor="text1"/>
              </w:rPr>
              <w:t>y-ȳ</w:t>
            </w:r>
          </w:p>
        </w:tc>
        <w:tc>
          <w:tcPr>
            <w:tcW w:w="23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9F5EE6F" w14:textId="777C417E" w:rsidR="73F31BAE" w:rsidRDefault="73F31BAE" w:rsidP="73F31BAE">
            <w:pPr>
              <w:spacing w:line="360" w:lineRule="auto"/>
              <w:ind w:left="-20" w:right="-20"/>
              <w:jc w:val="both"/>
            </w:pPr>
            <w:r w:rsidRPr="73F31BAE">
              <w:rPr>
                <w:rFonts w:ascii="Arial" w:eastAsia="Arial" w:hAnsi="Arial" w:cs="Arial"/>
                <w:b/>
                <w:bCs/>
                <w:color w:val="000000" w:themeColor="text1"/>
              </w:rPr>
              <w:t>(x-x̄)</w:t>
            </w:r>
            <w:r w:rsidRPr="73F31BAE">
              <w:rPr>
                <w:rFonts w:ascii="Arial" w:eastAsia="Arial" w:hAnsi="Arial" w:cs="Arial"/>
                <w:b/>
                <w:bCs/>
                <w:color w:val="000000" w:themeColor="text1"/>
                <w:vertAlign w:val="superscript"/>
              </w:rPr>
              <w:t>2</w:t>
            </w:r>
          </w:p>
        </w:tc>
        <w:tc>
          <w:tcPr>
            <w:tcW w:w="23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90DF8CA" w14:textId="25C56A3C" w:rsidR="73F31BAE" w:rsidRDefault="73F31BAE" w:rsidP="73F31BAE">
            <w:pPr>
              <w:spacing w:line="360" w:lineRule="auto"/>
              <w:ind w:left="-20" w:right="-20"/>
              <w:jc w:val="both"/>
            </w:pPr>
            <w:r w:rsidRPr="73F31BAE">
              <w:rPr>
                <w:rFonts w:ascii="Arial" w:eastAsia="Arial" w:hAnsi="Arial" w:cs="Arial"/>
                <w:b/>
                <w:bCs/>
                <w:color w:val="000000" w:themeColor="text1"/>
              </w:rPr>
              <w:t>(x-x̄) (y-ȳ)</w:t>
            </w:r>
          </w:p>
        </w:tc>
      </w:tr>
      <w:tr w:rsidR="73F31BAE" w14:paraId="7D1C3C0E" w14:textId="77777777" w:rsidTr="73F31BAE">
        <w:trPr>
          <w:trHeight w:val="300"/>
        </w:trPr>
        <w:tc>
          <w:tcPr>
            <w:tcW w:w="23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63B6CEC9" w14:textId="3487B094" w:rsidR="73F31BAE" w:rsidRDefault="73F31BAE" w:rsidP="73F31BAE">
            <w:pPr>
              <w:spacing w:line="360" w:lineRule="auto"/>
              <w:ind w:left="-20" w:right="-20"/>
              <w:jc w:val="both"/>
            </w:pPr>
            <w:r w:rsidRPr="73F31BAE">
              <w:rPr>
                <w:rFonts w:ascii="Arial" w:eastAsia="Arial" w:hAnsi="Arial" w:cs="Arial"/>
                <w:color w:val="000000" w:themeColor="text1"/>
              </w:rPr>
              <w:t xml:space="preserve">-0.02 </w:t>
            </w:r>
          </w:p>
          <w:p w14:paraId="315363C5" w14:textId="03BC7E02" w:rsidR="73F31BAE" w:rsidRDefault="73F31BAE" w:rsidP="73F31BAE">
            <w:pPr>
              <w:spacing w:line="360" w:lineRule="auto"/>
              <w:ind w:left="-20" w:right="-20"/>
              <w:jc w:val="both"/>
            </w:pPr>
            <w:r w:rsidRPr="73F31BAE">
              <w:rPr>
                <w:rFonts w:ascii="Arial" w:eastAsia="Arial" w:hAnsi="Arial" w:cs="Arial"/>
                <w:color w:val="000000" w:themeColor="text1"/>
              </w:rPr>
              <w:t xml:space="preserve">-0.82 </w:t>
            </w:r>
          </w:p>
          <w:p w14:paraId="07EE6AC1" w14:textId="2421EB68" w:rsidR="73F31BAE" w:rsidRDefault="73F31BAE" w:rsidP="73F31BAE">
            <w:pPr>
              <w:spacing w:line="360" w:lineRule="auto"/>
              <w:ind w:left="-20" w:right="-20"/>
              <w:jc w:val="both"/>
            </w:pPr>
            <w:r w:rsidRPr="73F31BAE">
              <w:rPr>
                <w:rFonts w:ascii="Arial" w:eastAsia="Arial" w:hAnsi="Arial" w:cs="Arial"/>
                <w:color w:val="000000" w:themeColor="text1"/>
              </w:rPr>
              <w:t xml:space="preserve">-1.92 </w:t>
            </w:r>
          </w:p>
          <w:p w14:paraId="41E2A654" w14:textId="58EF8C71" w:rsidR="73F31BAE" w:rsidRDefault="73F31BAE" w:rsidP="73F31BAE">
            <w:pPr>
              <w:spacing w:line="360" w:lineRule="auto"/>
              <w:ind w:left="-20" w:right="-20"/>
              <w:jc w:val="both"/>
            </w:pPr>
            <w:r w:rsidRPr="73F31BAE">
              <w:rPr>
                <w:rFonts w:ascii="Arial" w:eastAsia="Arial" w:hAnsi="Arial" w:cs="Arial"/>
                <w:color w:val="000000" w:themeColor="text1"/>
              </w:rPr>
              <w:t>-1.32</w:t>
            </w:r>
          </w:p>
          <w:p w14:paraId="39B455AA" w14:textId="118FFD4D" w:rsidR="73F31BAE" w:rsidRDefault="73F31BAE" w:rsidP="73F31BAE">
            <w:pPr>
              <w:spacing w:line="360" w:lineRule="auto"/>
              <w:ind w:left="-20" w:right="-20"/>
              <w:jc w:val="both"/>
            </w:pPr>
            <w:r w:rsidRPr="73F31BAE">
              <w:rPr>
                <w:rFonts w:ascii="Arial" w:eastAsia="Arial" w:hAnsi="Arial" w:cs="Arial"/>
                <w:color w:val="000000" w:themeColor="text1"/>
              </w:rPr>
              <w:t xml:space="preserve"> 0.28 </w:t>
            </w:r>
          </w:p>
          <w:p w14:paraId="42513487" w14:textId="05BF492E" w:rsidR="73F31BAE" w:rsidRDefault="73F31BAE" w:rsidP="73F31BAE">
            <w:pPr>
              <w:spacing w:line="360" w:lineRule="auto"/>
              <w:ind w:left="-20" w:right="-20"/>
              <w:jc w:val="both"/>
            </w:pPr>
            <w:r w:rsidRPr="73F31BAE">
              <w:rPr>
                <w:rFonts w:ascii="Arial" w:eastAsia="Arial" w:hAnsi="Arial" w:cs="Arial"/>
                <w:color w:val="000000" w:themeColor="text1"/>
              </w:rPr>
              <w:t>-0.02</w:t>
            </w:r>
          </w:p>
          <w:p w14:paraId="7E142664" w14:textId="2FC73B3E" w:rsidR="73F31BAE" w:rsidRDefault="73F31BAE" w:rsidP="73F31BAE">
            <w:pPr>
              <w:spacing w:line="360" w:lineRule="auto"/>
              <w:ind w:left="-20" w:right="-20"/>
              <w:jc w:val="both"/>
            </w:pPr>
            <w:r w:rsidRPr="73F31BAE">
              <w:rPr>
                <w:rFonts w:ascii="Arial" w:eastAsia="Arial" w:hAnsi="Arial" w:cs="Arial"/>
                <w:color w:val="000000" w:themeColor="text1"/>
              </w:rPr>
              <w:t xml:space="preserve">-0.62 </w:t>
            </w:r>
          </w:p>
          <w:p w14:paraId="296669EC" w14:textId="7092E1E5" w:rsidR="73F31BAE" w:rsidRDefault="73F31BAE" w:rsidP="73F31BAE">
            <w:pPr>
              <w:spacing w:line="360" w:lineRule="auto"/>
              <w:ind w:left="-20" w:right="-20"/>
              <w:jc w:val="both"/>
            </w:pPr>
            <w:r w:rsidRPr="73F31BAE">
              <w:rPr>
                <w:rFonts w:ascii="Arial" w:eastAsia="Arial" w:hAnsi="Arial" w:cs="Arial"/>
                <w:color w:val="000000" w:themeColor="text1"/>
              </w:rPr>
              <w:t xml:space="preserve">-1.32 </w:t>
            </w:r>
          </w:p>
          <w:p w14:paraId="39AA4A4F" w14:textId="50972436" w:rsidR="73F31BAE" w:rsidRDefault="73F31BAE" w:rsidP="73F31BAE">
            <w:pPr>
              <w:spacing w:line="360" w:lineRule="auto"/>
              <w:ind w:left="-20" w:right="-20"/>
              <w:jc w:val="both"/>
            </w:pPr>
            <w:r w:rsidRPr="73F31BAE">
              <w:rPr>
                <w:rFonts w:ascii="Arial" w:eastAsia="Arial" w:hAnsi="Arial" w:cs="Arial"/>
                <w:color w:val="000000" w:themeColor="text1"/>
              </w:rPr>
              <w:t xml:space="preserve">0.18 </w:t>
            </w:r>
          </w:p>
          <w:p w14:paraId="52A774F9" w14:textId="06F7A115" w:rsidR="73F31BAE" w:rsidRDefault="73F31BAE" w:rsidP="73F31BAE">
            <w:pPr>
              <w:spacing w:line="360" w:lineRule="auto"/>
              <w:ind w:left="-20" w:right="-20"/>
              <w:jc w:val="both"/>
            </w:pPr>
            <w:r w:rsidRPr="73F31BAE">
              <w:rPr>
                <w:rFonts w:ascii="Arial" w:eastAsia="Arial" w:hAnsi="Arial" w:cs="Arial"/>
                <w:color w:val="000000" w:themeColor="text1"/>
              </w:rPr>
              <w:t xml:space="preserve">5.58 </w:t>
            </w:r>
          </w:p>
        </w:tc>
        <w:tc>
          <w:tcPr>
            <w:tcW w:w="23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7A32D52" w14:textId="2D0421D7" w:rsidR="73F31BAE" w:rsidRDefault="73F31BAE" w:rsidP="73F31BAE">
            <w:pPr>
              <w:spacing w:line="360" w:lineRule="auto"/>
              <w:ind w:left="-20" w:right="-20"/>
              <w:jc w:val="both"/>
            </w:pPr>
            <w:r w:rsidRPr="73F31BAE">
              <w:rPr>
                <w:rFonts w:ascii="Arial" w:eastAsia="Arial" w:hAnsi="Arial" w:cs="Arial"/>
                <w:color w:val="000000" w:themeColor="text1"/>
              </w:rPr>
              <w:t xml:space="preserve">-241.368 </w:t>
            </w:r>
          </w:p>
          <w:p w14:paraId="5EDF0579" w14:textId="42244AB5" w:rsidR="73F31BAE" w:rsidRDefault="73F31BAE" w:rsidP="73F31BAE">
            <w:pPr>
              <w:spacing w:line="360" w:lineRule="auto"/>
              <w:ind w:left="-20" w:right="-20"/>
              <w:jc w:val="both"/>
            </w:pPr>
            <w:r w:rsidRPr="73F31BAE">
              <w:rPr>
                <w:rFonts w:ascii="Arial" w:eastAsia="Arial" w:hAnsi="Arial" w:cs="Arial"/>
                <w:color w:val="000000" w:themeColor="text1"/>
              </w:rPr>
              <w:t xml:space="preserve">-318.258 </w:t>
            </w:r>
          </w:p>
          <w:p w14:paraId="48B9850B" w14:textId="6A50228B" w:rsidR="73F31BAE" w:rsidRDefault="73F31BAE" w:rsidP="73F31BAE">
            <w:pPr>
              <w:spacing w:line="360" w:lineRule="auto"/>
              <w:ind w:left="-20" w:right="-20"/>
              <w:jc w:val="both"/>
            </w:pPr>
            <w:r w:rsidRPr="73F31BAE">
              <w:rPr>
                <w:rFonts w:ascii="Arial" w:eastAsia="Arial" w:hAnsi="Arial" w:cs="Arial"/>
                <w:color w:val="000000" w:themeColor="text1"/>
              </w:rPr>
              <w:t xml:space="preserve">-406.738 </w:t>
            </w:r>
          </w:p>
          <w:p w14:paraId="00522272" w14:textId="02753FF8" w:rsidR="73F31BAE" w:rsidRDefault="73F31BAE" w:rsidP="73F31BAE">
            <w:pPr>
              <w:spacing w:line="360" w:lineRule="auto"/>
              <w:ind w:left="-20" w:right="-20"/>
              <w:jc w:val="both"/>
            </w:pPr>
            <w:r w:rsidRPr="73F31BAE">
              <w:rPr>
                <w:rFonts w:ascii="Arial" w:eastAsia="Arial" w:hAnsi="Arial" w:cs="Arial"/>
                <w:color w:val="000000" w:themeColor="text1"/>
              </w:rPr>
              <w:t xml:space="preserve">22.222 </w:t>
            </w:r>
          </w:p>
          <w:p w14:paraId="0754354B" w14:textId="69271366" w:rsidR="73F31BAE" w:rsidRDefault="73F31BAE" w:rsidP="73F31BAE">
            <w:pPr>
              <w:spacing w:line="360" w:lineRule="auto"/>
              <w:ind w:left="-20" w:right="-20"/>
              <w:jc w:val="both"/>
            </w:pPr>
            <w:r w:rsidRPr="73F31BAE">
              <w:rPr>
                <w:rFonts w:ascii="Arial" w:eastAsia="Arial" w:hAnsi="Arial" w:cs="Arial"/>
                <w:color w:val="000000" w:themeColor="text1"/>
              </w:rPr>
              <w:t xml:space="preserve">370.822 </w:t>
            </w:r>
          </w:p>
          <w:p w14:paraId="5FB2CFB7" w14:textId="5D17A252" w:rsidR="73F31BAE" w:rsidRDefault="73F31BAE" w:rsidP="73F31BAE">
            <w:pPr>
              <w:spacing w:line="360" w:lineRule="auto"/>
              <w:ind w:left="-20" w:right="-20"/>
              <w:jc w:val="both"/>
            </w:pPr>
            <w:r w:rsidRPr="73F31BAE">
              <w:rPr>
                <w:rFonts w:ascii="Arial" w:eastAsia="Arial" w:hAnsi="Arial" w:cs="Arial"/>
                <w:color w:val="000000" w:themeColor="text1"/>
              </w:rPr>
              <w:t xml:space="preserve">-175.938 </w:t>
            </w:r>
          </w:p>
          <w:p w14:paraId="294A03D0" w14:textId="30C5A322" w:rsidR="73F31BAE" w:rsidRDefault="73F31BAE" w:rsidP="73F31BAE">
            <w:pPr>
              <w:spacing w:line="360" w:lineRule="auto"/>
              <w:ind w:left="-20" w:right="-20"/>
              <w:jc w:val="both"/>
            </w:pPr>
            <w:r w:rsidRPr="73F31BAE">
              <w:rPr>
                <w:rFonts w:ascii="Arial" w:eastAsia="Arial" w:hAnsi="Arial" w:cs="Arial"/>
                <w:color w:val="000000" w:themeColor="text1"/>
              </w:rPr>
              <w:t xml:space="preserve">345.472 </w:t>
            </w:r>
          </w:p>
          <w:p w14:paraId="34144315" w14:textId="5808E6E8" w:rsidR="73F31BAE" w:rsidRDefault="73F31BAE" w:rsidP="73F31BAE">
            <w:pPr>
              <w:spacing w:line="360" w:lineRule="auto"/>
              <w:ind w:left="-20" w:right="-20"/>
              <w:jc w:val="both"/>
            </w:pPr>
            <w:r w:rsidRPr="73F31BAE">
              <w:rPr>
                <w:rFonts w:ascii="Arial" w:eastAsia="Arial" w:hAnsi="Arial" w:cs="Arial"/>
                <w:color w:val="000000" w:themeColor="text1"/>
              </w:rPr>
              <w:t xml:space="preserve">-177.368 </w:t>
            </w:r>
          </w:p>
          <w:p w14:paraId="5B745DD0" w14:textId="70D8A781" w:rsidR="73F31BAE" w:rsidRDefault="73F31BAE" w:rsidP="73F31BAE">
            <w:pPr>
              <w:spacing w:line="360" w:lineRule="auto"/>
              <w:ind w:left="-20" w:right="-20"/>
              <w:jc w:val="both"/>
            </w:pPr>
            <w:r w:rsidRPr="73F31BAE">
              <w:rPr>
                <w:rFonts w:ascii="Arial" w:eastAsia="Arial" w:hAnsi="Arial" w:cs="Arial"/>
                <w:color w:val="000000" w:themeColor="text1"/>
              </w:rPr>
              <w:t xml:space="preserve">357.022 </w:t>
            </w:r>
          </w:p>
          <w:p w14:paraId="17E83048" w14:textId="7E548366" w:rsidR="73F31BAE" w:rsidRDefault="73F31BAE" w:rsidP="73F31BAE">
            <w:pPr>
              <w:spacing w:line="360" w:lineRule="auto"/>
              <w:ind w:left="-20" w:right="-20"/>
              <w:jc w:val="both"/>
            </w:pPr>
            <w:r w:rsidRPr="73F31BAE">
              <w:rPr>
                <w:rFonts w:ascii="Arial" w:eastAsia="Arial" w:hAnsi="Arial" w:cs="Arial"/>
                <w:color w:val="000000" w:themeColor="text1"/>
              </w:rPr>
              <w:t xml:space="preserve">224.132 </w:t>
            </w:r>
          </w:p>
        </w:tc>
        <w:tc>
          <w:tcPr>
            <w:tcW w:w="23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06AB3AE2" w14:textId="743A387C" w:rsidR="73F31BAE" w:rsidRDefault="73F31BAE" w:rsidP="73F31BAE">
            <w:pPr>
              <w:spacing w:line="360" w:lineRule="auto"/>
              <w:ind w:left="-20" w:right="-20"/>
              <w:jc w:val="both"/>
            </w:pPr>
            <w:r w:rsidRPr="73F31BAE">
              <w:rPr>
                <w:rFonts w:ascii="Arial" w:eastAsia="Arial" w:hAnsi="Arial" w:cs="Arial"/>
                <w:color w:val="000000" w:themeColor="text1"/>
              </w:rPr>
              <w:t xml:space="preserve">0.0004 </w:t>
            </w:r>
          </w:p>
          <w:p w14:paraId="7D6DEB13" w14:textId="4A89DEF7" w:rsidR="73F31BAE" w:rsidRDefault="73F31BAE" w:rsidP="73F31BAE">
            <w:pPr>
              <w:spacing w:line="360" w:lineRule="auto"/>
              <w:ind w:left="-20" w:right="-20"/>
              <w:jc w:val="both"/>
            </w:pPr>
            <w:r w:rsidRPr="73F31BAE">
              <w:rPr>
                <w:rFonts w:ascii="Arial" w:eastAsia="Arial" w:hAnsi="Arial" w:cs="Arial"/>
                <w:color w:val="000000" w:themeColor="text1"/>
              </w:rPr>
              <w:t xml:space="preserve">0.6724 </w:t>
            </w:r>
          </w:p>
          <w:p w14:paraId="63D20577" w14:textId="20A3BDF5" w:rsidR="73F31BAE" w:rsidRDefault="73F31BAE" w:rsidP="73F31BAE">
            <w:pPr>
              <w:spacing w:line="360" w:lineRule="auto"/>
              <w:ind w:left="-20" w:right="-20"/>
              <w:jc w:val="both"/>
            </w:pPr>
            <w:r w:rsidRPr="73F31BAE">
              <w:rPr>
                <w:rFonts w:ascii="Arial" w:eastAsia="Arial" w:hAnsi="Arial" w:cs="Arial"/>
                <w:color w:val="000000" w:themeColor="text1"/>
              </w:rPr>
              <w:t xml:space="preserve">3.6864 </w:t>
            </w:r>
          </w:p>
          <w:p w14:paraId="6632EB2C" w14:textId="2A265E1C" w:rsidR="73F31BAE" w:rsidRDefault="73F31BAE" w:rsidP="73F31BAE">
            <w:pPr>
              <w:spacing w:line="360" w:lineRule="auto"/>
              <w:ind w:left="-20" w:right="-20"/>
              <w:jc w:val="both"/>
            </w:pPr>
            <w:r w:rsidRPr="73F31BAE">
              <w:rPr>
                <w:rFonts w:ascii="Arial" w:eastAsia="Arial" w:hAnsi="Arial" w:cs="Arial"/>
                <w:color w:val="000000" w:themeColor="text1"/>
              </w:rPr>
              <w:t xml:space="preserve">1.7424 </w:t>
            </w:r>
          </w:p>
          <w:p w14:paraId="43C7DE8E" w14:textId="35050FBC" w:rsidR="73F31BAE" w:rsidRDefault="73F31BAE" w:rsidP="73F31BAE">
            <w:pPr>
              <w:spacing w:line="360" w:lineRule="auto"/>
              <w:ind w:left="-20" w:right="-20"/>
              <w:jc w:val="both"/>
            </w:pPr>
            <w:r w:rsidRPr="73F31BAE">
              <w:rPr>
                <w:rFonts w:ascii="Arial" w:eastAsia="Arial" w:hAnsi="Arial" w:cs="Arial"/>
                <w:color w:val="000000" w:themeColor="text1"/>
              </w:rPr>
              <w:t xml:space="preserve">0.0784 </w:t>
            </w:r>
          </w:p>
          <w:p w14:paraId="3A233356" w14:textId="75A558DB" w:rsidR="73F31BAE" w:rsidRDefault="73F31BAE" w:rsidP="73F31BAE">
            <w:pPr>
              <w:spacing w:line="360" w:lineRule="auto"/>
              <w:ind w:left="-20" w:right="-20"/>
              <w:jc w:val="both"/>
            </w:pPr>
            <w:r w:rsidRPr="73F31BAE">
              <w:rPr>
                <w:rFonts w:ascii="Arial" w:eastAsia="Arial" w:hAnsi="Arial" w:cs="Arial"/>
                <w:color w:val="000000" w:themeColor="text1"/>
              </w:rPr>
              <w:t xml:space="preserve">0.0004 </w:t>
            </w:r>
          </w:p>
          <w:p w14:paraId="700444D2" w14:textId="689BF18C" w:rsidR="73F31BAE" w:rsidRDefault="73F31BAE" w:rsidP="73F31BAE">
            <w:pPr>
              <w:spacing w:line="360" w:lineRule="auto"/>
              <w:ind w:left="-20" w:right="-20"/>
              <w:jc w:val="both"/>
            </w:pPr>
            <w:r w:rsidRPr="73F31BAE">
              <w:rPr>
                <w:rFonts w:ascii="Arial" w:eastAsia="Arial" w:hAnsi="Arial" w:cs="Arial"/>
                <w:color w:val="000000" w:themeColor="text1"/>
              </w:rPr>
              <w:t xml:space="preserve">0.3844 </w:t>
            </w:r>
          </w:p>
          <w:p w14:paraId="635F69CE" w14:textId="346E684B" w:rsidR="73F31BAE" w:rsidRDefault="73F31BAE" w:rsidP="73F31BAE">
            <w:pPr>
              <w:spacing w:line="360" w:lineRule="auto"/>
              <w:ind w:left="-20" w:right="-20"/>
              <w:jc w:val="both"/>
            </w:pPr>
            <w:r w:rsidRPr="73F31BAE">
              <w:rPr>
                <w:rFonts w:ascii="Arial" w:eastAsia="Arial" w:hAnsi="Arial" w:cs="Arial"/>
                <w:color w:val="000000" w:themeColor="text1"/>
              </w:rPr>
              <w:t xml:space="preserve">1.7424 </w:t>
            </w:r>
          </w:p>
          <w:p w14:paraId="6CC94F00" w14:textId="7DF10049" w:rsidR="73F31BAE" w:rsidRDefault="73F31BAE" w:rsidP="73F31BAE">
            <w:pPr>
              <w:spacing w:line="360" w:lineRule="auto"/>
              <w:ind w:left="-20" w:right="-20"/>
              <w:jc w:val="both"/>
            </w:pPr>
            <w:r w:rsidRPr="73F31BAE">
              <w:rPr>
                <w:rFonts w:ascii="Arial" w:eastAsia="Arial" w:hAnsi="Arial" w:cs="Arial"/>
                <w:color w:val="000000" w:themeColor="text1"/>
              </w:rPr>
              <w:t xml:space="preserve">0.0324 </w:t>
            </w:r>
          </w:p>
          <w:p w14:paraId="1FB8AFC5" w14:textId="7AA90D3F" w:rsidR="73F31BAE" w:rsidRDefault="73F31BAE" w:rsidP="73F31BAE">
            <w:pPr>
              <w:spacing w:line="360" w:lineRule="auto"/>
              <w:ind w:left="-20" w:right="-20"/>
              <w:jc w:val="both"/>
            </w:pPr>
            <w:r w:rsidRPr="73F31BAE">
              <w:rPr>
                <w:rFonts w:ascii="Arial" w:eastAsia="Arial" w:hAnsi="Arial" w:cs="Arial"/>
                <w:color w:val="000000" w:themeColor="text1"/>
              </w:rPr>
              <w:t xml:space="preserve">31.1364 </w:t>
            </w:r>
          </w:p>
        </w:tc>
        <w:tc>
          <w:tcPr>
            <w:tcW w:w="23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43FCFF2" w14:textId="7EA99D56" w:rsidR="73F31BAE" w:rsidRDefault="73F31BAE" w:rsidP="73F31BAE">
            <w:pPr>
              <w:spacing w:line="360" w:lineRule="auto"/>
              <w:ind w:left="-20" w:right="-20"/>
              <w:jc w:val="both"/>
            </w:pPr>
            <w:r w:rsidRPr="73F31BAE">
              <w:rPr>
                <w:rFonts w:ascii="Arial" w:eastAsia="Arial" w:hAnsi="Arial" w:cs="Arial"/>
                <w:color w:val="000000" w:themeColor="text1"/>
              </w:rPr>
              <w:t xml:space="preserve">4.8274 </w:t>
            </w:r>
          </w:p>
          <w:p w14:paraId="04A7ECE1" w14:textId="6BE26DD2" w:rsidR="73F31BAE" w:rsidRDefault="73F31BAE" w:rsidP="73F31BAE">
            <w:pPr>
              <w:spacing w:line="360" w:lineRule="auto"/>
              <w:ind w:left="-20" w:right="-20"/>
              <w:jc w:val="both"/>
            </w:pPr>
            <w:r w:rsidRPr="73F31BAE">
              <w:rPr>
                <w:rFonts w:ascii="Arial" w:eastAsia="Arial" w:hAnsi="Arial" w:cs="Arial"/>
                <w:color w:val="000000" w:themeColor="text1"/>
              </w:rPr>
              <w:t xml:space="preserve">260.9716 </w:t>
            </w:r>
          </w:p>
          <w:p w14:paraId="00EF1A51" w14:textId="3A25A8DF" w:rsidR="73F31BAE" w:rsidRDefault="73F31BAE" w:rsidP="73F31BAE">
            <w:pPr>
              <w:spacing w:line="360" w:lineRule="auto"/>
              <w:ind w:left="-20" w:right="-20"/>
              <w:jc w:val="both"/>
            </w:pPr>
            <w:r w:rsidRPr="73F31BAE">
              <w:rPr>
                <w:rFonts w:ascii="Arial" w:eastAsia="Arial" w:hAnsi="Arial" w:cs="Arial"/>
                <w:color w:val="000000" w:themeColor="text1"/>
              </w:rPr>
              <w:t xml:space="preserve">780.937 </w:t>
            </w:r>
          </w:p>
          <w:p w14:paraId="3471B624" w14:textId="090F0BA1" w:rsidR="73F31BAE" w:rsidRDefault="73F31BAE" w:rsidP="73F31BAE">
            <w:pPr>
              <w:spacing w:line="360" w:lineRule="auto"/>
              <w:ind w:left="-20" w:right="-20"/>
              <w:jc w:val="both"/>
            </w:pPr>
            <w:r w:rsidRPr="73F31BAE">
              <w:rPr>
                <w:rFonts w:ascii="Arial" w:eastAsia="Arial" w:hAnsi="Arial" w:cs="Arial"/>
                <w:color w:val="000000" w:themeColor="text1"/>
              </w:rPr>
              <w:t xml:space="preserve">-29.333 </w:t>
            </w:r>
          </w:p>
          <w:p w14:paraId="6E0C6FF9" w14:textId="63246814" w:rsidR="73F31BAE" w:rsidRDefault="73F31BAE" w:rsidP="73F31BAE">
            <w:pPr>
              <w:spacing w:line="360" w:lineRule="auto"/>
              <w:ind w:left="-20" w:right="-20"/>
              <w:jc w:val="both"/>
            </w:pPr>
            <w:r w:rsidRPr="73F31BAE">
              <w:rPr>
                <w:rFonts w:ascii="Arial" w:eastAsia="Arial" w:hAnsi="Arial" w:cs="Arial"/>
                <w:color w:val="000000" w:themeColor="text1"/>
              </w:rPr>
              <w:t xml:space="preserve">103.8302 </w:t>
            </w:r>
          </w:p>
          <w:p w14:paraId="1BEEA3BF" w14:textId="50AD680C" w:rsidR="73F31BAE" w:rsidRDefault="73F31BAE" w:rsidP="73F31BAE">
            <w:pPr>
              <w:spacing w:line="360" w:lineRule="auto"/>
              <w:ind w:left="-20" w:right="-20"/>
              <w:jc w:val="both"/>
            </w:pPr>
            <w:r w:rsidRPr="73F31BAE">
              <w:rPr>
                <w:rFonts w:ascii="Arial" w:eastAsia="Arial" w:hAnsi="Arial" w:cs="Arial"/>
                <w:color w:val="000000" w:themeColor="text1"/>
              </w:rPr>
              <w:t xml:space="preserve">3.5188 </w:t>
            </w:r>
          </w:p>
          <w:p w14:paraId="2453B4EE" w14:textId="045908B6" w:rsidR="73F31BAE" w:rsidRDefault="73F31BAE" w:rsidP="73F31BAE">
            <w:pPr>
              <w:spacing w:line="360" w:lineRule="auto"/>
              <w:ind w:left="-20" w:right="-20"/>
              <w:jc w:val="both"/>
            </w:pPr>
            <w:r w:rsidRPr="73F31BAE">
              <w:rPr>
                <w:rFonts w:ascii="Arial" w:eastAsia="Arial" w:hAnsi="Arial" w:cs="Arial"/>
                <w:color w:val="000000" w:themeColor="text1"/>
              </w:rPr>
              <w:t xml:space="preserve">-214.1926 </w:t>
            </w:r>
          </w:p>
          <w:p w14:paraId="139EA594" w14:textId="3F7FAAAF" w:rsidR="73F31BAE" w:rsidRDefault="73F31BAE" w:rsidP="73F31BAE">
            <w:pPr>
              <w:spacing w:line="360" w:lineRule="auto"/>
              <w:ind w:left="-20" w:right="-20"/>
              <w:jc w:val="both"/>
            </w:pPr>
            <w:r w:rsidRPr="73F31BAE">
              <w:rPr>
                <w:rFonts w:ascii="Arial" w:eastAsia="Arial" w:hAnsi="Arial" w:cs="Arial"/>
                <w:color w:val="000000" w:themeColor="text1"/>
              </w:rPr>
              <w:t xml:space="preserve">234.1258 </w:t>
            </w:r>
          </w:p>
          <w:p w14:paraId="7B9EDD47" w14:textId="22AB041E" w:rsidR="73F31BAE" w:rsidRDefault="73F31BAE" w:rsidP="73F31BAE">
            <w:pPr>
              <w:spacing w:line="360" w:lineRule="auto"/>
              <w:ind w:left="-20" w:right="-20"/>
              <w:jc w:val="both"/>
            </w:pPr>
            <w:r w:rsidRPr="73F31BAE">
              <w:rPr>
                <w:rFonts w:ascii="Arial" w:eastAsia="Arial" w:hAnsi="Arial" w:cs="Arial"/>
                <w:color w:val="000000" w:themeColor="text1"/>
              </w:rPr>
              <w:t xml:space="preserve">64.264 </w:t>
            </w:r>
          </w:p>
          <w:p w14:paraId="026A033D" w14:textId="6FAC9A3A" w:rsidR="73F31BAE" w:rsidRDefault="73F31BAE" w:rsidP="73F31BAE">
            <w:pPr>
              <w:spacing w:line="360" w:lineRule="auto"/>
              <w:ind w:left="-20" w:right="-20"/>
              <w:jc w:val="both"/>
            </w:pPr>
            <w:r w:rsidRPr="73F31BAE">
              <w:rPr>
                <w:rFonts w:ascii="Arial" w:eastAsia="Arial" w:hAnsi="Arial" w:cs="Arial"/>
                <w:color w:val="000000" w:themeColor="text1"/>
              </w:rPr>
              <w:t xml:space="preserve">1250.6566 </w:t>
            </w:r>
          </w:p>
        </w:tc>
      </w:tr>
      <w:tr w:rsidR="73F31BAE" w14:paraId="2C8296DD" w14:textId="77777777" w:rsidTr="73F31BAE">
        <w:trPr>
          <w:trHeight w:val="300"/>
        </w:trPr>
        <w:tc>
          <w:tcPr>
            <w:tcW w:w="23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19E5D99D" w14:textId="632EB69F" w:rsidR="73F31BAE" w:rsidRDefault="73F31BAE" w:rsidP="73F31BAE">
            <w:pPr>
              <w:spacing w:line="360" w:lineRule="auto"/>
              <w:ind w:left="-20" w:right="-20"/>
              <w:jc w:val="both"/>
            </w:pPr>
            <w:r w:rsidRPr="73F31BAE">
              <w:rPr>
                <w:rFonts w:ascii="Arial" w:eastAsia="Arial" w:hAnsi="Arial" w:cs="Arial"/>
                <w:color w:val="000000" w:themeColor="text1"/>
              </w:rPr>
              <w:t>0</w:t>
            </w:r>
          </w:p>
        </w:tc>
        <w:tc>
          <w:tcPr>
            <w:tcW w:w="23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3243C469" w14:textId="3D3FBF31" w:rsidR="73F31BAE" w:rsidRDefault="73F31BAE" w:rsidP="73F31BAE">
            <w:pPr>
              <w:spacing w:line="360" w:lineRule="auto"/>
              <w:ind w:left="-20" w:right="-20"/>
              <w:jc w:val="both"/>
            </w:pPr>
            <w:r w:rsidRPr="73F31BAE">
              <w:rPr>
                <w:rFonts w:ascii="Arial" w:eastAsia="Arial" w:hAnsi="Arial" w:cs="Arial"/>
                <w:color w:val="000000" w:themeColor="text1"/>
              </w:rPr>
              <w:t>0</w:t>
            </w:r>
          </w:p>
        </w:tc>
        <w:tc>
          <w:tcPr>
            <w:tcW w:w="23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2E403021" w14:textId="11894465" w:rsidR="73F31BAE" w:rsidRDefault="73F31BAE" w:rsidP="73F31BAE">
            <w:pPr>
              <w:spacing w:line="360" w:lineRule="auto"/>
              <w:ind w:left="-20" w:right="-20"/>
              <w:jc w:val="both"/>
            </w:pPr>
            <w:r w:rsidRPr="73F31BAE">
              <w:rPr>
                <w:rFonts w:ascii="Arial" w:eastAsia="Arial" w:hAnsi="Arial" w:cs="Arial"/>
                <w:b/>
                <w:bCs/>
                <w:color w:val="000000" w:themeColor="text1"/>
              </w:rPr>
              <w:t>39.476</w:t>
            </w:r>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SS</w:t>
            </w:r>
            <w:r w:rsidRPr="73F31BAE">
              <w:rPr>
                <w:rFonts w:ascii="Arial" w:eastAsia="Arial" w:hAnsi="Arial" w:cs="Arial"/>
                <w:color w:val="000000" w:themeColor="text1"/>
                <w:vertAlign w:val="subscript"/>
              </w:rPr>
              <w:t>x</w:t>
            </w:r>
            <w:proofErr w:type="spellEnd"/>
            <w:r w:rsidRPr="73F31BAE">
              <w:rPr>
                <w:rFonts w:ascii="Arial" w:eastAsia="Arial" w:hAnsi="Arial" w:cs="Arial"/>
                <w:color w:val="000000" w:themeColor="text1"/>
              </w:rPr>
              <w:t>)</w:t>
            </w:r>
          </w:p>
        </w:tc>
        <w:tc>
          <w:tcPr>
            <w:tcW w:w="23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center"/>
          </w:tcPr>
          <w:p w14:paraId="4E0A6925" w14:textId="6A600FF7" w:rsidR="73F31BAE" w:rsidRDefault="73F31BAE" w:rsidP="73F31BAE">
            <w:pPr>
              <w:spacing w:line="360" w:lineRule="auto"/>
              <w:ind w:left="-20" w:right="-20"/>
              <w:jc w:val="both"/>
            </w:pPr>
            <w:r w:rsidRPr="73F31BAE">
              <w:rPr>
                <w:rFonts w:ascii="Arial" w:eastAsia="Arial" w:hAnsi="Arial" w:cs="Arial"/>
                <w:b/>
                <w:bCs/>
                <w:color w:val="000000" w:themeColor="text1"/>
              </w:rPr>
              <w:t>2459.6054</w:t>
            </w:r>
            <w:r w:rsidRPr="73F31BAE">
              <w:rPr>
                <w:rFonts w:ascii="Arial" w:eastAsia="Arial" w:hAnsi="Arial" w:cs="Arial"/>
                <w:color w:val="000000" w:themeColor="text1"/>
              </w:rPr>
              <w:t xml:space="preserve"> (</w:t>
            </w:r>
            <w:proofErr w:type="spellStart"/>
            <w:r w:rsidRPr="73F31BAE">
              <w:rPr>
                <w:rFonts w:ascii="Arial" w:eastAsia="Arial" w:hAnsi="Arial" w:cs="Arial"/>
                <w:color w:val="000000" w:themeColor="text1"/>
              </w:rPr>
              <w:t>SP</w:t>
            </w:r>
            <w:r w:rsidRPr="73F31BAE">
              <w:rPr>
                <w:rFonts w:ascii="Arial" w:eastAsia="Arial" w:hAnsi="Arial" w:cs="Arial"/>
                <w:color w:val="000000" w:themeColor="text1"/>
                <w:vertAlign w:val="subscript"/>
              </w:rPr>
              <w:t>xy</w:t>
            </w:r>
            <w:proofErr w:type="spellEnd"/>
            <w:r w:rsidRPr="73F31BAE">
              <w:rPr>
                <w:rFonts w:ascii="Arial" w:eastAsia="Arial" w:hAnsi="Arial" w:cs="Arial"/>
                <w:color w:val="000000" w:themeColor="text1"/>
              </w:rPr>
              <w:t>)</w:t>
            </w:r>
          </w:p>
        </w:tc>
      </w:tr>
    </w:tbl>
    <w:p w14:paraId="29CE64CB" w14:textId="4A53913B" w:rsidR="73F31BAE" w:rsidRDefault="73F31BAE" w:rsidP="73F31BAE">
      <w:pPr>
        <w:jc w:val="both"/>
      </w:pPr>
    </w:p>
    <w:p w14:paraId="3A0CBA74" w14:textId="105FB4FC" w:rsidR="598BDC65" w:rsidRDefault="598BDC65" w:rsidP="73F31BAE">
      <w:r w:rsidRPr="73F31BAE">
        <w:rPr>
          <w:rFonts w:ascii="Arial" w:eastAsia="Arial" w:hAnsi="Arial" w:cs="Arial"/>
          <w:color w:val="000000" w:themeColor="text1"/>
        </w:rPr>
        <w:t>Y and X relationship</w:t>
      </w:r>
    </w:p>
    <w:p w14:paraId="2787D287" w14:textId="7ABB29A9" w:rsidR="598BDC65" w:rsidRDefault="598BDC65" w:rsidP="73F31BAE">
      <w:r w:rsidRPr="73F31BAE">
        <w:rPr>
          <w:rFonts w:ascii="Symbol" w:eastAsia="Symbol" w:hAnsi="Symbol" w:cs="Symbol"/>
          <w:color w:val="000000" w:themeColor="text1"/>
        </w:rPr>
        <w:t>-</w:t>
      </w:r>
      <w:r w:rsidRPr="73F31BAE">
        <w:rPr>
          <w:rFonts w:ascii="Times New Roman" w:eastAsia="Times New Roman" w:hAnsi="Times New Roman" w:cs="Times New Roman"/>
          <w:color w:val="000000" w:themeColor="text1"/>
          <w:sz w:val="14"/>
          <w:szCs w:val="14"/>
        </w:rPr>
        <w:t xml:space="preserve">        </w:t>
      </w:r>
      <w:r w:rsidRPr="73F31BAE">
        <w:rPr>
          <w:rFonts w:ascii="Arial" w:eastAsia="Arial" w:hAnsi="Arial" w:cs="Arial"/>
          <w:color w:val="000000" w:themeColor="text1"/>
        </w:rPr>
        <w:t>R-Squared (R</w:t>
      </w:r>
      <w:r w:rsidRPr="73F31BAE">
        <w:rPr>
          <w:rFonts w:ascii="Arial" w:eastAsia="Arial" w:hAnsi="Arial" w:cs="Arial"/>
          <w:color w:val="000000" w:themeColor="text1"/>
          <w:vertAlign w:val="superscript"/>
        </w:rPr>
        <w:t>2</w:t>
      </w:r>
      <w:r w:rsidRPr="73F31BAE">
        <w:rPr>
          <w:rFonts w:ascii="Arial" w:eastAsia="Arial" w:hAnsi="Arial" w:cs="Arial"/>
          <w:color w:val="000000" w:themeColor="text1"/>
        </w:rPr>
        <w:t xml:space="preserve">) equals </w:t>
      </w:r>
      <w:r w:rsidRPr="73F31BAE">
        <w:rPr>
          <w:rFonts w:ascii="Arial" w:eastAsia="Arial" w:hAnsi="Arial" w:cs="Arial"/>
          <w:b/>
          <w:bCs/>
          <w:color w:val="000000" w:themeColor="text1"/>
        </w:rPr>
        <w:t>0.1863.</w:t>
      </w:r>
      <w:r w:rsidRPr="73F31BAE">
        <w:rPr>
          <w:rFonts w:ascii="Arial" w:eastAsia="Arial" w:hAnsi="Arial" w:cs="Arial"/>
          <w:color w:val="000000" w:themeColor="text1"/>
        </w:rPr>
        <w:t xml:space="preserve"> This means that 18.6% of the variability of Y is explained by X. A low R-squared indicates that the model may not be a good fit for the data.</w:t>
      </w:r>
    </w:p>
    <w:p w14:paraId="6D699545" w14:textId="571B0C7A" w:rsidR="598BDC65" w:rsidRDefault="598BDC65" w:rsidP="73F31BAE">
      <w:r w:rsidRPr="73F31BAE">
        <w:rPr>
          <w:rFonts w:ascii="Symbol" w:eastAsia="Symbol" w:hAnsi="Symbol" w:cs="Symbol"/>
          <w:color w:val="000000" w:themeColor="text1"/>
        </w:rPr>
        <w:t>-</w:t>
      </w:r>
      <w:r w:rsidRPr="73F31BAE">
        <w:rPr>
          <w:rFonts w:ascii="Times New Roman" w:eastAsia="Times New Roman" w:hAnsi="Times New Roman" w:cs="Times New Roman"/>
          <w:color w:val="000000" w:themeColor="text1"/>
          <w:sz w:val="14"/>
          <w:szCs w:val="14"/>
        </w:rPr>
        <w:t xml:space="preserve">        </w:t>
      </w:r>
      <w:r w:rsidRPr="73F31BAE">
        <w:rPr>
          <w:rFonts w:ascii="Arial" w:eastAsia="Arial" w:hAnsi="Arial" w:cs="Arial"/>
          <w:color w:val="000000" w:themeColor="text1"/>
        </w:rPr>
        <w:t xml:space="preserve">Correlation (R) equals </w:t>
      </w:r>
      <w:r w:rsidRPr="73F31BAE">
        <w:rPr>
          <w:rFonts w:ascii="Arial" w:eastAsia="Arial" w:hAnsi="Arial" w:cs="Arial"/>
          <w:b/>
          <w:bCs/>
          <w:color w:val="000000" w:themeColor="text1"/>
        </w:rPr>
        <w:t>0.4317</w:t>
      </w:r>
      <w:r w:rsidRPr="73F31BAE">
        <w:rPr>
          <w:rFonts w:ascii="Arial" w:eastAsia="Arial" w:hAnsi="Arial" w:cs="Arial"/>
          <w:color w:val="000000" w:themeColor="text1"/>
        </w:rPr>
        <w:t xml:space="preserve">. This means that there is a </w:t>
      </w:r>
      <w:r w:rsidRPr="73F31BAE">
        <w:rPr>
          <w:rFonts w:ascii="Arial" w:eastAsia="Arial" w:hAnsi="Arial" w:cs="Arial"/>
          <w:b/>
          <w:bCs/>
          <w:color w:val="000000" w:themeColor="text1"/>
        </w:rPr>
        <w:t>moderate direct relationship</w:t>
      </w:r>
      <w:r w:rsidRPr="73F31BAE">
        <w:rPr>
          <w:rFonts w:ascii="Arial" w:eastAsia="Arial" w:hAnsi="Arial" w:cs="Arial"/>
          <w:color w:val="000000" w:themeColor="text1"/>
        </w:rPr>
        <w:t xml:space="preserve"> between X and Y.</w:t>
      </w:r>
    </w:p>
    <w:p w14:paraId="41CBE530" w14:textId="2F1AE870" w:rsidR="598BDC65" w:rsidRDefault="598BDC65" w:rsidP="73F31BAE">
      <w:pPr>
        <w:jc w:val="both"/>
      </w:pPr>
      <w:r w:rsidRPr="73F31BAE">
        <w:rPr>
          <w:rFonts w:ascii="Symbol" w:eastAsia="Symbol" w:hAnsi="Symbol" w:cs="Symbol"/>
          <w:color w:val="000000" w:themeColor="text1"/>
        </w:rPr>
        <w:t>-</w:t>
      </w:r>
      <w:r w:rsidRPr="73F31BAE">
        <w:rPr>
          <w:rFonts w:ascii="Times New Roman" w:eastAsia="Times New Roman" w:hAnsi="Times New Roman" w:cs="Times New Roman"/>
          <w:color w:val="000000" w:themeColor="text1"/>
          <w:sz w:val="14"/>
          <w:szCs w:val="14"/>
        </w:rPr>
        <w:t xml:space="preserve">        </w:t>
      </w:r>
      <w:r w:rsidRPr="73F31BAE">
        <w:rPr>
          <w:rFonts w:ascii="Arial" w:eastAsia="Arial" w:hAnsi="Arial" w:cs="Arial"/>
          <w:color w:val="000000" w:themeColor="text1"/>
        </w:rPr>
        <w:t>The Standard deviation of the residuals (</w:t>
      </w:r>
      <w:proofErr w:type="spellStart"/>
      <w:r w:rsidRPr="73F31BAE">
        <w:rPr>
          <w:rFonts w:ascii="Arial" w:eastAsia="Arial" w:hAnsi="Arial" w:cs="Arial"/>
          <w:color w:val="000000" w:themeColor="text1"/>
        </w:rPr>
        <w:t>s</w:t>
      </w:r>
      <w:r w:rsidRPr="73F31BAE">
        <w:rPr>
          <w:rFonts w:ascii="Arial" w:eastAsia="Arial" w:hAnsi="Arial" w:cs="Arial"/>
          <w:color w:val="000000" w:themeColor="text1"/>
          <w:sz w:val="16"/>
          <w:szCs w:val="16"/>
        </w:rPr>
        <w:t>res</w:t>
      </w:r>
      <w:proofErr w:type="spellEnd"/>
      <w:r w:rsidRPr="73F31BAE">
        <w:rPr>
          <w:rFonts w:ascii="Arial" w:eastAsia="Arial" w:hAnsi="Arial" w:cs="Arial"/>
          <w:color w:val="000000" w:themeColor="text1"/>
        </w:rPr>
        <w:t xml:space="preserve">) = </w:t>
      </w:r>
      <w:r w:rsidRPr="73F31BAE">
        <w:rPr>
          <w:rFonts w:ascii="Arial" w:eastAsia="Arial" w:hAnsi="Arial" w:cs="Arial"/>
          <w:b/>
          <w:bCs/>
          <w:color w:val="000000" w:themeColor="text1"/>
        </w:rPr>
        <w:t>289.2232</w:t>
      </w:r>
      <w:r w:rsidRPr="73F31BAE">
        <w:rPr>
          <w:rFonts w:ascii="Arial" w:eastAsia="Arial" w:hAnsi="Arial" w:cs="Arial"/>
          <w:color w:val="000000" w:themeColor="text1"/>
        </w:rPr>
        <w:t>.</w:t>
      </w:r>
    </w:p>
    <w:p w14:paraId="53990D91" w14:textId="53C36166" w:rsidR="598BDC65" w:rsidRDefault="598BDC65" w:rsidP="73F31BAE">
      <w:pPr>
        <w:jc w:val="both"/>
      </w:pPr>
      <w:r w:rsidRPr="73F31BAE">
        <w:rPr>
          <w:rFonts w:ascii="Symbol" w:eastAsia="Symbol" w:hAnsi="Symbol" w:cs="Symbol"/>
          <w:color w:val="000000" w:themeColor="text1"/>
        </w:rPr>
        <w:t>-</w:t>
      </w:r>
      <w:r w:rsidRPr="73F31BAE">
        <w:rPr>
          <w:rFonts w:ascii="Times New Roman" w:eastAsia="Times New Roman" w:hAnsi="Times New Roman" w:cs="Times New Roman"/>
          <w:color w:val="000000" w:themeColor="text1"/>
          <w:sz w:val="14"/>
          <w:szCs w:val="14"/>
        </w:rPr>
        <w:t xml:space="preserve">        </w:t>
      </w:r>
      <w:r w:rsidRPr="73F31BAE">
        <w:rPr>
          <w:rFonts w:ascii="Arial" w:eastAsia="Arial" w:hAnsi="Arial" w:cs="Arial"/>
          <w:color w:val="000000" w:themeColor="text1"/>
        </w:rPr>
        <w:t>The slope: b₁=</w:t>
      </w:r>
      <w:r w:rsidRPr="73F31BAE">
        <w:rPr>
          <w:rFonts w:ascii="Arial" w:eastAsia="Arial" w:hAnsi="Arial" w:cs="Arial"/>
          <w:b/>
          <w:bCs/>
          <w:color w:val="000000" w:themeColor="text1"/>
        </w:rPr>
        <w:t>62.3063</w:t>
      </w:r>
      <w:r w:rsidRPr="73F31BAE">
        <w:rPr>
          <w:rFonts w:ascii="Arial" w:eastAsia="Arial" w:hAnsi="Arial" w:cs="Arial"/>
          <w:color w:val="000000" w:themeColor="text1"/>
        </w:rPr>
        <w:t xml:space="preserve"> CI [-43.8453, 168.458] means that when it increases X by 1, the value of Y increases by 62.3063.</w:t>
      </w:r>
    </w:p>
    <w:p w14:paraId="15C0BCD4" w14:textId="56F385C9" w:rsidR="598BDC65" w:rsidRDefault="598BDC65" w:rsidP="73F31BAE">
      <w:pPr>
        <w:jc w:val="both"/>
      </w:pPr>
      <w:r w:rsidRPr="73F31BAE">
        <w:rPr>
          <w:rFonts w:ascii="Symbol" w:eastAsia="Symbol" w:hAnsi="Symbol" w:cs="Symbol"/>
          <w:color w:val="000000" w:themeColor="text1"/>
        </w:rPr>
        <w:t>-</w:t>
      </w:r>
      <w:r w:rsidRPr="73F31BAE">
        <w:rPr>
          <w:rFonts w:ascii="Times New Roman" w:eastAsia="Times New Roman" w:hAnsi="Times New Roman" w:cs="Times New Roman"/>
          <w:color w:val="000000" w:themeColor="text1"/>
          <w:sz w:val="14"/>
          <w:szCs w:val="14"/>
        </w:rPr>
        <w:t xml:space="preserve">        </w:t>
      </w:r>
      <w:r w:rsidRPr="73F31BAE">
        <w:rPr>
          <w:rFonts w:ascii="Arial" w:eastAsia="Arial" w:hAnsi="Arial" w:cs="Arial"/>
          <w:color w:val="000000" w:themeColor="text1"/>
        </w:rPr>
        <w:t>The y-intercept: b₀=</w:t>
      </w:r>
      <w:r w:rsidRPr="73F31BAE">
        <w:rPr>
          <w:rFonts w:ascii="Arial" w:eastAsia="Arial" w:hAnsi="Arial" w:cs="Arial"/>
          <w:b/>
          <w:bCs/>
          <w:color w:val="000000" w:themeColor="text1"/>
        </w:rPr>
        <w:t>3706.4473</w:t>
      </w:r>
      <w:r w:rsidRPr="73F31BAE">
        <w:rPr>
          <w:rFonts w:ascii="Arial" w:eastAsia="Arial" w:hAnsi="Arial" w:cs="Arial"/>
          <w:color w:val="000000" w:themeColor="text1"/>
        </w:rPr>
        <w:t xml:space="preserve"> CI [3382.2066, 4030.6879] means that when X equals 0, the prediction of Y's value is 3706.4473.</w:t>
      </w:r>
      <w:r>
        <w:br/>
      </w:r>
      <w:r w:rsidRPr="73F31BAE">
        <w:rPr>
          <w:rFonts w:ascii="Arial" w:eastAsia="Arial" w:hAnsi="Arial" w:cs="Arial"/>
        </w:rPr>
        <w:t xml:space="preserve"> </w:t>
      </w:r>
      <w:r w:rsidRPr="73F31BAE">
        <w:rPr>
          <w:rFonts w:ascii="Arial" w:eastAsia="Arial" w:hAnsi="Arial" w:cs="Arial"/>
          <w:color w:val="000000" w:themeColor="text1"/>
        </w:rPr>
        <w:t>The x-intercept equals -59.4875.</w:t>
      </w:r>
    </w:p>
    <w:p w14:paraId="75FE858B" w14:textId="3750D42D" w:rsidR="598BDC65" w:rsidRDefault="598BDC65" w:rsidP="73F31BAE">
      <w:r w:rsidRPr="73F31BAE">
        <w:rPr>
          <w:rFonts w:ascii="Arial" w:eastAsia="Arial" w:hAnsi="Arial" w:cs="Arial"/>
          <w:color w:val="000000" w:themeColor="text1"/>
        </w:rPr>
        <w:t>Goodness of fit</w:t>
      </w:r>
    </w:p>
    <w:p w14:paraId="6F583C3A" w14:textId="47E9F71A" w:rsidR="598BDC65" w:rsidRDefault="598BDC65" w:rsidP="73F31BAE">
      <w:r w:rsidRPr="73F31BAE">
        <w:rPr>
          <w:rFonts w:ascii="Arial" w:eastAsia="Arial" w:hAnsi="Arial" w:cs="Arial"/>
          <w:color w:val="000000" w:themeColor="text1"/>
        </w:rPr>
        <w:t>Overall regression: right-tailed, F (1,8) = 1.832, p-value = 0.2129. Since p-value ≥ α (0.05).</w:t>
      </w:r>
    </w:p>
    <w:p w14:paraId="605FB584" w14:textId="1AC535E2" w:rsidR="598BDC65" w:rsidRDefault="598BDC65" w:rsidP="73F31BAE">
      <w:pPr>
        <w:rPr>
          <w:rFonts w:ascii="Arial" w:eastAsia="Arial" w:hAnsi="Arial" w:cs="Arial"/>
          <w:b/>
          <w:bCs/>
        </w:rPr>
      </w:pPr>
      <w:bookmarkStart w:id="6" w:name="_Int_GpPeILHx"/>
      <w:r w:rsidRPr="73F31BAE">
        <w:rPr>
          <w:rFonts w:ascii="Arial" w:eastAsia="Arial" w:hAnsi="Arial" w:cs="Arial"/>
          <w:color w:val="000000" w:themeColor="text1"/>
        </w:rPr>
        <w:t>The linear regression model, Y = b0+ b1X + ε, does not provide a better fit than the model without the independent variable resulting in Y = b0 + ε.</w:t>
      </w:r>
      <w:bookmarkEnd w:id="6"/>
    </w:p>
    <w:p w14:paraId="43291D40" w14:textId="291D0142" w:rsidR="598BDC65" w:rsidRDefault="598BDC65" w:rsidP="73F31BAE">
      <w:r w:rsidRPr="73F31BAE">
        <w:rPr>
          <w:rFonts w:ascii="Arial" w:eastAsia="Arial" w:hAnsi="Arial" w:cs="Arial"/>
          <w:color w:val="000000" w:themeColor="text1"/>
        </w:rPr>
        <w:t>The slope (b₁): two-tailed, T (8) =1.3535, p-value = 0.2129. For one predictor it is the same as the p-value for the overall model.</w:t>
      </w:r>
    </w:p>
    <w:p w14:paraId="0199FED6" w14:textId="63FC98EE" w:rsidR="598BDC65" w:rsidRDefault="598BDC65" w:rsidP="73F31BAE">
      <w:r w:rsidRPr="73F31BAE">
        <w:rPr>
          <w:rFonts w:ascii="Arial" w:eastAsia="Arial" w:hAnsi="Arial" w:cs="Arial"/>
          <w:color w:val="000000" w:themeColor="text1"/>
        </w:rPr>
        <w:lastRenderedPageBreak/>
        <w:t>The y-intercept (b₀): two-tailed, T (8) = 26.3603, p-value = 4.61e-9. Hence, b₀ is significantly different from zero.</w:t>
      </w:r>
    </w:p>
    <w:p w14:paraId="509972BC" w14:textId="5AE68431" w:rsidR="598BDC65" w:rsidRDefault="598BDC65" w:rsidP="73F31BAE">
      <w:r w:rsidRPr="73F31BAE">
        <w:rPr>
          <w:rFonts w:ascii="Arial" w:eastAsia="Arial" w:hAnsi="Arial" w:cs="Arial"/>
          <w:color w:val="000000" w:themeColor="text1"/>
        </w:rPr>
        <w:t>Residual normality</w:t>
      </w:r>
    </w:p>
    <w:p w14:paraId="175868CB" w14:textId="124763FB" w:rsidR="598BDC65" w:rsidRDefault="598BDC65" w:rsidP="73F31BAE">
      <w:pPr>
        <w:ind w:left="-20" w:right="-20" w:hanging="360"/>
      </w:pPr>
      <w:r w:rsidRPr="73F31BAE">
        <w:rPr>
          <w:rFonts w:ascii="Symbol" w:eastAsia="Symbol" w:hAnsi="Symbol" w:cs="Symbol"/>
          <w:color w:val="000000" w:themeColor="text1"/>
        </w:rPr>
        <w:t>-</w:t>
      </w:r>
      <w:r w:rsidRPr="73F31BAE">
        <w:rPr>
          <w:rFonts w:ascii="Times New Roman" w:eastAsia="Times New Roman" w:hAnsi="Times New Roman" w:cs="Times New Roman"/>
          <w:color w:val="000000" w:themeColor="text1"/>
          <w:sz w:val="14"/>
          <w:szCs w:val="14"/>
        </w:rPr>
        <w:t xml:space="preserve">        </w:t>
      </w:r>
      <w:r w:rsidRPr="73F31BAE">
        <w:rPr>
          <w:rFonts w:ascii="Arial" w:eastAsia="Arial" w:hAnsi="Arial" w:cs="Arial"/>
          <w:color w:val="000000" w:themeColor="text1"/>
        </w:rPr>
        <w:t xml:space="preserve">The linear regression model assumes normality for residual errors. The Shapiro-Wilk p-value equals </w:t>
      </w:r>
      <w:r w:rsidRPr="73F31BAE">
        <w:rPr>
          <w:rFonts w:ascii="Arial" w:eastAsia="Arial" w:hAnsi="Arial" w:cs="Arial"/>
          <w:b/>
          <w:bCs/>
          <w:color w:val="000000" w:themeColor="text1"/>
        </w:rPr>
        <w:t>0.04902</w:t>
      </w:r>
      <w:r w:rsidRPr="73F31BAE">
        <w:rPr>
          <w:rFonts w:ascii="Arial" w:eastAsia="Arial" w:hAnsi="Arial" w:cs="Arial"/>
          <w:color w:val="000000" w:themeColor="text1"/>
        </w:rPr>
        <w:t>.</w:t>
      </w:r>
    </w:p>
    <w:p w14:paraId="1A582460" w14:textId="6FBB2989" w:rsidR="73F31BAE" w:rsidRDefault="73F31BAE" w:rsidP="73F31BAE">
      <w:pPr>
        <w:ind w:right="-20"/>
        <w:rPr>
          <w:rFonts w:ascii="Arial" w:eastAsia="Arial" w:hAnsi="Arial" w:cs="Arial"/>
          <w:b/>
          <w:bCs/>
        </w:rPr>
      </w:pPr>
    </w:p>
    <w:p w14:paraId="17AB53DC" w14:textId="0872F2E7" w:rsidR="73F31BAE" w:rsidRDefault="73F31BAE" w:rsidP="73F31BAE">
      <w:pPr>
        <w:ind w:right="-20"/>
        <w:rPr>
          <w:rFonts w:ascii="Arial" w:eastAsia="Arial" w:hAnsi="Arial" w:cs="Arial"/>
          <w:b/>
          <w:bCs/>
        </w:rPr>
      </w:pPr>
    </w:p>
    <w:p w14:paraId="674EED24" w14:textId="17E040E7" w:rsidR="73F31BAE" w:rsidRDefault="73F31BAE" w:rsidP="73F31BAE">
      <w:pPr>
        <w:ind w:right="-20"/>
        <w:rPr>
          <w:rFonts w:ascii="Arial" w:eastAsia="Arial" w:hAnsi="Arial" w:cs="Arial"/>
          <w:b/>
          <w:bCs/>
        </w:rPr>
      </w:pPr>
    </w:p>
    <w:p w14:paraId="18939574" w14:textId="50EA1327" w:rsidR="73F31BAE" w:rsidRDefault="73F31BAE" w:rsidP="73F31BAE">
      <w:pPr>
        <w:ind w:right="-20"/>
        <w:rPr>
          <w:rFonts w:ascii="Arial" w:eastAsia="Arial" w:hAnsi="Arial" w:cs="Arial"/>
          <w:b/>
          <w:bCs/>
        </w:rPr>
      </w:pPr>
    </w:p>
    <w:sectPr w:rsidR="73F31BAE">
      <w:headerReference w:type="default" r:id="rId67"/>
      <w:footerReference w:type="default" r:id="rId6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847CF" w14:textId="77777777" w:rsidR="005743D4" w:rsidRDefault="005743D4">
      <w:pPr>
        <w:spacing w:after="0" w:line="240" w:lineRule="auto"/>
      </w:pPr>
      <w:r>
        <w:separator/>
      </w:r>
    </w:p>
  </w:endnote>
  <w:endnote w:type="continuationSeparator" w:id="0">
    <w:p w14:paraId="358898E2" w14:textId="77777777" w:rsidR="005743D4" w:rsidRDefault="00574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3F31BAE" w14:paraId="7D7B46D0" w14:textId="77777777" w:rsidTr="73F31BAE">
      <w:trPr>
        <w:trHeight w:val="300"/>
      </w:trPr>
      <w:tc>
        <w:tcPr>
          <w:tcW w:w="3120" w:type="dxa"/>
        </w:tcPr>
        <w:p w14:paraId="6CC5A270" w14:textId="71E6AAC0" w:rsidR="73F31BAE" w:rsidRDefault="73F31BAE" w:rsidP="73F31BAE">
          <w:pPr>
            <w:pStyle w:val="Header"/>
            <w:ind w:left="-115"/>
          </w:pPr>
        </w:p>
      </w:tc>
      <w:tc>
        <w:tcPr>
          <w:tcW w:w="3120" w:type="dxa"/>
        </w:tcPr>
        <w:p w14:paraId="5733EA65" w14:textId="69AB7433" w:rsidR="73F31BAE" w:rsidRDefault="73F31BAE" w:rsidP="73F31BAE">
          <w:pPr>
            <w:pStyle w:val="Header"/>
            <w:jc w:val="center"/>
          </w:pPr>
        </w:p>
      </w:tc>
      <w:tc>
        <w:tcPr>
          <w:tcW w:w="3120" w:type="dxa"/>
        </w:tcPr>
        <w:p w14:paraId="63071767" w14:textId="12F11ECB" w:rsidR="73F31BAE" w:rsidRDefault="73F31BAE" w:rsidP="73F31BAE">
          <w:pPr>
            <w:pStyle w:val="Header"/>
            <w:ind w:right="-115"/>
            <w:jc w:val="right"/>
          </w:pPr>
          <w:r>
            <w:fldChar w:fldCharType="begin"/>
          </w:r>
          <w:r>
            <w:instrText>PAGE</w:instrText>
          </w:r>
          <w:r w:rsidR="00000000">
            <w:fldChar w:fldCharType="separate"/>
          </w:r>
          <w:r w:rsidR="00D62726">
            <w:rPr>
              <w:noProof/>
            </w:rPr>
            <w:t>1</w:t>
          </w:r>
          <w:r>
            <w:fldChar w:fldCharType="end"/>
          </w:r>
        </w:p>
      </w:tc>
    </w:tr>
  </w:tbl>
  <w:p w14:paraId="3B8B9C18" w14:textId="43397084" w:rsidR="73F31BAE" w:rsidRDefault="73F31BAE" w:rsidP="73F31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2336B" w14:textId="77777777" w:rsidR="005743D4" w:rsidRDefault="005743D4">
      <w:pPr>
        <w:spacing w:after="0" w:line="240" w:lineRule="auto"/>
      </w:pPr>
      <w:r>
        <w:separator/>
      </w:r>
    </w:p>
  </w:footnote>
  <w:footnote w:type="continuationSeparator" w:id="0">
    <w:p w14:paraId="18AD0B13" w14:textId="77777777" w:rsidR="005743D4" w:rsidRDefault="005743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3F31BAE" w14:paraId="7ED91CA3" w14:textId="77777777" w:rsidTr="73F31BAE">
      <w:trPr>
        <w:trHeight w:val="300"/>
      </w:trPr>
      <w:tc>
        <w:tcPr>
          <w:tcW w:w="3120" w:type="dxa"/>
        </w:tcPr>
        <w:p w14:paraId="405E6AA4" w14:textId="2CD5BB25" w:rsidR="73F31BAE" w:rsidRDefault="73F31BAE" w:rsidP="73F31BAE">
          <w:pPr>
            <w:pStyle w:val="Header"/>
            <w:ind w:left="-115"/>
          </w:pPr>
        </w:p>
      </w:tc>
      <w:tc>
        <w:tcPr>
          <w:tcW w:w="3120" w:type="dxa"/>
        </w:tcPr>
        <w:p w14:paraId="5AFC2F08" w14:textId="04471457" w:rsidR="73F31BAE" w:rsidRDefault="73F31BAE" w:rsidP="73F31BAE">
          <w:pPr>
            <w:pStyle w:val="Header"/>
            <w:jc w:val="center"/>
          </w:pPr>
        </w:p>
      </w:tc>
      <w:tc>
        <w:tcPr>
          <w:tcW w:w="3120" w:type="dxa"/>
        </w:tcPr>
        <w:p w14:paraId="12961E16" w14:textId="60EB12DC" w:rsidR="73F31BAE" w:rsidRDefault="73F31BAE" w:rsidP="73F31BAE">
          <w:pPr>
            <w:pStyle w:val="Header"/>
            <w:ind w:right="-115"/>
            <w:jc w:val="right"/>
          </w:pPr>
        </w:p>
      </w:tc>
    </w:tr>
  </w:tbl>
  <w:p w14:paraId="3BE3E5F9" w14:textId="3C976942" w:rsidR="73F31BAE" w:rsidRDefault="73F31BAE" w:rsidP="73F31BAE">
    <w:pPr>
      <w:pStyle w:val="Header"/>
    </w:pPr>
  </w:p>
</w:hdr>
</file>

<file path=word/intelligence2.xml><?xml version="1.0" encoding="utf-8"?>
<int2:intelligence xmlns:int2="http://schemas.microsoft.com/office/intelligence/2020/intelligence" xmlns:oel="http://schemas.microsoft.com/office/2019/extlst">
  <int2:observations>
    <int2:textHash int2:hashCode="TFoCTsEmu5LDge" int2:id="G5slLiTP">
      <int2:state int2:value="Rejected" int2:type="AugLoop_Text_Critique"/>
    </int2:textHash>
    <int2:textHash int2:hashCode="fHawQYhsLXLHzM" int2:id="Z72FA5ea">
      <int2:state int2:value="Rejected" int2:type="AugLoop_Text_Critique"/>
    </int2:textHash>
    <int2:textHash int2:hashCode="v0g0rwWymL3UJr" int2:id="PiFiT0v1">
      <int2:state int2:value="Rejected" int2:type="AugLoop_Text_Critique"/>
    </int2:textHash>
    <int2:bookmark int2:bookmarkName="_Int_Jk94mPoa" int2:invalidationBookmarkName="" int2:hashCode="CQadr30h7UjTr9" int2:id="G0BkeOCo">
      <int2:state int2:value="Rejected" int2:type="WordDesignerDefaultAnnotation"/>
    </int2:bookmark>
    <int2:bookmark int2:bookmarkName="_Int_GpPeILHx" int2:invalidationBookmarkName="" int2:hashCode="kUgUVWMsIKLdd4" int2:id="aTJAOSUS">
      <int2:state int2:value="Rejected" int2:type="WordDesignerDefaultAnnotation"/>
    </int2:bookmark>
    <int2:bookmark int2:bookmarkName="_Int_cqSheLAO" int2:invalidationBookmarkName="" int2:hashCode="AHC9KBiIxXnXR9" int2:id="DhYybnot">
      <int2:state int2:value="Rejected" int2:type="WordDesignerDefaultAnnotation"/>
    </int2:bookmark>
    <int2:bookmark int2:bookmarkName="_Int_Z08WIg7x" int2:invalidationBookmarkName="" int2:hashCode="rdGdeSzXKrFZP+" int2:id="g9Qu1j8T">
      <int2:state int2:value="Rejected" int2:type="WordDesignerDefaultAnnotation"/>
    </int2:bookmark>
    <int2:bookmark int2:bookmarkName="_Int_5yCzbXqs" int2:invalidationBookmarkName="" int2:hashCode="AT8KXzX2dmrxIo" int2:id="ZB6HoE7y">
      <int2:state int2:value="Rejected" int2:type="WordDesignerDefaultAnnotation"/>
    </int2:bookmark>
    <int2:bookmark int2:bookmarkName="_Int_2xBwj0N4" int2:invalidationBookmarkName="" int2:hashCode="1qjyC4ZBRuROjf" int2:id="rFcF5C3M">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AC1DD"/>
    <w:multiLevelType w:val="hybridMultilevel"/>
    <w:tmpl w:val="2FC05894"/>
    <w:lvl w:ilvl="0" w:tplc="7DF47CB4">
      <w:start w:val="3"/>
      <w:numFmt w:val="decimal"/>
      <w:lvlText w:val="%1."/>
      <w:lvlJc w:val="left"/>
      <w:pPr>
        <w:ind w:left="720" w:hanging="360"/>
      </w:pPr>
    </w:lvl>
    <w:lvl w:ilvl="1" w:tplc="7DC46EDA">
      <w:start w:val="1"/>
      <w:numFmt w:val="lowerLetter"/>
      <w:lvlText w:val="%2."/>
      <w:lvlJc w:val="left"/>
      <w:pPr>
        <w:ind w:left="1440" w:hanging="360"/>
      </w:pPr>
    </w:lvl>
    <w:lvl w:ilvl="2" w:tplc="0DFA9196">
      <w:start w:val="1"/>
      <w:numFmt w:val="lowerRoman"/>
      <w:lvlText w:val="%3."/>
      <w:lvlJc w:val="right"/>
      <w:pPr>
        <w:ind w:left="2160" w:hanging="180"/>
      </w:pPr>
    </w:lvl>
    <w:lvl w:ilvl="3" w:tplc="C82CD62A">
      <w:start w:val="1"/>
      <w:numFmt w:val="decimal"/>
      <w:lvlText w:val="%4."/>
      <w:lvlJc w:val="left"/>
      <w:pPr>
        <w:ind w:left="2880" w:hanging="360"/>
      </w:pPr>
    </w:lvl>
    <w:lvl w:ilvl="4" w:tplc="99606190">
      <w:start w:val="1"/>
      <w:numFmt w:val="lowerLetter"/>
      <w:lvlText w:val="%5."/>
      <w:lvlJc w:val="left"/>
      <w:pPr>
        <w:ind w:left="3600" w:hanging="360"/>
      </w:pPr>
    </w:lvl>
    <w:lvl w:ilvl="5" w:tplc="56C8BFA2">
      <w:start w:val="1"/>
      <w:numFmt w:val="lowerRoman"/>
      <w:lvlText w:val="%6."/>
      <w:lvlJc w:val="right"/>
      <w:pPr>
        <w:ind w:left="4320" w:hanging="180"/>
      </w:pPr>
    </w:lvl>
    <w:lvl w:ilvl="6" w:tplc="2BAEFF66">
      <w:start w:val="1"/>
      <w:numFmt w:val="decimal"/>
      <w:lvlText w:val="%7."/>
      <w:lvlJc w:val="left"/>
      <w:pPr>
        <w:ind w:left="5040" w:hanging="360"/>
      </w:pPr>
    </w:lvl>
    <w:lvl w:ilvl="7" w:tplc="8D3CD75E">
      <w:start w:val="1"/>
      <w:numFmt w:val="lowerLetter"/>
      <w:lvlText w:val="%8."/>
      <w:lvlJc w:val="left"/>
      <w:pPr>
        <w:ind w:left="5760" w:hanging="360"/>
      </w:pPr>
    </w:lvl>
    <w:lvl w:ilvl="8" w:tplc="A8928146">
      <w:start w:val="1"/>
      <w:numFmt w:val="lowerRoman"/>
      <w:lvlText w:val="%9."/>
      <w:lvlJc w:val="right"/>
      <w:pPr>
        <w:ind w:left="6480" w:hanging="180"/>
      </w:pPr>
    </w:lvl>
  </w:abstractNum>
  <w:abstractNum w:abstractNumId="1" w15:restartNumberingAfterBreak="0">
    <w:nsid w:val="0BE819CF"/>
    <w:multiLevelType w:val="hybridMultilevel"/>
    <w:tmpl w:val="77EC0E40"/>
    <w:lvl w:ilvl="0" w:tplc="0A92EEF4">
      <w:start w:val="1"/>
      <w:numFmt w:val="bullet"/>
      <w:lvlText w:val=""/>
      <w:lvlJc w:val="left"/>
      <w:pPr>
        <w:ind w:left="720" w:hanging="360"/>
      </w:pPr>
      <w:rPr>
        <w:rFonts w:ascii="Symbol" w:hAnsi="Symbol" w:hint="default"/>
      </w:rPr>
    </w:lvl>
    <w:lvl w:ilvl="1" w:tplc="CEF06682">
      <w:start w:val="1"/>
      <w:numFmt w:val="bullet"/>
      <w:lvlText w:val="o"/>
      <w:lvlJc w:val="left"/>
      <w:pPr>
        <w:ind w:left="1440" w:hanging="360"/>
      </w:pPr>
      <w:rPr>
        <w:rFonts w:ascii="Courier New" w:hAnsi="Courier New" w:hint="default"/>
      </w:rPr>
    </w:lvl>
    <w:lvl w:ilvl="2" w:tplc="EBE0AA70">
      <w:start w:val="1"/>
      <w:numFmt w:val="bullet"/>
      <w:lvlText w:val=""/>
      <w:lvlJc w:val="left"/>
      <w:pPr>
        <w:ind w:left="2160" w:hanging="360"/>
      </w:pPr>
      <w:rPr>
        <w:rFonts w:ascii="Wingdings" w:hAnsi="Wingdings" w:hint="default"/>
      </w:rPr>
    </w:lvl>
    <w:lvl w:ilvl="3" w:tplc="05607FB6">
      <w:start w:val="1"/>
      <w:numFmt w:val="bullet"/>
      <w:lvlText w:val=""/>
      <w:lvlJc w:val="left"/>
      <w:pPr>
        <w:ind w:left="2880" w:hanging="360"/>
      </w:pPr>
      <w:rPr>
        <w:rFonts w:ascii="Symbol" w:hAnsi="Symbol" w:hint="default"/>
      </w:rPr>
    </w:lvl>
    <w:lvl w:ilvl="4" w:tplc="F4724406">
      <w:start w:val="1"/>
      <w:numFmt w:val="bullet"/>
      <w:lvlText w:val="o"/>
      <w:lvlJc w:val="left"/>
      <w:pPr>
        <w:ind w:left="3600" w:hanging="360"/>
      </w:pPr>
      <w:rPr>
        <w:rFonts w:ascii="Courier New" w:hAnsi="Courier New" w:hint="default"/>
      </w:rPr>
    </w:lvl>
    <w:lvl w:ilvl="5" w:tplc="29F05F60">
      <w:start w:val="1"/>
      <w:numFmt w:val="bullet"/>
      <w:lvlText w:val=""/>
      <w:lvlJc w:val="left"/>
      <w:pPr>
        <w:ind w:left="4320" w:hanging="360"/>
      </w:pPr>
      <w:rPr>
        <w:rFonts w:ascii="Wingdings" w:hAnsi="Wingdings" w:hint="default"/>
      </w:rPr>
    </w:lvl>
    <w:lvl w:ilvl="6" w:tplc="8408D02C">
      <w:start w:val="1"/>
      <w:numFmt w:val="bullet"/>
      <w:lvlText w:val=""/>
      <w:lvlJc w:val="left"/>
      <w:pPr>
        <w:ind w:left="5040" w:hanging="360"/>
      </w:pPr>
      <w:rPr>
        <w:rFonts w:ascii="Symbol" w:hAnsi="Symbol" w:hint="default"/>
      </w:rPr>
    </w:lvl>
    <w:lvl w:ilvl="7" w:tplc="BD40BF3C">
      <w:start w:val="1"/>
      <w:numFmt w:val="bullet"/>
      <w:lvlText w:val="o"/>
      <w:lvlJc w:val="left"/>
      <w:pPr>
        <w:ind w:left="5760" w:hanging="360"/>
      </w:pPr>
      <w:rPr>
        <w:rFonts w:ascii="Courier New" w:hAnsi="Courier New" w:hint="default"/>
      </w:rPr>
    </w:lvl>
    <w:lvl w:ilvl="8" w:tplc="ED264CA4">
      <w:start w:val="1"/>
      <w:numFmt w:val="bullet"/>
      <w:lvlText w:val=""/>
      <w:lvlJc w:val="left"/>
      <w:pPr>
        <w:ind w:left="6480" w:hanging="360"/>
      </w:pPr>
      <w:rPr>
        <w:rFonts w:ascii="Wingdings" w:hAnsi="Wingdings" w:hint="default"/>
      </w:rPr>
    </w:lvl>
  </w:abstractNum>
  <w:abstractNum w:abstractNumId="2" w15:restartNumberingAfterBreak="0">
    <w:nsid w:val="0D85B7AF"/>
    <w:multiLevelType w:val="hybridMultilevel"/>
    <w:tmpl w:val="D9E2436C"/>
    <w:lvl w:ilvl="0" w:tplc="036ED9EE">
      <w:start w:val="1"/>
      <w:numFmt w:val="bullet"/>
      <w:lvlText w:val="·"/>
      <w:lvlJc w:val="left"/>
      <w:pPr>
        <w:ind w:left="720" w:hanging="360"/>
      </w:pPr>
      <w:rPr>
        <w:rFonts w:ascii="Symbol" w:hAnsi="Symbol" w:hint="default"/>
      </w:rPr>
    </w:lvl>
    <w:lvl w:ilvl="1" w:tplc="0FC8B792">
      <w:start w:val="1"/>
      <w:numFmt w:val="bullet"/>
      <w:lvlText w:val="o"/>
      <w:lvlJc w:val="left"/>
      <w:pPr>
        <w:ind w:left="1440" w:hanging="360"/>
      </w:pPr>
      <w:rPr>
        <w:rFonts w:ascii="Courier New" w:hAnsi="Courier New" w:hint="default"/>
      </w:rPr>
    </w:lvl>
    <w:lvl w:ilvl="2" w:tplc="121C05DA">
      <w:start w:val="1"/>
      <w:numFmt w:val="bullet"/>
      <w:lvlText w:val=""/>
      <w:lvlJc w:val="left"/>
      <w:pPr>
        <w:ind w:left="2160" w:hanging="360"/>
      </w:pPr>
      <w:rPr>
        <w:rFonts w:ascii="Wingdings" w:hAnsi="Wingdings" w:hint="default"/>
      </w:rPr>
    </w:lvl>
    <w:lvl w:ilvl="3" w:tplc="D832AC12">
      <w:start w:val="1"/>
      <w:numFmt w:val="bullet"/>
      <w:lvlText w:val=""/>
      <w:lvlJc w:val="left"/>
      <w:pPr>
        <w:ind w:left="2880" w:hanging="360"/>
      </w:pPr>
      <w:rPr>
        <w:rFonts w:ascii="Symbol" w:hAnsi="Symbol" w:hint="default"/>
      </w:rPr>
    </w:lvl>
    <w:lvl w:ilvl="4" w:tplc="A2BEC286">
      <w:start w:val="1"/>
      <w:numFmt w:val="bullet"/>
      <w:lvlText w:val="o"/>
      <w:lvlJc w:val="left"/>
      <w:pPr>
        <w:ind w:left="3600" w:hanging="360"/>
      </w:pPr>
      <w:rPr>
        <w:rFonts w:ascii="Courier New" w:hAnsi="Courier New" w:hint="default"/>
      </w:rPr>
    </w:lvl>
    <w:lvl w:ilvl="5" w:tplc="4232EA04">
      <w:start w:val="1"/>
      <w:numFmt w:val="bullet"/>
      <w:lvlText w:val=""/>
      <w:lvlJc w:val="left"/>
      <w:pPr>
        <w:ind w:left="4320" w:hanging="360"/>
      </w:pPr>
      <w:rPr>
        <w:rFonts w:ascii="Wingdings" w:hAnsi="Wingdings" w:hint="default"/>
      </w:rPr>
    </w:lvl>
    <w:lvl w:ilvl="6" w:tplc="60B2F138">
      <w:start w:val="1"/>
      <w:numFmt w:val="bullet"/>
      <w:lvlText w:val=""/>
      <w:lvlJc w:val="left"/>
      <w:pPr>
        <w:ind w:left="5040" w:hanging="360"/>
      </w:pPr>
      <w:rPr>
        <w:rFonts w:ascii="Symbol" w:hAnsi="Symbol" w:hint="default"/>
      </w:rPr>
    </w:lvl>
    <w:lvl w:ilvl="7" w:tplc="A4A27308">
      <w:start w:val="1"/>
      <w:numFmt w:val="bullet"/>
      <w:lvlText w:val="o"/>
      <w:lvlJc w:val="left"/>
      <w:pPr>
        <w:ind w:left="5760" w:hanging="360"/>
      </w:pPr>
      <w:rPr>
        <w:rFonts w:ascii="Courier New" w:hAnsi="Courier New" w:hint="default"/>
      </w:rPr>
    </w:lvl>
    <w:lvl w:ilvl="8" w:tplc="778CADCE">
      <w:start w:val="1"/>
      <w:numFmt w:val="bullet"/>
      <w:lvlText w:val=""/>
      <w:lvlJc w:val="left"/>
      <w:pPr>
        <w:ind w:left="6480" w:hanging="360"/>
      </w:pPr>
      <w:rPr>
        <w:rFonts w:ascii="Wingdings" w:hAnsi="Wingdings" w:hint="default"/>
      </w:rPr>
    </w:lvl>
  </w:abstractNum>
  <w:abstractNum w:abstractNumId="3" w15:restartNumberingAfterBreak="0">
    <w:nsid w:val="0E79A397"/>
    <w:multiLevelType w:val="hybridMultilevel"/>
    <w:tmpl w:val="BDB2F390"/>
    <w:lvl w:ilvl="0" w:tplc="9EDA8910">
      <w:start w:val="1"/>
      <w:numFmt w:val="bullet"/>
      <w:lvlText w:val="·"/>
      <w:lvlJc w:val="left"/>
      <w:pPr>
        <w:ind w:left="720" w:hanging="360"/>
      </w:pPr>
      <w:rPr>
        <w:rFonts w:ascii="Symbol" w:hAnsi="Symbol" w:hint="default"/>
      </w:rPr>
    </w:lvl>
    <w:lvl w:ilvl="1" w:tplc="C7B04A50">
      <w:start w:val="1"/>
      <w:numFmt w:val="bullet"/>
      <w:lvlText w:val="o"/>
      <w:lvlJc w:val="left"/>
      <w:pPr>
        <w:ind w:left="1440" w:hanging="360"/>
      </w:pPr>
      <w:rPr>
        <w:rFonts w:ascii="Courier New" w:hAnsi="Courier New" w:hint="default"/>
      </w:rPr>
    </w:lvl>
    <w:lvl w:ilvl="2" w:tplc="5A4EC05E">
      <w:start w:val="1"/>
      <w:numFmt w:val="bullet"/>
      <w:lvlText w:val=""/>
      <w:lvlJc w:val="left"/>
      <w:pPr>
        <w:ind w:left="2160" w:hanging="360"/>
      </w:pPr>
      <w:rPr>
        <w:rFonts w:ascii="Wingdings" w:hAnsi="Wingdings" w:hint="default"/>
      </w:rPr>
    </w:lvl>
    <w:lvl w:ilvl="3" w:tplc="81B22BD6">
      <w:start w:val="1"/>
      <w:numFmt w:val="bullet"/>
      <w:lvlText w:val=""/>
      <w:lvlJc w:val="left"/>
      <w:pPr>
        <w:ind w:left="2880" w:hanging="360"/>
      </w:pPr>
      <w:rPr>
        <w:rFonts w:ascii="Symbol" w:hAnsi="Symbol" w:hint="default"/>
      </w:rPr>
    </w:lvl>
    <w:lvl w:ilvl="4" w:tplc="2D5A5EEA">
      <w:start w:val="1"/>
      <w:numFmt w:val="bullet"/>
      <w:lvlText w:val="o"/>
      <w:lvlJc w:val="left"/>
      <w:pPr>
        <w:ind w:left="3600" w:hanging="360"/>
      </w:pPr>
      <w:rPr>
        <w:rFonts w:ascii="Courier New" w:hAnsi="Courier New" w:hint="default"/>
      </w:rPr>
    </w:lvl>
    <w:lvl w:ilvl="5" w:tplc="BA9C9C3E">
      <w:start w:val="1"/>
      <w:numFmt w:val="bullet"/>
      <w:lvlText w:val=""/>
      <w:lvlJc w:val="left"/>
      <w:pPr>
        <w:ind w:left="4320" w:hanging="360"/>
      </w:pPr>
      <w:rPr>
        <w:rFonts w:ascii="Wingdings" w:hAnsi="Wingdings" w:hint="default"/>
      </w:rPr>
    </w:lvl>
    <w:lvl w:ilvl="6" w:tplc="8DCC71AE">
      <w:start w:val="1"/>
      <w:numFmt w:val="bullet"/>
      <w:lvlText w:val=""/>
      <w:lvlJc w:val="left"/>
      <w:pPr>
        <w:ind w:left="5040" w:hanging="360"/>
      </w:pPr>
      <w:rPr>
        <w:rFonts w:ascii="Symbol" w:hAnsi="Symbol" w:hint="default"/>
      </w:rPr>
    </w:lvl>
    <w:lvl w:ilvl="7" w:tplc="A52C2B46">
      <w:start w:val="1"/>
      <w:numFmt w:val="bullet"/>
      <w:lvlText w:val="o"/>
      <w:lvlJc w:val="left"/>
      <w:pPr>
        <w:ind w:left="5760" w:hanging="360"/>
      </w:pPr>
      <w:rPr>
        <w:rFonts w:ascii="Courier New" w:hAnsi="Courier New" w:hint="default"/>
      </w:rPr>
    </w:lvl>
    <w:lvl w:ilvl="8" w:tplc="812016D8">
      <w:start w:val="1"/>
      <w:numFmt w:val="bullet"/>
      <w:lvlText w:val=""/>
      <w:lvlJc w:val="left"/>
      <w:pPr>
        <w:ind w:left="6480" w:hanging="360"/>
      </w:pPr>
      <w:rPr>
        <w:rFonts w:ascii="Wingdings" w:hAnsi="Wingdings" w:hint="default"/>
      </w:rPr>
    </w:lvl>
  </w:abstractNum>
  <w:abstractNum w:abstractNumId="4" w15:restartNumberingAfterBreak="0">
    <w:nsid w:val="0F5EAEEB"/>
    <w:multiLevelType w:val="hybridMultilevel"/>
    <w:tmpl w:val="8BAAA3F8"/>
    <w:lvl w:ilvl="0" w:tplc="DA96633E">
      <w:start w:val="1"/>
      <w:numFmt w:val="bullet"/>
      <w:lvlText w:val=""/>
      <w:lvlJc w:val="left"/>
      <w:pPr>
        <w:ind w:left="720" w:hanging="360"/>
      </w:pPr>
      <w:rPr>
        <w:rFonts w:ascii="Symbol" w:hAnsi="Symbol" w:hint="default"/>
      </w:rPr>
    </w:lvl>
    <w:lvl w:ilvl="1" w:tplc="D078403E">
      <w:start w:val="1"/>
      <w:numFmt w:val="bullet"/>
      <w:lvlText w:val="o"/>
      <w:lvlJc w:val="left"/>
      <w:pPr>
        <w:ind w:left="1440" w:hanging="360"/>
      </w:pPr>
      <w:rPr>
        <w:rFonts w:ascii="Courier New" w:hAnsi="Courier New" w:hint="default"/>
      </w:rPr>
    </w:lvl>
    <w:lvl w:ilvl="2" w:tplc="20501938">
      <w:start w:val="1"/>
      <w:numFmt w:val="bullet"/>
      <w:lvlText w:val=""/>
      <w:lvlJc w:val="left"/>
      <w:pPr>
        <w:ind w:left="2160" w:hanging="360"/>
      </w:pPr>
      <w:rPr>
        <w:rFonts w:ascii="Wingdings" w:hAnsi="Wingdings" w:hint="default"/>
      </w:rPr>
    </w:lvl>
    <w:lvl w:ilvl="3" w:tplc="C62C0700">
      <w:start w:val="1"/>
      <w:numFmt w:val="bullet"/>
      <w:lvlText w:val=""/>
      <w:lvlJc w:val="left"/>
      <w:pPr>
        <w:ind w:left="2880" w:hanging="360"/>
      </w:pPr>
      <w:rPr>
        <w:rFonts w:ascii="Symbol" w:hAnsi="Symbol" w:hint="default"/>
      </w:rPr>
    </w:lvl>
    <w:lvl w:ilvl="4" w:tplc="0E5EA9A4">
      <w:start w:val="1"/>
      <w:numFmt w:val="bullet"/>
      <w:lvlText w:val="o"/>
      <w:lvlJc w:val="left"/>
      <w:pPr>
        <w:ind w:left="3600" w:hanging="360"/>
      </w:pPr>
      <w:rPr>
        <w:rFonts w:ascii="Courier New" w:hAnsi="Courier New" w:hint="default"/>
      </w:rPr>
    </w:lvl>
    <w:lvl w:ilvl="5" w:tplc="618EF03E">
      <w:start w:val="1"/>
      <w:numFmt w:val="bullet"/>
      <w:lvlText w:val=""/>
      <w:lvlJc w:val="left"/>
      <w:pPr>
        <w:ind w:left="4320" w:hanging="360"/>
      </w:pPr>
      <w:rPr>
        <w:rFonts w:ascii="Wingdings" w:hAnsi="Wingdings" w:hint="default"/>
      </w:rPr>
    </w:lvl>
    <w:lvl w:ilvl="6" w:tplc="0EB825C6">
      <w:start w:val="1"/>
      <w:numFmt w:val="bullet"/>
      <w:lvlText w:val=""/>
      <w:lvlJc w:val="left"/>
      <w:pPr>
        <w:ind w:left="5040" w:hanging="360"/>
      </w:pPr>
      <w:rPr>
        <w:rFonts w:ascii="Symbol" w:hAnsi="Symbol" w:hint="default"/>
      </w:rPr>
    </w:lvl>
    <w:lvl w:ilvl="7" w:tplc="705AA272">
      <w:start w:val="1"/>
      <w:numFmt w:val="bullet"/>
      <w:lvlText w:val="o"/>
      <w:lvlJc w:val="left"/>
      <w:pPr>
        <w:ind w:left="5760" w:hanging="360"/>
      </w:pPr>
      <w:rPr>
        <w:rFonts w:ascii="Courier New" w:hAnsi="Courier New" w:hint="default"/>
      </w:rPr>
    </w:lvl>
    <w:lvl w:ilvl="8" w:tplc="6A386038">
      <w:start w:val="1"/>
      <w:numFmt w:val="bullet"/>
      <w:lvlText w:val=""/>
      <w:lvlJc w:val="left"/>
      <w:pPr>
        <w:ind w:left="6480" w:hanging="360"/>
      </w:pPr>
      <w:rPr>
        <w:rFonts w:ascii="Wingdings" w:hAnsi="Wingdings" w:hint="default"/>
      </w:rPr>
    </w:lvl>
  </w:abstractNum>
  <w:abstractNum w:abstractNumId="5" w15:restartNumberingAfterBreak="0">
    <w:nsid w:val="1923ECA9"/>
    <w:multiLevelType w:val="hybridMultilevel"/>
    <w:tmpl w:val="88C0A71E"/>
    <w:lvl w:ilvl="0" w:tplc="DCC649A4">
      <w:start w:val="1"/>
      <w:numFmt w:val="decimal"/>
      <w:lvlText w:val="%1."/>
      <w:lvlJc w:val="left"/>
      <w:pPr>
        <w:ind w:left="720" w:hanging="360"/>
      </w:pPr>
    </w:lvl>
    <w:lvl w:ilvl="1" w:tplc="85383CFE">
      <w:start w:val="1"/>
      <w:numFmt w:val="lowerLetter"/>
      <w:lvlText w:val="%2."/>
      <w:lvlJc w:val="left"/>
      <w:pPr>
        <w:ind w:left="1440" w:hanging="360"/>
      </w:pPr>
    </w:lvl>
    <w:lvl w:ilvl="2" w:tplc="6726974E">
      <w:start w:val="1"/>
      <w:numFmt w:val="lowerRoman"/>
      <w:lvlText w:val="%3."/>
      <w:lvlJc w:val="right"/>
      <w:pPr>
        <w:ind w:left="2160" w:hanging="180"/>
      </w:pPr>
    </w:lvl>
    <w:lvl w:ilvl="3" w:tplc="3844F67A">
      <w:start w:val="1"/>
      <w:numFmt w:val="decimal"/>
      <w:lvlText w:val="%4."/>
      <w:lvlJc w:val="left"/>
      <w:pPr>
        <w:ind w:left="2880" w:hanging="360"/>
      </w:pPr>
    </w:lvl>
    <w:lvl w:ilvl="4" w:tplc="26F63744">
      <w:start w:val="1"/>
      <w:numFmt w:val="lowerLetter"/>
      <w:lvlText w:val="%5."/>
      <w:lvlJc w:val="left"/>
      <w:pPr>
        <w:ind w:left="3600" w:hanging="360"/>
      </w:pPr>
    </w:lvl>
    <w:lvl w:ilvl="5" w:tplc="98683DB8">
      <w:start w:val="1"/>
      <w:numFmt w:val="lowerRoman"/>
      <w:lvlText w:val="%6."/>
      <w:lvlJc w:val="right"/>
      <w:pPr>
        <w:ind w:left="4320" w:hanging="180"/>
      </w:pPr>
    </w:lvl>
    <w:lvl w:ilvl="6" w:tplc="4E6C0738">
      <w:start w:val="1"/>
      <w:numFmt w:val="decimal"/>
      <w:lvlText w:val="%7."/>
      <w:lvlJc w:val="left"/>
      <w:pPr>
        <w:ind w:left="5040" w:hanging="360"/>
      </w:pPr>
    </w:lvl>
    <w:lvl w:ilvl="7" w:tplc="6C58FC3C">
      <w:start w:val="1"/>
      <w:numFmt w:val="lowerLetter"/>
      <w:lvlText w:val="%8."/>
      <w:lvlJc w:val="left"/>
      <w:pPr>
        <w:ind w:left="5760" w:hanging="360"/>
      </w:pPr>
    </w:lvl>
    <w:lvl w:ilvl="8" w:tplc="36F6E8E4">
      <w:start w:val="1"/>
      <w:numFmt w:val="lowerRoman"/>
      <w:lvlText w:val="%9."/>
      <w:lvlJc w:val="right"/>
      <w:pPr>
        <w:ind w:left="6480" w:hanging="180"/>
      </w:pPr>
    </w:lvl>
  </w:abstractNum>
  <w:abstractNum w:abstractNumId="6" w15:restartNumberingAfterBreak="0">
    <w:nsid w:val="1B15B6A6"/>
    <w:multiLevelType w:val="hybridMultilevel"/>
    <w:tmpl w:val="36F4C022"/>
    <w:lvl w:ilvl="0" w:tplc="772EA76A">
      <w:start w:val="1"/>
      <w:numFmt w:val="bullet"/>
      <w:lvlText w:val=""/>
      <w:lvlJc w:val="left"/>
      <w:pPr>
        <w:ind w:left="720" w:hanging="360"/>
      </w:pPr>
      <w:rPr>
        <w:rFonts w:ascii="Symbol" w:hAnsi="Symbol" w:hint="default"/>
      </w:rPr>
    </w:lvl>
    <w:lvl w:ilvl="1" w:tplc="0B5629DA">
      <w:start w:val="1"/>
      <w:numFmt w:val="bullet"/>
      <w:lvlText w:val="o"/>
      <w:lvlJc w:val="left"/>
      <w:pPr>
        <w:ind w:left="1440" w:hanging="360"/>
      </w:pPr>
      <w:rPr>
        <w:rFonts w:ascii="Courier New" w:hAnsi="Courier New" w:hint="default"/>
      </w:rPr>
    </w:lvl>
    <w:lvl w:ilvl="2" w:tplc="FE5EFD56">
      <w:start w:val="1"/>
      <w:numFmt w:val="bullet"/>
      <w:lvlText w:val=""/>
      <w:lvlJc w:val="left"/>
      <w:pPr>
        <w:ind w:left="2160" w:hanging="360"/>
      </w:pPr>
      <w:rPr>
        <w:rFonts w:ascii="Wingdings" w:hAnsi="Wingdings" w:hint="default"/>
      </w:rPr>
    </w:lvl>
    <w:lvl w:ilvl="3" w:tplc="6AB63B66">
      <w:start w:val="1"/>
      <w:numFmt w:val="bullet"/>
      <w:lvlText w:val=""/>
      <w:lvlJc w:val="left"/>
      <w:pPr>
        <w:ind w:left="2880" w:hanging="360"/>
      </w:pPr>
      <w:rPr>
        <w:rFonts w:ascii="Symbol" w:hAnsi="Symbol" w:hint="default"/>
      </w:rPr>
    </w:lvl>
    <w:lvl w:ilvl="4" w:tplc="3462F11C">
      <w:start w:val="1"/>
      <w:numFmt w:val="bullet"/>
      <w:lvlText w:val="o"/>
      <w:lvlJc w:val="left"/>
      <w:pPr>
        <w:ind w:left="3600" w:hanging="360"/>
      </w:pPr>
      <w:rPr>
        <w:rFonts w:ascii="Courier New" w:hAnsi="Courier New" w:hint="default"/>
      </w:rPr>
    </w:lvl>
    <w:lvl w:ilvl="5" w:tplc="4BEAE57E">
      <w:start w:val="1"/>
      <w:numFmt w:val="bullet"/>
      <w:lvlText w:val=""/>
      <w:lvlJc w:val="left"/>
      <w:pPr>
        <w:ind w:left="4320" w:hanging="360"/>
      </w:pPr>
      <w:rPr>
        <w:rFonts w:ascii="Wingdings" w:hAnsi="Wingdings" w:hint="default"/>
      </w:rPr>
    </w:lvl>
    <w:lvl w:ilvl="6" w:tplc="ACF6C3FA">
      <w:start w:val="1"/>
      <w:numFmt w:val="bullet"/>
      <w:lvlText w:val=""/>
      <w:lvlJc w:val="left"/>
      <w:pPr>
        <w:ind w:left="5040" w:hanging="360"/>
      </w:pPr>
      <w:rPr>
        <w:rFonts w:ascii="Symbol" w:hAnsi="Symbol" w:hint="default"/>
      </w:rPr>
    </w:lvl>
    <w:lvl w:ilvl="7" w:tplc="EA0A2338">
      <w:start w:val="1"/>
      <w:numFmt w:val="bullet"/>
      <w:lvlText w:val="o"/>
      <w:lvlJc w:val="left"/>
      <w:pPr>
        <w:ind w:left="5760" w:hanging="360"/>
      </w:pPr>
      <w:rPr>
        <w:rFonts w:ascii="Courier New" w:hAnsi="Courier New" w:hint="default"/>
      </w:rPr>
    </w:lvl>
    <w:lvl w:ilvl="8" w:tplc="9182B8BA">
      <w:start w:val="1"/>
      <w:numFmt w:val="bullet"/>
      <w:lvlText w:val=""/>
      <w:lvlJc w:val="left"/>
      <w:pPr>
        <w:ind w:left="6480" w:hanging="360"/>
      </w:pPr>
      <w:rPr>
        <w:rFonts w:ascii="Wingdings" w:hAnsi="Wingdings" w:hint="default"/>
      </w:rPr>
    </w:lvl>
  </w:abstractNum>
  <w:abstractNum w:abstractNumId="7" w15:restartNumberingAfterBreak="0">
    <w:nsid w:val="211F69E9"/>
    <w:multiLevelType w:val="hybridMultilevel"/>
    <w:tmpl w:val="BD7A916C"/>
    <w:lvl w:ilvl="0" w:tplc="48729C0E">
      <w:start w:val="1"/>
      <w:numFmt w:val="bullet"/>
      <w:lvlText w:val="·"/>
      <w:lvlJc w:val="left"/>
      <w:pPr>
        <w:ind w:left="720" w:hanging="360"/>
      </w:pPr>
      <w:rPr>
        <w:rFonts w:ascii="Symbol" w:hAnsi="Symbol" w:hint="default"/>
      </w:rPr>
    </w:lvl>
    <w:lvl w:ilvl="1" w:tplc="6164C5A8">
      <w:start w:val="1"/>
      <w:numFmt w:val="bullet"/>
      <w:lvlText w:val="o"/>
      <w:lvlJc w:val="left"/>
      <w:pPr>
        <w:ind w:left="1440" w:hanging="360"/>
      </w:pPr>
      <w:rPr>
        <w:rFonts w:ascii="Courier New" w:hAnsi="Courier New" w:hint="default"/>
      </w:rPr>
    </w:lvl>
    <w:lvl w:ilvl="2" w:tplc="339A2754">
      <w:start w:val="1"/>
      <w:numFmt w:val="bullet"/>
      <w:lvlText w:val=""/>
      <w:lvlJc w:val="left"/>
      <w:pPr>
        <w:ind w:left="2160" w:hanging="360"/>
      </w:pPr>
      <w:rPr>
        <w:rFonts w:ascii="Wingdings" w:hAnsi="Wingdings" w:hint="default"/>
      </w:rPr>
    </w:lvl>
    <w:lvl w:ilvl="3" w:tplc="490225B8">
      <w:start w:val="1"/>
      <w:numFmt w:val="bullet"/>
      <w:lvlText w:val=""/>
      <w:lvlJc w:val="left"/>
      <w:pPr>
        <w:ind w:left="2880" w:hanging="360"/>
      </w:pPr>
      <w:rPr>
        <w:rFonts w:ascii="Symbol" w:hAnsi="Symbol" w:hint="default"/>
      </w:rPr>
    </w:lvl>
    <w:lvl w:ilvl="4" w:tplc="6B8430A4">
      <w:start w:val="1"/>
      <w:numFmt w:val="bullet"/>
      <w:lvlText w:val="o"/>
      <w:lvlJc w:val="left"/>
      <w:pPr>
        <w:ind w:left="3600" w:hanging="360"/>
      </w:pPr>
      <w:rPr>
        <w:rFonts w:ascii="Courier New" w:hAnsi="Courier New" w:hint="default"/>
      </w:rPr>
    </w:lvl>
    <w:lvl w:ilvl="5" w:tplc="93385B90">
      <w:start w:val="1"/>
      <w:numFmt w:val="bullet"/>
      <w:lvlText w:val=""/>
      <w:lvlJc w:val="left"/>
      <w:pPr>
        <w:ind w:left="4320" w:hanging="360"/>
      </w:pPr>
      <w:rPr>
        <w:rFonts w:ascii="Wingdings" w:hAnsi="Wingdings" w:hint="default"/>
      </w:rPr>
    </w:lvl>
    <w:lvl w:ilvl="6" w:tplc="05C60070">
      <w:start w:val="1"/>
      <w:numFmt w:val="bullet"/>
      <w:lvlText w:val=""/>
      <w:lvlJc w:val="left"/>
      <w:pPr>
        <w:ind w:left="5040" w:hanging="360"/>
      </w:pPr>
      <w:rPr>
        <w:rFonts w:ascii="Symbol" w:hAnsi="Symbol" w:hint="default"/>
      </w:rPr>
    </w:lvl>
    <w:lvl w:ilvl="7" w:tplc="0240CA58">
      <w:start w:val="1"/>
      <w:numFmt w:val="bullet"/>
      <w:lvlText w:val="o"/>
      <w:lvlJc w:val="left"/>
      <w:pPr>
        <w:ind w:left="5760" w:hanging="360"/>
      </w:pPr>
      <w:rPr>
        <w:rFonts w:ascii="Courier New" w:hAnsi="Courier New" w:hint="default"/>
      </w:rPr>
    </w:lvl>
    <w:lvl w:ilvl="8" w:tplc="4AD8BD5C">
      <w:start w:val="1"/>
      <w:numFmt w:val="bullet"/>
      <w:lvlText w:val=""/>
      <w:lvlJc w:val="left"/>
      <w:pPr>
        <w:ind w:left="6480" w:hanging="360"/>
      </w:pPr>
      <w:rPr>
        <w:rFonts w:ascii="Wingdings" w:hAnsi="Wingdings" w:hint="default"/>
      </w:rPr>
    </w:lvl>
  </w:abstractNum>
  <w:abstractNum w:abstractNumId="8" w15:restartNumberingAfterBreak="0">
    <w:nsid w:val="39450513"/>
    <w:multiLevelType w:val="hybridMultilevel"/>
    <w:tmpl w:val="B6F67B80"/>
    <w:lvl w:ilvl="0" w:tplc="5C6AE9BC">
      <w:start w:val="1"/>
      <w:numFmt w:val="bullet"/>
      <w:lvlText w:val="·"/>
      <w:lvlJc w:val="left"/>
      <w:pPr>
        <w:ind w:left="720" w:hanging="360"/>
      </w:pPr>
      <w:rPr>
        <w:rFonts w:ascii="Symbol" w:hAnsi="Symbol" w:hint="default"/>
      </w:rPr>
    </w:lvl>
    <w:lvl w:ilvl="1" w:tplc="58D695F4">
      <w:start w:val="1"/>
      <w:numFmt w:val="bullet"/>
      <w:lvlText w:val="o"/>
      <w:lvlJc w:val="left"/>
      <w:pPr>
        <w:ind w:left="1440" w:hanging="360"/>
      </w:pPr>
      <w:rPr>
        <w:rFonts w:ascii="Courier New" w:hAnsi="Courier New" w:hint="default"/>
      </w:rPr>
    </w:lvl>
    <w:lvl w:ilvl="2" w:tplc="19AC506E">
      <w:start w:val="1"/>
      <w:numFmt w:val="bullet"/>
      <w:lvlText w:val=""/>
      <w:lvlJc w:val="left"/>
      <w:pPr>
        <w:ind w:left="2160" w:hanging="360"/>
      </w:pPr>
      <w:rPr>
        <w:rFonts w:ascii="Wingdings" w:hAnsi="Wingdings" w:hint="default"/>
      </w:rPr>
    </w:lvl>
    <w:lvl w:ilvl="3" w:tplc="210ADE74">
      <w:start w:val="1"/>
      <w:numFmt w:val="bullet"/>
      <w:lvlText w:val=""/>
      <w:lvlJc w:val="left"/>
      <w:pPr>
        <w:ind w:left="2880" w:hanging="360"/>
      </w:pPr>
      <w:rPr>
        <w:rFonts w:ascii="Symbol" w:hAnsi="Symbol" w:hint="default"/>
      </w:rPr>
    </w:lvl>
    <w:lvl w:ilvl="4" w:tplc="A4364D0E">
      <w:start w:val="1"/>
      <w:numFmt w:val="bullet"/>
      <w:lvlText w:val="o"/>
      <w:lvlJc w:val="left"/>
      <w:pPr>
        <w:ind w:left="3600" w:hanging="360"/>
      </w:pPr>
      <w:rPr>
        <w:rFonts w:ascii="Courier New" w:hAnsi="Courier New" w:hint="default"/>
      </w:rPr>
    </w:lvl>
    <w:lvl w:ilvl="5" w:tplc="8BE09DF8">
      <w:start w:val="1"/>
      <w:numFmt w:val="bullet"/>
      <w:lvlText w:val=""/>
      <w:lvlJc w:val="left"/>
      <w:pPr>
        <w:ind w:left="4320" w:hanging="360"/>
      </w:pPr>
      <w:rPr>
        <w:rFonts w:ascii="Wingdings" w:hAnsi="Wingdings" w:hint="default"/>
      </w:rPr>
    </w:lvl>
    <w:lvl w:ilvl="6" w:tplc="A2703148">
      <w:start w:val="1"/>
      <w:numFmt w:val="bullet"/>
      <w:lvlText w:val=""/>
      <w:lvlJc w:val="left"/>
      <w:pPr>
        <w:ind w:left="5040" w:hanging="360"/>
      </w:pPr>
      <w:rPr>
        <w:rFonts w:ascii="Symbol" w:hAnsi="Symbol" w:hint="default"/>
      </w:rPr>
    </w:lvl>
    <w:lvl w:ilvl="7" w:tplc="23E8C984">
      <w:start w:val="1"/>
      <w:numFmt w:val="bullet"/>
      <w:lvlText w:val="o"/>
      <w:lvlJc w:val="left"/>
      <w:pPr>
        <w:ind w:left="5760" w:hanging="360"/>
      </w:pPr>
      <w:rPr>
        <w:rFonts w:ascii="Courier New" w:hAnsi="Courier New" w:hint="default"/>
      </w:rPr>
    </w:lvl>
    <w:lvl w:ilvl="8" w:tplc="84006C46">
      <w:start w:val="1"/>
      <w:numFmt w:val="bullet"/>
      <w:lvlText w:val=""/>
      <w:lvlJc w:val="left"/>
      <w:pPr>
        <w:ind w:left="6480" w:hanging="360"/>
      </w:pPr>
      <w:rPr>
        <w:rFonts w:ascii="Wingdings" w:hAnsi="Wingdings" w:hint="default"/>
      </w:rPr>
    </w:lvl>
  </w:abstractNum>
  <w:abstractNum w:abstractNumId="9" w15:restartNumberingAfterBreak="0">
    <w:nsid w:val="3C60227F"/>
    <w:multiLevelType w:val="hybridMultilevel"/>
    <w:tmpl w:val="11FA1C68"/>
    <w:lvl w:ilvl="0" w:tplc="25D81782">
      <w:start w:val="4"/>
      <w:numFmt w:val="decimal"/>
      <w:lvlText w:val="%1."/>
      <w:lvlJc w:val="left"/>
      <w:pPr>
        <w:ind w:left="720" w:hanging="360"/>
      </w:pPr>
    </w:lvl>
    <w:lvl w:ilvl="1" w:tplc="1A0CC48A">
      <w:start w:val="1"/>
      <w:numFmt w:val="lowerLetter"/>
      <w:lvlText w:val="%2."/>
      <w:lvlJc w:val="left"/>
      <w:pPr>
        <w:ind w:left="1440" w:hanging="360"/>
      </w:pPr>
    </w:lvl>
    <w:lvl w:ilvl="2" w:tplc="9BB05E26">
      <w:start w:val="1"/>
      <w:numFmt w:val="lowerRoman"/>
      <w:lvlText w:val="%3."/>
      <w:lvlJc w:val="right"/>
      <w:pPr>
        <w:ind w:left="2160" w:hanging="180"/>
      </w:pPr>
    </w:lvl>
    <w:lvl w:ilvl="3" w:tplc="4A9A783A">
      <w:start w:val="1"/>
      <w:numFmt w:val="decimal"/>
      <w:lvlText w:val="%4."/>
      <w:lvlJc w:val="left"/>
      <w:pPr>
        <w:ind w:left="2880" w:hanging="360"/>
      </w:pPr>
    </w:lvl>
    <w:lvl w:ilvl="4" w:tplc="C390DC68">
      <w:start w:val="1"/>
      <w:numFmt w:val="lowerLetter"/>
      <w:lvlText w:val="%5."/>
      <w:lvlJc w:val="left"/>
      <w:pPr>
        <w:ind w:left="3600" w:hanging="360"/>
      </w:pPr>
    </w:lvl>
    <w:lvl w:ilvl="5" w:tplc="FEAA74D0">
      <w:start w:val="1"/>
      <w:numFmt w:val="lowerRoman"/>
      <w:lvlText w:val="%6."/>
      <w:lvlJc w:val="right"/>
      <w:pPr>
        <w:ind w:left="4320" w:hanging="180"/>
      </w:pPr>
    </w:lvl>
    <w:lvl w:ilvl="6" w:tplc="D194D5B2">
      <w:start w:val="1"/>
      <w:numFmt w:val="decimal"/>
      <w:lvlText w:val="%7."/>
      <w:lvlJc w:val="left"/>
      <w:pPr>
        <w:ind w:left="5040" w:hanging="360"/>
      </w:pPr>
    </w:lvl>
    <w:lvl w:ilvl="7" w:tplc="8724FA8C">
      <w:start w:val="1"/>
      <w:numFmt w:val="lowerLetter"/>
      <w:lvlText w:val="%8."/>
      <w:lvlJc w:val="left"/>
      <w:pPr>
        <w:ind w:left="5760" w:hanging="360"/>
      </w:pPr>
    </w:lvl>
    <w:lvl w:ilvl="8" w:tplc="6172AC1A">
      <w:start w:val="1"/>
      <w:numFmt w:val="lowerRoman"/>
      <w:lvlText w:val="%9."/>
      <w:lvlJc w:val="right"/>
      <w:pPr>
        <w:ind w:left="6480" w:hanging="180"/>
      </w:pPr>
    </w:lvl>
  </w:abstractNum>
  <w:abstractNum w:abstractNumId="10" w15:restartNumberingAfterBreak="0">
    <w:nsid w:val="44A097BA"/>
    <w:multiLevelType w:val="hybridMultilevel"/>
    <w:tmpl w:val="A3F800D0"/>
    <w:lvl w:ilvl="0" w:tplc="782CA944">
      <w:start w:val="1"/>
      <w:numFmt w:val="decimal"/>
      <w:lvlText w:val="%1."/>
      <w:lvlJc w:val="left"/>
      <w:pPr>
        <w:ind w:left="720" w:hanging="360"/>
      </w:pPr>
    </w:lvl>
    <w:lvl w:ilvl="1" w:tplc="49281AB6">
      <w:start w:val="1"/>
      <w:numFmt w:val="lowerLetter"/>
      <w:lvlText w:val="%2."/>
      <w:lvlJc w:val="left"/>
      <w:pPr>
        <w:ind w:left="1440" w:hanging="360"/>
      </w:pPr>
    </w:lvl>
    <w:lvl w:ilvl="2" w:tplc="24A0515A">
      <w:start w:val="1"/>
      <w:numFmt w:val="lowerRoman"/>
      <w:lvlText w:val="%3."/>
      <w:lvlJc w:val="right"/>
      <w:pPr>
        <w:ind w:left="2160" w:hanging="180"/>
      </w:pPr>
    </w:lvl>
    <w:lvl w:ilvl="3" w:tplc="750A720A">
      <w:start w:val="1"/>
      <w:numFmt w:val="decimal"/>
      <w:lvlText w:val="%4."/>
      <w:lvlJc w:val="left"/>
      <w:pPr>
        <w:ind w:left="2880" w:hanging="360"/>
      </w:pPr>
    </w:lvl>
    <w:lvl w:ilvl="4" w:tplc="84E82C40">
      <w:start w:val="1"/>
      <w:numFmt w:val="lowerLetter"/>
      <w:lvlText w:val="%5."/>
      <w:lvlJc w:val="left"/>
      <w:pPr>
        <w:ind w:left="3600" w:hanging="360"/>
      </w:pPr>
    </w:lvl>
    <w:lvl w:ilvl="5" w:tplc="FF90DF70">
      <w:start w:val="1"/>
      <w:numFmt w:val="lowerRoman"/>
      <w:lvlText w:val="%6."/>
      <w:lvlJc w:val="right"/>
      <w:pPr>
        <w:ind w:left="4320" w:hanging="180"/>
      </w:pPr>
    </w:lvl>
    <w:lvl w:ilvl="6" w:tplc="6104383A">
      <w:start w:val="1"/>
      <w:numFmt w:val="decimal"/>
      <w:lvlText w:val="%7."/>
      <w:lvlJc w:val="left"/>
      <w:pPr>
        <w:ind w:left="5040" w:hanging="360"/>
      </w:pPr>
    </w:lvl>
    <w:lvl w:ilvl="7" w:tplc="89E0BBEC">
      <w:start w:val="1"/>
      <w:numFmt w:val="lowerLetter"/>
      <w:lvlText w:val="%8."/>
      <w:lvlJc w:val="left"/>
      <w:pPr>
        <w:ind w:left="5760" w:hanging="360"/>
      </w:pPr>
    </w:lvl>
    <w:lvl w:ilvl="8" w:tplc="DF240334">
      <w:start w:val="1"/>
      <w:numFmt w:val="lowerRoman"/>
      <w:lvlText w:val="%9."/>
      <w:lvlJc w:val="right"/>
      <w:pPr>
        <w:ind w:left="6480" w:hanging="180"/>
      </w:pPr>
    </w:lvl>
  </w:abstractNum>
  <w:abstractNum w:abstractNumId="11" w15:restartNumberingAfterBreak="0">
    <w:nsid w:val="4E1B2B6E"/>
    <w:multiLevelType w:val="hybridMultilevel"/>
    <w:tmpl w:val="E83CD08A"/>
    <w:lvl w:ilvl="0" w:tplc="F4482E4C">
      <w:start w:val="1"/>
      <w:numFmt w:val="bullet"/>
      <w:lvlText w:val="·"/>
      <w:lvlJc w:val="left"/>
      <w:pPr>
        <w:ind w:left="720" w:hanging="360"/>
      </w:pPr>
      <w:rPr>
        <w:rFonts w:ascii="Symbol" w:hAnsi="Symbol" w:hint="default"/>
      </w:rPr>
    </w:lvl>
    <w:lvl w:ilvl="1" w:tplc="71CC1738">
      <w:start w:val="1"/>
      <w:numFmt w:val="bullet"/>
      <w:lvlText w:val="o"/>
      <w:lvlJc w:val="left"/>
      <w:pPr>
        <w:ind w:left="1440" w:hanging="360"/>
      </w:pPr>
      <w:rPr>
        <w:rFonts w:ascii="Courier New" w:hAnsi="Courier New" w:hint="default"/>
      </w:rPr>
    </w:lvl>
    <w:lvl w:ilvl="2" w:tplc="FDE85F20">
      <w:start w:val="1"/>
      <w:numFmt w:val="bullet"/>
      <w:lvlText w:val=""/>
      <w:lvlJc w:val="left"/>
      <w:pPr>
        <w:ind w:left="2160" w:hanging="360"/>
      </w:pPr>
      <w:rPr>
        <w:rFonts w:ascii="Wingdings" w:hAnsi="Wingdings" w:hint="default"/>
      </w:rPr>
    </w:lvl>
    <w:lvl w:ilvl="3" w:tplc="C41CEAAE">
      <w:start w:val="1"/>
      <w:numFmt w:val="bullet"/>
      <w:lvlText w:val=""/>
      <w:lvlJc w:val="left"/>
      <w:pPr>
        <w:ind w:left="2880" w:hanging="360"/>
      </w:pPr>
      <w:rPr>
        <w:rFonts w:ascii="Symbol" w:hAnsi="Symbol" w:hint="default"/>
      </w:rPr>
    </w:lvl>
    <w:lvl w:ilvl="4" w:tplc="D9285320">
      <w:start w:val="1"/>
      <w:numFmt w:val="bullet"/>
      <w:lvlText w:val="o"/>
      <w:lvlJc w:val="left"/>
      <w:pPr>
        <w:ind w:left="3600" w:hanging="360"/>
      </w:pPr>
      <w:rPr>
        <w:rFonts w:ascii="Courier New" w:hAnsi="Courier New" w:hint="default"/>
      </w:rPr>
    </w:lvl>
    <w:lvl w:ilvl="5" w:tplc="5212D89E">
      <w:start w:val="1"/>
      <w:numFmt w:val="bullet"/>
      <w:lvlText w:val=""/>
      <w:lvlJc w:val="left"/>
      <w:pPr>
        <w:ind w:left="4320" w:hanging="360"/>
      </w:pPr>
      <w:rPr>
        <w:rFonts w:ascii="Wingdings" w:hAnsi="Wingdings" w:hint="default"/>
      </w:rPr>
    </w:lvl>
    <w:lvl w:ilvl="6" w:tplc="D1BCB06E">
      <w:start w:val="1"/>
      <w:numFmt w:val="bullet"/>
      <w:lvlText w:val=""/>
      <w:lvlJc w:val="left"/>
      <w:pPr>
        <w:ind w:left="5040" w:hanging="360"/>
      </w:pPr>
      <w:rPr>
        <w:rFonts w:ascii="Symbol" w:hAnsi="Symbol" w:hint="default"/>
      </w:rPr>
    </w:lvl>
    <w:lvl w:ilvl="7" w:tplc="D9147E76">
      <w:start w:val="1"/>
      <w:numFmt w:val="bullet"/>
      <w:lvlText w:val="o"/>
      <w:lvlJc w:val="left"/>
      <w:pPr>
        <w:ind w:left="5760" w:hanging="360"/>
      </w:pPr>
      <w:rPr>
        <w:rFonts w:ascii="Courier New" w:hAnsi="Courier New" w:hint="default"/>
      </w:rPr>
    </w:lvl>
    <w:lvl w:ilvl="8" w:tplc="04847686">
      <w:start w:val="1"/>
      <w:numFmt w:val="bullet"/>
      <w:lvlText w:val=""/>
      <w:lvlJc w:val="left"/>
      <w:pPr>
        <w:ind w:left="6480" w:hanging="360"/>
      </w:pPr>
      <w:rPr>
        <w:rFonts w:ascii="Wingdings" w:hAnsi="Wingdings" w:hint="default"/>
      </w:rPr>
    </w:lvl>
  </w:abstractNum>
  <w:abstractNum w:abstractNumId="12" w15:restartNumberingAfterBreak="0">
    <w:nsid w:val="53F0A16C"/>
    <w:multiLevelType w:val="hybridMultilevel"/>
    <w:tmpl w:val="418E783E"/>
    <w:lvl w:ilvl="0" w:tplc="7338BA1E">
      <w:start w:val="1"/>
      <w:numFmt w:val="bullet"/>
      <w:lvlText w:val=""/>
      <w:lvlJc w:val="left"/>
      <w:pPr>
        <w:ind w:left="720" w:hanging="360"/>
      </w:pPr>
      <w:rPr>
        <w:rFonts w:ascii="Symbol" w:hAnsi="Symbol" w:hint="default"/>
      </w:rPr>
    </w:lvl>
    <w:lvl w:ilvl="1" w:tplc="B84249C6">
      <w:start w:val="1"/>
      <w:numFmt w:val="bullet"/>
      <w:lvlText w:val="o"/>
      <w:lvlJc w:val="left"/>
      <w:pPr>
        <w:ind w:left="1440" w:hanging="360"/>
      </w:pPr>
      <w:rPr>
        <w:rFonts w:ascii="Courier New" w:hAnsi="Courier New" w:hint="default"/>
      </w:rPr>
    </w:lvl>
    <w:lvl w:ilvl="2" w:tplc="BE2C3274">
      <w:start w:val="1"/>
      <w:numFmt w:val="bullet"/>
      <w:lvlText w:val=""/>
      <w:lvlJc w:val="left"/>
      <w:pPr>
        <w:ind w:left="2160" w:hanging="360"/>
      </w:pPr>
      <w:rPr>
        <w:rFonts w:ascii="Wingdings" w:hAnsi="Wingdings" w:hint="default"/>
      </w:rPr>
    </w:lvl>
    <w:lvl w:ilvl="3" w:tplc="FADECC98">
      <w:start w:val="1"/>
      <w:numFmt w:val="bullet"/>
      <w:lvlText w:val=""/>
      <w:lvlJc w:val="left"/>
      <w:pPr>
        <w:ind w:left="2880" w:hanging="360"/>
      </w:pPr>
      <w:rPr>
        <w:rFonts w:ascii="Symbol" w:hAnsi="Symbol" w:hint="default"/>
      </w:rPr>
    </w:lvl>
    <w:lvl w:ilvl="4" w:tplc="8A4E6902">
      <w:start w:val="1"/>
      <w:numFmt w:val="bullet"/>
      <w:lvlText w:val="o"/>
      <w:lvlJc w:val="left"/>
      <w:pPr>
        <w:ind w:left="3600" w:hanging="360"/>
      </w:pPr>
      <w:rPr>
        <w:rFonts w:ascii="Courier New" w:hAnsi="Courier New" w:hint="default"/>
      </w:rPr>
    </w:lvl>
    <w:lvl w:ilvl="5" w:tplc="D58E5FA6">
      <w:start w:val="1"/>
      <w:numFmt w:val="bullet"/>
      <w:lvlText w:val=""/>
      <w:lvlJc w:val="left"/>
      <w:pPr>
        <w:ind w:left="4320" w:hanging="360"/>
      </w:pPr>
      <w:rPr>
        <w:rFonts w:ascii="Wingdings" w:hAnsi="Wingdings" w:hint="default"/>
      </w:rPr>
    </w:lvl>
    <w:lvl w:ilvl="6" w:tplc="CFF6A6D0">
      <w:start w:val="1"/>
      <w:numFmt w:val="bullet"/>
      <w:lvlText w:val=""/>
      <w:lvlJc w:val="left"/>
      <w:pPr>
        <w:ind w:left="5040" w:hanging="360"/>
      </w:pPr>
      <w:rPr>
        <w:rFonts w:ascii="Symbol" w:hAnsi="Symbol" w:hint="default"/>
      </w:rPr>
    </w:lvl>
    <w:lvl w:ilvl="7" w:tplc="EE9467A8">
      <w:start w:val="1"/>
      <w:numFmt w:val="bullet"/>
      <w:lvlText w:val="o"/>
      <w:lvlJc w:val="left"/>
      <w:pPr>
        <w:ind w:left="5760" w:hanging="360"/>
      </w:pPr>
      <w:rPr>
        <w:rFonts w:ascii="Courier New" w:hAnsi="Courier New" w:hint="default"/>
      </w:rPr>
    </w:lvl>
    <w:lvl w:ilvl="8" w:tplc="065C5E28">
      <w:start w:val="1"/>
      <w:numFmt w:val="bullet"/>
      <w:lvlText w:val=""/>
      <w:lvlJc w:val="left"/>
      <w:pPr>
        <w:ind w:left="6480" w:hanging="360"/>
      </w:pPr>
      <w:rPr>
        <w:rFonts w:ascii="Wingdings" w:hAnsi="Wingdings" w:hint="default"/>
      </w:rPr>
    </w:lvl>
  </w:abstractNum>
  <w:abstractNum w:abstractNumId="13" w15:restartNumberingAfterBreak="0">
    <w:nsid w:val="5B9314AF"/>
    <w:multiLevelType w:val="hybridMultilevel"/>
    <w:tmpl w:val="0050369E"/>
    <w:lvl w:ilvl="0" w:tplc="B0BA4B86">
      <w:start w:val="1"/>
      <w:numFmt w:val="decimal"/>
      <w:lvlText w:val="%1."/>
      <w:lvlJc w:val="left"/>
      <w:pPr>
        <w:ind w:left="720" w:hanging="360"/>
      </w:pPr>
    </w:lvl>
    <w:lvl w:ilvl="1" w:tplc="A32C4B78">
      <w:start w:val="1"/>
      <w:numFmt w:val="lowerLetter"/>
      <w:lvlText w:val="%2."/>
      <w:lvlJc w:val="left"/>
      <w:pPr>
        <w:ind w:left="1440" w:hanging="360"/>
      </w:pPr>
    </w:lvl>
    <w:lvl w:ilvl="2" w:tplc="CA6E5574">
      <w:start w:val="1"/>
      <w:numFmt w:val="lowerRoman"/>
      <w:lvlText w:val="%3."/>
      <w:lvlJc w:val="right"/>
      <w:pPr>
        <w:ind w:left="2160" w:hanging="180"/>
      </w:pPr>
    </w:lvl>
    <w:lvl w:ilvl="3" w:tplc="B198AB50">
      <w:start w:val="1"/>
      <w:numFmt w:val="decimal"/>
      <w:lvlText w:val="%4."/>
      <w:lvlJc w:val="left"/>
      <w:pPr>
        <w:ind w:left="2880" w:hanging="360"/>
      </w:pPr>
    </w:lvl>
    <w:lvl w:ilvl="4" w:tplc="9B2C68EC">
      <w:start w:val="1"/>
      <w:numFmt w:val="lowerLetter"/>
      <w:lvlText w:val="%5."/>
      <w:lvlJc w:val="left"/>
      <w:pPr>
        <w:ind w:left="3600" w:hanging="360"/>
      </w:pPr>
    </w:lvl>
    <w:lvl w:ilvl="5" w:tplc="C3D421AA">
      <w:start w:val="1"/>
      <w:numFmt w:val="lowerRoman"/>
      <w:lvlText w:val="%6."/>
      <w:lvlJc w:val="right"/>
      <w:pPr>
        <w:ind w:left="4320" w:hanging="180"/>
      </w:pPr>
    </w:lvl>
    <w:lvl w:ilvl="6" w:tplc="E474BB18">
      <w:start w:val="1"/>
      <w:numFmt w:val="decimal"/>
      <w:lvlText w:val="%7."/>
      <w:lvlJc w:val="left"/>
      <w:pPr>
        <w:ind w:left="5040" w:hanging="360"/>
      </w:pPr>
    </w:lvl>
    <w:lvl w:ilvl="7" w:tplc="0CF0CB76">
      <w:start w:val="1"/>
      <w:numFmt w:val="lowerLetter"/>
      <w:lvlText w:val="%8."/>
      <w:lvlJc w:val="left"/>
      <w:pPr>
        <w:ind w:left="5760" w:hanging="360"/>
      </w:pPr>
    </w:lvl>
    <w:lvl w:ilvl="8" w:tplc="EE5A92FC">
      <w:start w:val="1"/>
      <w:numFmt w:val="lowerRoman"/>
      <w:lvlText w:val="%9."/>
      <w:lvlJc w:val="right"/>
      <w:pPr>
        <w:ind w:left="6480" w:hanging="180"/>
      </w:pPr>
    </w:lvl>
  </w:abstractNum>
  <w:abstractNum w:abstractNumId="14" w15:restartNumberingAfterBreak="0">
    <w:nsid w:val="62E51724"/>
    <w:multiLevelType w:val="hybridMultilevel"/>
    <w:tmpl w:val="B4A486B8"/>
    <w:lvl w:ilvl="0" w:tplc="A990A6BE">
      <w:start w:val="1"/>
      <w:numFmt w:val="decimal"/>
      <w:lvlText w:val="%1."/>
      <w:lvlJc w:val="left"/>
      <w:pPr>
        <w:ind w:left="720" w:hanging="360"/>
      </w:pPr>
    </w:lvl>
    <w:lvl w:ilvl="1" w:tplc="4FF60B46">
      <w:start w:val="1"/>
      <w:numFmt w:val="lowerLetter"/>
      <w:lvlText w:val="%2."/>
      <w:lvlJc w:val="left"/>
      <w:pPr>
        <w:ind w:left="1440" w:hanging="360"/>
      </w:pPr>
    </w:lvl>
    <w:lvl w:ilvl="2" w:tplc="FC4CB49A">
      <w:start w:val="1"/>
      <w:numFmt w:val="lowerRoman"/>
      <w:lvlText w:val="%3."/>
      <w:lvlJc w:val="right"/>
      <w:pPr>
        <w:ind w:left="2160" w:hanging="180"/>
      </w:pPr>
    </w:lvl>
    <w:lvl w:ilvl="3" w:tplc="F50EA19C">
      <w:start w:val="1"/>
      <w:numFmt w:val="decimal"/>
      <w:lvlText w:val="%4."/>
      <w:lvlJc w:val="left"/>
      <w:pPr>
        <w:ind w:left="2880" w:hanging="360"/>
      </w:pPr>
    </w:lvl>
    <w:lvl w:ilvl="4" w:tplc="7094535A">
      <w:start w:val="1"/>
      <w:numFmt w:val="lowerLetter"/>
      <w:lvlText w:val="%5."/>
      <w:lvlJc w:val="left"/>
      <w:pPr>
        <w:ind w:left="3600" w:hanging="360"/>
      </w:pPr>
    </w:lvl>
    <w:lvl w:ilvl="5" w:tplc="06C872D8">
      <w:start w:val="1"/>
      <w:numFmt w:val="lowerRoman"/>
      <w:lvlText w:val="%6."/>
      <w:lvlJc w:val="right"/>
      <w:pPr>
        <w:ind w:left="4320" w:hanging="180"/>
      </w:pPr>
    </w:lvl>
    <w:lvl w:ilvl="6" w:tplc="51CC9352">
      <w:start w:val="1"/>
      <w:numFmt w:val="decimal"/>
      <w:lvlText w:val="%7."/>
      <w:lvlJc w:val="left"/>
      <w:pPr>
        <w:ind w:left="5040" w:hanging="360"/>
      </w:pPr>
    </w:lvl>
    <w:lvl w:ilvl="7" w:tplc="577C822E">
      <w:start w:val="1"/>
      <w:numFmt w:val="lowerLetter"/>
      <w:lvlText w:val="%8."/>
      <w:lvlJc w:val="left"/>
      <w:pPr>
        <w:ind w:left="5760" w:hanging="360"/>
      </w:pPr>
    </w:lvl>
    <w:lvl w:ilvl="8" w:tplc="89922378">
      <w:start w:val="1"/>
      <w:numFmt w:val="lowerRoman"/>
      <w:lvlText w:val="%9."/>
      <w:lvlJc w:val="right"/>
      <w:pPr>
        <w:ind w:left="6480" w:hanging="180"/>
      </w:pPr>
    </w:lvl>
  </w:abstractNum>
  <w:abstractNum w:abstractNumId="15" w15:restartNumberingAfterBreak="0">
    <w:nsid w:val="680FE067"/>
    <w:multiLevelType w:val="hybridMultilevel"/>
    <w:tmpl w:val="B72EE9E4"/>
    <w:lvl w:ilvl="0" w:tplc="6E30826E">
      <w:start w:val="2"/>
      <w:numFmt w:val="decimal"/>
      <w:lvlText w:val="%1."/>
      <w:lvlJc w:val="left"/>
      <w:pPr>
        <w:ind w:left="720" w:hanging="360"/>
      </w:pPr>
    </w:lvl>
    <w:lvl w:ilvl="1" w:tplc="2F3EDCA0">
      <w:start w:val="1"/>
      <w:numFmt w:val="lowerLetter"/>
      <w:lvlText w:val="%2."/>
      <w:lvlJc w:val="left"/>
      <w:pPr>
        <w:ind w:left="1440" w:hanging="360"/>
      </w:pPr>
    </w:lvl>
    <w:lvl w:ilvl="2" w:tplc="A3629924">
      <w:start w:val="1"/>
      <w:numFmt w:val="lowerRoman"/>
      <w:lvlText w:val="%3."/>
      <w:lvlJc w:val="right"/>
      <w:pPr>
        <w:ind w:left="2160" w:hanging="180"/>
      </w:pPr>
    </w:lvl>
    <w:lvl w:ilvl="3" w:tplc="A0EAADF2">
      <w:start w:val="1"/>
      <w:numFmt w:val="decimal"/>
      <w:lvlText w:val="%4."/>
      <w:lvlJc w:val="left"/>
      <w:pPr>
        <w:ind w:left="2880" w:hanging="360"/>
      </w:pPr>
    </w:lvl>
    <w:lvl w:ilvl="4" w:tplc="A22C19D4">
      <w:start w:val="1"/>
      <w:numFmt w:val="lowerLetter"/>
      <w:lvlText w:val="%5."/>
      <w:lvlJc w:val="left"/>
      <w:pPr>
        <w:ind w:left="3600" w:hanging="360"/>
      </w:pPr>
    </w:lvl>
    <w:lvl w:ilvl="5" w:tplc="1B364A8E">
      <w:start w:val="1"/>
      <w:numFmt w:val="lowerRoman"/>
      <w:lvlText w:val="%6."/>
      <w:lvlJc w:val="right"/>
      <w:pPr>
        <w:ind w:left="4320" w:hanging="180"/>
      </w:pPr>
    </w:lvl>
    <w:lvl w:ilvl="6" w:tplc="7630B42A">
      <w:start w:val="1"/>
      <w:numFmt w:val="decimal"/>
      <w:lvlText w:val="%7."/>
      <w:lvlJc w:val="left"/>
      <w:pPr>
        <w:ind w:left="5040" w:hanging="360"/>
      </w:pPr>
    </w:lvl>
    <w:lvl w:ilvl="7" w:tplc="629C8CF2">
      <w:start w:val="1"/>
      <w:numFmt w:val="lowerLetter"/>
      <w:lvlText w:val="%8."/>
      <w:lvlJc w:val="left"/>
      <w:pPr>
        <w:ind w:left="5760" w:hanging="360"/>
      </w:pPr>
    </w:lvl>
    <w:lvl w:ilvl="8" w:tplc="C9A8B270">
      <w:start w:val="1"/>
      <w:numFmt w:val="lowerRoman"/>
      <w:lvlText w:val="%9."/>
      <w:lvlJc w:val="right"/>
      <w:pPr>
        <w:ind w:left="6480" w:hanging="180"/>
      </w:pPr>
    </w:lvl>
  </w:abstractNum>
  <w:abstractNum w:abstractNumId="16" w15:restartNumberingAfterBreak="0">
    <w:nsid w:val="79937E2B"/>
    <w:multiLevelType w:val="hybridMultilevel"/>
    <w:tmpl w:val="398C1718"/>
    <w:lvl w:ilvl="0" w:tplc="70CEE9DE">
      <w:start w:val="1"/>
      <w:numFmt w:val="bullet"/>
      <w:lvlText w:val=""/>
      <w:lvlJc w:val="left"/>
      <w:pPr>
        <w:ind w:left="720" w:hanging="360"/>
      </w:pPr>
      <w:rPr>
        <w:rFonts w:ascii="Symbol" w:hAnsi="Symbol" w:hint="default"/>
      </w:rPr>
    </w:lvl>
    <w:lvl w:ilvl="1" w:tplc="80B04814">
      <w:start w:val="1"/>
      <w:numFmt w:val="bullet"/>
      <w:lvlText w:val="o"/>
      <w:lvlJc w:val="left"/>
      <w:pPr>
        <w:ind w:left="1440" w:hanging="360"/>
      </w:pPr>
      <w:rPr>
        <w:rFonts w:ascii="Courier New" w:hAnsi="Courier New" w:hint="default"/>
      </w:rPr>
    </w:lvl>
    <w:lvl w:ilvl="2" w:tplc="A73A0182">
      <w:start w:val="1"/>
      <w:numFmt w:val="bullet"/>
      <w:lvlText w:val=""/>
      <w:lvlJc w:val="left"/>
      <w:pPr>
        <w:ind w:left="2160" w:hanging="360"/>
      </w:pPr>
      <w:rPr>
        <w:rFonts w:ascii="Wingdings" w:hAnsi="Wingdings" w:hint="default"/>
      </w:rPr>
    </w:lvl>
    <w:lvl w:ilvl="3" w:tplc="4200599E">
      <w:start w:val="1"/>
      <w:numFmt w:val="bullet"/>
      <w:lvlText w:val=""/>
      <w:lvlJc w:val="left"/>
      <w:pPr>
        <w:ind w:left="2880" w:hanging="360"/>
      </w:pPr>
      <w:rPr>
        <w:rFonts w:ascii="Symbol" w:hAnsi="Symbol" w:hint="default"/>
      </w:rPr>
    </w:lvl>
    <w:lvl w:ilvl="4" w:tplc="7778D094">
      <w:start w:val="1"/>
      <w:numFmt w:val="bullet"/>
      <w:lvlText w:val="o"/>
      <w:lvlJc w:val="left"/>
      <w:pPr>
        <w:ind w:left="3600" w:hanging="360"/>
      </w:pPr>
      <w:rPr>
        <w:rFonts w:ascii="Courier New" w:hAnsi="Courier New" w:hint="default"/>
      </w:rPr>
    </w:lvl>
    <w:lvl w:ilvl="5" w:tplc="7C82E3CC">
      <w:start w:val="1"/>
      <w:numFmt w:val="bullet"/>
      <w:lvlText w:val=""/>
      <w:lvlJc w:val="left"/>
      <w:pPr>
        <w:ind w:left="4320" w:hanging="360"/>
      </w:pPr>
      <w:rPr>
        <w:rFonts w:ascii="Wingdings" w:hAnsi="Wingdings" w:hint="default"/>
      </w:rPr>
    </w:lvl>
    <w:lvl w:ilvl="6" w:tplc="C2B8BDF4">
      <w:start w:val="1"/>
      <w:numFmt w:val="bullet"/>
      <w:lvlText w:val=""/>
      <w:lvlJc w:val="left"/>
      <w:pPr>
        <w:ind w:left="5040" w:hanging="360"/>
      </w:pPr>
      <w:rPr>
        <w:rFonts w:ascii="Symbol" w:hAnsi="Symbol" w:hint="default"/>
      </w:rPr>
    </w:lvl>
    <w:lvl w:ilvl="7" w:tplc="E5FEF672">
      <w:start w:val="1"/>
      <w:numFmt w:val="bullet"/>
      <w:lvlText w:val="o"/>
      <w:lvlJc w:val="left"/>
      <w:pPr>
        <w:ind w:left="5760" w:hanging="360"/>
      </w:pPr>
      <w:rPr>
        <w:rFonts w:ascii="Courier New" w:hAnsi="Courier New" w:hint="default"/>
      </w:rPr>
    </w:lvl>
    <w:lvl w:ilvl="8" w:tplc="06AA00AE">
      <w:start w:val="1"/>
      <w:numFmt w:val="bullet"/>
      <w:lvlText w:val=""/>
      <w:lvlJc w:val="left"/>
      <w:pPr>
        <w:ind w:left="6480" w:hanging="360"/>
      </w:pPr>
      <w:rPr>
        <w:rFonts w:ascii="Wingdings" w:hAnsi="Wingdings" w:hint="default"/>
      </w:rPr>
    </w:lvl>
  </w:abstractNum>
  <w:abstractNum w:abstractNumId="17" w15:restartNumberingAfterBreak="0">
    <w:nsid w:val="7A7412A6"/>
    <w:multiLevelType w:val="hybridMultilevel"/>
    <w:tmpl w:val="C91E283A"/>
    <w:lvl w:ilvl="0" w:tplc="AA1A14BA">
      <w:start w:val="1"/>
      <w:numFmt w:val="decimal"/>
      <w:lvlText w:val="%1."/>
      <w:lvlJc w:val="left"/>
      <w:pPr>
        <w:ind w:left="720" w:hanging="360"/>
      </w:pPr>
    </w:lvl>
    <w:lvl w:ilvl="1" w:tplc="71C03820">
      <w:start w:val="1"/>
      <w:numFmt w:val="lowerLetter"/>
      <w:lvlText w:val="%2."/>
      <w:lvlJc w:val="left"/>
      <w:pPr>
        <w:ind w:left="1440" w:hanging="360"/>
      </w:pPr>
    </w:lvl>
    <w:lvl w:ilvl="2" w:tplc="9F4A608E">
      <w:start w:val="1"/>
      <w:numFmt w:val="lowerRoman"/>
      <w:lvlText w:val="%3."/>
      <w:lvlJc w:val="right"/>
      <w:pPr>
        <w:ind w:left="2160" w:hanging="180"/>
      </w:pPr>
    </w:lvl>
    <w:lvl w:ilvl="3" w:tplc="B6E871D6">
      <w:start w:val="1"/>
      <w:numFmt w:val="decimal"/>
      <w:lvlText w:val="%4."/>
      <w:lvlJc w:val="left"/>
      <w:pPr>
        <w:ind w:left="2880" w:hanging="360"/>
      </w:pPr>
    </w:lvl>
    <w:lvl w:ilvl="4" w:tplc="A9EA233A">
      <w:start w:val="1"/>
      <w:numFmt w:val="lowerLetter"/>
      <w:lvlText w:val="%5."/>
      <w:lvlJc w:val="left"/>
      <w:pPr>
        <w:ind w:left="3600" w:hanging="360"/>
      </w:pPr>
    </w:lvl>
    <w:lvl w:ilvl="5" w:tplc="D38077F6">
      <w:start w:val="1"/>
      <w:numFmt w:val="lowerRoman"/>
      <w:lvlText w:val="%6."/>
      <w:lvlJc w:val="right"/>
      <w:pPr>
        <w:ind w:left="4320" w:hanging="180"/>
      </w:pPr>
    </w:lvl>
    <w:lvl w:ilvl="6" w:tplc="BA56287C">
      <w:start w:val="1"/>
      <w:numFmt w:val="decimal"/>
      <w:lvlText w:val="%7."/>
      <w:lvlJc w:val="left"/>
      <w:pPr>
        <w:ind w:left="5040" w:hanging="360"/>
      </w:pPr>
    </w:lvl>
    <w:lvl w:ilvl="7" w:tplc="8196F340">
      <w:start w:val="1"/>
      <w:numFmt w:val="lowerLetter"/>
      <w:lvlText w:val="%8."/>
      <w:lvlJc w:val="left"/>
      <w:pPr>
        <w:ind w:left="5760" w:hanging="360"/>
      </w:pPr>
    </w:lvl>
    <w:lvl w:ilvl="8" w:tplc="7E96C8D4">
      <w:start w:val="1"/>
      <w:numFmt w:val="lowerRoman"/>
      <w:lvlText w:val="%9."/>
      <w:lvlJc w:val="right"/>
      <w:pPr>
        <w:ind w:left="6480" w:hanging="180"/>
      </w:pPr>
    </w:lvl>
  </w:abstractNum>
  <w:abstractNum w:abstractNumId="18" w15:restartNumberingAfterBreak="0">
    <w:nsid w:val="7B7086FD"/>
    <w:multiLevelType w:val="hybridMultilevel"/>
    <w:tmpl w:val="167CE51E"/>
    <w:lvl w:ilvl="0" w:tplc="6390E5DA">
      <w:start w:val="1"/>
      <w:numFmt w:val="bullet"/>
      <w:lvlText w:val=""/>
      <w:lvlJc w:val="left"/>
      <w:pPr>
        <w:ind w:left="720" w:hanging="360"/>
      </w:pPr>
      <w:rPr>
        <w:rFonts w:ascii="Symbol" w:hAnsi="Symbol" w:hint="default"/>
      </w:rPr>
    </w:lvl>
    <w:lvl w:ilvl="1" w:tplc="5CD238A2">
      <w:start w:val="1"/>
      <w:numFmt w:val="bullet"/>
      <w:lvlText w:val="o"/>
      <w:lvlJc w:val="left"/>
      <w:pPr>
        <w:ind w:left="1440" w:hanging="360"/>
      </w:pPr>
      <w:rPr>
        <w:rFonts w:ascii="Courier New" w:hAnsi="Courier New" w:hint="default"/>
      </w:rPr>
    </w:lvl>
    <w:lvl w:ilvl="2" w:tplc="117658D6">
      <w:start w:val="1"/>
      <w:numFmt w:val="bullet"/>
      <w:lvlText w:val=""/>
      <w:lvlJc w:val="left"/>
      <w:pPr>
        <w:ind w:left="2160" w:hanging="360"/>
      </w:pPr>
      <w:rPr>
        <w:rFonts w:ascii="Wingdings" w:hAnsi="Wingdings" w:hint="default"/>
      </w:rPr>
    </w:lvl>
    <w:lvl w:ilvl="3" w:tplc="7DF83956">
      <w:start w:val="1"/>
      <w:numFmt w:val="bullet"/>
      <w:lvlText w:val=""/>
      <w:lvlJc w:val="left"/>
      <w:pPr>
        <w:ind w:left="2880" w:hanging="360"/>
      </w:pPr>
      <w:rPr>
        <w:rFonts w:ascii="Symbol" w:hAnsi="Symbol" w:hint="default"/>
      </w:rPr>
    </w:lvl>
    <w:lvl w:ilvl="4" w:tplc="E938B7FE">
      <w:start w:val="1"/>
      <w:numFmt w:val="bullet"/>
      <w:lvlText w:val="o"/>
      <w:lvlJc w:val="left"/>
      <w:pPr>
        <w:ind w:left="3600" w:hanging="360"/>
      </w:pPr>
      <w:rPr>
        <w:rFonts w:ascii="Courier New" w:hAnsi="Courier New" w:hint="default"/>
      </w:rPr>
    </w:lvl>
    <w:lvl w:ilvl="5" w:tplc="3C481840">
      <w:start w:val="1"/>
      <w:numFmt w:val="bullet"/>
      <w:lvlText w:val=""/>
      <w:lvlJc w:val="left"/>
      <w:pPr>
        <w:ind w:left="4320" w:hanging="360"/>
      </w:pPr>
      <w:rPr>
        <w:rFonts w:ascii="Wingdings" w:hAnsi="Wingdings" w:hint="default"/>
      </w:rPr>
    </w:lvl>
    <w:lvl w:ilvl="6" w:tplc="9BFC800E">
      <w:start w:val="1"/>
      <w:numFmt w:val="bullet"/>
      <w:lvlText w:val=""/>
      <w:lvlJc w:val="left"/>
      <w:pPr>
        <w:ind w:left="5040" w:hanging="360"/>
      </w:pPr>
      <w:rPr>
        <w:rFonts w:ascii="Symbol" w:hAnsi="Symbol" w:hint="default"/>
      </w:rPr>
    </w:lvl>
    <w:lvl w:ilvl="7" w:tplc="01AA4D92">
      <w:start w:val="1"/>
      <w:numFmt w:val="bullet"/>
      <w:lvlText w:val="o"/>
      <w:lvlJc w:val="left"/>
      <w:pPr>
        <w:ind w:left="5760" w:hanging="360"/>
      </w:pPr>
      <w:rPr>
        <w:rFonts w:ascii="Courier New" w:hAnsi="Courier New" w:hint="default"/>
      </w:rPr>
    </w:lvl>
    <w:lvl w:ilvl="8" w:tplc="49C8EEF8">
      <w:start w:val="1"/>
      <w:numFmt w:val="bullet"/>
      <w:lvlText w:val=""/>
      <w:lvlJc w:val="left"/>
      <w:pPr>
        <w:ind w:left="6480" w:hanging="360"/>
      </w:pPr>
      <w:rPr>
        <w:rFonts w:ascii="Wingdings" w:hAnsi="Wingdings" w:hint="default"/>
      </w:rPr>
    </w:lvl>
  </w:abstractNum>
  <w:abstractNum w:abstractNumId="19" w15:restartNumberingAfterBreak="0">
    <w:nsid w:val="7F85B40B"/>
    <w:multiLevelType w:val="hybridMultilevel"/>
    <w:tmpl w:val="3FB2EF7E"/>
    <w:lvl w:ilvl="0" w:tplc="399C7604">
      <w:start w:val="1"/>
      <w:numFmt w:val="bullet"/>
      <w:lvlText w:val="·"/>
      <w:lvlJc w:val="left"/>
      <w:pPr>
        <w:ind w:left="720" w:hanging="360"/>
      </w:pPr>
      <w:rPr>
        <w:rFonts w:ascii="Symbol" w:hAnsi="Symbol" w:hint="default"/>
      </w:rPr>
    </w:lvl>
    <w:lvl w:ilvl="1" w:tplc="F6F24B7C">
      <w:start w:val="1"/>
      <w:numFmt w:val="bullet"/>
      <w:lvlText w:val="o"/>
      <w:lvlJc w:val="left"/>
      <w:pPr>
        <w:ind w:left="1440" w:hanging="360"/>
      </w:pPr>
      <w:rPr>
        <w:rFonts w:ascii="Courier New" w:hAnsi="Courier New" w:hint="default"/>
      </w:rPr>
    </w:lvl>
    <w:lvl w:ilvl="2" w:tplc="3B442628">
      <w:start w:val="1"/>
      <w:numFmt w:val="bullet"/>
      <w:lvlText w:val=""/>
      <w:lvlJc w:val="left"/>
      <w:pPr>
        <w:ind w:left="2160" w:hanging="360"/>
      </w:pPr>
      <w:rPr>
        <w:rFonts w:ascii="Wingdings" w:hAnsi="Wingdings" w:hint="default"/>
      </w:rPr>
    </w:lvl>
    <w:lvl w:ilvl="3" w:tplc="3A14646C">
      <w:start w:val="1"/>
      <w:numFmt w:val="bullet"/>
      <w:lvlText w:val=""/>
      <w:lvlJc w:val="left"/>
      <w:pPr>
        <w:ind w:left="2880" w:hanging="360"/>
      </w:pPr>
      <w:rPr>
        <w:rFonts w:ascii="Symbol" w:hAnsi="Symbol" w:hint="default"/>
      </w:rPr>
    </w:lvl>
    <w:lvl w:ilvl="4" w:tplc="E51861C6">
      <w:start w:val="1"/>
      <w:numFmt w:val="bullet"/>
      <w:lvlText w:val="o"/>
      <w:lvlJc w:val="left"/>
      <w:pPr>
        <w:ind w:left="3600" w:hanging="360"/>
      </w:pPr>
      <w:rPr>
        <w:rFonts w:ascii="Courier New" w:hAnsi="Courier New" w:hint="default"/>
      </w:rPr>
    </w:lvl>
    <w:lvl w:ilvl="5" w:tplc="60F88B02">
      <w:start w:val="1"/>
      <w:numFmt w:val="bullet"/>
      <w:lvlText w:val=""/>
      <w:lvlJc w:val="left"/>
      <w:pPr>
        <w:ind w:left="4320" w:hanging="360"/>
      </w:pPr>
      <w:rPr>
        <w:rFonts w:ascii="Wingdings" w:hAnsi="Wingdings" w:hint="default"/>
      </w:rPr>
    </w:lvl>
    <w:lvl w:ilvl="6" w:tplc="50CC17E6">
      <w:start w:val="1"/>
      <w:numFmt w:val="bullet"/>
      <w:lvlText w:val=""/>
      <w:lvlJc w:val="left"/>
      <w:pPr>
        <w:ind w:left="5040" w:hanging="360"/>
      </w:pPr>
      <w:rPr>
        <w:rFonts w:ascii="Symbol" w:hAnsi="Symbol" w:hint="default"/>
      </w:rPr>
    </w:lvl>
    <w:lvl w:ilvl="7" w:tplc="5AB2FAAC">
      <w:start w:val="1"/>
      <w:numFmt w:val="bullet"/>
      <w:lvlText w:val="o"/>
      <w:lvlJc w:val="left"/>
      <w:pPr>
        <w:ind w:left="5760" w:hanging="360"/>
      </w:pPr>
      <w:rPr>
        <w:rFonts w:ascii="Courier New" w:hAnsi="Courier New" w:hint="default"/>
      </w:rPr>
    </w:lvl>
    <w:lvl w:ilvl="8" w:tplc="4CACC05C">
      <w:start w:val="1"/>
      <w:numFmt w:val="bullet"/>
      <w:lvlText w:val=""/>
      <w:lvlJc w:val="left"/>
      <w:pPr>
        <w:ind w:left="6480" w:hanging="360"/>
      </w:pPr>
      <w:rPr>
        <w:rFonts w:ascii="Wingdings" w:hAnsi="Wingdings" w:hint="default"/>
      </w:rPr>
    </w:lvl>
  </w:abstractNum>
  <w:num w:numId="1" w16cid:durableId="1238789061">
    <w:abstractNumId w:val="5"/>
  </w:num>
  <w:num w:numId="2" w16cid:durableId="1604800454">
    <w:abstractNumId w:val="13"/>
  </w:num>
  <w:num w:numId="3" w16cid:durableId="51386786">
    <w:abstractNumId w:val="9"/>
  </w:num>
  <w:num w:numId="4" w16cid:durableId="1486163149">
    <w:abstractNumId w:val="0"/>
  </w:num>
  <w:num w:numId="5" w16cid:durableId="1453088332">
    <w:abstractNumId w:val="15"/>
  </w:num>
  <w:num w:numId="6" w16cid:durableId="1845052861">
    <w:abstractNumId w:val="10"/>
  </w:num>
  <w:num w:numId="7" w16cid:durableId="1676616620">
    <w:abstractNumId w:val="7"/>
  </w:num>
  <w:num w:numId="8" w16cid:durableId="1198466043">
    <w:abstractNumId w:val="8"/>
  </w:num>
  <w:num w:numId="9" w16cid:durableId="1996757072">
    <w:abstractNumId w:val="2"/>
  </w:num>
  <w:num w:numId="10" w16cid:durableId="474614855">
    <w:abstractNumId w:val="19"/>
  </w:num>
  <w:num w:numId="11" w16cid:durableId="53624395">
    <w:abstractNumId w:val="11"/>
  </w:num>
  <w:num w:numId="12" w16cid:durableId="1225339503">
    <w:abstractNumId w:val="3"/>
  </w:num>
  <w:num w:numId="13" w16cid:durableId="623662331">
    <w:abstractNumId w:val="12"/>
  </w:num>
  <w:num w:numId="14" w16cid:durableId="1230263107">
    <w:abstractNumId w:val="4"/>
  </w:num>
  <w:num w:numId="15" w16cid:durableId="1423142701">
    <w:abstractNumId w:val="6"/>
  </w:num>
  <w:num w:numId="16" w16cid:durableId="1503273353">
    <w:abstractNumId w:val="1"/>
  </w:num>
  <w:num w:numId="17" w16cid:durableId="1106924839">
    <w:abstractNumId w:val="14"/>
  </w:num>
  <w:num w:numId="18" w16cid:durableId="1967736404">
    <w:abstractNumId w:val="17"/>
  </w:num>
  <w:num w:numId="19" w16cid:durableId="307631940">
    <w:abstractNumId w:val="18"/>
  </w:num>
  <w:num w:numId="20" w16cid:durableId="18350265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B83ECE"/>
    <w:rsid w:val="000B6A16"/>
    <w:rsid w:val="0011497C"/>
    <w:rsid w:val="00114E27"/>
    <w:rsid w:val="003309F4"/>
    <w:rsid w:val="00331683"/>
    <w:rsid w:val="005743D4"/>
    <w:rsid w:val="00837CF9"/>
    <w:rsid w:val="00912F60"/>
    <w:rsid w:val="00A2543F"/>
    <w:rsid w:val="00BB9C89"/>
    <w:rsid w:val="00CD52D8"/>
    <w:rsid w:val="00D62726"/>
    <w:rsid w:val="00E37B6E"/>
    <w:rsid w:val="00E72437"/>
    <w:rsid w:val="00F90D99"/>
    <w:rsid w:val="00FE1918"/>
    <w:rsid w:val="00FFD0F2"/>
    <w:rsid w:val="010033C0"/>
    <w:rsid w:val="013DC258"/>
    <w:rsid w:val="0149389A"/>
    <w:rsid w:val="014E1F19"/>
    <w:rsid w:val="015CD222"/>
    <w:rsid w:val="018A1239"/>
    <w:rsid w:val="019BA59E"/>
    <w:rsid w:val="01B9A541"/>
    <w:rsid w:val="01CDC18E"/>
    <w:rsid w:val="01D0E9BA"/>
    <w:rsid w:val="01DA172C"/>
    <w:rsid w:val="01F09596"/>
    <w:rsid w:val="02176155"/>
    <w:rsid w:val="021ECFE4"/>
    <w:rsid w:val="02252700"/>
    <w:rsid w:val="0228C8A9"/>
    <w:rsid w:val="0234EE8F"/>
    <w:rsid w:val="0245537D"/>
    <w:rsid w:val="024F8FD4"/>
    <w:rsid w:val="027F4BCF"/>
    <w:rsid w:val="0282F498"/>
    <w:rsid w:val="029A570B"/>
    <w:rsid w:val="02AFF2DD"/>
    <w:rsid w:val="02C8F0BD"/>
    <w:rsid w:val="02E0CFB2"/>
    <w:rsid w:val="02E14E1D"/>
    <w:rsid w:val="02E878B2"/>
    <w:rsid w:val="02F13AF0"/>
    <w:rsid w:val="02F900D9"/>
    <w:rsid w:val="0318E3D7"/>
    <w:rsid w:val="031E3E4C"/>
    <w:rsid w:val="031EAB29"/>
    <w:rsid w:val="032E3DA2"/>
    <w:rsid w:val="036CBA1B"/>
    <w:rsid w:val="0391458C"/>
    <w:rsid w:val="03BAA045"/>
    <w:rsid w:val="03EDFAFF"/>
    <w:rsid w:val="040BEAF8"/>
    <w:rsid w:val="04260C1B"/>
    <w:rsid w:val="046BFD50"/>
    <w:rsid w:val="048D0B51"/>
    <w:rsid w:val="04A9C1F2"/>
    <w:rsid w:val="04C9DBF1"/>
    <w:rsid w:val="04EDA019"/>
    <w:rsid w:val="04FEDAF0"/>
    <w:rsid w:val="0506C876"/>
    <w:rsid w:val="0566287A"/>
    <w:rsid w:val="05A7BB59"/>
    <w:rsid w:val="05C939F8"/>
    <w:rsid w:val="05D75990"/>
    <w:rsid w:val="05DD5025"/>
    <w:rsid w:val="05E99828"/>
    <w:rsid w:val="06104C3F"/>
    <w:rsid w:val="0610B605"/>
    <w:rsid w:val="061192DD"/>
    <w:rsid w:val="061C1757"/>
    <w:rsid w:val="062F45C8"/>
    <w:rsid w:val="063213B7"/>
    <w:rsid w:val="06547824"/>
    <w:rsid w:val="0677E48B"/>
    <w:rsid w:val="068902EC"/>
    <w:rsid w:val="06B48C9F"/>
    <w:rsid w:val="06B60CDB"/>
    <w:rsid w:val="06C6F833"/>
    <w:rsid w:val="06E20EAB"/>
    <w:rsid w:val="06E95B01"/>
    <w:rsid w:val="06F5CE98"/>
    <w:rsid w:val="071386A2"/>
    <w:rsid w:val="071CDB67"/>
    <w:rsid w:val="07408FB7"/>
    <w:rsid w:val="07666756"/>
    <w:rsid w:val="0787280E"/>
    <w:rsid w:val="07AC8666"/>
    <w:rsid w:val="07ADE822"/>
    <w:rsid w:val="07C436DF"/>
    <w:rsid w:val="07CABD78"/>
    <w:rsid w:val="07D2972E"/>
    <w:rsid w:val="07D4E247"/>
    <w:rsid w:val="07D6EDA1"/>
    <w:rsid w:val="07FBB709"/>
    <w:rsid w:val="081C5E17"/>
    <w:rsid w:val="082612CF"/>
    <w:rsid w:val="08505D00"/>
    <w:rsid w:val="0888F87F"/>
    <w:rsid w:val="088BE1C7"/>
    <w:rsid w:val="089FCDC5"/>
    <w:rsid w:val="08A89FB8"/>
    <w:rsid w:val="08B0EBBD"/>
    <w:rsid w:val="08B26C24"/>
    <w:rsid w:val="08F77D8C"/>
    <w:rsid w:val="09024E82"/>
    <w:rsid w:val="09363B84"/>
    <w:rsid w:val="09788F84"/>
    <w:rsid w:val="097D8EDB"/>
    <w:rsid w:val="0994603C"/>
    <w:rsid w:val="09B83ECE"/>
    <w:rsid w:val="09C24C75"/>
    <w:rsid w:val="09DB6AB8"/>
    <w:rsid w:val="09E05B78"/>
    <w:rsid w:val="09EE59A6"/>
    <w:rsid w:val="0A067633"/>
    <w:rsid w:val="0A1FFD7D"/>
    <w:rsid w:val="0A7B2C7C"/>
    <w:rsid w:val="0A824707"/>
    <w:rsid w:val="0A8E067D"/>
    <w:rsid w:val="0AA78220"/>
    <w:rsid w:val="0AC5953D"/>
    <w:rsid w:val="0AC5E9FC"/>
    <w:rsid w:val="0AD293B4"/>
    <w:rsid w:val="0AEA6807"/>
    <w:rsid w:val="0AEBA9AA"/>
    <w:rsid w:val="0AEEEC6A"/>
    <w:rsid w:val="0AF5EACC"/>
    <w:rsid w:val="0AFBD7A1"/>
    <w:rsid w:val="0B025E3A"/>
    <w:rsid w:val="0B1AED85"/>
    <w:rsid w:val="0B3603E4"/>
    <w:rsid w:val="0B5117E0"/>
    <w:rsid w:val="0B9D84BC"/>
    <w:rsid w:val="0BAE7754"/>
    <w:rsid w:val="0BC38289"/>
    <w:rsid w:val="0BCED351"/>
    <w:rsid w:val="0BE158E7"/>
    <w:rsid w:val="0BFBB154"/>
    <w:rsid w:val="0C016BE8"/>
    <w:rsid w:val="0C23D5B3"/>
    <w:rsid w:val="0C24DA8B"/>
    <w:rsid w:val="0C2732F4"/>
    <w:rsid w:val="0C377C33"/>
    <w:rsid w:val="0C435281"/>
    <w:rsid w:val="0C4BB662"/>
    <w:rsid w:val="0C7881C1"/>
    <w:rsid w:val="0C960CEF"/>
    <w:rsid w:val="0CB789D1"/>
    <w:rsid w:val="0CBB33DA"/>
    <w:rsid w:val="0CC26849"/>
    <w:rsid w:val="0CCB631F"/>
    <w:rsid w:val="0CF8B1FE"/>
    <w:rsid w:val="0CF9D83F"/>
    <w:rsid w:val="0D257FD9"/>
    <w:rsid w:val="0D2E34D3"/>
    <w:rsid w:val="0D518CAE"/>
    <w:rsid w:val="0D71B5B8"/>
    <w:rsid w:val="0D824008"/>
    <w:rsid w:val="0D9781B5"/>
    <w:rsid w:val="0D9F9F9F"/>
    <w:rsid w:val="0DBC7001"/>
    <w:rsid w:val="0DC39755"/>
    <w:rsid w:val="0DC5A73F"/>
    <w:rsid w:val="0E118FBC"/>
    <w:rsid w:val="0E3D467B"/>
    <w:rsid w:val="0E5E448D"/>
    <w:rsid w:val="0EDAFBCF"/>
    <w:rsid w:val="0EED2090"/>
    <w:rsid w:val="0EFE7F5C"/>
    <w:rsid w:val="0EFFC753"/>
    <w:rsid w:val="0F1E1069"/>
    <w:rsid w:val="0F4E9D9F"/>
    <w:rsid w:val="0F53D1B5"/>
    <w:rsid w:val="0F5688CE"/>
    <w:rsid w:val="0F6177A0"/>
    <w:rsid w:val="0FDD31FA"/>
    <w:rsid w:val="10031217"/>
    <w:rsid w:val="10221B5F"/>
    <w:rsid w:val="10317901"/>
    <w:rsid w:val="104F9CFC"/>
    <w:rsid w:val="10679CBE"/>
    <w:rsid w:val="1088F0F1"/>
    <w:rsid w:val="108B2284"/>
    <w:rsid w:val="109486CA"/>
    <w:rsid w:val="1096B2E1"/>
    <w:rsid w:val="10EA6E00"/>
    <w:rsid w:val="10EFA216"/>
    <w:rsid w:val="10FC01FB"/>
    <w:rsid w:val="10FC8E18"/>
    <w:rsid w:val="110357E5"/>
    <w:rsid w:val="110AED56"/>
    <w:rsid w:val="111B08D6"/>
    <w:rsid w:val="111C97FA"/>
    <w:rsid w:val="1156701D"/>
    <w:rsid w:val="1158AC21"/>
    <w:rsid w:val="115EC547"/>
    <w:rsid w:val="118683D1"/>
    <w:rsid w:val="11A2994F"/>
    <w:rsid w:val="11B26E72"/>
    <w:rsid w:val="11CE2EA4"/>
    <w:rsid w:val="11D65B11"/>
    <w:rsid w:val="11DA1273"/>
    <w:rsid w:val="11E473A8"/>
    <w:rsid w:val="1224C152"/>
    <w:rsid w:val="122E3EAE"/>
    <w:rsid w:val="124853FE"/>
    <w:rsid w:val="12496B60"/>
    <w:rsid w:val="126CCDEF"/>
    <w:rsid w:val="128F2FD4"/>
    <w:rsid w:val="12922D62"/>
    <w:rsid w:val="129B384B"/>
    <w:rsid w:val="12B8685B"/>
    <w:rsid w:val="12BDEA6F"/>
    <w:rsid w:val="12C1B1DC"/>
    <w:rsid w:val="12C2BBE5"/>
    <w:rsid w:val="12C3C779"/>
    <w:rsid w:val="12CB9E0C"/>
    <w:rsid w:val="12EF245C"/>
    <w:rsid w:val="131070A1"/>
    <w:rsid w:val="13804409"/>
    <w:rsid w:val="138ACB6B"/>
    <w:rsid w:val="1392CE45"/>
    <w:rsid w:val="13C091B3"/>
    <w:rsid w:val="13C4A0C5"/>
    <w:rsid w:val="13D53FF2"/>
    <w:rsid w:val="13DB77A2"/>
    <w:rsid w:val="13DE43E3"/>
    <w:rsid w:val="13E4D939"/>
    <w:rsid w:val="1404AC67"/>
    <w:rsid w:val="14237E8C"/>
    <w:rsid w:val="14509434"/>
    <w:rsid w:val="1455E5D2"/>
    <w:rsid w:val="14820AC2"/>
    <w:rsid w:val="14BC7086"/>
    <w:rsid w:val="14C69BEE"/>
    <w:rsid w:val="14C9E9FB"/>
    <w:rsid w:val="14F58C82"/>
    <w:rsid w:val="155C6214"/>
    <w:rsid w:val="156B0A1D"/>
    <w:rsid w:val="156F1D41"/>
    <w:rsid w:val="157FF4C0"/>
    <w:rsid w:val="158F5612"/>
    <w:rsid w:val="15B2715B"/>
    <w:rsid w:val="15EAEA09"/>
    <w:rsid w:val="15EEAB00"/>
    <w:rsid w:val="160844D4"/>
    <w:rsid w:val="163A8220"/>
    <w:rsid w:val="166AB775"/>
    <w:rsid w:val="166F8CB6"/>
    <w:rsid w:val="168BFC88"/>
    <w:rsid w:val="16A781CA"/>
    <w:rsid w:val="16B6A087"/>
    <w:rsid w:val="16B8BCA1"/>
    <w:rsid w:val="16CEEC3F"/>
    <w:rsid w:val="16EFEEC6"/>
    <w:rsid w:val="16F9792B"/>
    <w:rsid w:val="17097384"/>
    <w:rsid w:val="170C7C55"/>
    <w:rsid w:val="171FAB77"/>
    <w:rsid w:val="172F2224"/>
    <w:rsid w:val="173CF452"/>
    <w:rsid w:val="1747A633"/>
    <w:rsid w:val="1748708C"/>
    <w:rsid w:val="17619D0A"/>
    <w:rsid w:val="1762985F"/>
    <w:rsid w:val="176EA96E"/>
    <w:rsid w:val="179366D1"/>
    <w:rsid w:val="17A28603"/>
    <w:rsid w:val="17A445E1"/>
    <w:rsid w:val="17AD522D"/>
    <w:rsid w:val="17DDA2EC"/>
    <w:rsid w:val="17E1364F"/>
    <w:rsid w:val="17E8D496"/>
    <w:rsid w:val="17F9B758"/>
    <w:rsid w:val="1825A510"/>
    <w:rsid w:val="182C6F7E"/>
    <w:rsid w:val="184583E5"/>
    <w:rsid w:val="185955E5"/>
    <w:rsid w:val="18871C79"/>
    <w:rsid w:val="18A31858"/>
    <w:rsid w:val="18BB7BD8"/>
    <w:rsid w:val="18C98D1F"/>
    <w:rsid w:val="18C9BBEB"/>
    <w:rsid w:val="18CD6853"/>
    <w:rsid w:val="1914B2BA"/>
    <w:rsid w:val="191EEC0A"/>
    <w:rsid w:val="193429F1"/>
    <w:rsid w:val="194A2A25"/>
    <w:rsid w:val="194CB9F1"/>
    <w:rsid w:val="194E3E35"/>
    <w:rsid w:val="197A2986"/>
    <w:rsid w:val="197FB225"/>
    <w:rsid w:val="19B50C6C"/>
    <w:rsid w:val="19F9A300"/>
    <w:rsid w:val="19FA0CEF"/>
    <w:rsid w:val="19FEE1B3"/>
    <w:rsid w:val="1A0E95F5"/>
    <w:rsid w:val="1A1437BB"/>
    <w:rsid w:val="1A55E6D4"/>
    <w:rsid w:val="1A6938B4"/>
    <w:rsid w:val="1A72DD8F"/>
    <w:rsid w:val="1A78E3BB"/>
    <w:rsid w:val="1A7A8421"/>
    <w:rsid w:val="1A7F5EE8"/>
    <w:rsid w:val="1A802BD8"/>
    <w:rsid w:val="1A874BCD"/>
    <w:rsid w:val="1A93D889"/>
    <w:rsid w:val="1A99AAA9"/>
    <w:rsid w:val="1AA64A30"/>
    <w:rsid w:val="1AAD766A"/>
    <w:rsid w:val="1AEDE167"/>
    <w:rsid w:val="1B0A6DCD"/>
    <w:rsid w:val="1B3B3553"/>
    <w:rsid w:val="1B4770D7"/>
    <w:rsid w:val="1B957361"/>
    <w:rsid w:val="1B9D1EF2"/>
    <w:rsid w:val="1BBB6B85"/>
    <w:rsid w:val="1BCBAC24"/>
    <w:rsid w:val="1C0FADBF"/>
    <w:rsid w:val="1C274525"/>
    <w:rsid w:val="1C4081D1"/>
    <w:rsid w:val="1C6B333B"/>
    <w:rsid w:val="1C78BC22"/>
    <w:rsid w:val="1C9C2C7C"/>
    <w:rsid w:val="1C9CDB92"/>
    <w:rsid w:val="1CA575AA"/>
    <w:rsid w:val="1CB98278"/>
    <w:rsid w:val="1CC856D5"/>
    <w:rsid w:val="1CEBDF56"/>
    <w:rsid w:val="1CEF88C2"/>
    <w:rsid w:val="1CFFDFBE"/>
    <w:rsid w:val="1D544757"/>
    <w:rsid w:val="1D6AAA13"/>
    <w:rsid w:val="1D6F44FE"/>
    <w:rsid w:val="1D787058"/>
    <w:rsid w:val="1DBAB611"/>
    <w:rsid w:val="1DD0DE8E"/>
    <w:rsid w:val="1E010E98"/>
    <w:rsid w:val="1E01D360"/>
    <w:rsid w:val="1E027EFC"/>
    <w:rsid w:val="1E148C83"/>
    <w:rsid w:val="1E5A36E5"/>
    <w:rsid w:val="1E7E059A"/>
    <w:rsid w:val="1EA33125"/>
    <w:rsid w:val="1EE663B2"/>
    <w:rsid w:val="1EFF73F9"/>
    <w:rsid w:val="1F0CEA36"/>
    <w:rsid w:val="1F151146"/>
    <w:rsid w:val="1F2436C3"/>
    <w:rsid w:val="1F474E81"/>
    <w:rsid w:val="1F57880D"/>
    <w:rsid w:val="1F650A93"/>
    <w:rsid w:val="1F8540BF"/>
    <w:rsid w:val="1FAF5AE7"/>
    <w:rsid w:val="1FB744E9"/>
    <w:rsid w:val="1FDDC5DD"/>
    <w:rsid w:val="200B02E7"/>
    <w:rsid w:val="201AE1FA"/>
    <w:rsid w:val="203CE5C6"/>
    <w:rsid w:val="20456677"/>
    <w:rsid w:val="204F56CB"/>
    <w:rsid w:val="206082D4"/>
    <w:rsid w:val="2091CF4B"/>
    <w:rsid w:val="20A9F075"/>
    <w:rsid w:val="20BA5076"/>
    <w:rsid w:val="20BEDB8E"/>
    <w:rsid w:val="21069C42"/>
    <w:rsid w:val="21179759"/>
    <w:rsid w:val="21211120"/>
    <w:rsid w:val="213000D8"/>
    <w:rsid w:val="21494C02"/>
    <w:rsid w:val="214F378A"/>
    <w:rsid w:val="2153154A"/>
    <w:rsid w:val="218F17FC"/>
    <w:rsid w:val="21A0BF26"/>
    <w:rsid w:val="21AD5E59"/>
    <w:rsid w:val="21DD95D2"/>
    <w:rsid w:val="21F1A145"/>
    <w:rsid w:val="21F6C601"/>
    <w:rsid w:val="21F939C4"/>
    <w:rsid w:val="220AD470"/>
    <w:rsid w:val="2210A4C7"/>
    <w:rsid w:val="221B6EAB"/>
    <w:rsid w:val="2250D55D"/>
    <w:rsid w:val="2263551A"/>
    <w:rsid w:val="226DDFD6"/>
    <w:rsid w:val="229559E6"/>
    <w:rsid w:val="22A54877"/>
    <w:rsid w:val="22AB4203"/>
    <w:rsid w:val="22D51D6A"/>
    <w:rsid w:val="22DFBC4A"/>
    <w:rsid w:val="22E3F23B"/>
    <w:rsid w:val="22F49531"/>
    <w:rsid w:val="23026842"/>
    <w:rsid w:val="2304CD41"/>
    <w:rsid w:val="2315C8D6"/>
    <w:rsid w:val="23281AA4"/>
    <w:rsid w:val="234242C0"/>
    <w:rsid w:val="23461677"/>
    <w:rsid w:val="235D8044"/>
    <w:rsid w:val="237EEA47"/>
    <w:rsid w:val="23813772"/>
    <w:rsid w:val="23A19832"/>
    <w:rsid w:val="23D45A5D"/>
    <w:rsid w:val="23E0EFF2"/>
    <w:rsid w:val="23EC67A0"/>
    <w:rsid w:val="24312A47"/>
    <w:rsid w:val="24388799"/>
    <w:rsid w:val="246717E6"/>
    <w:rsid w:val="2472249D"/>
    <w:rsid w:val="247B58F9"/>
    <w:rsid w:val="24AB8E86"/>
    <w:rsid w:val="24AECF7F"/>
    <w:rsid w:val="24AF8014"/>
    <w:rsid w:val="24C3F6D6"/>
    <w:rsid w:val="24F56AC7"/>
    <w:rsid w:val="24FB5F7C"/>
    <w:rsid w:val="2525A723"/>
    <w:rsid w:val="253D2319"/>
    <w:rsid w:val="25475CCF"/>
    <w:rsid w:val="256D5B70"/>
    <w:rsid w:val="25AB633D"/>
    <w:rsid w:val="25BF3E27"/>
    <w:rsid w:val="25D88D84"/>
    <w:rsid w:val="25F3582A"/>
    <w:rsid w:val="260EDBBF"/>
    <w:rsid w:val="26351F86"/>
    <w:rsid w:val="263C3DAF"/>
    <w:rsid w:val="26438042"/>
    <w:rsid w:val="26546CCA"/>
    <w:rsid w:val="26BC7B31"/>
    <w:rsid w:val="26C243B3"/>
    <w:rsid w:val="26E2CDB7"/>
    <w:rsid w:val="26FADF99"/>
    <w:rsid w:val="270B1E23"/>
    <w:rsid w:val="2719E646"/>
    <w:rsid w:val="272CC38A"/>
    <w:rsid w:val="2740E367"/>
    <w:rsid w:val="274DA075"/>
    <w:rsid w:val="275B0E88"/>
    <w:rsid w:val="2772137D"/>
    <w:rsid w:val="27801716"/>
    <w:rsid w:val="2781A6E0"/>
    <w:rsid w:val="279052A4"/>
    <w:rsid w:val="27C2103A"/>
    <w:rsid w:val="27C8D9B8"/>
    <w:rsid w:val="27CD5459"/>
    <w:rsid w:val="27EB377B"/>
    <w:rsid w:val="27F07CF2"/>
    <w:rsid w:val="280C8381"/>
    <w:rsid w:val="2815F9FE"/>
    <w:rsid w:val="28181966"/>
    <w:rsid w:val="281BF55C"/>
    <w:rsid w:val="28585A4F"/>
    <w:rsid w:val="2886F961"/>
    <w:rsid w:val="28871F6E"/>
    <w:rsid w:val="288BAA4D"/>
    <w:rsid w:val="288E5273"/>
    <w:rsid w:val="28B87745"/>
    <w:rsid w:val="28C893EB"/>
    <w:rsid w:val="28F5C938"/>
    <w:rsid w:val="28FE00D4"/>
    <w:rsid w:val="29126E56"/>
    <w:rsid w:val="2934108B"/>
    <w:rsid w:val="293FE486"/>
    <w:rsid w:val="294BE199"/>
    <w:rsid w:val="294D5B2C"/>
    <w:rsid w:val="2951A558"/>
    <w:rsid w:val="295DF6E6"/>
    <w:rsid w:val="2974E3EA"/>
    <w:rsid w:val="29A6D9DD"/>
    <w:rsid w:val="29C308DB"/>
    <w:rsid w:val="29DC1DF9"/>
    <w:rsid w:val="29EE2BCB"/>
    <w:rsid w:val="29F8118F"/>
    <w:rsid w:val="2A1293E9"/>
    <w:rsid w:val="2A234B17"/>
    <w:rsid w:val="2A37E071"/>
    <w:rsid w:val="2A545E20"/>
    <w:rsid w:val="2A5DD887"/>
    <w:rsid w:val="2A63F792"/>
    <w:rsid w:val="2A854137"/>
    <w:rsid w:val="2AA30285"/>
    <w:rsid w:val="2AB1A171"/>
    <w:rsid w:val="2AB4AC97"/>
    <w:rsid w:val="2ACC27F8"/>
    <w:rsid w:val="2AF5FE26"/>
    <w:rsid w:val="2B063D1C"/>
    <w:rsid w:val="2B0CB0E8"/>
    <w:rsid w:val="2B1A446B"/>
    <w:rsid w:val="2B2958F5"/>
    <w:rsid w:val="2B3C5FE9"/>
    <w:rsid w:val="2B414C19"/>
    <w:rsid w:val="2B4D0B97"/>
    <w:rsid w:val="2B4D9AC0"/>
    <w:rsid w:val="2B623E51"/>
    <w:rsid w:val="2B6CBFB9"/>
    <w:rsid w:val="2B8316D7"/>
    <w:rsid w:val="2B9116B7"/>
    <w:rsid w:val="2BA2D89F"/>
    <w:rsid w:val="2BB70A5B"/>
    <w:rsid w:val="2BB8A3D8"/>
    <w:rsid w:val="2BDCD455"/>
    <w:rsid w:val="2BEDB8A0"/>
    <w:rsid w:val="2BF6A655"/>
    <w:rsid w:val="2C1CFBB7"/>
    <w:rsid w:val="2C2F330F"/>
    <w:rsid w:val="2C35A196"/>
    <w:rsid w:val="2C3BBCFA"/>
    <w:rsid w:val="2C63C3C7"/>
    <w:rsid w:val="2C790A47"/>
    <w:rsid w:val="2C8DE455"/>
    <w:rsid w:val="2CBAECE2"/>
    <w:rsid w:val="2CD05D92"/>
    <w:rsid w:val="2CD8304A"/>
    <w:rsid w:val="2CE96B21"/>
    <w:rsid w:val="2D32D8F1"/>
    <w:rsid w:val="2D3B99DC"/>
    <w:rsid w:val="2D500901"/>
    <w:rsid w:val="2D6A61F6"/>
    <w:rsid w:val="2D7A0948"/>
    <w:rsid w:val="2D870661"/>
    <w:rsid w:val="2DAFF180"/>
    <w:rsid w:val="2DCBB8FE"/>
    <w:rsid w:val="2DE41208"/>
    <w:rsid w:val="2DEBFC6C"/>
    <w:rsid w:val="2DEF1DD5"/>
    <w:rsid w:val="2E59E3E8"/>
    <w:rsid w:val="2E9D8B08"/>
    <w:rsid w:val="2E9EE7AD"/>
    <w:rsid w:val="2EBFB9E0"/>
    <w:rsid w:val="2EC19CEE"/>
    <w:rsid w:val="2ECEBD06"/>
    <w:rsid w:val="2EEBD962"/>
    <w:rsid w:val="2EEF3EFE"/>
    <w:rsid w:val="2EFB3B3D"/>
    <w:rsid w:val="2F0567DF"/>
    <w:rsid w:val="2F0C2401"/>
    <w:rsid w:val="2F287899"/>
    <w:rsid w:val="2F37D56F"/>
    <w:rsid w:val="2F58B25A"/>
    <w:rsid w:val="2FB3B510"/>
    <w:rsid w:val="2FC50229"/>
    <w:rsid w:val="2FE8FF05"/>
    <w:rsid w:val="3007444A"/>
    <w:rsid w:val="3020557F"/>
    <w:rsid w:val="304E7784"/>
    <w:rsid w:val="3053EE39"/>
    <w:rsid w:val="306487DA"/>
    <w:rsid w:val="306553BE"/>
    <w:rsid w:val="30C0A72F"/>
    <w:rsid w:val="30D0AF6B"/>
    <w:rsid w:val="30D3A5D0"/>
    <w:rsid w:val="30DA0B33"/>
    <w:rsid w:val="30E2BBFF"/>
    <w:rsid w:val="30F2201C"/>
    <w:rsid w:val="3104D886"/>
    <w:rsid w:val="311A2E5A"/>
    <w:rsid w:val="313464D6"/>
    <w:rsid w:val="313AA988"/>
    <w:rsid w:val="314CDAB8"/>
    <w:rsid w:val="31550738"/>
    <w:rsid w:val="315921EA"/>
    <w:rsid w:val="3162855D"/>
    <w:rsid w:val="31878D4D"/>
    <w:rsid w:val="3190CD76"/>
    <w:rsid w:val="31AA2F05"/>
    <w:rsid w:val="31C59275"/>
    <w:rsid w:val="31D4AF31"/>
    <w:rsid w:val="31D74840"/>
    <w:rsid w:val="31DEAE36"/>
    <w:rsid w:val="31E6436A"/>
    <w:rsid w:val="31EA47E5"/>
    <w:rsid w:val="3229AA61"/>
    <w:rsid w:val="3230261C"/>
    <w:rsid w:val="3268AD9A"/>
    <w:rsid w:val="328D63EB"/>
    <w:rsid w:val="32A28C5A"/>
    <w:rsid w:val="32A7317A"/>
    <w:rsid w:val="32C77C05"/>
    <w:rsid w:val="32EA61D6"/>
    <w:rsid w:val="32FB8A84"/>
    <w:rsid w:val="332A2E66"/>
    <w:rsid w:val="3340F4FE"/>
    <w:rsid w:val="33861846"/>
    <w:rsid w:val="33932B03"/>
    <w:rsid w:val="3393AAF2"/>
    <w:rsid w:val="33A51402"/>
    <w:rsid w:val="33B63A48"/>
    <w:rsid w:val="33DC6B51"/>
    <w:rsid w:val="33E59260"/>
    <w:rsid w:val="340AD012"/>
    <w:rsid w:val="341BD367"/>
    <w:rsid w:val="341F126D"/>
    <w:rsid w:val="34317406"/>
    <w:rsid w:val="343EF1EB"/>
    <w:rsid w:val="344F0E91"/>
    <w:rsid w:val="348F63A8"/>
    <w:rsid w:val="349111D0"/>
    <w:rsid w:val="34AA5CE4"/>
    <w:rsid w:val="34B9DFBD"/>
    <w:rsid w:val="34C5FEC7"/>
    <w:rsid w:val="34DD2353"/>
    <w:rsid w:val="3530DE72"/>
    <w:rsid w:val="353DEAD6"/>
    <w:rsid w:val="35923AC9"/>
    <w:rsid w:val="35AEC568"/>
    <w:rsid w:val="35B7A3C8"/>
    <w:rsid w:val="35DF117D"/>
    <w:rsid w:val="35E4DAE1"/>
    <w:rsid w:val="360D5EB1"/>
    <w:rsid w:val="3610C7EC"/>
    <w:rsid w:val="3612BDFB"/>
    <w:rsid w:val="362CE231"/>
    <w:rsid w:val="36553F29"/>
    <w:rsid w:val="3669A618"/>
    <w:rsid w:val="3678F3B4"/>
    <w:rsid w:val="367C6A7E"/>
    <w:rsid w:val="368DAFC8"/>
    <w:rsid w:val="36A5386F"/>
    <w:rsid w:val="36AE1277"/>
    <w:rsid w:val="36B7DF86"/>
    <w:rsid w:val="36BDB908"/>
    <w:rsid w:val="36CACBC5"/>
    <w:rsid w:val="36E7A9A3"/>
    <w:rsid w:val="36EFD184"/>
    <w:rsid w:val="37024802"/>
    <w:rsid w:val="373B3B27"/>
    <w:rsid w:val="37598F8D"/>
    <w:rsid w:val="375FE37F"/>
    <w:rsid w:val="376010BA"/>
    <w:rsid w:val="37671163"/>
    <w:rsid w:val="37797083"/>
    <w:rsid w:val="377AE1DE"/>
    <w:rsid w:val="3792DEB2"/>
    <w:rsid w:val="3794949E"/>
    <w:rsid w:val="37BA09BC"/>
    <w:rsid w:val="37C8E468"/>
    <w:rsid w:val="37D98019"/>
    <w:rsid w:val="37E231B7"/>
    <w:rsid w:val="38013352"/>
    <w:rsid w:val="38058875"/>
    <w:rsid w:val="380B0B4A"/>
    <w:rsid w:val="380D7D88"/>
    <w:rsid w:val="381A3E3A"/>
    <w:rsid w:val="3849CD0A"/>
    <w:rsid w:val="3852EE3F"/>
    <w:rsid w:val="386CBE0E"/>
    <w:rsid w:val="38765CE2"/>
    <w:rsid w:val="387BE1C1"/>
    <w:rsid w:val="387F155F"/>
    <w:rsid w:val="38C9DB8B"/>
    <w:rsid w:val="38EB87BC"/>
    <w:rsid w:val="38EC3B3C"/>
    <w:rsid w:val="38F3114C"/>
    <w:rsid w:val="38F55FEE"/>
    <w:rsid w:val="391540E4"/>
    <w:rsid w:val="391C7BA3"/>
    <w:rsid w:val="3926B7B6"/>
    <w:rsid w:val="394B5A96"/>
    <w:rsid w:val="394BF65B"/>
    <w:rsid w:val="39532BE5"/>
    <w:rsid w:val="39648DD1"/>
    <w:rsid w:val="3964B4C9"/>
    <w:rsid w:val="3977CC31"/>
    <w:rsid w:val="39A40DD7"/>
    <w:rsid w:val="39B09476"/>
    <w:rsid w:val="39C1BDB6"/>
    <w:rsid w:val="39DB3CA6"/>
    <w:rsid w:val="3A0A5A0D"/>
    <w:rsid w:val="3A1AE5C0"/>
    <w:rsid w:val="3A22E4B5"/>
    <w:rsid w:val="3A28F79C"/>
    <w:rsid w:val="3A43B299"/>
    <w:rsid w:val="3A600390"/>
    <w:rsid w:val="3A627555"/>
    <w:rsid w:val="3A757F96"/>
    <w:rsid w:val="3A99B4C4"/>
    <w:rsid w:val="3ACB8066"/>
    <w:rsid w:val="3AFAC9B7"/>
    <w:rsid w:val="3B0D73C4"/>
    <w:rsid w:val="3B112858"/>
    <w:rsid w:val="3B5149AA"/>
    <w:rsid w:val="3B56F281"/>
    <w:rsid w:val="3B60184A"/>
    <w:rsid w:val="3B787434"/>
    <w:rsid w:val="3B7C4EEE"/>
    <w:rsid w:val="3BBF1EAE"/>
    <w:rsid w:val="3BC717CA"/>
    <w:rsid w:val="3BEA2AAA"/>
    <w:rsid w:val="3BF06FBB"/>
    <w:rsid w:val="3BFAFBC6"/>
    <w:rsid w:val="3C017A1F"/>
    <w:rsid w:val="3C1731C6"/>
    <w:rsid w:val="3C1B73A5"/>
    <w:rsid w:val="3C214394"/>
    <w:rsid w:val="3C26B8A2"/>
    <w:rsid w:val="3C3708F6"/>
    <w:rsid w:val="3C8EAFC5"/>
    <w:rsid w:val="3C93F3DB"/>
    <w:rsid w:val="3C981AD6"/>
    <w:rsid w:val="3CE83538"/>
    <w:rsid w:val="3CFC67BD"/>
    <w:rsid w:val="3D5B2E1B"/>
    <w:rsid w:val="3D5D172C"/>
    <w:rsid w:val="3D815002"/>
    <w:rsid w:val="3D9D4A80"/>
    <w:rsid w:val="3DB156B0"/>
    <w:rsid w:val="3DB38A99"/>
    <w:rsid w:val="3DB50DDE"/>
    <w:rsid w:val="3DC28903"/>
    <w:rsid w:val="3DDAF349"/>
    <w:rsid w:val="3E167BF8"/>
    <w:rsid w:val="3E487A9A"/>
    <w:rsid w:val="3E6D9495"/>
    <w:rsid w:val="3E88BCC7"/>
    <w:rsid w:val="3E895ED5"/>
    <w:rsid w:val="3E9C2A02"/>
    <w:rsid w:val="3EA34CD2"/>
    <w:rsid w:val="3EB63358"/>
    <w:rsid w:val="3EBA5E5D"/>
    <w:rsid w:val="3EBC158F"/>
    <w:rsid w:val="3ECDDDDA"/>
    <w:rsid w:val="3ED831E3"/>
    <w:rsid w:val="3F06C61C"/>
    <w:rsid w:val="3F1577C4"/>
    <w:rsid w:val="3F36C449"/>
    <w:rsid w:val="3F5E5964"/>
    <w:rsid w:val="3F64A172"/>
    <w:rsid w:val="3F7D17B0"/>
    <w:rsid w:val="3FB25B4E"/>
    <w:rsid w:val="3FC29EAD"/>
    <w:rsid w:val="3FECF80B"/>
    <w:rsid w:val="40067D96"/>
    <w:rsid w:val="402AB94E"/>
    <w:rsid w:val="4052A39B"/>
    <w:rsid w:val="4064619C"/>
    <w:rsid w:val="4078C52F"/>
    <w:rsid w:val="407F176F"/>
    <w:rsid w:val="4094106F"/>
    <w:rsid w:val="40DE1C92"/>
    <w:rsid w:val="4103497E"/>
    <w:rsid w:val="4112D3B5"/>
    <w:rsid w:val="414E2BAF"/>
    <w:rsid w:val="415B3813"/>
    <w:rsid w:val="41AB1827"/>
    <w:rsid w:val="41B7CFA4"/>
    <w:rsid w:val="41C4FEB6"/>
    <w:rsid w:val="41C63405"/>
    <w:rsid w:val="41CFD8E0"/>
    <w:rsid w:val="41FCC4F1"/>
    <w:rsid w:val="42021E07"/>
    <w:rsid w:val="420416CB"/>
    <w:rsid w:val="420A1D6C"/>
    <w:rsid w:val="42142678"/>
    <w:rsid w:val="42156BF2"/>
    <w:rsid w:val="421BE47E"/>
    <w:rsid w:val="42270CCA"/>
    <w:rsid w:val="4236E163"/>
    <w:rsid w:val="428573AC"/>
    <w:rsid w:val="4286FBBC"/>
    <w:rsid w:val="428BE9E4"/>
    <w:rsid w:val="42948D15"/>
    <w:rsid w:val="42BABCCE"/>
    <w:rsid w:val="42E017EA"/>
    <w:rsid w:val="42E92915"/>
    <w:rsid w:val="42EE8A42"/>
    <w:rsid w:val="42F1169B"/>
    <w:rsid w:val="42F23CDC"/>
    <w:rsid w:val="42F54629"/>
    <w:rsid w:val="42F70874"/>
    <w:rsid w:val="43065D1B"/>
    <w:rsid w:val="436BA941"/>
    <w:rsid w:val="43C02BC5"/>
    <w:rsid w:val="43E4E3C3"/>
    <w:rsid w:val="4405127B"/>
    <w:rsid w:val="440CD633"/>
    <w:rsid w:val="442FF6A0"/>
    <w:rsid w:val="44344ED8"/>
    <w:rsid w:val="44381295"/>
    <w:rsid w:val="4484F976"/>
    <w:rsid w:val="44961211"/>
    <w:rsid w:val="4498A672"/>
    <w:rsid w:val="44B467F0"/>
    <w:rsid w:val="44DC0782"/>
    <w:rsid w:val="44F24C3D"/>
    <w:rsid w:val="44F6F2D0"/>
    <w:rsid w:val="450779A2"/>
    <w:rsid w:val="451B3E42"/>
    <w:rsid w:val="45293A3F"/>
    <w:rsid w:val="45299FE1"/>
    <w:rsid w:val="4529F1BE"/>
    <w:rsid w:val="4550D06C"/>
    <w:rsid w:val="455C5CE6"/>
    <w:rsid w:val="4562524F"/>
    <w:rsid w:val="45A8A694"/>
    <w:rsid w:val="45A9C025"/>
    <w:rsid w:val="45AFCE62"/>
    <w:rsid w:val="45C52D3D"/>
    <w:rsid w:val="45D3E2F6"/>
    <w:rsid w:val="45E6052E"/>
    <w:rsid w:val="46059078"/>
    <w:rsid w:val="4628B75D"/>
    <w:rsid w:val="467D8745"/>
    <w:rsid w:val="46803397"/>
    <w:rsid w:val="46A8CF87"/>
    <w:rsid w:val="46D683DB"/>
    <w:rsid w:val="46F10DA9"/>
    <w:rsid w:val="46F1E615"/>
    <w:rsid w:val="46F7CC87"/>
    <w:rsid w:val="472C112C"/>
    <w:rsid w:val="47466E7E"/>
    <w:rsid w:val="47528D88"/>
    <w:rsid w:val="475CF2E8"/>
    <w:rsid w:val="4774867F"/>
    <w:rsid w:val="4781D58F"/>
    <w:rsid w:val="47A587BF"/>
    <w:rsid w:val="47B8B9A6"/>
    <w:rsid w:val="47C487BE"/>
    <w:rsid w:val="47EC2E65"/>
    <w:rsid w:val="480D9D46"/>
    <w:rsid w:val="482C52B3"/>
    <w:rsid w:val="484A2F18"/>
    <w:rsid w:val="4899F311"/>
    <w:rsid w:val="48A33E1A"/>
    <w:rsid w:val="48B0109B"/>
    <w:rsid w:val="48BDFEA0"/>
    <w:rsid w:val="48E23EDF"/>
    <w:rsid w:val="48FCC905"/>
    <w:rsid w:val="49083CF7"/>
    <w:rsid w:val="490B83B8"/>
    <w:rsid w:val="490BE3E3"/>
    <w:rsid w:val="4946434E"/>
    <w:rsid w:val="4949BDB4"/>
    <w:rsid w:val="495563B6"/>
    <w:rsid w:val="496A4987"/>
    <w:rsid w:val="49775A36"/>
    <w:rsid w:val="498E1563"/>
    <w:rsid w:val="49908EDB"/>
    <w:rsid w:val="499D0885"/>
    <w:rsid w:val="49A37074"/>
    <w:rsid w:val="49DAEAC5"/>
    <w:rsid w:val="49DD534E"/>
    <w:rsid w:val="49E5FF79"/>
    <w:rsid w:val="49F5A0C9"/>
    <w:rsid w:val="49FD817C"/>
    <w:rsid w:val="4A03CE9F"/>
    <w:rsid w:val="4A062CAC"/>
    <w:rsid w:val="4A184D1D"/>
    <w:rsid w:val="4A4B55B6"/>
    <w:rsid w:val="4A59CF01"/>
    <w:rsid w:val="4A613220"/>
    <w:rsid w:val="4A6F9B71"/>
    <w:rsid w:val="4A71AD6B"/>
    <w:rsid w:val="4A7E0F40"/>
    <w:rsid w:val="4A8B7D42"/>
    <w:rsid w:val="4AA59B27"/>
    <w:rsid w:val="4AC8BAE4"/>
    <w:rsid w:val="4AD96686"/>
    <w:rsid w:val="4AD9FFE6"/>
    <w:rsid w:val="4AE0F818"/>
    <w:rsid w:val="4AE89EE2"/>
    <w:rsid w:val="4AF2065F"/>
    <w:rsid w:val="4AFB680A"/>
    <w:rsid w:val="4AFC2880"/>
    <w:rsid w:val="4B087082"/>
    <w:rsid w:val="4B19ED1B"/>
    <w:rsid w:val="4B4BCF89"/>
    <w:rsid w:val="4B8E9255"/>
    <w:rsid w:val="4B98D0D8"/>
    <w:rsid w:val="4B9D1839"/>
    <w:rsid w:val="4BE7B15D"/>
    <w:rsid w:val="4BFA4AA7"/>
    <w:rsid w:val="4C0DAF0E"/>
    <w:rsid w:val="4C0FCBB8"/>
    <w:rsid w:val="4C1E9C7D"/>
    <w:rsid w:val="4C2ECCE0"/>
    <w:rsid w:val="4C30640B"/>
    <w:rsid w:val="4C36AD9D"/>
    <w:rsid w:val="4C3F9D0D"/>
    <w:rsid w:val="4C47CFD5"/>
    <w:rsid w:val="4C590646"/>
    <w:rsid w:val="4C709923"/>
    <w:rsid w:val="4C71835E"/>
    <w:rsid w:val="4C73C6F6"/>
    <w:rsid w:val="4C75D047"/>
    <w:rsid w:val="4C890874"/>
    <w:rsid w:val="4C8AA4CB"/>
    <w:rsid w:val="4C97F8E1"/>
    <w:rsid w:val="4CAF4E21"/>
    <w:rsid w:val="4CC79ADC"/>
    <w:rsid w:val="4D1DA03B"/>
    <w:rsid w:val="4D480E18"/>
    <w:rsid w:val="4D4B0BDC"/>
    <w:rsid w:val="4D5B121E"/>
    <w:rsid w:val="4D62623E"/>
    <w:rsid w:val="4D9ED52A"/>
    <w:rsid w:val="4D9F9BD0"/>
    <w:rsid w:val="4DB2094B"/>
    <w:rsid w:val="4DBB9D45"/>
    <w:rsid w:val="4DD1B111"/>
    <w:rsid w:val="4E1017A9"/>
    <w:rsid w:val="4E12A49F"/>
    <w:rsid w:val="4E3A8C65"/>
    <w:rsid w:val="4EC61A0D"/>
    <w:rsid w:val="4ED5CB29"/>
    <w:rsid w:val="4EE6DC3D"/>
    <w:rsid w:val="4EF2DE96"/>
    <w:rsid w:val="4F0EAADC"/>
    <w:rsid w:val="4F1CC9DC"/>
    <w:rsid w:val="4F1F521F"/>
    <w:rsid w:val="4F28E44C"/>
    <w:rsid w:val="4F4DD9AC"/>
    <w:rsid w:val="4F5BBD68"/>
    <w:rsid w:val="4F5D9F6D"/>
    <w:rsid w:val="4F709979"/>
    <w:rsid w:val="4F729633"/>
    <w:rsid w:val="4FA7FBF1"/>
    <w:rsid w:val="4FAD0FFE"/>
    <w:rsid w:val="4FD06C9E"/>
    <w:rsid w:val="4FE9A5ED"/>
    <w:rsid w:val="4FF7253F"/>
    <w:rsid w:val="50288ED5"/>
    <w:rsid w:val="50651EBE"/>
    <w:rsid w:val="507F1832"/>
    <w:rsid w:val="50835A46"/>
    <w:rsid w:val="50BB2280"/>
    <w:rsid w:val="50BFEA3B"/>
    <w:rsid w:val="50CCDB50"/>
    <w:rsid w:val="50CFB2B6"/>
    <w:rsid w:val="50E9AA0D"/>
    <w:rsid w:val="50F34286"/>
    <w:rsid w:val="50F5097A"/>
    <w:rsid w:val="510A1EC0"/>
    <w:rsid w:val="5114AAF1"/>
    <w:rsid w:val="51270798"/>
    <w:rsid w:val="51348ECF"/>
    <w:rsid w:val="513FB428"/>
    <w:rsid w:val="5158D33A"/>
    <w:rsid w:val="515E011D"/>
    <w:rsid w:val="516A59F1"/>
    <w:rsid w:val="517BC3CD"/>
    <w:rsid w:val="519A7487"/>
    <w:rsid w:val="519BB307"/>
    <w:rsid w:val="519E5EC1"/>
    <w:rsid w:val="51C5A9A2"/>
    <w:rsid w:val="51DE6ED9"/>
    <w:rsid w:val="521012C4"/>
    <w:rsid w:val="522A7F58"/>
    <w:rsid w:val="52563D04"/>
    <w:rsid w:val="5256F2E1"/>
    <w:rsid w:val="527120BF"/>
    <w:rsid w:val="5283FBF6"/>
    <w:rsid w:val="529EA2CB"/>
    <w:rsid w:val="52A5913D"/>
    <w:rsid w:val="52C2D7F9"/>
    <w:rsid w:val="52CA7A78"/>
    <w:rsid w:val="52F4A39B"/>
    <w:rsid w:val="5313F2A6"/>
    <w:rsid w:val="531B592D"/>
    <w:rsid w:val="532146AF"/>
    <w:rsid w:val="534999B1"/>
    <w:rsid w:val="5355DCAF"/>
    <w:rsid w:val="535BD1DC"/>
    <w:rsid w:val="536A7A51"/>
    <w:rsid w:val="538DAD9C"/>
    <w:rsid w:val="53935486"/>
    <w:rsid w:val="539B4D46"/>
    <w:rsid w:val="539B8409"/>
    <w:rsid w:val="539FE0E3"/>
    <w:rsid w:val="53BE2DDF"/>
    <w:rsid w:val="53DF2DF0"/>
    <w:rsid w:val="53F2C342"/>
    <w:rsid w:val="54047C12"/>
    <w:rsid w:val="541F712B"/>
    <w:rsid w:val="541FE403"/>
    <w:rsid w:val="54325F88"/>
    <w:rsid w:val="5436D6CE"/>
    <w:rsid w:val="5437CBC7"/>
    <w:rsid w:val="544EF01B"/>
    <w:rsid w:val="5450D390"/>
    <w:rsid w:val="545EA85A"/>
    <w:rsid w:val="545F3ADC"/>
    <w:rsid w:val="54640070"/>
    <w:rsid w:val="549BF03B"/>
    <w:rsid w:val="54A1FAB3"/>
    <w:rsid w:val="54BD1710"/>
    <w:rsid w:val="5509F99C"/>
    <w:rsid w:val="55258AF2"/>
    <w:rsid w:val="5528D0F5"/>
    <w:rsid w:val="5565F39E"/>
    <w:rsid w:val="55725FDE"/>
    <w:rsid w:val="557ECB9D"/>
    <w:rsid w:val="557EDE77"/>
    <w:rsid w:val="558E93A3"/>
    <w:rsid w:val="559A51FF"/>
    <w:rsid w:val="55C34E62"/>
    <w:rsid w:val="563546CC"/>
    <w:rsid w:val="5637CCAD"/>
    <w:rsid w:val="563DCB14"/>
    <w:rsid w:val="563EDB27"/>
    <w:rsid w:val="566B97AC"/>
    <w:rsid w:val="567F8623"/>
    <w:rsid w:val="56AB3743"/>
    <w:rsid w:val="56B03CF3"/>
    <w:rsid w:val="56CAF548"/>
    <w:rsid w:val="56D98762"/>
    <w:rsid w:val="56DCE4F2"/>
    <w:rsid w:val="572F464A"/>
    <w:rsid w:val="5758EB91"/>
    <w:rsid w:val="578C4018"/>
    <w:rsid w:val="578C9ADD"/>
    <w:rsid w:val="578DC4A7"/>
    <w:rsid w:val="578DE240"/>
    <w:rsid w:val="5795370A"/>
    <w:rsid w:val="579EE32C"/>
    <w:rsid w:val="57A569A8"/>
    <w:rsid w:val="57D99B75"/>
    <w:rsid w:val="57D9C7B9"/>
    <w:rsid w:val="58152587"/>
    <w:rsid w:val="58180FF1"/>
    <w:rsid w:val="581B5684"/>
    <w:rsid w:val="581FA0D5"/>
    <w:rsid w:val="58419A5E"/>
    <w:rsid w:val="5866C5A9"/>
    <w:rsid w:val="587EEC51"/>
    <w:rsid w:val="5898187E"/>
    <w:rsid w:val="58A401E3"/>
    <w:rsid w:val="58A93752"/>
    <w:rsid w:val="58AA3E2D"/>
    <w:rsid w:val="58BDB32D"/>
    <w:rsid w:val="58C1B4A9"/>
    <w:rsid w:val="58D633C8"/>
    <w:rsid w:val="58DD902B"/>
    <w:rsid w:val="590E549D"/>
    <w:rsid w:val="5926E932"/>
    <w:rsid w:val="595D538C"/>
    <w:rsid w:val="59691302"/>
    <w:rsid w:val="598BDC65"/>
    <w:rsid w:val="59AD186A"/>
    <w:rsid w:val="59CFBD39"/>
    <w:rsid w:val="59D0998A"/>
    <w:rsid w:val="59E0C586"/>
    <w:rsid w:val="59ED8765"/>
    <w:rsid w:val="59EF6C6A"/>
    <w:rsid w:val="59F5FA0A"/>
    <w:rsid w:val="59FC4218"/>
    <w:rsid w:val="59FDD4D2"/>
    <w:rsid w:val="5A02960A"/>
    <w:rsid w:val="5A1DA888"/>
    <w:rsid w:val="5A2C259E"/>
    <w:rsid w:val="5A41570D"/>
    <w:rsid w:val="5A6E26EF"/>
    <w:rsid w:val="5AA264DA"/>
    <w:rsid w:val="5AAEDC74"/>
    <w:rsid w:val="5ABC5D00"/>
    <w:rsid w:val="5ACB3EC9"/>
    <w:rsid w:val="5ACD2111"/>
    <w:rsid w:val="5AD5B6F3"/>
    <w:rsid w:val="5B4B18A7"/>
    <w:rsid w:val="5B569906"/>
    <w:rsid w:val="5B8D25EF"/>
    <w:rsid w:val="5B946DF3"/>
    <w:rsid w:val="5BAA34B1"/>
    <w:rsid w:val="5BB76F37"/>
    <w:rsid w:val="5BC7F5FF"/>
    <w:rsid w:val="5C0A29F4"/>
    <w:rsid w:val="5C2ACBC3"/>
    <w:rsid w:val="5C2C5CB4"/>
    <w:rsid w:val="5C2FE2FD"/>
    <w:rsid w:val="5C43BBF4"/>
    <w:rsid w:val="5C728E3A"/>
    <w:rsid w:val="5CA47D02"/>
    <w:rsid w:val="5CCEC765"/>
    <w:rsid w:val="5CE4B92C"/>
    <w:rsid w:val="5CEA6FDE"/>
    <w:rsid w:val="5CF49921"/>
    <w:rsid w:val="5D4B8F4C"/>
    <w:rsid w:val="5D6E95D6"/>
    <w:rsid w:val="5D81476E"/>
    <w:rsid w:val="5D8534CC"/>
    <w:rsid w:val="5DBD15BF"/>
    <w:rsid w:val="5DE24F35"/>
    <w:rsid w:val="5DEA45BC"/>
    <w:rsid w:val="5E0D57B5"/>
    <w:rsid w:val="5E48DCF9"/>
    <w:rsid w:val="5E54B650"/>
    <w:rsid w:val="5E6351D7"/>
    <w:rsid w:val="5E6EC97A"/>
    <w:rsid w:val="5E8A978B"/>
    <w:rsid w:val="5EA4F1BF"/>
    <w:rsid w:val="5EAA5549"/>
    <w:rsid w:val="5F2AA981"/>
    <w:rsid w:val="5F41839F"/>
    <w:rsid w:val="5F571A98"/>
    <w:rsid w:val="5F71BF66"/>
    <w:rsid w:val="5F879022"/>
    <w:rsid w:val="5FC0EEDE"/>
    <w:rsid w:val="60033151"/>
    <w:rsid w:val="601BD9B5"/>
    <w:rsid w:val="602D39B3"/>
    <w:rsid w:val="602E818B"/>
    <w:rsid w:val="603A0F0C"/>
    <w:rsid w:val="603B3403"/>
    <w:rsid w:val="60470CB6"/>
    <w:rsid w:val="604FACC5"/>
    <w:rsid w:val="60523073"/>
    <w:rsid w:val="60653B8E"/>
    <w:rsid w:val="6065DCEE"/>
    <w:rsid w:val="6074143D"/>
    <w:rsid w:val="60783E0C"/>
    <w:rsid w:val="6094A84E"/>
    <w:rsid w:val="6094C373"/>
    <w:rsid w:val="60B19630"/>
    <w:rsid w:val="60B3FC06"/>
    <w:rsid w:val="60FBE44B"/>
    <w:rsid w:val="6104F663"/>
    <w:rsid w:val="6117DFD4"/>
    <w:rsid w:val="6143E88B"/>
    <w:rsid w:val="6184A8A5"/>
    <w:rsid w:val="6198F6F4"/>
    <w:rsid w:val="61A2CB3F"/>
    <w:rsid w:val="61B259D3"/>
    <w:rsid w:val="61B2918A"/>
    <w:rsid w:val="61C0611C"/>
    <w:rsid w:val="61EB7D26"/>
    <w:rsid w:val="6202B2D8"/>
    <w:rsid w:val="6209D72C"/>
    <w:rsid w:val="62197635"/>
    <w:rsid w:val="6239FFCA"/>
    <w:rsid w:val="625057E1"/>
    <w:rsid w:val="62655D0B"/>
    <w:rsid w:val="62B3DDA6"/>
    <w:rsid w:val="62C80D7A"/>
    <w:rsid w:val="62E98F2D"/>
    <w:rsid w:val="62F48756"/>
    <w:rsid w:val="63165B48"/>
    <w:rsid w:val="63230523"/>
    <w:rsid w:val="6334C755"/>
    <w:rsid w:val="63468E9E"/>
    <w:rsid w:val="637A9DBD"/>
    <w:rsid w:val="639CDC50"/>
    <w:rsid w:val="63A49A84"/>
    <w:rsid w:val="63D09907"/>
    <w:rsid w:val="63D3C6DA"/>
    <w:rsid w:val="63DBB5ED"/>
    <w:rsid w:val="63E936BE"/>
    <w:rsid w:val="63EC07DA"/>
    <w:rsid w:val="63F765AC"/>
    <w:rsid w:val="647696B9"/>
    <w:rsid w:val="647B894D"/>
    <w:rsid w:val="647DA01F"/>
    <w:rsid w:val="64B70E19"/>
    <w:rsid w:val="64C7BF4D"/>
    <w:rsid w:val="64CD6418"/>
    <w:rsid w:val="64F02699"/>
    <w:rsid w:val="64F90842"/>
    <w:rsid w:val="650A507E"/>
    <w:rsid w:val="651085EA"/>
    <w:rsid w:val="6512092F"/>
    <w:rsid w:val="651873E0"/>
    <w:rsid w:val="6540C6E1"/>
    <w:rsid w:val="658E86FD"/>
    <w:rsid w:val="65A48037"/>
    <w:rsid w:val="65A66257"/>
    <w:rsid w:val="65B2D315"/>
    <w:rsid w:val="65F30892"/>
    <w:rsid w:val="66025798"/>
    <w:rsid w:val="6626A2F3"/>
    <w:rsid w:val="6651F206"/>
    <w:rsid w:val="6674D70C"/>
    <w:rsid w:val="66A00665"/>
    <w:rsid w:val="66BEEE49"/>
    <w:rsid w:val="66C02C63"/>
    <w:rsid w:val="66F0CE5E"/>
    <w:rsid w:val="670FEDE5"/>
    <w:rsid w:val="671E5EB0"/>
    <w:rsid w:val="673D6813"/>
    <w:rsid w:val="674B0430"/>
    <w:rsid w:val="67695484"/>
    <w:rsid w:val="679AEEB0"/>
    <w:rsid w:val="67D6AB86"/>
    <w:rsid w:val="67DC649E"/>
    <w:rsid w:val="67E8F2B8"/>
    <w:rsid w:val="6827C75B"/>
    <w:rsid w:val="684826AC"/>
    <w:rsid w:val="6852FC76"/>
    <w:rsid w:val="685ABEAA"/>
    <w:rsid w:val="686A1EA4"/>
    <w:rsid w:val="6872D3B6"/>
    <w:rsid w:val="687867A3"/>
    <w:rsid w:val="687E6661"/>
    <w:rsid w:val="687E8307"/>
    <w:rsid w:val="68970059"/>
    <w:rsid w:val="68B2AFE3"/>
    <w:rsid w:val="68BF6461"/>
    <w:rsid w:val="68CA59D5"/>
    <w:rsid w:val="68D7295E"/>
    <w:rsid w:val="694DEA14"/>
    <w:rsid w:val="69600E09"/>
    <w:rsid w:val="697172FB"/>
    <w:rsid w:val="69784BCC"/>
    <w:rsid w:val="69798168"/>
    <w:rsid w:val="697AD9AB"/>
    <w:rsid w:val="698B8FA0"/>
    <w:rsid w:val="69ADF204"/>
    <w:rsid w:val="69C397BC"/>
    <w:rsid w:val="69EE1F34"/>
    <w:rsid w:val="69F68F0B"/>
    <w:rsid w:val="6A02F11D"/>
    <w:rsid w:val="6A143804"/>
    <w:rsid w:val="6A15F447"/>
    <w:rsid w:val="6A164DF7"/>
    <w:rsid w:val="6A25064C"/>
    <w:rsid w:val="6A5DE394"/>
    <w:rsid w:val="6A76B957"/>
    <w:rsid w:val="6A9C3A10"/>
    <w:rsid w:val="6AA6FC67"/>
    <w:rsid w:val="6AA8A3AB"/>
    <w:rsid w:val="6AD6F602"/>
    <w:rsid w:val="6B15E86E"/>
    <w:rsid w:val="6B3DB125"/>
    <w:rsid w:val="6B41D4DF"/>
    <w:rsid w:val="6B4788CE"/>
    <w:rsid w:val="6B4C340D"/>
    <w:rsid w:val="6B5F681D"/>
    <w:rsid w:val="6B6A4F6F"/>
    <w:rsid w:val="6B76484B"/>
    <w:rsid w:val="6BB00865"/>
    <w:rsid w:val="6BB623C9"/>
    <w:rsid w:val="6BD90776"/>
    <w:rsid w:val="6BE84EC4"/>
    <w:rsid w:val="6BEB7CBA"/>
    <w:rsid w:val="6BF9B3F5"/>
    <w:rsid w:val="6C69F980"/>
    <w:rsid w:val="6C97AECB"/>
    <w:rsid w:val="6C9EEA94"/>
    <w:rsid w:val="6CACEF7A"/>
    <w:rsid w:val="6CC21FFE"/>
    <w:rsid w:val="6CDC3BCB"/>
    <w:rsid w:val="6CE8046E"/>
    <w:rsid w:val="6CEA40AA"/>
    <w:rsid w:val="6CFB3799"/>
    <w:rsid w:val="6D0B304F"/>
    <w:rsid w:val="6D465512"/>
    <w:rsid w:val="6D4BD8C6"/>
    <w:rsid w:val="6D640254"/>
    <w:rsid w:val="6D85ACAE"/>
    <w:rsid w:val="6D9EDB0B"/>
    <w:rsid w:val="6DBAAD0F"/>
    <w:rsid w:val="6DBCEC9C"/>
    <w:rsid w:val="6DD33EE9"/>
    <w:rsid w:val="6E07200F"/>
    <w:rsid w:val="6E11DFE0"/>
    <w:rsid w:val="6E176579"/>
    <w:rsid w:val="6E335D36"/>
    <w:rsid w:val="6E337F2C"/>
    <w:rsid w:val="6E514310"/>
    <w:rsid w:val="6E517DCC"/>
    <w:rsid w:val="6E54D477"/>
    <w:rsid w:val="6E692AAC"/>
    <w:rsid w:val="6E7AC7D3"/>
    <w:rsid w:val="6E9FDCAE"/>
    <w:rsid w:val="6EB8EB75"/>
    <w:rsid w:val="6EC037CB"/>
    <w:rsid w:val="6EC3E450"/>
    <w:rsid w:val="6ECA002E"/>
    <w:rsid w:val="6ECD91E7"/>
    <w:rsid w:val="6ED52416"/>
    <w:rsid w:val="6EE7A927"/>
    <w:rsid w:val="6EF3C898"/>
    <w:rsid w:val="6F0C617E"/>
    <w:rsid w:val="6F20E325"/>
    <w:rsid w:val="6F293D54"/>
    <w:rsid w:val="6F2FA492"/>
    <w:rsid w:val="6F3B724E"/>
    <w:rsid w:val="6F42D560"/>
    <w:rsid w:val="6F43B9C4"/>
    <w:rsid w:val="6F48785A"/>
    <w:rsid w:val="6F83E0A6"/>
    <w:rsid w:val="6FA2F070"/>
    <w:rsid w:val="6FA847D4"/>
    <w:rsid w:val="6FACA656"/>
    <w:rsid w:val="6FDD951C"/>
    <w:rsid w:val="6FF0A4D8"/>
    <w:rsid w:val="6FF80405"/>
    <w:rsid w:val="70050A74"/>
    <w:rsid w:val="701C01F8"/>
    <w:rsid w:val="701F774D"/>
    <w:rsid w:val="702E21CF"/>
    <w:rsid w:val="7062D40C"/>
    <w:rsid w:val="70834CDE"/>
    <w:rsid w:val="70837988"/>
    <w:rsid w:val="708E0633"/>
    <w:rsid w:val="7092CAAF"/>
    <w:rsid w:val="70A8E2B5"/>
    <w:rsid w:val="70BBC1A7"/>
    <w:rsid w:val="70CD07C6"/>
    <w:rsid w:val="70CEA9E1"/>
    <w:rsid w:val="713EC0D1"/>
    <w:rsid w:val="714D8749"/>
    <w:rsid w:val="716309C7"/>
    <w:rsid w:val="717D401D"/>
    <w:rsid w:val="7182B623"/>
    <w:rsid w:val="71850566"/>
    <w:rsid w:val="719111FC"/>
    <w:rsid w:val="719D4991"/>
    <w:rsid w:val="719D7EA7"/>
    <w:rsid w:val="71B4490B"/>
    <w:rsid w:val="71B903E9"/>
    <w:rsid w:val="71DF7669"/>
    <w:rsid w:val="71F1E24D"/>
    <w:rsid w:val="72389023"/>
    <w:rsid w:val="7259F6CC"/>
    <w:rsid w:val="72680C04"/>
    <w:rsid w:val="727ED7D3"/>
    <w:rsid w:val="72AB188B"/>
    <w:rsid w:val="72B6976F"/>
    <w:rsid w:val="72C29FD2"/>
    <w:rsid w:val="72DE320E"/>
    <w:rsid w:val="72E7E232"/>
    <w:rsid w:val="72F69146"/>
    <w:rsid w:val="730FBECF"/>
    <w:rsid w:val="732453BE"/>
    <w:rsid w:val="73394F08"/>
    <w:rsid w:val="7343232B"/>
    <w:rsid w:val="7355D6BF"/>
    <w:rsid w:val="7358A89B"/>
    <w:rsid w:val="735A2B2D"/>
    <w:rsid w:val="7365DEE8"/>
    <w:rsid w:val="73A97C5E"/>
    <w:rsid w:val="73BC0C42"/>
    <w:rsid w:val="73BCF35D"/>
    <w:rsid w:val="73E5CAAB"/>
    <w:rsid w:val="73EADDA4"/>
    <w:rsid w:val="73F31BAE"/>
    <w:rsid w:val="73F42C6D"/>
    <w:rsid w:val="73FB943C"/>
    <w:rsid w:val="743027EE"/>
    <w:rsid w:val="748A4B0E"/>
    <w:rsid w:val="748B3EBB"/>
    <w:rsid w:val="74999A9D"/>
    <w:rsid w:val="74A9AD56"/>
    <w:rsid w:val="74BD7CB5"/>
    <w:rsid w:val="74CDFF13"/>
    <w:rsid w:val="74E526A2"/>
    <w:rsid w:val="74EF3412"/>
    <w:rsid w:val="74FD911E"/>
    <w:rsid w:val="750192F2"/>
    <w:rsid w:val="75105C0F"/>
    <w:rsid w:val="75309AFA"/>
    <w:rsid w:val="754A31A4"/>
    <w:rsid w:val="755D060F"/>
    <w:rsid w:val="756CCD0C"/>
    <w:rsid w:val="75B2280B"/>
    <w:rsid w:val="75EACD1C"/>
    <w:rsid w:val="76039611"/>
    <w:rsid w:val="76298CDB"/>
    <w:rsid w:val="762EFC51"/>
    <w:rsid w:val="76383BDA"/>
    <w:rsid w:val="7668E558"/>
    <w:rsid w:val="7669CF74"/>
    <w:rsid w:val="76734CAF"/>
    <w:rsid w:val="76759F82"/>
    <w:rsid w:val="7681D6EF"/>
    <w:rsid w:val="768AA965"/>
    <w:rsid w:val="76B79131"/>
    <w:rsid w:val="76BE8BDC"/>
    <w:rsid w:val="76DBB0A1"/>
    <w:rsid w:val="76DC359D"/>
    <w:rsid w:val="772D67EF"/>
    <w:rsid w:val="775A4065"/>
    <w:rsid w:val="77870991"/>
    <w:rsid w:val="7799F3C6"/>
    <w:rsid w:val="779A0EF0"/>
    <w:rsid w:val="779ED399"/>
    <w:rsid w:val="77A42D50"/>
    <w:rsid w:val="77DAFA85"/>
    <w:rsid w:val="77DC021D"/>
    <w:rsid w:val="77E210E1"/>
    <w:rsid w:val="77E32FF2"/>
    <w:rsid w:val="77F36A6D"/>
    <w:rsid w:val="77FDC00E"/>
    <w:rsid w:val="780CC02B"/>
    <w:rsid w:val="7822471A"/>
    <w:rsid w:val="7828456D"/>
    <w:rsid w:val="783933B4"/>
    <w:rsid w:val="7861D6A1"/>
    <w:rsid w:val="78621461"/>
    <w:rsid w:val="786914AD"/>
    <w:rsid w:val="787C1D75"/>
    <w:rsid w:val="787C9D84"/>
    <w:rsid w:val="7881E662"/>
    <w:rsid w:val="7894A6D1"/>
    <w:rsid w:val="78A0E22D"/>
    <w:rsid w:val="78C5C7A0"/>
    <w:rsid w:val="78C689B8"/>
    <w:rsid w:val="78EDA06E"/>
    <w:rsid w:val="7917387C"/>
    <w:rsid w:val="7929763D"/>
    <w:rsid w:val="793FFDB1"/>
    <w:rsid w:val="796570BC"/>
    <w:rsid w:val="7974066C"/>
    <w:rsid w:val="798F20B7"/>
    <w:rsid w:val="7990E45C"/>
    <w:rsid w:val="7999906F"/>
    <w:rsid w:val="79AB1A74"/>
    <w:rsid w:val="79B3E8DF"/>
    <w:rsid w:val="79BF9CE6"/>
    <w:rsid w:val="79C24A27"/>
    <w:rsid w:val="7A073259"/>
    <w:rsid w:val="7A26B3CE"/>
    <w:rsid w:val="7A2A5ECC"/>
    <w:rsid w:val="7A3EB8EB"/>
    <w:rsid w:val="7A4DA62C"/>
    <w:rsid w:val="7A77E2B2"/>
    <w:rsid w:val="7A7FC324"/>
    <w:rsid w:val="7A8970CF"/>
    <w:rsid w:val="7A8F4525"/>
    <w:rsid w:val="7ACA4727"/>
    <w:rsid w:val="7AD1AFB2"/>
    <w:rsid w:val="7AF4563F"/>
    <w:rsid w:val="7AFCDC34"/>
    <w:rsid w:val="7B3AFF19"/>
    <w:rsid w:val="7B4460ED"/>
    <w:rsid w:val="7B5720D3"/>
    <w:rsid w:val="7B62BC00"/>
    <w:rsid w:val="7B6EF316"/>
    <w:rsid w:val="7B70CFA9"/>
    <w:rsid w:val="7B70D476"/>
    <w:rsid w:val="7B939FFA"/>
    <w:rsid w:val="7B99B523"/>
    <w:rsid w:val="7B9A33C3"/>
    <w:rsid w:val="7BBB0129"/>
    <w:rsid w:val="7BEA100E"/>
    <w:rsid w:val="7C13B313"/>
    <w:rsid w:val="7C1949EF"/>
    <w:rsid w:val="7C1E5D2B"/>
    <w:rsid w:val="7C2CC29C"/>
    <w:rsid w:val="7C2D63FC"/>
    <w:rsid w:val="7C306BCB"/>
    <w:rsid w:val="7C691E40"/>
    <w:rsid w:val="7C964AE3"/>
    <w:rsid w:val="7CA4AC82"/>
    <w:rsid w:val="7CD13131"/>
    <w:rsid w:val="7CD3B064"/>
    <w:rsid w:val="7CF1495B"/>
    <w:rsid w:val="7CFB75C0"/>
    <w:rsid w:val="7D358584"/>
    <w:rsid w:val="7D47FED4"/>
    <w:rsid w:val="7D4BA994"/>
    <w:rsid w:val="7D6EB93F"/>
    <w:rsid w:val="7D9CA973"/>
    <w:rsid w:val="7E2B574A"/>
    <w:rsid w:val="7E5BFB3C"/>
    <w:rsid w:val="7E82CCD9"/>
    <w:rsid w:val="7E922318"/>
    <w:rsid w:val="7E974621"/>
    <w:rsid w:val="7E9A12BD"/>
    <w:rsid w:val="7ED0C0CE"/>
    <w:rsid w:val="7EF2A1EB"/>
    <w:rsid w:val="7F1B323B"/>
    <w:rsid w:val="7F3879D4"/>
    <w:rsid w:val="7F44327E"/>
    <w:rsid w:val="7F47AB0C"/>
    <w:rsid w:val="7F4A57B6"/>
    <w:rsid w:val="7F4FBF23"/>
    <w:rsid w:val="7F776B91"/>
    <w:rsid w:val="7F79B121"/>
    <w:rsid w:val="7FAEFB22"/>
    <w:rsid w:val="7FBFA639"/>
    <w:rsid w:val="7FEE41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83ECE"/>
  <w15:chartTrackingRefBased/>
  <w15:docId w15:val="{045F16C2-7B0E-4DCF-986E-60A407585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2F0C24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2F0C24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2F0C2401"/>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2F0C240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2F0C240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2F0C2401"/>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2F0C2401"/>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2F0C2401"/>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2F0C2401"/>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2F0C2401"/>
    <w:pPr>
      <w:ind w:left="720"/>
      <w:contextualSpacing/>
    </w:pPr>
  </w:style>
  <w:style w:type="paragraph" w:styleId="Title">
    <w:name w:val="Title"/>
    <w:basedOn w:val="Normal"/>
    <w:next w:val="Normal"/>
    <w:link w:val="TitleChar"/>
    <w:uiPriority w:val="10"/>
    <w:qFormat/>
    <w:rsid w:val="2F0C2401"/>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2F0C2401"/>
    <w:rPr>
      <w:rFonts w:eastAsiaTheme="minorEastAsia"/>
      <w:color w:val="5A5A5A"/>
    </w:rPr>
  </w:style>
  <w:style w:type="paragraph" w:styleId="Quote">
    <w:name w:val="Quote"/>
    <w:basedOn w:val="Normal"/>
    <w:next w:val="Normal"/>
    <w:link w:val="QuoteChar"/>
    <w:uiPriority w:val="29"/>
    <w:qFormat/>
    <w:rsid w:val="2F0C2401"/>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2F0C2401"/>
    <w:pPr>
      <w:spacing w:before="360" w:after="360"/>
      <w:ind w:left="864" w:right="864"/>
      <w:jc w:val="center"/>
    </w:pPr>
    <w:rPr>
      <w:i/>
      <w:iCs/>
      <w:color w:val="4472C4" w:themeColor="accent1"/>
    </w:rPr>
  </w:style>
  <w:style w:type="character" w:customStyle="1" w:styleId="Heading1Char">
    <w:name w:val="Heading 1 Char"/>
    <w:basedOn w:val="DefaultParagraphFont"/>
    <w:link w:val="Heading1"/>
    <w:uiPriority w:val="9"/>
    <w:rsid w:val="2F0C2401"/>
    <w:rPr>
      <w:rFonts w:asciiTheme="majorHAnsi" w:eastAsiaTheme="majorEastAsia" w:hAnsiTheme="majorHAnsi" w:cstheme="majorBidi"/>
      <w:noProof w:val="0"/>
      <w:color w:val="2F5496" w:themeColor="accent1" w:themeShade="BF"/>
      <w:sz w:val="32"/>
      <w:szCs w:val="32"/>
      <w:lang w:val="en-US"/>
    </w:rPr>
  </w:style>
  <w:style w:type="character" w:customStyle="1" w:styleId="Heading2Char">
    <w:name w:val="Heading 2 Char"/>
    <w:basedOn w:val="DefaultParagraphFont"/>
    <w:link w:val="Heading2"/>
    <w:uiPriority w:val="9"/>
    <w:rsid w:val="2F0C2401"/>
    <w:rPr>
      <w:rFonts w:asciiTheme="majorHAnsi" w:eastAsiaTheme="majorEastAsia" w:hAnsiTheme="majorHAnsi" w:cstheme="majorBidi"/>
      <w:noProof w:val="0"/>
      <w:color w:val="2F5496" w:themeColor="accent1" w:themeShade="BF"/>
      <w:sz w:val="26"/>
      <w:szCs w:val="26"/>
      <w:lang w:val="en-US"/>
    </w:rPr>
  </w:style>
  <w:style w:type="character" w:customStyle="1" w:styleId="Heading3Char">
    <w:name w:val="Heading 3 Char"/>
    <w:basedOn w:val="DefaultParagraphFont"/>
    <w:link w:val="Heading3"/>
    <w:uiPriority w:val="9"/>
    <w:rsid w:val="2F0C2401"/>
    <w:rPr>
      <w:rFonts w:asciiTheme="majorHAnsi" w:eastAsiaTheme="majorEastAsia" w:hAnsiTheme="majorHAnsi" w:cstheme="majorBidi"/>
      <w:noProof w:val="0"/>
      <w:color w:val="1F3763"/>
      <w:sz w:val="24"/>
      <w:szCs w:val="24"/>
      <w:lang w:val="en-US"/>
    </w:rPr>
  </w:style>
  <w:style w:type="character" w:customStyle="1" w:styleId="Heading4Char">
    <w:name w:val="Heading 4 Char"/>
    <w:basedOn w:val="DefaultParagraphFont"/>
    <w:link w:val="Heading4"/>
    <w:uiPriority w:val="9"/>
    <w:rsid w:val="2F0C2401"/>
    <w:rPr>
      <w:rFonts w:asciiTheme="majorHAnsi" w:eastAsiaTheme="majorEastAsia" w:hAnsiTheme="majorHAnsi" w:cstheme="majorBidi"/>
      <w:i/>
      <w:iCs/>
      <w:noProof w:val="0"/>
      <w:color w:val="2F5496" w:themeColor="accent1" w:themeShade="BF"/>
      <w:lang w:val="en-US"/>
    </w:rPr>
  </w:style>
  <w:style w:type="character" w:customStyle="1" w:styleId="Heading5Char">
    <w:name w:val="Heading 5 Char"/>
    <w:basedOn w:val="DefaultParagraphFont"/>
    <w:link w:val="Heading5"/>
    <w:uiPriority w:val="9"/>
    <w:rsid w:val="2F0C2401"/>
    <w:rPr>
      <w:rFonts w:asciiTheme="majorHAnsi" w:eastAsiaTheme="majorEastAsia" w:hAnsiTheme="majorHAnsi" w:cstheme="majorBidi"/>
      <w:noProof w:val="0"/>
      <w:color w:val="2F5496" w:themeColor="accent1" w:themeShade="BF"/>
      <w:lang w:val="en-US"/>
    </w:rPr>
  </w:style>
  <w:style w:type="character" w:customStyle="1" w:styleId="Heading6Char">
    <w:name w:val="Heading 6 Char"/>
    <w:basedOn w:val="DefaultParagraphFont"/>
    <w:link w:val="Heading6"/>
    <w:uiPriority w:val="9"/>
    <w:rsid w:val="2F0C2401"/>
    <w:rPr>
      <w:rFonts w:asciiTheme="majorHAnsi" w:eastAsiaTheme="majorEastAsia" w:hAnsiTheme="majorHAnsi" w:cstheme="majorBidi"/>
      <w:noProof w:val="0"/>
      <w:color w:val="1F3763"/>
      <w:lang w:val="en-US"/>
    </w:rPr>
  </w:style>
  <w:style w:type="character" w:customStyle="1" w:styleId="Heading7Char">
    <w:name w:val="Heading 7 Char"/>
    <w:basedOn w:val="DefaultParagraphFont"/>
    <w:link w:val="Heading7"/>
    <w:uiPriority w:val="9"/>
    <w:rsid w:val="2F0C2401"/>
    <w:rPr>
      <w:rFonts w:asciiTheme="majorHAnsi" w:eastAsiaTheme="majorEastAsia" w:hAnsiTheme="majorHAnsi" w:cstheme="majorBidi"/>
      <w:i/>
      <w:iCs/>
      <w:noProof w:val="0"/>
      <w:color w:val="1F3763"/>
      <w:lang w:val="en-US"/>
    </w:rPr>
  </w:style>
  <w:style w:type="character" w:customStyle="1" w:styleId="Heading8Char">
    <w:name w:val="Heading 8 Char"/>
    <w:basedOn w:val="DefaultParagraphFont"/>
    <w:link w:val="Heading8"/>
    <w:uiPriority w:val="9"/>
    <w:rsid w:val="2F0C2401"/>
    <w:rPr>
      <w:rFonts w:asciiTheme="majorHAnsi" w:eastAsiaTheme="majorEastAsia" w:hAnsiTheme="majorHAnsi" w:cstheme="majorBidi"/>
      <w:noProof w:val="0"/>
      <w:color w:val="272727"/>
      <w:sz w:val="21"/>
      <w:szCs w:val="21"/>
      <w:lang w:val="en-US"/>
    </w:rPr>
  </w:style>
  <w:style w:type="character" w:customStyle="1" w:styleId="Heading9Char">
    <w:name w:val="Heading 9 Char"/>
    <w:basedOn w:val="DefaultParagraphFont"/>
    <w:link w:val="Heading9"/>
    <w:uiPriority w:val="9"/>
    <w:rsid w:val="2F0C2401"/>
    <w:rPr>
      <w:rFonts w:asciiTheme="majorHAnsi" w:eastAsiaTheme="majorEastAsia" w:hAnsiTheme="majorHAnsi" w:cstheme="majorBidi"/>
      <w:i/>
      <w:iCs/>
      <w:noProof w:val="0"/>
      <w:color w:val="272727"/>
      <w:sz w:val="21"/>
      <w:szCs w:val="21"/>
      <w:lang w:val="en-US"/>
    </w:rPr>
  </w:style>
  <w:style w:type="character" w:customStyle="1" w:styleId="TitleChar">
    <w:name w:val="Title Char"/>
    <w:basedOn w:val="DefaultParagraphFont"/>
    <w:link w:val="Title"/>
    <w:uiPriority w:val="10"/>
    <w:rsid w:val="2F0C2401"/>
    <w:rPr>
      <w:rFonts w:asciiTheme="majorHAnsi" w:eastAsiaTheme="majorEastAsia" w:hAnsiTheme="majorHAnsi" w:cstheme="majorBidi"/>
      <w:noProof w:val="0"/>
      <w:sz w:val="56"/>
      <w:szCs w:val="56"/>
      <w:lang w:val="en-US"/>
    </w:rPr>
  </w:style>
  <w:style w:type="character" w:customStyle="1" w:styleId="SubtitleChar">
    <w:name w:val="Subtitle Char"/>
    <w:basedOn w:val="DefaultParagraphFont"/>
    <w:link w:val="Subtitle"/>
    <w:uiPriority w:val="11"/>
    <w:rsid w:val="2F0C2401"/>
    <w:rPr>
      <w:rFonts w:asciiTheme="minorHAnsi" w:eastAsiaTheme="minorEastAsia" w:hAnsiTheme="minorHAnsi" w:cstheme="minorBidi"/>
      <w:noProof w:val="0"/>
      <w:color w:val="5A5A5A"/>
      <w:lang w:val="en-US"/>
    </w:rPr>
  </w:style>
  <w:style w:type="character" w:customStyle="1" w:styleId="QuoteChar">
    <w:name w:val="Quote Char"/>
    <w:basedOn w:val="DefaultParagraphFont"/>
    <w:link w:val="Quote"/>
    <w:uiPriority w:val="29"/>
    <w:rsid w:val="2F0C2401"/>
    <w:rPr>
      <w:i/>
      <w:iCs/>
      <w:noProof w:val="0"/>
      <w:color w:val="404040" w:themeColor="text1" w:themeTint="BF"/>
      <w:lang w:val="en-US"/>
    </w:rPr>
  </w:style>
  <w:style w:type="character" w:customStyle="1" w:styleId="IntenseQuoteChar">
    <w:name w:val="Intense Quote Char"/>
    <w:basedOn w:val="DefaultParagraphFont"/>
    <w:link w:val="IntenseQuote"/>
    <w:uiPriority w:val="30"/>
    <w:rsid w:val="2F0C2401"/>
    <w:rPr>
      <w:i/>
      <w:iCs/>
      <w:noProof w:val="0"/>
      <w:color w:val="4472C4" w:themeColor="accent1"/>
      <w:lang w:val="en-US"/>
    </w:rPr>
  </w:style>
  <w:style w:type="paragraph" w:styleId="TOC1">
    <w:name w:val="toc 1"/>
    <w:basedOn w:val="Normal"/>
    <w:next w:val="Normal"/>
    <w:uiPriority w:val="39"/>
    <w:unhideWhenUsed/>
    <w:rsid w:val="2F0C2401"/>
    <w:pPr>
      <w:spacing w:after="100"/>
    </w:pPr>
  </w:style>
  <w:style w:type="paragraph" w:styleId="TOC2">
    <w:name w:val="toc 2"/>
    <w:basedOn w:val="Normal"/>
    <w:next w:val="Normal"/>
    <w:uiPriority w:val="39"/>
    <w:unhideWhenUsed/>
    <w:rsid w:val="2F0C2401"/>
    <w:pPr>
      <w:spacing w:after="100"/>
      <w:ind w:left="220"/>
    </w:pPr>
  </w:style>
  <w:style w:type="paragraph" w:styleId="TOC3">
    <w:name w:val="toc 3"/>
    <w:basedOn w:val="Normal"/>
    <w:next w:val="Normal"/>
    <w:uiPriority w:val="39"/>
    <w:unhideWhenUsed/>
    <w:rsid w:val="2F0C2401"/>
    <w:pPr>
      <w:spacing w:after="100"/>
      <w:ind w:left="440"/>
    </w:pPr>
  </w:style>
  <w:style w:type="paragraph" w:styleId="TOC4">
    <w:name w:val="toc 4"/>
    <w:basedOn w:val="Normal"/>
    <w:next w:val="Normal"/>
    <w:uiPriority w:val="39"/>
    <w:unhideWhenUsed/>
    <w:rsid w:val="2F0C2401"/>
    <w:pPr>
      <w:spacing w:after="100"/>
      <w:ind w:left="660"/>
    </w:pPr>
  </w:style>
  <w:style w:type="paragraph" w:styleId="TOC5">
    <w:name w:val="toc 5"/>
    <w:basedOn w:val="Normal"/>
    <w:next w:val="Normal"/>
    <w:uiPriority w:val="39"/>
    <w:unhideWhenUsed/>
    <w:rsid w:val="2F0C2401"/>
    <w:pPr>
      <w:spacing w:after="100"/>
      <w:ind w:left="880"/>
    </w:pPr>
  </w:style>
  <w:style w:type="paragraph" w:styleId="TOC6">
    <w:name w:val="toc 6"/>
    <w:basedOn w:val="Normal"/>
    <w:next w:val="Normal"/>
    <w:uiPriority w:val="39"/>
    <w:unhideWhenUsed/>
    <w:rsid w:val="2F0C2401"/>
    <w:pPr>
      <w:spacing w:after="100"/>
      <w:ind w:left="1100"/>
    </w:pPr>
  </w:style>
  <w:style w:type="paragraph" w:styleId="TOC7">
    <w:name w:val="toc 7"/>
    <w:basedOn w:val="Normal"/>
    <w:next w:val="Normal"/>
    <w:uiPriority w:val="39"/>
    <w:unhideWhenUsed/>
    <w:rsid w:val="2F0C2401"/>
    <w:pPr>
      <w:spacing w:after="100"/>
      <w:ind w:left="1320"/>
    </w:pPr>
  </w:style>
  <w:style w:type="paragraph" w:styleId="TOC8">
    <w:name w:val="toc 8"/>
    <w:basedOn w:val="Normal"/>
    <w:next w:val="Normal"/>
    <w:uiPriority w:val="39"/>
    <w:unhideWhenUsed/>
    <w:rsid w:val="2F0C2401"/>
    <w:pPr>
      <w:spacing w:after="100"/>
      <w:ind w:left="1540"/>
    </w:pPr>
  </w:style>
  <w:style w:type="paragraph" w:styleId="TOC9">
    <w:name w:val="toc 9"/>
    <w:basedOn w:val="Normal"/>
    <w:next w:val="Normal"/>
    <w:uiPriority w:val="39"/>
    <w:unhideWhenUsed/>
    <w:rsid w:val="2F0C2401"/>
    <w:pPr>
      <w:spacing w:after="100"/>
      <w:ind w:left="1760"/>
    </w:pPr>
  </w:style>
  <w:style w:type="paragraph" w:styleId="EndnoteText">
    <w:name w:val="endnote text"/>
    <w:basedOn w:val="Normal"/>
    <w:link w:val="EndnoteTextChar"/>
    <w:uiPriority w:val="99"/>
    <w:semiHidden/>
    <w:unhideWhenUsed/>
    <w:rsid w:val="2F0C2401"/>
    <w:pPr>
      <w:spacing w:after="0"/>
    </w:pPr>
    <w:rPr>
      <w:sz w:val="20"/>
      <w:szCs w:val="20"/>
    </w:rPr>
  </w:style>
  <w:style w:type="character" w:customStyle="1" w:styleId="EndnoteTextChar">
    <w:name w:val="Endnote Text Char"/>
    <w:basedOn w:val="DefaultParagraphFont"/>
    <w:link w:val="EndnoteText"/>
    <w:uiPriority w:val="99"/>
    <w:semiHidden/>
    <w:rsid w:val="2F0C2401"/>
    <w:rPr>
      <w:noProof w:val="0"/>
      <w:sz w:val="20"/>
      <w:szCs w:val="20"/>
      <w:lang w:val="en-US"/>
    </w:rPr>
  </w:style>
  <w:style w:type="paragraph" w:styleId="Footer">
    <w:name w:val="footer"/>
    <w:basedOn w:val="Normal"/>
    <w:link w:val="FooterChar"/>
    <w:uiPriority w:val="99"/>
    <w:unhideWhenUsed/>
    <w:rsid w:val="2F0C2401"/>
    <w:pPr>
      <w:tabs>
        <w:tab w:val="center" w:pos="4680"/>
        <w:tab w:val="right" w:pos="9360"/>
      </w:tabs>
      <w:spacing w:after="0"/>
    </w:pPr>
  </w:style>
  <w:style w:type="character" w:customStyle="1" w:styleId="FooterChar">
    <w:name w:val="Footer Char"/>
    <w:basedOn w:val="DefaultParagraphFont"/>
    <w:link w:val="Footer"/>
    <w:uiPriority w:val="99"/>
    <w:rsid w:val="2F0C2401"/>
    <w:rPr>
      <w:noProof w:val="0"/>
      <w:lang w:val="en-US"/>
    </w:rPr>
  </w:style>
  <w:style w:type="paragraph" w:styleId="FootnoteText">
    <w:name w:val="footnote text"/>
    <w:basedOn w:val="Normal"/>
    <w:link w:val="FootnoteTextChar"/>
    <w:uiPriority w:val="99"/>
    <w:semiHidden/>
    <w:unhideWhenUsed/>
    <w:rsid w:val="2F0C2401"/>
    <w:pPr>
      <w:spacing w:after="0"/>
    </w:pPr>
    <w:rPr>
      <w:sz w:val="20"/>
      <w:szCs w:val="20"/>
    </w:rPr>
  </w:style>
  <w:style w:type="character" w:customStyle="1" w:styleId="FootnoteTextChar">
    <w:name w:val="Footnote Text Char"/>
    <w:basedOn w:val="DefaultParagraphFont"/>
    <w:link w:val="FootnoteText"/>
    <w:uiPriority w:val="99"/>
    <w:semiHidden/>
    <w:rsid w:val="2F0C2401"/>
    <w:rPr>
      <w:noProof w:val="0"/>
      <w:sz w:val="20"/>
      <w:szCs w:val="20"/>
      <w:lang w:val="en-US"/>
    </w:rPr>
  </w:style>
  <w:style w:type="paragraph" w:styleId="Header">
    <w:name w:val="header"/>
    <w:basedOn w:val="Normal"/>
    <w:link w:val="HeaderChar"/>
    <w:uiPriority w:val="99"/>
    <w:unhideWhenUsed/>
    <w:rsid w:val="2F0C2401"/>
    <w:pPr>
      <w:tabs>
        <w:tab w:val="center" w:pos="4680"/>
        <w:tab w:val="right" w:pos="9360"/>
      </w:tabs>
      <w:spacing w:after="0"/>
    </w:pPr>
  </w:style>
  <w:style w:type="character" w:customStyle="1" w:styleId="HeaderChar">
    <w:name w:val="Header Char"/>
    <w:basedOn w:val="DefaultParagraphFont"/>
    <w:link w:val="Header"/>
    <w:uiPriority w:val="99"/>
    <w:rsid w:val="2F0C2401"/>
    <w:rPr>
      <w:noProof w:val="0"/>
      <w:lang w:val="en-US"/>
    </w:r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roactiveinvestors.co.uk/companies/news/1030292/london-stock-exchange-group-on-track-after-strong-third-quarter-1030292.html" TargetMode="External"/><Relationship Id="rId21" Type="http://schemas.openxmlformats.org/officeDocument/2006/relationships/hyperlink" Target="https://www.nber.org/system/files/working_papers/w3153/w3153.pdf" TargetMode="External"/><Relationship Id="rId42" Type="http://schemas.openxmlformats.org/officeDocument/2006/relationships/hyperlink" Target="https://ds.amu.edu.et/xmlui/bitstream/handle/123456789/9330/Research%20Methodology.pdf?sequence=1&amp;isAllowed=y" TargetMode="External"/><Relationship Id="rId47" Type="http://schemas.openxmlformats.org/officeDocument/2006/relationships/hyperlink" Target="https://www.londonstockexchange.com/indices/ftse-all-share" TargetMode="External"/><Relationship Id="rId63" Type="http://schemas.openxmlformats.org/officeDocument/2006/relationships/image" Target="media/image9.png"/><Relationship Id="rId68" Type="http://schemas.openxmlformats.org/officeDocument/2006/relationships/footer" Target="footer1.xml"/><Relationship Id="rId7" Type="http://schemas.openxmlformats.org/officeDocument/2006/relationships/image" Target="media/image1.png"/><Relationship Id="rId71"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bankofengland.co.uk/monetary-policy" TargetMode="External"/><Relationship Id="rId29" Type="http://schemas.openxmlformats.org/officeDocument/2006/relationships/hyperlink" Target="https://www.nber.org/system/files/working_papers/w7267/w7267.pdf" TargetMode="External"/><Relationship Id="rId11" Type="http://schemas.openxmlformats.org/officeDocument/2006/relationships/image" Target="media/image5.png"/><Relationship Id="rId24" Type="http://schemas.openxmlformats.org/officeDocument/2006/relationships/hyperlink" Target="https://mpra.ub.uni-muenchen.de/36897/1/MPRA_paper_36897.pdf" TargetMode="External"/><Relationship Id="rId32" Type="http://schemas.openxmlformats.org/officeDocument/2006/relationships/hyperlink" Target="https://www.investopedia.com/investing/how-interest-rates-affect-stock-market/" TargetMode="External"/><Relationship Id="rId37" Type="http://schemas.openxmlformats.org/officeDocument/2006/relationships/hyperlink" Target="https://www.trade.gov/knowledge-product/united-kingdom-market-overview" TargetMode="External"/><Relationship Id="rId40" Type="http://schemas.openxmlformats.org/officeDocument/2006/relationships/hyperlink" Target="https://www.researchgate.net/profile/Jonathan-Karpoff/publication/227406040_The_Relation_Between_Price_Changes_and_Trading_Volume_A_Survey/links/53cecd5a0cf2fd75bc59a213/The-Relation-Between-Price-Changes-and-Trading-Volume-A-Survey.pdf" TargetMode="External"/><Relationship Id="rId45" Type="http://schemas.openxmlformats.org/officeDocument/2006/relationships/hyperlink" Target="https://www.londonstockexchange.com/indices/ftse-250" TargetMode="External"/><Relationship Id="rId53" Type="http://schemas.openxmlformats.org/officeDocument/2006/relationships/hyperlink" Target="https://www.atlantis-press.com/article/125981408.pdf" TargetMode="External"/><Relationship Id="rId58" Type="http://schemas.openxmlformats.org/officeDocument/2006/relationships/hyperlink" Target="https://www.nber.org/digest/aug19/new-estimates-stock-market-wealth-effect" TargetMode="External"/><Relationship Id="rId66" Type="http://schemas.openxmlformats.org/officeDocument/2006/relationships/image" Target="media/image12.png"/><Relationship Id="rId5" Type="http://schemas.openxmlformats.org/officeDocument/2006/relationships/footnotes" Target="footnotes.xml"/><Relationship Id="rId61" Type="http://schemas.openxmlformats.org/officeDocument/2006/relationships/image" Target="media/image7.png"/><Relationship Id="rId19" Type="http://schemas.openxmlformats.org/officeDocument/2006/relationships/hyperlink" Target="https://www.econstor.eu/bitstream/10419/141821/1/859906256.pdf" TargetMode="External"/><Relationship Id="rId14" Type="http://schemas.openxmlformats.org/officeDocument/2006/relationships/hyperlink" Target="https://www.nber.org/system/files/working_papers/w10449/w10449.pdf" TargetMode="External"/><Relationship Id="rId22" Type="http://schemas.openxmlformats.org/officeDocument/2006/relationships/hyperlink" Target="https://www.nber.org/system/files/working_papers/w4193/w4193.pdf" TargetMode="External"/><Relationship Id="rId27" Type="http://schemas.openxmlformats.org/officeDocument/2006/relationships/hyperlink" Target="http://pages.stern.nyu.edu/~dbackus/GE_asset_pricing/FamaFrench%20bus%20conds%20JFE%2089.PDF" TargetMode="External"/><Relationship Id="rId30" Type="http://schemas.openxmlformats.org/officeDocument/2006/relationships/hyperlink" Target="https://www.mdpi.com/1911-8074/12/1/5/pdf" TargetMode="External"/><Relationship Id="rId35" Type="http://schemas.openxmlformats.org/officeDocument/2006/relationships/hyperlink" Target="https://doc1.bibliothek.li/acd/FLMF046862.pdf" TargetMode="External"/><Relationship Id="rId43" Type="http://schemas.openxmlformats.org/officeDocument/2006/relationships/hyperlink" Target="https://www.londonstockexchange.com/resources/equities-trading-resources?tab=exchange-traded-products-etps-&amp;accordionId=3-fbde55a2-6bf0-47ce-9a4f-a7a5193b0878&amp;moduleId=block_content%3A1e3be937-7bdb-4fed-a408-d2dc2b358c27" TargetMode="External"/><Relationship Id="rId48" Type="http://schemas.openxmlformats.org/officeDocument/2006/relationships/hyperlink" Target="https://www.linkedin.com/pulse/impact-interest-rates-stock-market-performance-thesis-madanwale" TargetMode="External"/><Relationship Id="rId56" Type="http://schemas.openxmlformats.org/officeDocument/2006/relationships/hyperlink" Target="https://www.reuters.com/markets/europe/london-stocks-climb-upbeat-earnings-boe-decision-focus-2023-11-02/" TargetMode="External"/><Relationship Id="rId64" Type="http://schemas.openxmlformats.org/officeDocument/2006/relationships/image" Target="media/image10.png"/><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ons.gov.uk/economy/grossdomesticproductgdp/timeseries/ihyp/qna"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nber.org/system/files/working_papers/w5307/w5307.pdf" TargetMode="External"/><Relationship Id="rId25" Type="http://schemas.openxmlformats.org/officeDocument/2006/relationships/hyperlink" Target="https://www.mdpi.com/2227-7099/11/6/155/pdf" TargetMode="External"/><Relationship Id="rId33" Type="http://schemas.openxmlformats.org/officeDocument/2006/relationships/hyperlink" Target="https://archive.nyu.edu/bitstream/2451/26848/2/wpa99011.pdf" TargetMode="External"/><Relationship Id="rId38" Type="http://schemas.openxmlformats.org/officeDocument/2006/relationships/hyperlink" Target="https://ideascale.com/blog/what-is-qualitative-research/" TargetMode="External"/><Relationship Id="rId46" Type="http://schemas.openxmlformats.org/officeDocument/2006/relationships/hyperlink" Target="https://www.londonstockexchange.com/indices/ftse-350" TargetMode="External"/><Relationship Id="rId59" Type="http://schemas.openxmlformats.org/officeDocument/2006/relationships/hyperlink" Target="https://papers.ssrn.com/sol3/papers.cfm?abstract_id=2941287" TargetMode="External"/><Relationship Id="rId67" Type="http://schemas.openxmlformats.org/officeDocument/2006/relationships/header" Target="header1.xml"/><Relationship Id="rId20" Type="http://schemas.openxmlformats.org/officeDocument/2006/relationships/hyperlink" Target="https://www.nber.org/system/files/working_papers/w2511/w2511.pdf" TargetMode="External"/><Relationship Id="rId41" Type="http://schemas.openxmlformats.org/officeDocument/2006/relationships/hyperlink" Target="https://www.cell.com/heliyon/pdf/S2405-8440(23)02965-1.pdf" TargetMode="External"/><Relationship Id="rId54" Type="http://schemas.openxmlformats.org/officeDocument/2006/relationships/hyperlink" Target="ftp://ftp.soc.uoc.gr/students/aslanidis/My%20documents/papers/Pesaran&amp;Timmermann%20(2000).pdf" TargetMode="External"/><Relationship Id="rId62" Type="http://schemas.openxmlformats.org/officeDocument/2006/relationships/image" Target="media/image8.png"/><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ankofengland.co.uk/monetary-policy/the-interest-rate-bank-rate" TargetMode="External"/><Relationship Id="rId23" Type="http://schemas.openxmlformats.org/officeDocument/2006/relationships/hyperlink" Target="http://fdjpkc.fudan.edu.cn/_upload/article/files/3f/58/2bfaa4934d989d5a49fbaf456e60/54445370-cb1c-4a75-8c2b-5322ee3e2f78.pdf" TargetMode="External"/><Relationship Id="rId28" Type="http://schemas.openxmlformats.org/officeDocument/2006/relationships/hyperlink" Target="https://pages.stern.nyu.edu/~dbackus/GE_asset_pricing/FamaFrench%20bus%20conds%20JFE%2089.PDF" TargetMode="External"/><Relationship Id="rId36" Type="http://schemas.openxmlformats.org/officeDocument/2006/relationships/hyperlink" Target="https://www.imf.org/en/News/Articles/2023/07/11/cf-United-Kingdoms-Long-Run-Prosperity-Hinges-on-Ambitious-Reforms" TargetMode="External"/><Relationship Id="rId49" Type="http://schemas.openxmlformats.org/officeDocument/2006/relationships/hyperlink" Target="https://www.researchgate.net/profile/Dr-Yasir-Tariq/publication/289952213_The_Efficient_Market_Hypothesis_A_Critical_Review_of_the_Literature/links/5693937908aec14fa55eb4c1/The-Efficient-Market-Hypothesis-A-Critical-Review-of-the-Literature.pdf" TargetMode="External"/><Relationship Id="rId57" Type="http://schemas.openxmlformats.org/officeDocument/2006/relationships/hyperlink" Target="https://chicagounbound.uchicago.edu/cgi/viewcontent.cgi?article=1050&amp;context=law_and_economics" TargetMode="External"/><Relationship Id="rId10" Type="http://schemas.openxmlformats.org/officeDocument/2006/relationships/image" Target="media/image4.png"/><Relationship Id="rId31" Type="http://schemas.openxmlformats.org/officeDocument/2006/relationships/hyperlink" Target="https://doi.org/10.1093/rapstu/raaa013" TargetMode="External"/><Relationship Id="rId44" Type="http://schemas.openxmlformats.org/officeDocument/2006/relationships/hyperlink" Target="https://www.londonstockexchange.com/indices/ftse-100" TargetMode="External"/><Relationship Id="rId52" Type="http://schemas.openxmlformats.org/officeDocument/2006/relationships/hyperlink" Target="https://www.ons.gov.uk/employmentandlabourmarket/peopleinwork/employmentandemployeetypes/timeseries/s2pu/lms" TargetMode="External"/><Relationship Id="rId60" Type="http://schemas.openxmlformats.org/officeDocument/2006/relationships/hyperlink" Target="https://www.nber.org/system/files/working_papers/w18251/w18251.pdf" TargetMode="External"/><Relationship Id="rId65"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diva-portal.org/smash/get/diva2:1779178/FULLTEXT01.pdf" TargetMode="External"/><Relationship Id="rId18" Type="http://schemas.openxmlformats.org/officeDocument/2006/relationships/hyperlink" Target="https://www.nber.org/system/files/working_papers/w10402/w10402.pdf" TargetMode="External"/><Relationship Id="rId39" Type="http://schemas.openxmlformats.org/officeDocument/2006/relationships/hyperlink" Target="https://ideascale.com/blog/quantitative-research-design/" TargetMode="External"/><Relationship Id="rId34" Type="http://schemas.openxmlformats.org/officeDocument/2006/relationships/hyperlink" Target="https://doi.org/10.1108/JEFAS-03-2021-0011" TargetMode="External"/><Relationship Id="rId50" Type="http://schemas.openxmlformats.org/officeDocument/2006/relationships/hyperlink" Target="https://www.ons.gov.uk/economy/inflationandpricein%20dices/timeseries/l55o/mm23" TargetMode="External"/><Relationship Id="rId55" Type="http://schemas.openxmlformats.org/officeDocument/2006/relationships/hyperlink" Target="https://roderic.uv.es/bitstream/handle/10550/67421/118291.pdf?sequenc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88</Pages>
  <Words>22252</Words>
  <Characters>126838</Characters>
  <Application>Microsoft Office Word</Application>
  <DocSecurity>0</DocSecurity>
  <Lines>1056</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Anjali Thakur (2226888)</dc:creator>
  <cp:keywords/>
  <dc:description/>
  <cp:lastModifiedBy>Anjali Thakur (2226888)</cp:lastModifiedBy>
  <cp:revision>4</cp:revision>
  <dcterms:created xsi:type="dcterms:W3CDTF">2023-12-26T11:12:00Z</dcterms:created>
  <dcterms:modified xsi:type="dcterms:W3CDTF">2024-01-11T12:21:00Z</dcterms:modified>
</cp:coreProperties>
</file>