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D9CD4" w14:textId="77777777" w:rsidR="005C2919" w:rsidRPr="005C2919" w:rsidRDefault="005C2919" w:rsidP="005C2919">
      <w:pPr>
        <w:spacing w:line="360" w:lineRule="auto"/>
        <w:jc w:val="both"/>
        <w:rPr>
          <w:rFonts w:ascii="Arial" w:hAnsi="Arial" w:cs="Arial"/>
          <w:b/>
          <w:bCs/>
          <w:color w:val="000000" w:themeColor="text1"/>
        </w:rPr>
      </w:pPr>
    </w:p>
    <w:p w14:paraId="6C06647A" w14:textId="77777777" w:rsidR="005C2919" w:rsidRPr="005C2919" w:rsidRDefault="005C2919" w:rsidP="005C2919">
      <w:pPr>
        <w:spacing w:line="360" w:lineRule="auto"/>
        <w:jc w:val="both"/>
        <w:rPr>
          <w:rFonts w:ascii="Arial" w:hAnsi="Arial" w:cs="Arial"/>
          <w:b/>
          <w:bCs/>
          <w:color w:val="000000" w:themeColor="text1"/>
        </w:rPr>
      </w:pPr>
      <w:r w:rsidRPr="005C2919">
        <w:rPr>
          <w:rFonts w:ascii="Arial" w:hAnsi="Arial" w:cs="Arial"/>
          <w:noProof/>
        </w:rPr>
        <w:drawing>
          <wp:inline distT="0" distB="0" distL="85723" distR="85723" wp14:anchorId="0C24B9A5" wp14:editId="0350061F">
            <wp:extent cx="2650417" cy="969560"/>
            <wp:effectExtent l="0" t="0" r="0" b="0"/>
            <wp:docPr id="1" name="图片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4C499913" w14:textId="77777777" w:rsidR="005C2919" w:rsidRDefault="005C2919" w:rsidP="005C2919">
      <w:pPr>
        <w:spacing w:line="360" w:lineRule="auto"/>
        <w:jc w:val="both"/>
        <w:rPr>
          <w:rFonts w:ascii="Arial" w:hAnsi="Arial" w:cs="Arial"/>
          <w:b/>
          <w:bCs/>
          <w:color w:val="000000" w:themeColor="text1"/>
        </w:rPr>
      </w:pPr>
    </w:p>
    <w:p w14:paraId="2A1FCF70" w14:textId="77777777" w:rsidR="00325180" w:rsidRPr="005C2919" w:rsidRDefault="00325180" w:rsidP="005C2919">
      <w:pPr>
        <w:spacing w:line="360" w:lineRule="auto"/>
        <w:jc w:val="both"/>
        <w:rPr>
          <w:rFonts w:ascii="Arial" w:hAnsi="Arial" w:cs="Arial"/>
          <w:b/>
          <w:bCs/>
          <w:color w:val="000000" w:themeColor="text1"/>
        </w:rPr>
      </w:pPr>
    </w:p>
    <w:p w14:paraId="3E825860" w14:textId="77777777" w:rsidR="005C2919" w:rsidRPr="005C2919" w:rsidRDefault="005C2919" w:rsidP="005C2919">
      <w:pPr>
        <w:spacing w:line="360" w:lineRule="auto"/>
        <w:jc w:val="both"/>
        <w:rPr>
          <w:rFonts w:ascii="Arial" w:hAnsi="Arial" w:cs="Arial"/>
          <w:b/>
          <w:bCs/>
          <w:color w:val="000000" w:themeColor="text1"/>
        </w:rPr>
      </w:pPr>
    </w:p>
    <w:p w14:paraId="298538FD" w14:textId="77777777" w:rsidR="005C2919" w:rsidRPr="005C2919" w:rsidRDefault="005C2919" w:rsidP="005C2919">
      <w:pPr>
        <w:spacing w:line="360" w:lineRule="auto"/>
        <w:jc w:val="both"/>
        <w:rPr>
          <w:rFonts w:ascii="Arial" w:hAnsi="Arial" w:cs="Arial"/>
          <w:b/>
          <w:bCs/>
          <w:color w:val="000000" w:themeColor="text1"/>
        </w:rPr>
      </w:pPr>
    </w:p>
    <w:p w14:paraId="76E7FAC7" w14:textId="77777777" w:rsidR="005C2919" w:rsidRPr="005C2919" w:rsidRDefault="005C2919" w:rsidP="005C2919">
      <w:pPr>
        <w:spacing w:line="360" w:lineRule="auto"/>
        <w:jc w:val="both"/>
        <w:rPr>
          <w:rFonts w:ascii="Arial" w:hAnsi="Arial" w:cs="Arial"/>
          <w:b/>
          <w:bCs/>
          <w:color w:val="000000" w:themeColor="text1"/>
        </w:rPr>
      </w:pPr>
    </w:p>
    <w:p w14:paraId="3C8C9F53" w14:textId="77777777" w:rsidR="005C2919" w:rsidRPr="00132AD4" w:rsidRDefault="005C2919" w:rsidP="005C2919">
      <w:pPr>
        <w:spacing w:line="360" w:lineRule="auto"/>
        <w:jc w:val="both"/>
        <w:rPr>
          <w:rFonts w:ascii="Arial" w:hAnsi="Arial" w:cs="Arial"/>
          <w:b/>
          <w:bCs/>
          <w:sz w:val="22"/>
          <w:szCs w:val="22"/>
        </w:rPr>
      </w:pPr>
      <w:r w:rsidRPr="00132AD4">
        <w:rPr>
          <w:rFonts w:ascii="Arial" w:hAnsi="Arial" w:cs="Arial"/>
          <w:b/>
          <w:bCs/>
          <w:sz w:val="22"/>
          <w:szCs w:val="22"/>
        </w:rPr>
        <w:t>HEALTH CARE SYSTEM ORGANISATION AND LEADERSHIP – ASSESSMENT 1</w:t>
      </w:r>
    </w:p>
    <w:p w14:paraId="79C916E1" w14:textId="77777777" w:rsidR="005C2919" w:rsidRPr="00132AD4" w:rsidRDefault="005C2919" w:rsidP="005C2919">
      <w:pPr>
        <w:spacing w:line="360" w:lineRule="auto"/>
        <w:jc w:val="both"/>
        <w:rPr>
          <w:rFonts w:ascii="Arial" w:hAnsi="Arial" w:cs="Arial"/>
          <w:b/>
          <w:bCs/>
          <w:color w:val="000000" w:themeColor="text1"/>
          <w:sz w:val="22"/>
          <w:szCs w:val="22"/>
        </w:rPr>
      </w:pPr>
    </w:p>
    <w:p w14:paraId="327FACE0" w14:textId="04C76BD3" w:rsidR="005C2919" w:rsidRPr="00132AD4" w:rsidRDefault="005C2919" w:rsidP="00190B42">
      <w:pPr>
        <w:spacing w:line="360" w:lineRule="auto"/>
        <w:jc w:val="center"/>
        <w:rPr>
          <w:rFonts w:ascii="Arial" w:hAnsi="Arial" w:cs="Arial"/>
          <w:b/>
          <w:bCs/>
          <w:color w:val="000000" w:themeColor="text1"/>
          <w:sz w:val="22"/>
          <w:szCs w:val="22"/>
        </w:rPr>
      </w:pPr>
      <w:r w:rsidRPr="00132AD4">
        <w:rPr>
          <w:rFonts w:ascii="Arial" w:hAnsi="Arial" w:cs="Arial"/>
          <w:b/>
          <w:bCs/>
          <w:color w:val="000000" w:themeColor="text1"/>
          <w:sz w:val="22"/>
          <w:szCs w:val="22"/>
        </w:rPr>
        <w:t>Comparison of Health Care System Organisations and Leadership Styles in Response to the COVID-19 Pandemic</w:t>
      </w:r>
    </w:p>
    <w:p w14:paraId="6717E005" w14:textId="77777777" w:rsidR="005C2919" w:rsidRPr="00132AD4" w:rsidRDefault="005C2919" w:rsidP="005C2919">
      <w:pPr>
        <w:spacing w:line="360" w:lineRule="auto"/>
        <w:jc w:val="both"/>
        <w:rPr>
          <w:rFonts w:ascii="Arial" w:hAnsi="Arial" w:cs="Arial"/>
          <w:b/>
          <w:bCs/>
          <w:color w:val="000000" w:themeColor="text1"/>
          <w:sz w:val="22"/>
          <w:szCs w:val="22"/>
        </w:rPr>
      </w:pPr>
    </w:p>
    <w:p w14:paraId="19FA0712" w14:textId="77777777" w:rsidR="005C2919" w:rsidRPr="00132AD4" w:rsidRDefault="005C2919" w:rsidP="005C2919">
      <w:pPr>
        <w:spacing w:line="360" w:lineRule="auto"/>
        <w:jc w:val="both"/>
        <w:rPr>
          <w:rFonts w:ascii="Arial" w:hAnsi="Arial" w:cs="Arial"/>
          <w:b/>
          <w:bCs/>
          <w:color w:val="000000" w:themeColor="text1"/>
          <w:sz w:val="22"/>
          <w:szCs w:val="22"/>
        </w:rPr>
      </w:pPr>
    </w:p>
    <w:p w14:paraId="27EDFC8E" w14:textId="77777777" w:rsidR="005C2919" w:rsidRPr="00132AD4" w:rsidRDefault="005C2919" w:rsidP="005C2919">
      <w:pPr>
        <w:spacing w:line="360" w:lineRule="auto"/>
        <w:jc w:val="both"/>
        <w:rPr>
          <w:rFonts w:ascii="Arial" w:hAnsi="Arial" w:cs="Arial"/>
          <w:b/>
          <w:bCs/>
          <w:color w:val="000000" w:themeColor="text1"/>
          <w:sz w:val="22"/>
          <w:szCs w:val="22"/>
        </w:rPr>
      </w:pPr>
    </w:p>
    <w:p w14:paraId="6FFEA435" w14:textId="77777777" w:rsidR="005C2919" w:rsidRPr="00132AD4" w:rsidRDefault="005C2919" w:rsidP="005C2919">
      <w:pPr>
        <w:spacing w:line="360" w:lineRule="auto"/>
        <w:jc w:val="both"/>
        <w:rPr>
          <w:rFonts w:ascii="Arial" w:hAnsi="Arial" w:cs="Arial"/>
          <w:b/>
          <w:bCs/>
          <w:sz w:val="22"/>
          <w:szCs w:val="22"/>
        </w:rPr>
      </w:pPr>
    </w:p>
    <w:p w14:paraId="16EE702E" w14:textId="77777777" w:rsidR="005C2919" w:rsidRPr="00132AD4" w:rsidRDefault="005C2919" w:rsidP="005C2919">
      <w:pPr>
        <w:spacing w:line="360" w:lineRule="auto"/>
        <w:jc w:val="both"/>
        <w:rPr>
          <w:rFonts w:ascii="Arial" w:hAnsi="Arial" w:cs="Arial"/>
          <w:sz w:val="22"/>
          <w:szCs w:val="22"/>
        </w:rPr>
      </w:pPr>
      <w:r w:rsidRPr="00132AD4">
        <w:rPr>
          <w:rFonts w:ascii="Arial" w:hAnsi="Arial" w:cs="Arial"/>
          <w:b/>
          <w:bCs/>
          <w:sz w:val="22"/>
          <w:szCs w:val="22"/>
        </w:rPr>
        <w:t>Programme:</w:t>
      </w:r>
      <w:r w:rsidRPr="00132AD4">
        <w:rPr>
          <w:rFonts w:ascii="Arial" w:hAnsi="Arial" w:cs="Arial"/>
          <w:sz w:val="22"/>
          <w:szCs w:val="22"/>
        </w:rPr>
        <w:t xml:space="preserve"> MSc Public Health and Social Care in Practice</w:t>
      </w:r>
    </w:p>
    <w:p w14:paraId="54524FFA" w14:textId="77777777" w:rsidR="005C2919" w:rsidRPr="00132AD4" w:rsidRDefault="005C2919" w:rsidP="005C2919">
      <w:pPr>
        <w:spacing w:after="0" w:line="360" w:lineRule="auto"/>
        <w:jc w:val="both"/>
        <w:rPr>
          <w:rFonts w:ascii="Arial" w:eastAsia="Times New Roman" w:hAnsi="Arial" w:cs="Arial"/>
          <w:sz w:val="22"/>
          <w:szCs w:val="22"/>
        </w:rPr>
      </w:pPr>
      <w:r w:rsidRPr="00132AD4">
        <w:rPr>
          <w:rFonts w:ascii="Arial" w:eastAsia="Times New Roman" w:hAnsi="Arial" w:cs="Arial"/>
          <w:b/>
          <w:bCs/>
          <w:sz w:val="22"/>
          <w:szCs w:val="22"/>
        </w:rPr>
        <w:t>Module name:</w:t>
      </w:r>
      <w:r w:rsidRPr="00132AD4">
        <w:rPr>
          <w:rFonts w:ascii="Arial" w:eastAsia="Times New Roman" w:hAnsi="Arial" w:cs="Arial"/>
          <w:sz w:val="22"/>
          <w:szCs w:val="22"/>
        </w:rPr>
        <w:t xml:space="preserve"> Health Care System Organisation and Leadership</w:t>
      </w:r>
    </w:p>
    <w:p w14:paraId="74D31DA8" w14:textId="529B6105" w:rsidR="005C2919" w:rsidRPr="00132AD4" w:rsidRDefault="005C2919" w:rsidP="005C2919">
      <w:pPr>
        <w:spacing w:after="0" w:line="360" w:lineRule="auto"/>
        <w:jc w:val="both"/>
        <w:rPr>
          <w:rFonts w:ascii="Arial" w:eastAsia="Times New Roman" w:hAnsi="Arial" w:cs="Arial"/>
          <w:sz w:val="22"/>
          <w:szCs w:val="22"/>
        </w:rPr>
      </w:pPr>
      <w:r w:rsidRPr="00132AD4">
        <w:rPr>
          <w:rFonts w:ascii="Arial" w:eastAsia="Times New Roman" w:hAnsi="Arial" w:cs="Arial"/>
          <w:b/>
          <w:bCs/>
          <w:sz w:val="22"/>
          <w:szCs w:val="22"/>
        </w:rPr>
        <w:t>Module code</w:t>
      </w:r>
      <w:r w:rsidRPr="00132AD4">
        <w:rPr>
          <w:rFonts w:ascii="Arial" w:eastAsia="Times New Roman" w:hAnsi="Arial" w:cs="Arial"/>
          <w:sz w:val="22"/>
          <w:szCs w:val="22"/>
        </w:rPr>
        <w:t xml:space="preserve">: </w:t>
      </w:r>
      <w:r w:rsidR="008C5B93" w:rsidRPr="00132AD4">
        <w:rPr>
          <w:rFonts w:ascii="Arial" w:eastAsia="Times New Roman" w:hAnsi="Arial" w:cs="Arial"/>
          <w:sz w:val="22"/>
          <w:szCs w:val="22"/>
        </w:rPr>
        <w:t>L</w:t>
      </w:r>
      <w:r w:rsidR="00211642" w:rsidRPr="00132AD4">
        <w:rPr>
          <w:rFonts w:ascii="Arial" w:eastAsia="Times New Roman" w:hAnsi="Arial" w:cs="Arial"/>
          <w:sz w:val="22"/>
          <w:szCs w:val="22"/>
        </w:rPr>
        <w:t>CHS7002</w:t>
      </w:r>
    </w:p>
    <w:p w14:paraId="53214E09" w14:textId="7F423238" w:rsidR="00AB0E9B" w:rsidRPr="00132AD4" w:rsidRDefault="005C2919" w:rsidP="005C2919">
      <w:pPr>
        <w:spacing w:after="0" w:line="360" w:lineRule="auto"/>
        <w:jc w:val="both"/>
        <w:rPr>
          <w:rFonts w:ascii="Arial" w:eastAsia="Times New Roman" w:hAnsi="Arial" w:cs="Arial"/>
          <w:b/>
          <w:bCs/>
          <w:sz w:val="22"/>
          <w:szCs w:val="22"/>
        </w:rPr>
      </w:pPr>
      <w:r w:rsidRPr="00132AD4">
        <w:rPr>
          <w:rFonts w:ascii="Arial" w:eastAsia="Times New Roman" w:hAnsi="Arial" w:cs="Arial"/>
          <w:b/>
          <w:bCs/>
          <w:sz w:val="22"/>
          <w:szCs w:val="22"/>
        </w:rPr>
        <w:t xml:space="preserve">Student name: </w:t>
      </w:r>
      <w:r w:rsidR="002C4AE8" w:rsidRPr="00132AD4">
        <w:rPr>
          <w:rFonts w:ascii="Arial" w:eastAsia="Times New Roman" w:hAnsi="Arial" w:cs="Arial"/>
          <w:b/>
          <w:bCs/>
          <w:sz w:val="22"/>
          <w:szCs w:val="22"/>
        </w:rPr>
        <w:t>Kashish Bhagat</w:t>
      </w:r>
    </w:p>
    <w:p w14:paraId="5ABEB9B3" w14:textId="64196AFA" w:rsidR="005C2919" w:rsidRPr="00132AD4" w:rsidRDefault="005C2919" w:rsidP="005C2919">
      <w:pPr>
        <w:spacing w:after="0" w:line="360" w:lineRule="auto"/>
        <w:jc w:val="both"/>
        <w:rPr>
          <w:rFonts w:ascii="Arial" w:eastAsia="Times New Roman" w:hAnsi="Arial" w:cs="Arial"/>
          <w:sz w:val="22"/>
          <w:szCs w:val="22"/>
        </w:rPr>
      </w:pPr>
      <w:r w:rsidRPr="00132AD4">
        <w:rPr>
          <w:rFonts w:ascii="Arial" w:eastAsia="Times New Roman" w:hAnsi="Arial" w:cs="Arial"/>
          <w:b/>
          <w:bCs/>
          <w:sz w:val="22"/>
          <w:szCs w:val="22"/>
        </w:rPr>
        <w:t>Student ID:</w:t>
      </w:r>
      <w:r w:rsidRPr="00132AD4">
        <w:rPr>
          <w:rFonts w:ascii="Arial" w:eastAsia="Times New Roman" w:hAnsi="Arial" w:cs="Arial"/>
          <w:sz w:val="22"/>
          <w:szCs w:val="22"/>
        </w:rPr>
        <w:t xml:space="preserve"> </w:t>
      </w:r>
      <w:r w:rsidR="00AB0E9B" w:rsidRPr="00132AD4">
        <w:rPr>
          <w:rFonts w:ascii="Arial" w:eastAsia="Times New Roman" w:hAnsi="Arial" w:cs="Arial"/>
          <w:sz w:val="22"/>
          <w:szCs w:val="22"/>
        </w:rPr>
        <w:t>24</w:t>
      </w:r>
      <w:r w:rsidR="003E28B2" w:rsidRPr="00132AD4">
        <w:rPr>
          <w:rFonts w:ascii="Arial" w:eastAsia="Times New Roman" w:hAnsi="Arial" w:cs="Arial"/>
          <w:sz w:val="22"/>
          <w:szCs w:val="22"/>
        </w:rPr>
        <w:t>38646</w:t>
      </w:r>
    </w:p>
    <w:p w14:paraId="285337F7" w14:textId="16A32C74" w:rsidR="005D766A" w:rsidRPr="00132AD4" w:rsidRDefault="005C2919" w:rsidP="005C2919">
      <w:pPr>
        <w:spacing w:after="0" w:line="360" w:lineRule="auto"/>
        <w:jc w:val="both"/>
        <w:rPr>
          <w:rFonts w:ascii="Arial" w:eastAsia="Times New Roman" w:hAnsi="Arial" w:cs="Arial"/>
          <w:sz w:val="22"/>
          <w:szCs w:val="22"/>
        </w:rPr>
      </w:pPr>
      <w:r w:rsidRPr="00132AD4">
        <w:rPr>
          <w:rFonts w:ascii="Arial" w:eastAsia="Times New Roman" w:hAnsi="Arial" w:cs="Arial"/>
          <w:b/>
          <w:bCs/>
          <w:sz w:val="22"/>
          <w:szCs w:val="22"/>
        </w:rPr>
        <w:t>Lecturer:</w:t>
      </w:r>
      <w:r w:rsidRPr="00132AD4">
        <w:rPr>
          <w:rFonts w:ascii="Arial" w:eastAsia="Times New Roman" w:hAnsi="Arial" w:cs="Arial"/>
          <w:sz w:val="22"/>
          <w:szCs w:val="22"/>
        </w:rPr>
        <w:t xml:space="preserve"> </w:t>
      </w:r>
      <w:r w:rsidR="00B32341" w:rsidRPr="00132AD4">
        <w:rPr>
          <w:rFonts w:ascii="Arial" w:eastAsia="Times New Roman" w:hAnsi="Arial" w:cs="Arial"/>
          <w:sz w:val="22"/>
          <w:szCs w:val="22"/>
        </w:rPr>
        <w:t>Dr C</w:t>
      </w:r>
      <w:r w:rsidR="00811D05" w:rsidRPr="00132AD4">
        <w:rPr>
          <w:rFonts w:ascii="Arial" w:eastAsia="Times New Roman" w:hAnsi="Arial" w:cs="Arial"/>
          <w:sz w:val="22"/>
          <w:szCs w:val="22"/>
        </w:rPr>
        <w:t>hristopher</w:t>
      </w:r>
      <w:r w:rsidR="005D766A" w:rsidRPr="00132AD4">
        <w:rPr>
          <w:rFonts w:ascii="Arial" w:eastAsia="Times New Roman" w:hAnsi="Arial" w:cs="Arial"/>
          <w:sz w:val="22"/>
          <w:szCs w:val="22"/>
        </w:rPr>
        <w:t xml:space="preserve"> Mafuva</w:t>
      </w:r>
      <w:r w:rsidR="00DE0F06" w:rsidRPr="00132AD4">
        <w:rPr>
          <w:rFonts w:ascii="Arial" w:eastAsia="Times New Roman" w:hAnsi="Arial" w:cs="Arial"/>
          <w:sz w:val="22"/>
          <w:szCs w:val="22"/>
        </w:rPr>
        <w:t xml:space="preserve"> / </w:t>
      </w:r>
      <w:r w:rsidR="006265BE" w:rsidRPr="00132AD4">
        <w:rPr>
          <w:rFonts w:ascii="Arial" w:eastAsia="Times New Roman" w:hAnsi="Arial" w:cs="Arial"/>
          <w:sz w:val="22"/>
          <w:szCs w:val="22"/>
        </w:rPr>
        <w:t>Shepherd Ziko</w:t>
      </w:r>
    </w:p>
    <w:p w14:paraId="09524393" w14:textId="77777777" w:rsidR="005D766A" w:rsidRPr="00132AD4" w:rsidRDefault="005D766A" w:rsidP="005C2919">
      <w:pPr>
        <w:spacing w:after="0" w:line="360" w:lineRule="auto"/>
        <w:jc w:val="both"/>
        <w:rPr>
          <w:rFonts w:ascii="Arial" w:eastAsia="Times New Roman" w:hAnsi="Arial" w:cs="Arial"/>
          <w:sz w:val="22"/>
          <w:szCs w:val="22"/>
        </w:rPr>
      </w:pPr>
    </w:p>
    <w:p w14:paraId="72FDA19A" w14:textId="77777777" w:rsidR="005C2919" w:rsidRPr="00132AD4" w:rsidRDefault="005C2919" w:rsidP="005C2919">
      <w:pPr>
        <w:tabs>
          <w:tab w:val="left" w:pos="3192"/>
        </w:tabs>
        <w:spacing w:line="360" w:lineRule="auto"/>
        <w:jc w:val="both"/>
        <w:rPr>
          <w:rFonts w:ascii="Arial" w:hAnsi="Arial" w:cs="Arial"/>
          <w:b/>
          <w:bCs/>
          <w:color w:val="000000" w:themeColor="text1"/>
          <w:sz w:val="22"/>
          <w:szCs w:val="22"/>
        </w:rPr>
      </w:pPr>
      <w:r w:rsidRPr="00132AD4">
        <w:rPr>
          <w:rFonts w:ascii="Arial" w:hAnsi="Arial" w:cs="Arial"/>
          <w:b/>
          <w:bCs/>
          <w:color w:val="000000" w:themeColor="text1"/>
          <w:sz w:val="22"/>
          <w:szCs w:val="22"/>
        </w:rPr>
        <w:tab/>
      </w:r>
    </w:p>
    <w:p w14:paraId="072D7534" w14:textId="77777777" w:rsidR="005C2919" w:rsidRPr="00132AD4" w:rsidRDefault="005C2919" w:rsidP="005C2919">
      <w:pPr>
        <w:spacing w:line="360" w:lineRule="auto"/>
        <w:jc w:val="both"/>
        <w:rPr>
          <w:rFonts w:ascii="Arial" w:hAnsi="Arial" w:cs="Arial"/>
          <w:b/>
          <w:bCs/>
          <w:color w:val="000000" w:themeColor="text1"/>
          <w:sz w:val="22"/>
          <w:szCs w:val="22"/>
        </w:rPr>
      </w:pPr>
    </w:p>
    <w:p w14:paraId="02FE26B4" w14:textId="77777777" w:rsidR="00EB5A1C" w:rsidRPr="00132AD4" w:rsidRDefault="00EB5A1C" w:rsidP="00EB5A1C">
      <w:pPr>
        <w:spacing w:line="360" w:lineRule="auto"/>
        <w:jc w:val="both"/>
        <w:rPr>
          <w:rFonts w:ascii="Arial" w:hAnsi="Arial" w:cs="Arial"/>
          <w:b/>
          <w:bCs/>
          <w:color w:val="000000" w:themeColor="text1"/>
          <w:sz w:val="22"/>
          <w:szCs w:val="22"/>
        </w:rPr>
      </w:pPr>
    </w:p>
    <w:sdt>
      <w:sdtPr>
        <w:rPr>
          <w:rFonts w:ascii="Arial" w:eastAsiaTheme="minorHAnsi" w:hAnsi="Arial" w:cs="Arial"/>
          <w:color w:val="auto"/>
          <w:kern w:val="2"/>
          <w:sz w:val="22"/>
          <w:szCs w:val="22"/>
          <w:lang w:eastAsia="en-US"/>
          <w14:ligatures w14:val="standardContextual"/>
        </w:rPr>
        <w:id w:val="-1360892137"/>
        <w:docPartObj>
          <w:docPartGallery w:val="Table of Contents"/>
          <w:docPartUnique/>
        </w:docPartObj>
      </w:sdtPr>
      <w:sdtEndPr>
        <w:rPr>
          <w:b/>
          <w:bCs/>
        </w:rPr>
      </w:sdtEndPr>
      <w:sdtContent>
        <w:p w14:paraId="5E5F06E5" w14:textId="21DDDCEF" w:rsidR="00EB5A1C" w:rsidRPr="00132AD4" w:rsidRDefault="00EB5A1C" w:rsidP="00EB5A1C">
          <w:pPr>
            <w:pStyle w:val="TOCHeading"/>
            <w:spacing w:line="360" w:lineRule="auto"/>
            <w:jc w:val="both"/>
            <w:rPr>
              <w:rFonts w:ascii="Arial" w:hAnsi="Arial" w:cs="Arial"/>
              <w:sz w:val="22"/>
              <w:szCs w:val="22"/>
              <w:u w:val="single"/>
            </w:rPr>
          </w:pPr>
          <w:r w:rsidRPr="00132AD4">
            <w:rPr>
              <w:rFonts w:ascii="Arial" w:hAnsi="Arial" w:cs="Arial"/>
              <w:sz w:val="22"/>
              <w:szCs w:val="22"/>
              <w:u w:val="single"/>
            </w:rPr>
            <w:t>Table of Contents</w:t>
          </w:r>
        </w:p>
        <w:p w14:paraId="71267C7A" w14:textId="2946F8C6" w:rsidR="00EB5A1C" w:rsidRPr="00132AD4" w:rsidRDefault="00EB5A1C" w:rsidP="00EB5A1C">
          <w:pPr>
            <w:pStyle w:val="TOC1"/>
            <w:tabs>
              <w:tab w:val="right" w:leader="dot" w:pos="9016"/>
            </w:tabs>
            <w:spacing w:line="360" w:lineRule="auto"/>
            <w:jc w:val="both"/>
            <w:rPr>
              <w:rFonts w:ascii="Arial" w:hAnsi="Arial" w:cs="Arial"/>
              <w:noProof/>
              <w:sz w:val="22"/>
              <w:szCs w:val="22"/>
            </w:rPr>
          </w:pPr>
          <w:r w:rsidRPr="00132AD4">
            <w:rPr>
              <w:rFonts w:ascii="Arial" w:hAnsi="Arial" w:cs="Arial"/>
              <w:sz w:val="22"/>
              <w:szCs w:val="22"/>
            </w:rPr>
            <w:fldChar w:fldCharType="begin"/>
          </w:r>
          <w:r w:rsidRPr="00132AD4">
            <w:rPr>
              <w:rFonts w:ascii="Arial" w:hAnsi="Arial" w:cs="Arial"/>
              <w:sz w:val="22"/>
              <w:szCs w:val="22"/>
            </w:rPr>
            <w:instrText xml:space="preserve"> TOC \o "1-3" \h \z \u </w:instrText>
          </w:r>
          <w:r w:rsidRPr="00132AD4">
            <w:rPr>
              <w:rFonts w:ascii="Arial" w:hAnsi="Arial" w:cs="Arial"/>
              <w:sz w:val="22"/>
              <w:szCs w:val="22"/>
            </w:rPr>
            <w:fldChar w:fldCharType="separate"/>
          </w:r>
          <w:hyperlink w:anchor="_Toc216688705" w:history="1">
            <w:r w:rsidRPr="00132AD4">
              <w:rPr>
                <w:rStyle w:val="Hyperlink"/>
                <w:rFonts w:ascii="Arial" w:hAnsi="Arial" w:cs="Arial"/>
                <w:noProof/>
                <w:sz w:val="22"/>
                <w:szCs w:val="22"/>
              </w:rPr>
              <w:t>1. Introduction</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_Toc216688705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3</w:t>
            </w:r>
            <w:r w:rsidRPr="00132AD4">
              <w:rPr>
                <w:rFonts w:ascii="Arial" w:hAnsi="Arial" w:cs="Arial"/>
                <w:noProof/>
                <w:webHidden/>
                <w:sz w:val="22"/>
                <w:szCs w:val="22"/>
              </w:rPr>
              <w:fldChar w:fldCharType="end"/>
            </w:r>
          </w:hyperlink>
        </w:p>
        <w:p w14:paraId="6C82592A" w14:textId="1E176CA8"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06" w:history="1">
            <w:r w:rsidRPr="00132AD4">
              <w:rPr>
                <w:rStyle w:val="Hyperlink"/>
                <w:rFonts w:ascii="Arial" w:eastAsiaTheme="majorEastAsia" w:hAnsi="Arial" w:cs="Arial"/>
                <w:noProof/>
                <w:sz w:val="22"/>
                <w:szCs w:val="22"/>
              </w:rPr>
              <w:t>1.1 Healthcare Systems and COVID-19 Approaches</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_Toc216688706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3</w:t>
            </w:r>
            <w:r w:rsidRPr="00132AD4">
              <w:rPr>
                <w:rFonts w:ascii="Arial" w:hAnsi="Arial" w:cs="Arial"/>
                <w:noProof/>
                <w:webHidden/>
                <w:sz w:val="22"/>
                <w:szCs w:val="22"/>
              </w:rPr>
              <w:fldChar w:fldCharType="end"/>
            </w:r>
          </w:hyperlink>
        </w:p>
        <w:p w14:paraId="5FA3A268" w14:textId="17FD24FC"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07" w:history="1">
            <w:r w:rsidRPr="00132AD4">
              <w:rPr>
                <w:rStyle w:val="Hyperlink"/>
                <w:rFonts w:ascii="Arial" w:eastAsiaTheme="majorEastAsia" w:hAnsi="Arial" w:cs="Arial"/>
                <w:noProof/>
                <w:sz w:val="22"/>
                <w:szCs w:val="22"/>
              </w:rPr>
              <w:t>1.2 Centralisation and Decentralisation Approaches in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_Toc216688707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3</w:t>
            </w:r>
            <w:r w:rsidRPr="00132AD4">
              <w:rPr>
                <w:rFonts w:ascii="Arial" w:hAnsi="Arial" w:cs="Arial"/>
                <w:noProof/>
                <w:webHidden/>
                <w:sz w:val="22"/>
                <w:szCs w:val="22"/>
              </w:rPr>
              <w:fldChar w:fldCharType="end"/>
            </w:r>
          </w:hyperlink>
        </w:p>
        <w:p w14:paraId="239A5D41" w14:textId="11F1995E"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08" w:history="1">
            <w:r w:rsidRPr="00132AD4">
              <w:rPr>
                <w:rStyle w:val="Hyperlink"/>
                <w:rFonts w:ascii="Arial" w:hAnsi="Arial" w:cs="Arial"/>
                <w:noProof/>
                <w:sz w:val="22"/>
                <w:szCs w:val="22"/>
              </w:rPr>
              <w:t>2.1 Spain’s Healthcare System</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_Toc216688708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4</w:t>
            </w:r>
            <w:r w:rsidRPr="00132AD4">
              <w:rPr>
                <w:rFonts w:ascii="Arial" w:hAnsi="Arial" w:cs="Arial"/>
                <w:noProof/>
                <w:webHidden/>
                <w:sz w:val="22"/>
                <w:szCs w:val="22"/>
              </w:rPr>
              <w:fldChar w:fldCharType="end"/>
            </w:r>
          </w:hyperlink>
        </w:p>
        <w:p w14:paraId="73F8488C" w14:textId="0C3610F4"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09" w:history="1">
            <w:r w:rsidRPr="00132AD4">
              <w:rPr>
                <w:rStyle w:val="Hyperlink"/>
                <w:rFonts w:ascii="Arial" w:hAnsi="Arial" w:cs="Arial"/>
                <w:noProof/>
                <w:sz w:val="22"/>
                <w:szCs w:val="22"/>
              </w:rPr>
              <w:t xml:space="preserve">2.1.1 </w:t>
            </w:r>
            <w:r w:rsidRPr="00132AD4">
              <w:rPr>
                <w:rStyle w:val="Hyperlink"/>
                <w:rFonts w:ascii="Arial" w:eastAsiaTheme="majorEastAsia" w:hAnsi="Arial" w:cs="Arial"/>
                <w:noProof/>
                <w:sz w:val="22"/>
                <w:szCs w:val="22"/>
              </w:rPr>
              <w:t>The Benefits of Spain’s Healthcare System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_Toc216688709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5</w:t>
            </w:r>
            <w:r w:rsidRPr="00132AD4">
              <w:rPr>
                <w:rFonts w:ascii="Arial" w:hAnsi="Arial" w:cs="Arial"/>
                <w:noProof/>
                <w:webHidden/>
                <w:sz w:val="22"/>
                <w:szCs w:val="22"/>
              </w:rPr>
              <w:fldChar w:fldCharType="end"/>
            </w:r>
          </w:hyperlink>
        </w:p>
        <w:p w14:paraId="17041D12" w14:textId="3A9CA83A"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10" w:history="1">
            <w:r w:rsidRPr="00132AD4">
              <w:rPr>
                <w:rStyle w:val="Hyperlink"/>
                <w:rFonts w:ascii="Arial" w:hAnsi="Arial" w:cs="Arial"/>
                <w:noProof/>
                <w:sz w:val="22"/>
                <w:szCs w:val="22"/>
              </w:rPr>
              <w:t xml:space="preserve">2.1.2 </w:t>
            </w:r>
            <w:r w:rsidRPr="00132AD4">
              <w:rPr>
                <w:rStyle w:val="Hyperlink"/>
                <w:rFonts w:ascii="Arial" w:eastAsiaTheme="majorEastAsia" w:hAnsi="Arial" w:cs="Arial"/>
                <w:noProof/>
                <w:sz w:val="22"/>
                <w:szCs w:val="22"/>
              </w:rPr>
              <w:t>The Disadvantages of Spain’s Healthcare System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_Toc216688710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5</w:t>
            </w:r>
            <w:r w:rsidRPr="00132AD4">
              <w:rPr>
                <w:rFonts w:ascii="Arial" w:hAnsi="Arial" w:cs="Arial"/>
                <w:noProof/>
                <w:webHidden/>
                <w:sz w:val="22"/>
                <w:szCs w:val="22"/>
              </w:rPr>
              <w:fldChar w:fldCharType="end"/>
            </w:r>
          </w:hyperlink>
        </w:p>
        <w:p w14:paraId="13DBF8E9" w14:textId="2B58715E"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11" w:history="1">
            <w:r w:rsidRPr="00132AD4">
              <w:rPr>
                <w:rStyle w:val="Hyperlink"/>
                <w:rFonts w:ascii="Arial" w:hAnsi="Arial" w:cs="Arial"/>
                <w:noProof/>
                <w:sz w:val="22"/>
                <w:szCs w:val="22"/>
              </w:rPr>
              <w:t>2.2 South Korea’s Healthcare System</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_Toc216688711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6</w:t>
            </w:r>
            <w:r w:rsidRPr="00132AD4">
              <w:rPr>
                <w:rFonts w:ascii="Arial" w:hAnsi="Arial" w:cs="Arial"/>
                <w:noProof/>
                <w:webHidden/>
                <w:sz w:val="22"/>
                <w:szCs w:val="22"/>
              </w:rPr>
              <w:fldChar w:fldCharType="end"/>
            </w:r>
          </w:hyperlink>
        </w:p>
        <w:p w14:paraId="78E8AD0D" w14:textId="13F1E301"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12" w:history="1">
            <w:r w:rsidRPr="00132AD4">
              <w:rPr>
                <w:rStyle w:val="Hyperlink"/>
                <w:rFonts w:ascii="Arial" w:hAnsi="Arial" w:cs="Arial"/>
                <w:noProof/>
                <w:sz w:val="22"/>
                <w:szCs w:val="22"/>
              </w:rPr>
              <w:t>2.2.1 The Benefits of South Korea’s Healthcare System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_Toc216688712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7</w:t>
            </w:r>
            <w:r w:rsidRPr="00132AD4">
              <w:rPr>
                <w:rFonts w:ascii="Arial" w:hAnsi="Arial" w:cs="Arial"/>
                <w:noProof/>
                <w:webHidden/>
                <w:sz w:val="22"/>
                <w:szCs w:val="22"/>
              </w:rPr>
              <w:fldChar w:fldCharType="end"/>
            </w:r>
          </w:hyperlink>
        </w:p>
        <w:p w14:paraId="1143C496" w14:textId="7037294B"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13" w:history="1">
            <w:r w:rsidRPr="00132AD4">
              <w:rPr>
                <w:rStyle w:val="Hyperlink"/>
                <w:rFonts w:ascii="Arial" w:hAnsi="Arial" w:cs="Arial"/>
                <w:noProof/>
                <w:sz w:val="22"/>
                <w:szCs w:val="22"/>
              </w:rPr>
              <w:t>2.2.2 The Disadvantages of South Korea’s Healthcare System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_Toc216688713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8</w:t>
            </w:r>
            <w:r w:rsidRPr="00132AD4">
              <w:rPr>
                <w:rFonts w:ascii="Arial" w:hAnsi="Arial" w:cs="Arial"/>
                <w:noProof/>
                <w:webHidden/>
                <w:sz w:val="22"/>
                <w:szCs w:val="22"/>
              </w:rPr>
              <w:fldChar w:fldCharType="end"/>
            </w:r>
          </w:hyperlink>
        </w:p>
        <w:p w14:paraId="6FD96184" w14:textId="76DC2F8A"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14" w:history="1">
            <w:r w:rsidRPr="00132AD4">
              <w:rPr>
                <w:rStyle w:val="Hyperlink"/>
                <w:rFonts w:ascii="Arial" w:hAnsi="Arial" w:cs="Arial"/>
                <w:noProof/>
                <w:sz w:val="22"/>
                <w:szCs w:val="22"/>
              </w:rPr>
              <w:t>2.3 Canada’s Healthcare System</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_Toc216688714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8</w:t>
            </w:r>
            <w:r w:rsidRPr="00132AD4">
              <w:rPr>
                <w:rFonts w:ascii="Arial" w:hAnsi="Arial" w:cs="Arial"/>
                <w:noProof/>
                <w:webHidden/>
                <w:sz w:val="22"/>
                <w:szCs w:val="22"/>
              </w:rPr>
              <w:fldChar w:fldCharType="end"/>
            </w:r>
          </w:hyperlink>
        </w:p>
        <w:p w14:paraId="017EF98C" w14:textId="67C3BD2A"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15" w:history="1">
            <w:r w:rsidRPr="00132AD4">
              <w:rPr>
                <w:rStyle w:val="Hyperlink"/>
                <w:rFonts w:ascii="Arial" w:hAnsi="Arial" w:cs="Arial"/>
                <w:noProof/>
                <w:sz w:val="22"/>
                <w:szCs w:val="22"/>
              </w:rPr>
              <w:t xml:space="preserve">2.3.1 </w:t>
            </w:r>
            <w:r w:rsidRPr="00132AD4">
              <w:rPr>
                <w:rStyle w:val="Hyperlink"/>
                <w:rFonts w:ascii="Arial" w:eastAsiaTheme="majorEastAsia" w:hAnsi="Arial" w:cs="Arial"/>
                <w:noProof/>
                <w:sz w:val="22"/>
                <w:szCs w:val="22"/>
              </w:rPr>
              <w:t>The Benefits of Canada’s Healthcare System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_Toc216688715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9</w:t>
            </w:r>
            <w:r w:rsidRPr="00132AD4">
              <w:rPr>
                <w:rFonts w:ascii="Arial" w:hAnsi="Arial" w:cs="Arial"/>
                <w:noProof/>
                <w:webHidden/>
                <w:sz w:val="22"/>
                <w:szCs w:val="22"/>
              </w:rPr>
              <w:fldChar w:fldCharType="end"/>
            </w:r>
          </w:hyperlink>
        </w:p>
        <w:p w14:paraId="7F38153F" w14:textId="48A9D082"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16" w:history="1">
            <w:r w:rsidRPr="00132AD4">
              <w:rPr>
                <w:rStyle w:val="Hyperlink"/>
                <w:rFonts w:ascii="Arial" w:hAnsi="Arial" w:cs="Arial"/>
                <w:noProof/>
                <w:sz w:val="22"/>
                <w:szCs w:val="22"/>
              </w:rPr>
              <w:t xml:space="preserve">2.3.2 </w:t>
            </w:r>
            <w:r w:rsidRPr="00132AD4">
              <w:rPr>
                <w:rStyle w:val="Hyperlink"/>
                <w:rFonts w:ascii="Arial" w:eastAsiaTheme="majorEastAsia" w:hAnsi="Arial" w:cs="Arial"/>
                <w:noProof/>
                <w:sz w:val="22"/>
                <w:szCs w:val="22"/>
              </w:rPr>
              <w:t>The Disadvantages of Canada’s Healthcare System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_Toc216688716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10</w:t>
            </w:r>
            <w:r w:rsidRPr="00132AD4">
              <w:rPr>
                <w:rFonts w:ascii="Arial" w:hAnsi="Arial" w:cs="Arial"/>
                <w:noProof/>
                <w:webHidden/>
                <w:sz w:val="22"/>
                <w:szCs w:val="22"/>
              </w:rPr>
              <w:fldChar w:fldCharType="end"/>
            </w:r>
          </w:hyperlink>
        </w:p>
        <w:p w14:paraId="2594043B" w14:textId="6141ACF6"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17" w:history="1">
            <w:r w:rsidRPr="00132AD4">
              <w:rPr>
                <w:rStyle w:val="Hyperlink"/>
                <w:rFonts w:ascii="Arial" w:hAnsi="Arial" w:cs="Arial"/>
                <w:noProof/>
                <w:sz w:val="22"/>
                <w:szCs w:val="22"/>
              </w:rPr>
              <w:t>3. Leadership Styles</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_Toc216688717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10</w:t>
            </w:r>
            <w:r w:rsidRPr="00132AD4">
              <w:rPr>
                <w:rFonts w:ascii="Arial" w:hAnsi="Arial" w:cs="Arial"/>
                <w:noProof/>
                <w:webHidden/>
                <w:sz w:val="22"/>
                <w:szCs w:val="22"/>
              </w:rPr>
              <w:fldChar w:fldCharType="end"/>
            </w:r>
          </w:hyperlink>
        </w:p>
        <w:p w14:paraId="3A73117E" w14:textId="0EB4120F"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18" w:history="1">
            <w:r w:rsidRPr="00132AD4">
              <w:rPr>
                <w:rStyle w:val="Hyperlink"/>
                <w:rFonts w:ascii="Arial" w:hAnsi="Arial" w:cs="Arial"/>
                <w:noProof/>
                <w:sz w:val="22"/>
                <w:szCs w:val="22"/>
              </w:rPr>
              <w:t>3.1 Leadership Styles in Spain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_Toc216688718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10</w:t>
            </w:r>
            <w:r w:rsidRPr="00132AD4">
              <w:rPr>
                <w:rFonts w:ascii="Arial" w:hAnsi="Arial" w:cs="Arial"/>
                <w:noProof/>
                <w:webHidden/>
                <w:sz w:val="22"/>
                <w:szCs w:val="22"/>
              </w:rPr>
              <w:fldChar w:fldCharType="end"/>
            </w:r>
          </w:hyperlink>
        </w:p>
        <w:p w14:paraId="6B72E23E" w14:textId="158EFB3C"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19" w:history="1">
            <w:r w:rsidRPr="00132AD4">
              <w:rPr>
                <w:rStyle w:val="Hyperlink"/>
                <w:rFonts w:ascii="Arial" w:hAnsi="Arial" w:cs="Arial"/>
                <w:noProof/>
                <w:sz w:val="22"/>
                <w:szCs w:val="22"/>
              </w:rPr>
              <w:t>3.1.1 Advantages of Spain’s Leadership Style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_Toc216688719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11</w:t>
            </w:r>
            <w:r w:rsidRPr="00132AD4">
              <w:rPr>
                <w:rFonts w:ascii="Arial" w:hAnsi="Arial" w:cs="Arial"/>
                <w:noProof/>
                <w:webHidden/>
                <w:sz w:val="22"/>
                <w:szCs w:val="22"/>
              </w:rPr>
              <w:fldChar w:fldCharType="end"/>
            </w:r>
          </w:hyperlink>
        </w:p>
        <w:p w14:paraId="315E4BB3" w14:textId="6BAE30A7"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20" w:history="1">
            <w:r w:rsidRPr="00132AD4">
              <w:rPr>
                <w:rStyle w:val="Hyperlink"/>
                <w:rFonts w:ascii="Arial" w:hAnsi="Arial" w:cs="Arial"/>
                <w:noProof/>
                <w:sz w:val="22"/>
                <w:szCs w:val="22"/>
              </w:rPr>
              <w:t>3.1.2 Disadvantages of Spain’s Leadership Style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_Toc216688720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12</w:t>
            </w:r>
            <w:r w:rsidRPr="00132AD4">
              <w:rPr>
                <w:rFonts w:ascii="Arial" w:hAnsi="Arial" w:cs="Arial"/>
                <w:noProof/>
                <w:webHidden/>
                <w:sz w:val="22"/>
                <w:szCs w:val="22"/>
              </w:rPr>
              <w:fldChar w:fldCharType="end"/>
            </w:r>
          </w:hyperlink>
        </w:p>
        <w:p w14:paraId="098AF084" w14:textId="0DEE8A9D"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21" w:history="1">
            <w:r w:rsidRPr="00132AD4">
              <w:rPr>
                <w:rStyle w:val="Hyperlink"/>
                <w:rFonts w:ascii="Arial" w:hAnsi="Arial" w:cs="Arial"/>
                <w:noProof/>
                <w:sz w:val="22"/>
                <w:szCs w:val="22"/>
              </w:rPr>
              <w:t>3.2 Leadership Styles in South Korea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_Toc216688721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12</w:t>
            </w:r>
            <w:r w:rsidRPr="00132AD4">
              <w:rPr>
                <w:rFonts w:ascii="Arial" w:hAnsi="Arial" w:cs="Arial"/>
                <w:noProof/>
                <w:webHidden/>
                <w:sz w:val="22"/>
                <w:szCs w:val="22"/>
              </w:rPr>
              <w:fldChar w:fldCharType="end"/>
            </w:r>
          </w:hyperlink>
        </w:p>
        <w:p w14:paraId="3239AD4E" w14:textId="599644D2"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22" w:history="1">
            <w:r w:rsidRPr="00132AD4">
              <w:rPr>
                <w:rStyle w:val="Hyperlink"/>
                <w:rFonts w:ascii="Arial" w:hAnsi="Arial" w:cs="Arial"/>
                <w:noProof/>
                <w:sz w:val="22"/>
                <w:szCs w:val="22"/>
              </w:rPr>
              <w:t>3.2.1 Advantages of South Korea’s Leadership Style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_Toc216688722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13</w:t>
            </w:r>
            <w:r w:rsidRPr="00132AD4">
              <w:rPr>
                <w:rFonts w:ascii="Arial" w:hAnsi="Arial" w:cs="Arial"/>
                <w:noProof/>
                <w:webHidden/>
                <w:sz w:val="22"/>
                <w:szCs w:val="22"/>
              </w:rPr>
              <w:fldChar w:fldCharType="end"/>
            </w:r>
          </w:hyperlink>
        </w:p>
        <w:p w14:paraId="69BA4966" w14:textId="1504E971"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23" w:history="1">
            <w:r w:rsidRPr="00132AD4">
              <w:rPr>
                <w:rStyle w:val="Hyperlink"/>
                <w:rFonts w:ascii="Arial" w:hAnsi="Arial" w:cs="Arial"/>
                <w:noProof/>
                <w:sz w:val="22"/>
                <w:szCs w:val="22"/>
              </w:rPr>
              <w:t>3.2.2 Disadvantages of South Korea’s Leadership Style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_Toc216688723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14</w:t>
            </w:r>
            <w:r w:rsidRPr="00132AD4">
              <w:rPr>
                <w:rFonts w:ascii="Arial" w:hAnsi="Arial" w:cs="Arial"/>
                <w:noProof/>
                <w:webHidden/>
                <w:sz w:val="22"/>
                <w:szCs w:val="22"/>
              </w:rPr>
              <w:fldChar w:fldCharType="end"/>
            </w:r>
          </w:hyperlink>
        </w:p>
        <w:p w14:paraId="2A9EB382" w14:textId="5629712D"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24" w:history="1">
            <w:r w:rsidRPr="00132AD4">
              <w:rPr>
                <w:rStyle w:val="Hyperlink"/>
                <w:rFonts w:ascii="Arial" w:hAnsi="Arial" w:cs="Arial"/>
                <w:noProof/>
                <w:sz w:val="22"/>
                <w:szCs w:val="22"/>
              </w:rPr>
              <w:t>3.3 Leadership Styles in Canada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_Toc216688724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14</w:t>
            </w:r>
            <w:r w:rsidRPr="00132AD4">
              <w:rPr>
                <w:rFonts w:ascii="Arial" w:hAnsi="Arial" w:cs="Arial"/>
                <w:noProof/>
                <w:webHidden/>
                <w:sz w:val="22"/>
                <w:szCs w:val="22"/>
              </w:rPr>
              <w:fldChar w:fldCharType="end"/>
            </w:r>
          </w:hyperlink>
        </w:p>
        <w:p w14:paraId="255959D2" w14:textId="679675A9"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25" w:history="1">
            <w:r w:rsidRPr="00132AD4">
              <w:rPr>
                <w:rStyle w:val="Hyperlink"/>
                <w:rFonts w:ascii="Arial" w:hAnsi="Arial" w:cs="Arial"/>
                <w:noProof/>
                <w:sz w:val="22"/>
                <w:szCs w:val="22"/>
              </w:rPr>
              <w:t>3.3.1 Advantages of Canada’s Leadership Style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_Toc216688725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15</w:t>
            </w:r>
            <w:r w:rsidRPr="00132AD4">
              <w:rPr>
                <w:rFonts w:ascii="Arial" w:hAnsi="Arial" w:cs="Arial"/>
                <w:noProof/>
                <w:webHidden/>
                <w:sz w:val="22"/>
                <w:szCs w:val="22"/>
              </w:rPr>
              <w:fldChar w:fldCharType="end"/>
            </w:r>
          </w:hyperlink>
        </w:p>
        <w:p w14:paraId="6FD78DBA" w14:textId="58BD331A" w:rsidR="00EB5A1C" w:rsidRPr="00132AD4" w:rsidRDefault="00EB5A1C" w:rsidP="00EB5A1C">
          <w:pPr>
            <w:pStyle w:val="TOC2"/>
            <w:tabs>
              <w:tab w:val="right" w:leader="dot" w:pos="9016"/>
            </w:tabs>
            <w:spacing w:line="360" w:lineRule="auto"/>
            <w:jc w:val="both"/>
            <w:rPr>
              <w:rFonts w:ascii="Arial" w:hAnsi="Arial" w:cs="Arial"/>
              <w:noProof/>
              <w:sz w:val="22"/>
              <w:szCs w:val="22"/>
            </w:rPr>
          </w:pPr>
          <w:hyperlink w:anchor="_Toc216688726" w:history="1">
            <w:r w:rsidRPr="00132AD4">
              <w:rPr>
                <w:rStyle w:val="Hyperlink"/>
                <w:rFonts w:ascii="Arial" w:hAnsi="Arial" w:cs="Arial"/>
                <w:noProof/>
                <w:sz w:val="22"/>
                <w:szCs w:val="22"/>
              </w:rPr>
              <w:t>3.3.2 Disadvantages of Canada’s Leadership Style During COVID-19</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_Toc216688726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15</w:t>
            </w:r>
            <w:r w:rsidRPr="00132AD4">
              <w:rPr>
                <w:rFonts w:ascii="Arial" w:hAnsi="Arial" w:cs="Arial"/>
                <w:noProof/>
                <w:webHidden/>
                <w:sz w:val="22"/>
                <w:szCs w:val="22"/>
              </w:rPr>
              <w:fldChar w:fldCharType="end"/>
            </w:r>
          </w:hyperlink>
        </w:p>
        <w:p w14:paraId="3B64FA81" w14:textId="58F3FF90"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27" w:history="1">
            <w:r w:rsidRPr="00132AD4">
              <w:rPr>
                <w:rStyle w:val="Hyperlink"/>
                <w:rFonts w:ascii="Arial" w:hAnsi="Arial" w:cs="Arial"/>
                <w:noProof/>
                <w:sz w:val="22"/>
                <w:szCs w:val="22"/>
              </w:rPr>
              <w:t>Conclusion</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_Toc216688727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16</w:t>
            </w:r>
            <w:r w:rsidRPr="00132AD4">
              <w:rPr>
                <w:rFonts w:ascii="Arial" w:hAnsi="Arial" w:cs="Arial"/>
                <w:noProof/>
                <w:webHidden/>
                <w:sz w:val="22"/>
                <w:szCs w:val="22"/>
              </w:rPr>
              <w:fldChar w:fldCharType="end"/>
            </w:r>
          </w:hyperlink>
        </w:p>
        <w:p w14:paraId="2BEAE9ED" w14:textId="52342F02" w:rsidR="00EB5A1C" w:rsidRPr="00132AD4" w:rsidRDefault="00EB5A1C" w:rsidP="00EB5A1C">
          <w:pPr>
            <w:pStyle w:val="TOC1"/>
            <w:tabs>
              <w:tab w:val="right" w:leader="dot" w:pos="9016"/>
            </w:tabs>
            <w:spacing w:line="360" w:lineRule="auto"/>
            <w:jc w:val="both"/>
            <w:rPr>
              <w:rFonts w:ascii="Arial" w:hAnsi="Arial" w:cs="Arial"/>
              <w:noProof/>
              <w:sz w:val="22"/>
              <w:szCs w:val="22"/>
            </w:rPr>
          </w:pPr>
          <w:hyperlink w:anchor="_Toc216688728" w:history="1">
            <w:r w:rsidRPr="00132AD4">
              <w:rPr>
                <w:rStyle w:val="Hyperlink"/>
                <w:rFonts w:ascii="Arial" w:hAnsi="Arial" w:cs="Arial"/>
                <w:noProof/>
                <w:sz w:val="22"/>
                <w:szCs w:val="22"/>
              </w:rPr>
              <w:t>References</w:t>
            </w:r>
            <w:r w:rsidRPr="00132AD4">
              <w:rPr>
                <w:rFonts w:ascii="Arial" w:hAnsi="Arial" w:cs="Arial"/>
                <w:noProof/>
                <w:webHidden/>
                <w:sz w:val="22"/>
                <w:szCs w:val="22"/>
              </w:rPr>
              <w:tab/>
            </w:r>
            <w:r w:rsidRPr="00132AD4">
              <w:rPr>
                <w:rFonts w:ascii="Arial" w:hAnsi="Arial" w:cs="Arial"/>
                <w:noProof/>
                <w:webHidden/>
                <w:sz w:val="22"/>
                <w:szCs w:val="22"/>
              </w:rPr>
              <w:fldChar w:fldCharType="begin"/>
            </w:r>
            <w:r w:rsidRPr="00132AD4">
              <w:rPr>
                <w:rFonts w:ascii="Arial" w:hAnsi="Arial" w:cs="Arial"/>
                <w:noProof/>
                <w:webHidden/>
                <w:sz w:val="22"/>
                <w:szCs w:val="22"/>
              </w:rPr>
              <w:instrText xml:space="preserve"> PAGEREF _Toc216688728 \h </w:instrText>
            </w:r>
            <w:r w:rsidRPr="00132AD4">
              <w:rPr>
                <w:rFonts w:ascii="Arial" w:hAnsi="Arial" w:cs="Arial"/>
                <w:noProof/>
                <w:webHidden/>
                <w:sz w:val="22"/>
                <w:szCs w:val="22"/>
              </w:rPr>
            </w:r>
            <w:r w:rsidRPr="00132AD4">
              <w:rPr>
                <w:rFonts w:ascii="Arial" w:hAnsi="Arial" w:cs="Arial"/>
                <w:noProof/>
                <w:webHidden/>
                <w:sz w:val="22"/>
                <w:szCs w:val="22"/>
              </w:rPr>
              <w:fldChar w:fldCharType="separate"/>
            </w:r>
            <w:r w:rsidR="00003945" w:rsidRPr="00132AD4">
              <w:rPr>
                <w:rFonts w:ascii="Arial" w:hAnsi="Arial" w:cs="Arial"/>
                <w:noProof/>
                <w:webHidden/>
                <w:sz w:val="22"/>
                <w:szCs w:val="22"/>
              </w:rPr>
              <w:t>18</w:t>
            </w:r>
            <w:r w:rsidRPr="00132AD4">
              <w:rPr>
                <w:rFonts w:ascii="Arial" w:hAnsi="Arial" w:cs="Arial"/>
                <w:noProof/>
                <w:webHidden/>
                <w:sz w:val="22"/>
                <w:szCs w:val="22"/>
              </w:rPr>
              <w:fldChar w:fldCharType="end"/>
            </w:r>
          </w:hyperlink>
        </w:p>
        <w:p w14:paraId="7E986F6E" w14:textId="625CEC30" w:rsidR="00EB5A1C" w:rsidRPr="00132AD4" w:rsidRDefault="00EB5A1C" w:rsidP="00EB5A1C">
          <w:pPr>
            <w:spacing w:line="360" w:lineRule="auto"/>
            <w:jc w:val="both"/>
            <w:rPr>
              <w:rFonts w:ascii="Arial" w:hAnsi="Arial" w:cs="Arial"/>
              <w:sz w:val="22"/>
              <w:szCs w:val="22"/>
            </w:rPr>
          </w:pPr>
          <w:r w:rsidRPr="00132AD4">
            <w:rPr>
              <w:rFonts w:ascii="Arial" w:hAnsi="Arial" w:cs="Arial"/>
              <w:b/>
              <w:bCs/>
              <w:sz w:val="22"/>
              <w:szCs w:val="22"/>
            </w:rPr>
            <w:fldChar w:fldCharType="end"/>
          </w:r>
        </w:p>
      </w:sdtContent>
    </w:sdt>
    <w:p w14:paraId="798C083B" w14:textId="77777777" w:rsidR="005C2919" w:rsidRPr="00132AD4" w:rsidRDefault="005C2919" w:rsidP="005C2919">
      <w:pPr>
        <w:spacing w:line="360" w:lineRule="auto"/>
        <w:jc w:val="both"/>
        <w:rPr>
          <w:rFonts w:ascii="Arial" w:hAnsi="Arial" w:cs="Arial"/>
          <w:b/>
          <w:bCs/>
          <w:color w:val="000000" w:themeColor="text1"/>
          <w:sz w:val="22"/>
          <w:szCs w:val="22"/>
        </w:rPr>
      </w:pPr>
    </w:p>
    <w:p w14:paraId="4850F34B" w14:textId="5B5E34BA" w:rsidR="005C2919" w:rsidRPr="00132AD4" w:rsidRDefault="005C2919" w:rsidP="00C96D49">
      <w:pPr>
        <w:pStyle w:val="Heading1"/>
        <w:rPr>
          <w:rFonts w:cs="Arial"/>
          <w:sz w:val="22"/>
          <w:szCs w:val="22"/>
        </w:rPr>
      </w:pPr>
      <w:bookmarkStart w:id="0" w:name="_Toc216688705"/>
      <w:r w:rsidRPr="00132AD4">
        <w:rPr>
          <w:rFonts w:cs="Arial"/>
          <w:sz w:val="22"/>
          <w:szCs w:val="22"/>
        </w:rPr>
        <w:t>1. Introduction</w:t>
      </w:r>
      <w:bookmarkEnd w:id="0"/>
      <w:r w:rsidRPr="00132AD4">
        <w:rPr>
          <w:rFonts w:cs="Arial"/>
          <w:sz w:val="22"/>
          <w:szCs w:val="22"/>
        </w:rPr>
        <w:t xml:space="preserve"> </w:t>
      </w:r>
    </w:p>
    <w:p w14:paraId="5CB1F4DD" w14:textId="59757496"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 xml:space="preserve">The COVID-19 pandemic highlighted major differences in how countries organise and manage healthcare systems and public health emergencies. This report compares the healthcare </w:t>
      </w:r>
      <w:r w:rsidRPr="00132AD4">
        <w:rPr>
          <w:rFonts w:ascii="Arial" w:hAnsi="Arial" w:cs="Arial"/>
          <w:sz w:val="22"/>
          <w:szCs w:val="22"/>
        </w:rPr>
        <w:lastRenderedPageBreak/>
        <w:t>structures and pandemic responses of Spain, South Korea, and Canada, examining how system organisation, leadership styles, and vaccination task forces influenced outcomes. Each country adopted unique strategies shaped by levels of centralisation, government capacity, and cultural expectations. Leadership approaches played a critical role in communication, decision-making, and public compliance during the crisis. By analysing these elements, this report provides insight into how structure and leadership shape the effectiveness of pandemic management across different jurisdictions.</w:t>
      </w:r>
    </w:p>
    <w:p w14:paraId="320BA6B1" w14:textId="0A0691CF" w:rsidR="005C2919" w:rsidRPr="00132AD4" w:rsidRDefault="005C2919" w:rsidP="00C96D49">
      <w:pPr>
        <w:pStyle w:val="Heading2"/>
        <w:rPr>
          <w:rFonts w:cs="Arial"/>
          <w:sz w:val="22"/>
          <w:szCs w:val="22"/>
        </w:rPr>
      </w:pPr>
      <w:bookmarkStart w:id="1" w:name="_Toc216688706"/>
      <w:r w:rsidRPr="00132AD4">
        <w:rPr>
          <w:rFonts w:eastAsiaTheme="majorEastAsia" w:cs="Arial"/>
          <w:sz w:val="22"/>
          <w:szCs w:val="22"/>
        </w:rPr>
        <w:t>1.1 Healthcare Systems and COVID-19 Approaches</w:t>
      </w:r>
      <w:bookmarkEnd w:id="1"/>
      <w:r w:rsidRPr="00132AD4">
        <w:rPr>
          <w:rFonts w:eastAsiaTheme="majorEastAsia" w:cs="Arial"/>
          <w:sz w:val="22"/>
          <w:szCs w:val="22"/>
        </w:rPr>
        <w:t xml:space="preserve"> </w:t>
      </w:r>
    </w:p>
    <w:p w14:paraId="04069711" w14:textId="439815A4"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Spain operates a predominantly public universal healthcare model, managed at the regional level but funded nationally. During COVID-19, this decentralised structure initially led to fragmented decision-making, with regions responding at different speeds</w:t>
      </w:r>
      <w:r w:rsidR="00691634" w:rsidRPr="00132AD4">
        <w:rPr>
          <w:rFonts w:ascii="Arial" w:hAnsi="Arial" w:cs="Arial"/>
          <w:sz w:val="22"/>
          <w:szCs w:val="22"/>
        </w:rPr>
        <w:t xml:space="preserve"> (Perna, 2025)</w:t>
      </w:r>
      <w:r w:rsidRPr="00132AD4">
        <w:rPr>
          <w:rFonts w:ascii="Arial" w:hAnsi="Arial" w:cs="Arial"/>
          <w:sz w:val="22"/>
          <w:szCs w:val="22"/>
        </w:rPr>
        <w:t>. National lockdowns and strict containment policies eventually unified the response. Spain relied heavily on hospital-based care, which resulted in early system strain during the first wave</w:t>
      </w:r>
      <w:r w:rsidR="00F13DC1" w:rsidRPr="00132AD4">
        <w:rPr>
          <w:rFonts w:ascii="Arial" w:hAnsi="Arial" w:cs="Arial"/>
          <w:sz w:val="22"/>
          <w:szCs w:val="22"/>
        </w:rPr>
        <w:t xml:space="preserve"> (Perna, 2025)</w:t>
      </w:r>
      <w:r w:rsidRPr="00132AD4">
        <w:rPr>
          <w:rFonts w:ascii="Arial" w:hAnsi="Arial" w:cs="Arial"/>
          <w:sz w:val="22"/>
          <w:szCs w:val="22"/>
        </w:rPr>
        <w:t>.</w:t>
      </w:r>
    </w:p>
    <w:p w14:paraId="0BDE1496" w14:textId="37AD807B"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South Korea, by contrast, has a highly coordinated and technologically integrated healthcare system with strong government oversight. Its response focused on rapid testing, digital contact tracing, and strict border controls</w:t>
      </w:r>
      <w:r w:rsidR="00F13DC1" w:rsidRPr="00132AD4">
        <w:rPr>
          <w:rFonts w:ascii="Arial" w:hAnsi="Arial" w:cs="Arial"/>
          <w:sz w:val="22"/>
          <w:szCs w:val="22"/>
        </w:rPr>
        <w:t xml:space="preserve"> (Chen et al, 2021)</w:t>
      </w:r>
      <w:r w:rsidRPr="00132AD4">
        <w:rPr>
          <w:rFonts w:ascii="Arial" w:hAnsi="Arial" w:cs="Arial"/>
          <w:sz w:val="22"/>
          <w:szCs w:val="22"/>
        </w:rPr>
        <w:t>. Efficient coordination between national health agencies enabled early intervention, preventing overwhelming strain on hospitals</w:t>
      </w:r>
      <w:r w:rsidR="003025CE" w:rsidRPr="00132AD4">
        <w:rPr>
          <w:rFonts w:ascii="Arial" w:hAnsi="Arial" w:cs="Arial"/>
          <w:sz w:val="22"/>
          <w:szCs w:val="22"/>
        </w:rPr>
        <w:t xml:space="preserve"> (Chen et al, 2021)</w:t>
      </w:r>
      <w:r w:rsidRPr="00132AD4">
        <w:rPr>
          <w:rFonts w:ascii="Arial" w:hAnsi="Arial" w:cs="Arial"/>
          <w:sz w:val="22"/>
          <w:szCs w:val="22"/>
        </w:rPr>
        <w:t>.</w:t>
      </w:r>
    </w:p>
    <w:p w14:paraId="623643D9" w14:textId="4240DBDA"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 xml:space="preserve">Canada’s healthcare system is publicly funded but administered provincially, creating a decentralised structure </w:t>
      </w:r>
      <w:r w:rsidR="00F13DC1" w:rsidRPr="00132AD4">
        <w:rPr>
          <w:rFonts w:ascii="Arial" w:hAnsi="Arial" w:cs="Arial"/>
          <w:sz w:val="22"/>
          <w:szCs w:val="22"/>
        </w:rPr>
        <w:t>like</w:t>
      </w:r>
      <w:r w:rsidRPr="00132AD4">
        <w:rPr>
          <w:rFonts w:ascii="Arial" w:hAnsi="Arial" w:cs="Arial"/>
          <w:sz w:val="22"/>
          <w:szCs w:val="22"/>
        </w:rPr>
        <w:t xml:space="preserve"> Spain’s. The pandemic response varied among provinces, leading to inconsistencies in masking rules, vaccination rollout, and public health messaging</w:t>
      </w:r>
      <w:r w:rsidR="003025CE" w:rsidRPr="00132AD4">
        <w:rPr>
          <w:rFonts w:ascii="Arial" w:hAnsi="Arial" w:cs="Arial"/>
          <w:sz w:val="22"/>
          <w:szCs w:val="22"/>
        </w:rPr>
        <w:t xml:space="preserve"> (Morgan et al, 2022)</w:t>
      </w:r>
      <w:r w:rsidRPr="00132AD4">
        <w:rPr>
          <w:rFonts w:ascii="Arial" w:hAnsi="Arial" w:cs="Arial"/>
          <w:sz w:val="22"/>
          <w:szCs w:val="22"/>
        </w:rPr>
        <w:t>. Over time, Canada implemented federal coordination tools, including national vaccine procurement and unified guidelines to support provincial responses</w:t>
      </w:r>
      <w:r w:rsidR="00B1520B" w:rsidRPr="00132AD4">
        <w:rPr>
          <w:rFonts w:ascii="Arial" w:hAnsi="Arial" w:cs="Arial"/>
          <w:sz w:val="22"/>
          <w:szCs w:val="22"/>
        </w:rPr>
        <w:t xml:space="preserve"> (Morgan et al, 2022)</w:t>
      </w:r>
      <w:r w:rsidRPr="00132AD4">
        <w:rPr>
          <w:rFonts w:ascii="Arial" w:hAnsi="Arial" w:cs="Arial"/>
          <w:sz w:val="22"/>
          <w:szCs w:val="22"/>
        </w:rPr>
        <w:t>.</w:t>
      </w:r>
    </w:p>
    <w:p w14:paraId="56D5D870" w14:textId="39147A95" w:rsidR="005C2919" w:rsidRPr="00132AD4" w:rsidRDefault="005C2919" w:rsidP="00C96D49">
      <w:pPr>
        <w:pStyle w:val="Heading2"/>
        <w:rPr>
          <w:rFonts w:cs="Arial"/>
          <w:sz w:val="22"/>
          <w:szCs w:val="22"/>
        </w:rPr>
      </w:pPr>
      <w:bookmarkStart w:id="2" w:name="_Toc216688707"/>
      <w:r w:rsidRPr="00132AD4">
        <w:rPr>
          <w:rFonts w:eastAsiaTheme="majorEastAsia" w:cs="Arial"/>
          <w:sz w:val="22"/>
          <w:szCs w:val="22"/>
        </w:rPr>
        <w:t>1.2 Centralisation and Decentralisation Approaches in COVID-19</w:t>
      </w:r>
      <w:bookmarkEnd w:id="2"/>
    </w:p>
    <w:p w14:paraId="64DD1D26" w14:textId="2C002374"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Centralisation involves decision-making and control being directed from a single national authority, while decentralisation distributes responsibility across regional or local governments</w:t>
      </w:r>
      <w:r w:rsidR="00147208" w:rsidRPr="00132AD4">
        <w:rPr>
          <w:rFonts w:ascii="Arial" w:hAnsi="Arial" w:cs="Arial"/>
          <w:sz w:val="22"/>
          <w:szCs w:val="22"/>
        </w:rPr>
        <w:t xml:space="preserve"> (</w:t>
      </w:r>
      <w:proofErr w:type="spellStart"/>
      <w:r w:rsidR="00147208" w:rsidRPr="00132AD4">
        <w:rPr>
          <w:rFonts w:ascii="Arial" w:hAnsi="Arial" w:cs="Arial"/>
          <w:sz w:val="22"/>
          <w:szCs w:val="22"/>
        </w:rPr>
        <w:t>Jugl</w:t>
      </w:r>
      <w:proofErr w:type="spellEnd"/>
      <w:r w:rsidR="00147208" w:rsidRPr="00132AD4">
        <w:rPr>
          <w:rFonts w:ascii="Arial" w:hAnsi="Arial" w:cs="Arial"/>
          <w:sz w:val="22"/>
          <w:szCs w:val="22"/>
        </w:rPr>
        <w:t>, 2023)</w:t>
      </w:r>
      <w:r w:rsidRPr="00132AD4">
        <w:rPr>
          <w:rFonts w:ascii="Arial" w:hAnsi="Arial" w:cs="Arial"/>
          <w:sz w:val="22"/>
          <w:szCs w:val="22"/>
        </w:rPr>
        <w:t>. During COVID-19, centralised approaches enabled rapid, uniform implementation of measures, as seen in South Korea’s coordinated testing and contact tracing system</w:t>
      </w:r>
      <w:r w:rsidR="00322074" w:rsidRPr="00132AD4">
        <w:rPr>
          <w:rFonts w:ascii="Arial" w:hAnsi="Arial" w:cs="Arial"/>
          <w:sz w:val="22"/>
          <w:szCs w:val="22"/>
        </w:rPr>
        <w:t xml:space="preserve"> (Zahariadis et al, 2023)</w:t>
      </w:r>
      <w:r w:rsidRPr="00132AD4">
        <w:rPr>
          <w:rFonts w:ascii="Arial" w:hAnsi="Arial" w:cs="Arial"/>
          <w:sz w:val="22"/>
          <w:szCs w:val="22"/>
        </w:rPr>
        <w:t>. In contrast, decentralised systems such as those in Spain and Canada allowed regional autonomy but also led to inconsistent policy enforcement and varied public health outcomes</w:t>
      </w:r>
      <w:r w:rsidR="00ED3077" w:rsidRPr="00132AD4">
        <w:rPr>
          <w:rFonts w:ascii="Arial" w:hAnsi="Arial" w:cs="Arial"/>
          <w:sz w:val="22"/>
          <w:szCs w:val="22"/>
        </w:rPr>
        <w:t xml:space="preserve"> (</w:t>
      </w:r>
      <w:proofErr w:type="spellStart"/>
      <w:r w:rsidR="00ED3077" w:rsidRPr="00132AD4">
        <w:rPr>
          <w:rFonts w:ascii="Arial" w:hAnsi="Arial" w:cs="Arial"/>
          <w:sz w:val="22"/>
          <w:szCs w:val="22"/>
        </w:rPr>
        <w:t>Jugl</w:t>
      </w:r>
      <w:proofErr w:type="spellEnd"/>
      <w:r w:rsidR="00ED3077" w:rsidRPr="00132AD4">
        <w:rPr>
          <w:rFonts w:ascii="Arial" w:hAnsi="Arial" w:cs="Arial"/>
          <w:sz w:val="22"/>
          <w:szCs w:val="22"/>
        </w:rPr>
        <w:t>, 2023)</w:t>
      </w:r>
      <w:r w:rsidRPr="00132AD4">
        <w:rPr>
          <w:rFonts w:ascii="Arial" w:hAnsi="Arial" w:cs="Arial"/>
          <w:sz w:val="22"/>
          <w:szCs w:val="22"/>
        </w:rPr>
        <w:t xml:space="preserve">. Leadership was essential in guiding either model, as effective communication, trust-building, and timely decision-making determined how well </w:t>
      </w:r>
      <w:r w:rsidRPr="00132AD4">
        <w:rPr>
          <w:rFonts w:ascii="Arial" w:hAnsi="Arial" w:cs="Arial"/>
          <w:sz w:val="22"/>
          <w:szCs w:val="22"/>
        </w:rPr>
        <w:lastRenderedPageBreak/>
        <w:t>governments could mobilise resources and secure public cooperation during the pandemic response</w:t>
      </w:r>
      <w:r w:rsidR="00ED3077" w:rsidRPr="00132AD4">
        <w:rPr>
          <w:rFonts w:ascii="Arial" w:hAnsi="Arial" w:cs="Arial"/>
          <w:sz w:val="22"/>
          <w:szCs w:val="22"/>
        </w:rPr>
        <w:t xml:space="preserve"> (Zahariadis et al, 2023)</w:t>
      </w:r>
      <w:r w:rsidRPr="00132AD4">
        <w:rPr>
          <w:rFonts w:ascii="Arial" w:hAnsi="Arial" w:cs="Arial"/>
          <w:sz w:val="22"/>
          <w:szCs w:val="22"/>
        </w:rPr>
        <w:t>.</w:t>
      </w:r>
    </w:p>
    <w:p w14:paraId="0E5B63B5" w14:textId="013E79A2" w:rsidR="005C2919" w:rsidRPr="00132AD4" w:rsidRDefault="005C2919" w:rsidP="00C96D49">
      <w:pPr>
        <w:pStyle w:val="Heading1"/>
        <w:rPr>
          <w:rFonts w:cs="Arial"/>
          <w:sz w:val="22"/>
          <w:szCs w:val="22"/>
        </w:rPr>
      </w:pPr>
      <w:bookmarkStart w:id="3" w:name="_Toc216688708"/>
      <w:r w:rsidRPr="00132AD4">
        <w:rPr>
          <w:rFonts w:cs="Arial"/>
          <w:sz w:val="22"/>
          <w:szCs w:val="22"/>
        </w:rPr>
        <w:t>2.1 Spain’s Healthcare System</w:t>
      </w:r>
      <w:bookmarkEnd w:id="3"/>
      <w:r w:rsidRPr="00132AD4">
        <w:rPr>
          <w:rFonts w:cs="Arial"/>
          <w:sz w:val="22"/>
          <w:szCs w:val="22"/>
        </w:rPr>
        <w:t xml:space="preserve"> </w:t>
      </w:r>
    </w:p>
    <w:p w14:paraId="630CCA01" w14:textId="138B55AA"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Spain’s healthcare system, known as the National Health System (Sistema Nacional de Salud, SNS), operates under a publicly funded universal healthcare model</w:t>
      </w:r>
      <w:r w:rsidR="007348F5" w:rsidRPr="00132AD4">
        <w:rPr>
          <w:rFonts w:ascii="Arial" w:hAnsi="Arial" w:cs="Arial"/>
          <w:sz w:val="22"/>
          <w:szCs w:val="22"/>
        </w:rPr>
        <w:t xml:space="preserve"> (Casasnovas et al, 2021)</w:t>
      </w:r>
      <w:r w:rsidRPr="00132AD4">
        <w:rPr>
          <w:rFonts w:ascii="Arial" w:hAnsi="Arial" w:cs="Arial"/>
          <w:sz w:val="22"/>
          <w:szCs w:val="22"/>
        </w:rPr>
        <w:t>. While funding and national regulation originate from the central government, the administration and delivery of healthcare services are decentralised to the autonomous regional governments</w:t>
      </w:r>
      <w:r w:rsidR="004636C0" w:rsidRPr="00132AD4">
        <w:rPr>
          <w:rFonts w:ascii="Arial" w:hAnsi="Arial" w:cs="Arial"/>
          <w:sz w:val="22"/>
          <w:szCs w:val="22"/>
        </w:rPr>
        <w:t xml:space="preserve"> (Sendra et al, 2021)</w:t>
      </w:r>
      <w:r w:rsidRPr="00132AD4">
        <w:rPr>
          <w:rFonts w:ascii="Arial" w:hAnsi="Arial" w:cs="Arial"/>
          <w:sz w:val="22"/>
          <w:szCs w:val="22"/>
        </w:rPr>
        <w:t>. These regions have authority over hospitals, public health interventions, and local policies, making Spain one of the most decentralised health systems in Europe</w:t>
      </w:r>
      <w:r w:rsidR="00330B7A" w:rsidRPr="00132AD4">
        <w:rPr>
          <w:rFonts w:ascii="Arial" w:hAnsi="Arial" w:cs="Arial"/>
          <w:sz w:val="22"/>
          <w:szCs w:val="22"/>
        </w:rPr>
        <w:t xml:space="preserve"> (Sendra et al, 2021)</w:t>
      </w:r>
      <w:r w:rsidRPr="00132AD4">
        <w:rPr>
          <w:rFonts w:ascii="Arial" w:hAnsi="Arial" w:cs="Arial"/>
          <w:sz w:val="22"/>
          <w:szCs w:val="22"/>
        </w:rPr>
        <w:t>. Before the pandemic, this model was praised for equitable access and cost efficiency, though it was also criticised for fragmentation and variability in service quality</w:t>
      </w:r>
      <w:r w:rsidR="004636C0" w:rsidRPr="00132AD4">
        <w:rPr>
          <w:rFonts w:ascii="Arial" w:hAnsi="Arial" w:cs="Arial"/>
          <w:sz w:val="22"/>
          <w:szCs w:val="22"/>
        </w:rPr>
        <w:t xml:space="preserve"> (Casasnovas et al, 2021)</w:t>
      </w:r>
      <w:r w:rsidRPr="00132AD4">
        <w:rPr>
          <w:rFonts w:ascii="Arial" w:hAnsi="Arial" w:cs="Arial"/>
          <w:sz w:val="22"/>
          <w:szCs w:val="22"/>
        </w:rPr>
        <w:t>.</w:t>
      </w:r>
    </w:p>
    <w:p w14:paraId="07326B72" w14:textId="2FC106B9" w:rsidR="009416B3" w:rsidRPr="00132AD4" w:rsidRDefault="009416B3" w:rsidP="005C2919">
      <w:pPr>
        <w:spacing w:line="360" w:lineRule="auto"/>
        <w:jc w:val="both"/>
        <w:rPr>
          <w:rFonts w:ascii="Arial" w:hAnsi="Arial" w:cs="Arial"/>
          <w:sz w:val="22"/>
          <w:szCs w:val="22"/>
        </w:rPr>
      </w:pPr>
      <w:r w:rsidRPr="00132AD4">
        <w:rPr>
          <w:rFonts w:ascii="Arial" w:hAnsi="Arial" w:cs="Arial"/>
          <w:sz w:val="22"/>
          <w:szCs w:val="22"/>
        </w:rPr>
        <w:t>Spain experienced one of the most significant initial waves of COVID-19 in Europe, placing considerable pressure on its health system (Sendra et al., 2021). The country’s decentralised governance model contributed to uneven policy implementation, as autonomous communities introduced public health measures at varying times and with differing levels of strictness (Martin-Moreno et al., 2022). Early containment was further hindered by limited coordination mechanisms, including inconsistencies in data collection and the absence of harmonised emergency response protocols (Casasnovas et al, 2021). As a result, disparities emerged across regions, with some health services facing critical shortages in hospital capacity, diagnostic resources, and personal protective equipment, while others demonstrated greater preparedness and resilience (Sendra et al., 2021).</w:t>
      </w:r>
    </w:p>
    <w:p w14:paraId="2C27564C" w14:textId="20C02AB0"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Recognising these challenges, the Spanish government invoked a state of alarm in March 2020, temporarily centralising authority over health services</w:t>
      </w:r>
      <w:r w:rsidR="00184ED6" w:rsidRPr="00132AD4">
        <w:rPr>
          <w:rFonts w:ascii="Arial" w:hAnsi="Arial" w:cs="Arial"/>
          <w:sz w:val="22"/>
          <w:szCs w:val="22"/>
        </w:rPr>
        <w:t xml:space="preserve"> (Martin-Moreno et al, 2022)</w:t>
      </w:r>
      <w:r w:rsidRPr="00132AD4">
        <w:rPr>
          <w:rFonts w:ascii="Arial" w:hAnsi="Arial" w:cs="Arial"/>
          <w:sz w:val="22"/>
          <w:szCs w:val="22"/>
        </w:rPr>
        <w:t>. Decision-making shifted to the Ministry of Health, enabling unified policies such as national lockdowns, mobility restrictions, and centralised procurement of PPE and vaccines</w:t>
      </w:r>
      <w:r w:rsidR="00330B7A" w:rsidRPr="00132AD4">
        <w:rPr>
          <w:rFonts w:ascii="Arial" w:hAnsi="Arial" w:cs="Arial"/>
          <w:sz w:val="22"/>
          <w:szCs w:val="22"/>
        </w:rPr>
        <w:t xml:space="preserve"> (Sendra et al, 2021)</w:t>
      </w:r>
      <w:r w:rsidRPr="00132AD4">
        <w:rPr>
          <w:rFonts w:ascii="Arial" w:hAnsi="Arial" w:cs="Arial"/>
          <w:sz w:val="22"/>
          <w:szCs w:val="22"/>
        </w:rPr>
        <w:t>. The return to central control demonstrated both the strengths and weaknesses of Spain’s hybrid healthcare model: while decentralisation supports local tailoring in normal circumstances, it proved less efficient during sudden nationwide public health emergencies requiring coordinated action</w:t>
      </w:r>
      <w:r w:rsidR="004636C0" w:rsidRPr="00132AD4">
        <w:rPr>
          <w:rFonts w:ascii="Arial" w:hAnsi="Arial" w:cs="Arial"/>
          <w:sz w:val="22"/>
          <w:szCs w:val="22"/>
        </w:rPr>
        <w:t xml:space="preserve"> (Casasnovas et al, 2021)</w:t>
      </w:r>
      <w:r w:rsidRPr="00132AD4">
        <w:rPr>
          <w:rFonts w:ascii="Arial" w:hAnsi="Arial" w:cs="Arial"/>
          <w:sz w:val="22"/>
          <w:szCs w:val="22"/>
        </w:rPr>
        <w:t>.</w:t>
      </w:r>
    </w:p>
    <w:p w14:paraId="25F57322" w14:textId="2CC05A5B" w:rsidR="005C2919" w:rsidRPr="00132AD4" w:rsidRDefault="005C2919" w:rsidP="00C96D49">
      <w:pPr>
        <w:pStyle w:val="Heading2"/>
        <w:rPr>
          <w:rFonts w:cs="Arial"/>
          <w:sz w:val="22"/>
          <w:szCs w:val="22"/>
        </w:rPr>
      </w:pPr>
      <w:bookmarkStart w:id="4" w:name="_Toc216688709"/>
      <w:r w:rsidRPr="00132AD4">
        <w:rPr>
          <w:rFonts w:cs="Arial"/>
          <w:sz w:val="22"/>
          <w:szCs w:val="22"/>
        </w:rPr>
        <w:t xml:space="preserve">2.1.1 </w:t>
      </w:r>
      <w:r w:rsidRPr="00132AD4">
        <w:rPr>
          <w:rFonts w:eastAsiaTheme="majorEastAsia" w:cs="Arial"/>
          <w:sz w:val="22"/>
          <w:szCs w:val="22"/>
        </w:rPr>
        <w:t>The Benefits of Spain’s Healthcare System During COVID-19</w:t>
      </w:r>
      <w:bookmarkEnd w:id="4"/>
      <w:r w:rsidRPr="00132AD4">
        <w:rPr>
          <w:rFonts w:eastAsiaTheme="majorEastAsia" w:cs="Arial"/>
          <w:sz w:val="22"/>
          <w:szCs w:val="22"/>
        </w:rPr>
        <w:t xml:space="preserve"> </w:t>
      </w:r>
    </w:p>
    <w:p w14:paraId="672A8CB0" w14:textId="626560FA"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A major strength of Spain’s healthcare system during the pandemic was its universal accessibility</w:t>
      </w:r>
      <w:r w:rsidR="00184ED6" w:rsidRPr="00132AD4">
        <w:rPr>
          <w:rFonts w:ascii="Arial" w:hAnsi="Arial" w:cs="Arial"/>
          <w:sz w:val="22"/>
          <w:szCs w:val="22"/>
        </w:rPr>
        <w:t xml:space="preserve"> (Martin-Moreno et al, 2022)</w:t>
      </w:r>
      <w:r w:rsidRPr="00132AD4">
        <w:rPr>
          <w:rFonts w:ascii="Arial" w:hAnsi="Arial" w:cs="Arial"/>
          <w:sz w:val="22"/>
          <w:szCs w:val="22"/>
        </w:rPr>
        <w:t>. Because health services were publicly funded, residents, including vulnerable groups and undocumented migrants, could access testing, treatment, and vaccination without financial barriers</w:t>
      </w:r>
      <w:r w:rsidR="001A3ACE" w:rsidRPr="00132AD4">
        <w:rPr>
          <w:rFonts w:ascii="Arial" w:hAnsi="Arial" w:cs="Arial"/>
          <w:sz w:val="22"/>
          <w:szCs w:val="22"/>
        </w:rPr>
        <w:t xml:space="preserve"> (Perna, 2025)</w:t>
      </w:r>
      <w:r w:rsidRPr="00132AD4">
        <w:rPr>
          <w:rFonts w:ascii="Arial" w:hAnsi="Arial" w:cs="Arial"/>
          <w:sz w:val="22"/>
          <w:szCs w:val="22"/>
        </w:rPr>
        <w:t xml:space="preserve">. This contributed to </w:t>
      </w:r>
      <w:r w:rsidRPr="00132AD4">
        <w:rPr>
          <w:rFonts w:ascii="Arial" w:hAnsi="Arial" w:cs="Arial"/>
          <w:sz w:val="22"/>
          <w:szCs w:val="22"/>
        </w:rPr>
        <w:lastRenderedPageBreak/>
        <w:t>improving equity in pandemic response and encouraged widespread compliance with vaccination efforts once doses became available</w:t>
      </w:r>
      <w:r w:rsidR="00184ED6" w:rsidRPr="00132AD4">
        <w:rPr>
          <w:rFonts w:ascii="Arial" w:hAnsi="Arial" w:cs="Arial"/>
          <w:sz w:val="22"/>
          <w:szCs w:val="22"/>
        </w:rPr>
        <w:t xml:space="preserve"> (Martin-Moreno et al, 2022)</w:t>
      </w:r>
      <w:r w:rsidRPr="00132AD4">
        <w:rPr>
          <w:rFonts w:ascii="Arial" w:hAnsi="Arial" w:cs="Arial"/>
          <w:sz w:val="22"/>
          <w:szCs w:val="22"/>
        </w:rPr>
        <w:t>. Additionally, regional health authorities demonstrated adaptability, expanding ICU capacity, repurposing public buildings, and mobilising additional workforce rapidly in response to local surges</w:t>
      </w:r>
      <w:r w:rsidR="00184ED6" w:rsidRPr="00132AD4">
        <w:rPr>
          <w:rFonts w:ascii="Arial" w:hAnsi="Arial" w:cs="Arial"/>
          <w:sz w:val="22"/>
          <w:szCs w:val="22"/>
        </w:rPr>
        <w:t xml:space="preserve"> (Martin-Moreno et al, 2022)</w:t>
      </w:r>
      <w:r w:rsidRPr="00132AD4">
        <w:rPr>
          <w:rFonts w:ascii="Arial" w:hAnsi="Arial" w:cs="Arial"/>
          <w:sz w:val="22"/>
          <w:szCs w:val="22"/>
        </w:rPr>
        <w:t>.</w:t>
      </w:r>
    </w:p>
    <w:p w14:paraId="28FA8116" w14:textId="4CF2A790"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The decentralised structure also supported flexible responses tailored to regional epidemiological trends</w:t>
      </w:r>
      <w:r w:rsidR="00184ED6" w:rsidRPr="00132AD4">
        <w:rPr>
          <w:rFonts w:ascii="Arial" w:hAnsi="Arial" w:cs="Arial"/>
          <w:sz w:val="22"/>
          <w:szCs w:val="22"/>
        </w:rPr>
        <w:t xml:space="preserve"> (Martin-Moreno et al, 2022)</w:t>
      </w:r>
      <w:r w:rsidRPr="00132AD4">
        <w:rPr>
          <w:rFonts w:ascii="Arial" w:hAnsi="Arial" w:cs="Arial"/>
          <w:sz w:val="22"/>
          <w:szCs w:val="22"/>
        </w:rPr>
        <w:t>. Some regions, such as Andalusia and Galicia, implemented innovative digital surveillance systems and mass testing strategies</w:t>
      </w:r>
      <w:r w:rsidR="00184ED6" w:rsidRPr="00132AD4">
        <w:rPr>
          <w:rFonts w:ascii="Arial" w:hAnsi="Arial" w:cs="Arial"/>
          <w:sz w:val="22"/>
          <w:szCs w:val="22"/>
        </w:rPr>
        <w:t xml:space="preserve"> (Perna, 2025)</w:t>
      </w:r>
      <w:r w:rsidRPr="00132AD4">
        <w:rPr>
          <w:rFonts w:ascii="Arial" w:hAnsi="Arial" w:cs="Arial"/>
          <w:sz w:val="22"/>
          <w:szCs w:val="22"/>
        </w:rPr>
        <w:t>. This regional autonomy allowed experimentation and policy learning across the system. Over time, best practices were shared between jurisdictions, contributing to a more resilient strategy in subsequent waves</w:t>
      </w:r>
      <w:r w:rsidR="001A3ACE" w:rsidRPr="00132AD4">
        <w:rPr>
          <w:rFonts w:ascii="Arial" w:hAnsi="Arial" w:cs="Arial"/>
          <w:sz w:val="22"/>
          <w:szCs w:val="22"/>
        </w:rPr>
        <w:t xml:space="preserve"> (Perna, 2025)</w:t>
      </w:r>
      <w:r w:rsidRPr="00132AD4">
        <w:rPr>
          <w:rFonts w:ascii="Arial" w:hAnsi="Arial" w:cs="Arial"/>
          <w:sz w:val="22"/>
          <w:szCs w:val="22"/>
        </w:rPr>
        <w:t>.</w:t>
      </w:r>
    </w:p>
    <w:p w14:paraId="1A768578" w14:textId="6295C2D2" w:rsidR="005C2919" w:rsidRPr="00132AD4" w:rsidRDefault="005C2919" w:rsidP="00C96D49">
      <w:pPr>
        <w:pStyle w:val="Heading2"/>
        <w:rPr>
          <w:rFonts w:cs="Arial"/>
          <w:sz w:val="22"/>
          <w:szCs w:val="22"/>
        </w:rPr>
      </w:pPr>
      <w:bookmarkStart w:id="5" w:name="_Toc216688710"/>
      <w:r w:rsidRPr="00132AD4">
        <w:rPr>
          <w:rFonts w:cs="Arial"/>
          <w:sz w:val="22"/>
          <w:szCs w:val="22"/>
        </w:rPr>
        <w:t xml:space="preserve">2.1.2 </w:t>
      </w:r>
      <w:r w:rsidRPr="00132AD4">
        <w:rPr>
          <w:rFonts w:eastAsiaTheme="majorEastAsia" w:cs="Arial"/>
          <w:sz w:val="22"/>
          <w:szCs w:val="22"/>
        </w:rPr>
        <w:t>The Disadvantages of Spain’s Healthcare System During COVID-19</w:t>
      </w:r>
      <w:bookmarkEnd w:id="5"/>
      <w:r w:rsidRPr="00132AD4">
        <w:rPr>
          <w:rFonts w:eastAsiaTheme="majorEastAsia" w:cs="Arial"/>
          <w:sz w:val="22"/>
          <w:szCs w:val="22"/>
        </w:rPr>
        <w:t xml:space="preserve"> </w:t>
      </w:r>
    </w:p>
    <w:p w14:paraId="311B8692" w14:textId="3E541D07"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Despite these benefits, the decentralised nature of Spain’s healthcare system contributed to significant fragmentation during the early stages of the pandemic</w:t>
      </w:r>
      <w:r w:rsidR="00184ED6" w:rsidRPr="00132AD4">
        <w:rPr>
          <w:rFonts w:ascii="Arial" w:hAnsi="Arial" w:cs="Arial"/>
          <w:sz w:val="22"/>
          <w:szCs w:val="22"/>
        </w:rPr>
        <w:t xml:space="preserve"> (Martin-Moreno et al, 2022)</w:t>
      </w:r>
      <w:r w:rsidRPr="00132AD4">
        <w:rPr>
          <w:rFonts w:ascii="Arial" w:hAnsi="Arial" w:cs="Arial"/>
          <w:sz w:val="22"/>
          <w:szCs w:val="22"/>
        </w:rPr>
        <w:t>. The absence of consistent emergency preparedness standards resulted in variations in testing availability, hospital capacity, and public health guidance across regions</w:t>
      </w:r>
      <w:r w:rsidR="001A3ACE" w:rsidRPr="00132AD4">
        <w:rPr>
          <w:rFonts w:ascii="Arial" w:hAnsi="Arial" w:cs="Arial"/>
          <w:sz w:val="22"/>
          <w:szCs w:val="22"/>
        </w:rPr>
        <w:t xml:space="preserve"> (Perna, 2025)</w:t>
      </w:r>
      <w:r w:rsidRPr="00132AD4">
        <w:rPr>
          <w:rFonts w:ascii="Arial" w:hAnsi="Arial" w:cs="Arial"/>
          <w:sz w:val="22"/>
          <w:szCs w:val="22"/>
        </w:rPr>
        <w:t>. This inconsistency affected national coordination and made it challenging to track infections uniformly. The delay in central government intervention allowed the virus to spread rapidly, particularly in densely populated regions such as Madrid and Catalonia</w:t>
      </w:r>
      <w:r w:rsidR="00184ED6" w:rsidRPr="00132AD4">
        <w:rPr>
          <w:rFonts w:ascii="Arial" w:hAnsi="Arial" w:cs="Arial"/>
          <w:sz w:val="22"/>
          <w:szCs w:val="22"/>
        </w:rPr>
        <w:t xml:space="preserve"> (Martin-Moreno et al, 2022)</w:t>
      </w:r>
      <w:r w:rsidRPr="00132AD4">
        <w:rPr>
          <w:rFonts w:ascii="Arial" w:hAnsi="Arial" w:cs="Arial"/>
          <w:sz w:val="22"/>
          <w:szCs w:val="22"/>
        </w:rPr>
        <w:t>.</w:t>
      </w:r>
    </w:p>
    <w:p w14:paraId="0806643C" w14:textId="3B8AC0E9" w:rsidR="005C2919" w:rsidRPr="00132AD4" w:rsidRDefault="005C2919" w:rsidP="005C2919">
      <w:pPr>
        <w:spacing w:line="360" w:lineRule="auto"/>
        <w:jc w:val="both"/>
        <w:rPr>
          <w:rFonts w:ascii="Arial" w:hAnsi="Arial" w:cs="Arial"/>
          <w:sz w:val="22"/>
          <w:szCs w:val="22"/>
        </w:rPr>
      </w:pPr>
      <w:r w:rsidRPr="00132AD4">
        <w:rPr>
          <w:rFonts w:ascii="Arial" w:hAnsi="Arial" w:cs="Arial"/>
          <w:sz w:val="22"/>
          <w:szCs w:val="22"/>
        </w:rPr>
        <w:t>Another major weakness was the system’s heavy reliance on hospital-based care rather than community-based preventive health infrastructure</w:t>
      </w:r>
      <w:r w:rsidR="001A3ACE" w:rsidRPr="00132AD4">
        <w:rPr>
          <w:rFonts w:ascii="Arial" w:hAnsi="Arial" w:cs="Arial"/>
          <w:sz w:val="22"/>
          <w:szCs w:val="22"/>
        </w:rPr>
        <w:t xml:space="preserve"> (Perna, 2025)</w:t>
      </w:r>
      <w:r w:rsidRPr="00132AD4">
        <w:rPr>
          <w:rFonts w:ascii="Arial" w:hAnsi="Arial" w:cs="Arial"/>
          <w:sz w:val="22"/>
          <w:szCs w:val="22"/>
        </w:rPr>
        <w:t>. The lack of integrated long-term care oversight contributed to catastrophic outcomes in nursing homes, where many of Spain’s early deaths occurred</w:t>
      </w:r>
      <w:r w:rsidR="00184ED6" w:rsidRPr="00132AD4">
        <w:rPr>
          <w:rFonts w:ascii="Arial" w:hAnsi="Arial" w:cs="Arial"/>
          <w:sz w:val="22"/>
          <w:szCs w:val="22"/>
        </w:rPr>
        <w:t xml:space="preserve"> (Perna, 2025)</w:t>
      </w:r>
      <w:r w:rsidRPr="00132AD4">
        <w:rPr>
          <w:rFonts w:ascii="Arial" w:hAnsi="Arial" w:cs="Arial"/>
          <w:sz w:val="22"/>
          <w:szCs w:val="22"/>
        </w:rPr>
        <w:t>. Additionally, shortages of PPE and ventilators exposed systemic supply chain vulnerabilities</w:t>
      </w:r>
      <w:r w:rsidR="00184ED6" w:rsidRPr="00132AD4">
        <w:rPr>
          <w:rFonts w:ascii="Arial" w:hAnsi="Arial" w:cs="Arial"/>
          <w:sz w:val="22"/>
          <w:szCs w:val="22"/>
        </w:rPr>
        <w:t xml:space="preserve"> (Martin-Moreno et al, 2022)</w:t>
      </w:r>
      <w:r w:rsidRPr="00132AD4">
        <w:rPr>
          <w:rFonts w:ascii="Arial" w:hAnsi="Arial" w:cs="Arial"/>
          <w:sz w:val="22"/>
          <w:szCs w:val="22"/>
        </w:rPr>
        <w:t>. These limitations highlighted that while decentralisation can improve efficiency in normal conditions, it can also hinder rapid crisis mobilisation without strong national emergency coordination mechanisms</w:t>
      </w:r>
      <w:r w:rsidR="001A3ACE" w:rsidRPr="00132AD4">
        <w:rPr>
          <w:rFonts w:ascii="Arial" w:hAnsi="Arial" w:cs="Arial"/>
          <w:sz w:val="22"/>
          <w:szCs w:val="22"/>
        </w:rPr>
        <w:t xml:space="preserve"> (Perna, 2025)</w:t>
      </w:r>
      <w:r w:rsidRPr="00132AD4">
        <w:rPr>
          <w:rFonts w:ascii="Arial" w:hAnsi="Arial" w:cs="Arial"/>
          <w:sz w:val="22"/>
          <w:szCs w:val="22"/>
        </w:rPr>
        <w:t>.</w:t>
      </w:r>
    </w:p>
    <w:p w14:paraId="3686A259" w14:textId="3CC4B5E2" w:rsidR="00574D31" w:rsidRPr="00132AD4" w:rsidRDefault="00574D31" w:rsidP="00C13E38">
      <w:pPr>
        <w:pStyle w:val="Heading1"/>
        <w:rPr>
          <w:rFonts w:cs="Arial"/>
          <w:sz w:val="22"/>
          <w:szCs w:val="22"/>
        </w:rPr>
      </w:pPr>
      <w:bookmarkStart w:id="6" w:name="_Toc216688711"/>
      <w:r w:rsidRPr="00132AD4">
        <w:rPr>
          <w:rFonts w:cs="Arial"/>
          <w:sz w:val="22"/>
          <w:szCs w:val="22"/>
        </w:rPr>
        <w:t>2.2</w:t>
      </w:r>
      <w:r w:rsidR="00C13E38" w:rsidRPr="00132AD4">
        <w:rPr>
          <w:rFonts w:cs="Arial"/>
          <w:sz w:val="22"/>
          <w:szCs w:val="22"/>
        </w:rPr>
        <w:t xml:space="preserve"> </w:t>
      </w:r>
      <w:r w:rsidRPr="00132AD4">
        <w:rPr>
          <w:rFonts w:cs="Arial"/>
          <w:sz w:val="22"/>
          <w:szCs w:val="22"/>
        </w:rPr>
        <w:t>South Korea’s Healthcare System</w:t>
      </w:r>
      <w:bookmarkEnd w:id="6"/>
      <w:r w:rsidRPr="00132AD4">
        <w:rPr>
          <w:rFonts w:cs="Arial"/>
          <w:sz w:val="22"/>
          <w:szCs w:val="22"/>
        </w:rPr>
        <w:t xml:space="preserve"> </w:t>
      </w:r>
    </w:p>
    <w:p w14:paraId="56D7C87B" w14:textId="70529006" w:rsidR="00775BE6" w:rsidRPr="00132AD4" w:rsidRDefault="00775BE6" w:rsidP="00775BE6">
      <w:pPr>
        <w:spacing w:line="360" w:lineRule="auto"/>
        <w:jc w:val="both"/>
        <w:rPr>
          <w:rFonts w:ascii="Arial" w:hAnsi="Arial" w:cs="Arial"/>
          <w:sz w:val="22"/>
          <w:szCs w:val="22"/>
        </w:rPr>
      </w:pPr>
      <w:r w:rsidRPr="00132AD4">
        <w:rPr>
          <w:rFonts w:ascii="Arial" w:hAnsi="Arial" w:cs="Arial"/>
          <w:sz w:val="22"/>
          <w:szCs w:val="22"/>
        </w:rPr>
        <w:t xml:space="preserve">South Korea’s healthcare system is characterised by strong national oversight and coordinated governance, with healthcare policy and public health emergency planning directed at the central government level (Lee et al, 2023). National authorities are responsible for setting strategic priorities, regulating service provision, and ensuring system-wide consistency (Hur et al., 2020). Although healthcare services are largely delivered through privately operated hospitals and clinics, these providers function within a tightly regulated </w:t>
      </w:r>
      <w:r w:rsidRPr="00132AD4">
        <w:rPr>
          <w:rFonts w:ascii="Arial" w:hAnsi="Arial" w:cs="Arial"/>
          <w:sz w:val="22"/>
          <w:szCs w:val="22"/>
        </w:rPr>
        <w:lastRenderedPageBreak/>
        <w:t>framework that enables alignment with national public health objectives (Hur et al., 2020). This high degree of central coordination facilitates efficient communication between government bodies and healthcare institutions, supporting rapid decision-making and effective mobilisation of resources during periods of crisis (Chen et al, 2021).</w:t>
      </w:r>
    </w:p>
    <w:p w14:paraId="2F32FB6D" w14:textId="0733B153" w:rsidR="00775BE6" w:rsidRPr="00132AD4" w:rsidRDefault="00775BE6" w:rsidP="00775BE6">
      <w:pPr>
        <w:spacing w:line="360" w:lineRule="auto"/>
        <w:jc w:val="both"/>
        <w:rPr>
          <w:rFonts w:ascii="Arial" w:hAnsi="Arial" w:cs="Arial"/>
          <w:sz w:val="22"/>
          <w:szCs w:val="22"/>
        </w:rPr>
      </w:pPr>
      <w:r w:rsidRPr="00132AD4">
        <w:rPr>
          <w:rFonts w:ascii="Arial" w:hAnsi="Arial" w:cs="Arial"/>
          <w:sz w:val="22"/>
          <w:szCs w:val="22"/>
        </w:rPr>
        <w:t>Before the emergence of COVID-19, South Korea had developed a robust public health infrastructure and legal mechanisms designed to respond to large-scale infectious disease threats (Hur et al., 2020). These frameworks allowed authorities to act decisively by streamlining approval processes, enhancing inter-agency cooperation, and enabling the timely exchange of health data (Lee et al, 2023). As a result, national leadership was able to implement a coordinated response at an early stage of the outbreak, reducing delays associated with fragmented governance structures (Chen et al., 2021). Compared with more decentralised health systems, this approach enabled faster operational readiness and improved national alignment during the initial response phase (Lee et al., 2023).</w:t>
      </w:r>
    </w:p>
    <w:p w14:paraId="75A3C7CD" w14:textId="2F5A2923" w:rsidR="00574D31" w:rsidRPr="00132AD4" w:rsidRDefault="00775BE6" w:rsidP="00574D31">
      <w:pPr>
        <w:spacing w:line="360" w:lineRule="auto"/>
        <w:jc w:val="both"/>
        <w:rPr>
          <w:rFonts w:ascii="Arial" w:hAnsi="Arial" w:cs="Arial"/>
          <w:sz w:val="22"/>
          <w:szCs w:val="22"/>
        </w:rPr>
      </w:pPr>
      <w:r w:rsidRPr="00132AD4">
        <w:rPr>
          <w:rFonts w:ascii="Arial" w:hAnsi="Arial" w:cs="Arial"/>
          <w:sz w:val="22"/>
          <w:szCs w:val="22"/>
        </w:rPr>
        <w:t>Throughout the pandemic, South Korea’s centrally guided healthcare governance supported the rapid rollout of extensive testing programmes, comprehensive contact tracing, and mandatory isolation measures (Chen et al., 2021). National public health agencies directed surveillance strategies, while local authorities focused on implementation within their jurisdictions, ensuring consistency across regions (Hur et al., 2020). The use of digital tools and real-time data analysis enabled early identification of outbreaks, reducing reliance on widespread lockdowns (Lee et al, 2023). This experience illustrates how a centrally coordinated public health system, supported by institutional capacity and public cooperation, can effectively manage health emergencies while minimising social and economic disruption (Hur et al., 2020).</w:t>
      </w:r>
    </w:p>
    <w:p w14:paraId="06CAC569" w14:textId="42272A0D" w:rsidR="00574D31" w:rsidRPr="00132AD4" w:rsidRDefault="00C13E38" w:rsidP="00C13E38">
      <w:pPr>
        <w:pStyle w:val="Heading2"/>
        <w:rPr>
          <w:rFonts w:cs="Arial"/>
          <w:sz w:val="22"/>
          <w:szCs w:val="22"/>
        </w:rPr>
      </w:pPr>
      <w:bookmarkStart w:id="7" w:name="_Toc216688712"/>
      <w:r w:rsidRPr="00132AD4">
        <w:rPr>
          <w:rFonts w:cs="Arial"/>
          <w:sz w:val="22"/>
          <w:szCs w:val="22"/>
        </w:rPr>
        <w:t xml:space="preserve">2.2.1 </w:t>
      </w:r>
      <w:r w:rsidR="00574D31" w:rsidRPr="00132AD4">
        <w:rPr>
          <w:rFonts w:cs="Arial"/>
          <w:sz w:val="22"/>
          <w:szCs w:val="22"/>
        </w:rPr>
        <w:t>The Benefits of South Korea’s Healthcare System During COVID-19</w:t>
      </w:r>
      <w:bookmarkEnd w:id="7"/>
      <w:r w:rsidR="00574D31" w:rsidRPr="00132AD4">
        <w:rPr>
          <w:rFonts w:cs="Arial"/>
          <w:sz w:val="22"/>
          <w:szCs w:val="22"/>
        </w:rPr>
        <w:t xml:space="preserve"> </w:t>
      </w:r>
    </w:p>
    <w:p w14:paraId="3517B569" w14:textId="1DD74721"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One of the most significant strengths of South Korea’s healthcare system during COVID-19 was its ability to respond rapidly and cohesively</w:t>
      </w:r>
      <w:r w:rsidR="00FA6465" w:rsidRPr="00132AD4">
        <w:rPr>
          <w:rFonts w:ascii="Arial" w:hAnsi="Arial" w:cs="Arial"/>
          <w:sz w:val="22"/>
          <w:szCs w:val="22"/>
        </w:rPr>
        <w:t xml:space="preserve"> (Ko et al, 2023)</w:t>
      </w:r>
      <w:r w:rsidRPr="00132AD4">
        <w:rPr>
          <w:rFonts w:ascii="Arial" w:hAnsi="Arial" w:cs="Arial"/>
          <w:sz w:val="22"/>
          <w:szCs w:val="22"/>
        </w:rPr>
        <w:t>. Centralised leadership enabled the government to scale up testing capacity within weeks, including drive-through and walk-in testing centres nationwide</w:t>
      </w:r>
      <w:r w:rsidR="004F4143" w:rsidRPr="00132AD4">
        <w:rPr>
          <w:rFonts w:ascii="Arial" w:hAnsi="Arial" w:cs="Arial"/>
          <w:sz w:val="22"/>
          <w:szCs w:val="22"/>
        </w:rPr>
        <w:t xml:space="preserve"> (Heo et al, 2020)</w:t>
      </w:r>
      <w:r w:rsidRPr="00132AD4">
        <w:rPr>
          <w:rFonts w:ascii="Arial" w:hAnsi="Arial" w:cs="Arial"/>
          <w:sz w:val="22"/>
          <w:szCs w:val="22"/>
        </w:rPr>
        <w:t>. Central procurement and distribution of test kits and PPE ensured consistency and avoided regional competition for resources. This rapid response limited hospital overcrowding and kept mortality rates comparatively low during early waves</w:t>
      </w:r>
      <w:r w:rsidR="00262DF8" w:rsidRPr="00132AD4">
        <w:rPr>
          <w:rFonts w:ascii="Arial" w:hAnsi="Arial" w:cs="Arial"/>
          <w:sz w:val="22"/>
          <w:szCs w:val="22"/>
        </w:rPr>
        <w:t xml:space="preserve"> (Moon et al, 2024)</w:t>
      </w:r>
      <w:r w:rsidRPr="00132AD4">
        <w:rPr>
          <w:rFonts w:ascii="Arial" w:hAnsi="Arial" w:cs="Arial"/>
          <w:sz w:val="22"/>
          <w:szCs w:val="22"/>
        </w:rPr>
        <w:t>.</w:t>
      </w:r>
    </w:p>
    <w:p w14:paraId="69974779" w14:textId="325C2806"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Another key benefit was the integration of technology into public health management. The government used digital contact tracing tools, mobile alerts, and real-time data dashboards to track outbreaks and inform the public</w:t>
      </w:r>
      <w:r w:rsidR="00C154B9" w:rsidRPr="00132AD4">
        <w:rPr>
          <w:rFonts w:ascii="Arial" w:hAnsi="Arial" w:cs="Arial"/>
          <w:sz w:val="22"/>
          <w:szCs w:val="22"/>
        </w:rPr>
        <w:t xml:space="preserve"> (Ko et al, 2023)</w:t>
      </w:r>
      <w:r w:rsidRPr="00132AD4">
        <w:rPr>
          <w:rFonts w:ascii="Arial" w:hAnsi="Arial" w:cs="Arial"/>
          <w:sz w:val="22"/>
          <w:szCs w:val="22"/>
        </w:rPr>
        <w:t xml:space="preserve">. Clear, transparent communication from national leaders and health authorities fostered public trust and high compliance with health </w:t>
      </w:r>
      <w:r w:rsidRPr="00132AD4">
        <w:rPr>
          <w:rFonts w:ascii="Arial" w:hAnsi="Arial" w:cs="Arial"/>
          <w:sz w:val="22"/>
          <w:szCs w:val="22"/>
        </w:rPr>
        <w:lastRenderedPageBreak/>
        <w:t>measures</w:t>
      </w:r>
      <w:r w:rsidR="00C154B9" w:rsidRPr="00132AD4">
        <w:rPr>
          <w:rFonts w:ascii="Arial" w:hAnsi="Arial" w:cs="Arial"/>
          <w:sz w:val="22"/>
          <w:szCs w:val="22"/>
        </w:rPr>
        <w:t xml:space="preserve"> (Heo et al, 2020)</w:t>
      </w:r>
      <w:r w:rsidRPr="00132AD4">
        <w:rPr>
          <w:rFonts w:ascii="Arial" w:hAnsi="Arial" w:cs="Arial"/>
          <w:sz w:val="22"/>
          <w:szCs w:val="22"/>
        </w:rPr>
        <w:t>. Vaccination rollout was also centrally coordinated, ensuring equitable distribution and prioritisation of high-risk populations</w:t>
      </w:r>
      <w:r w:rsidR="00C154B9" w:rsidRPr="00132AD4">
        <w:rPr>
          <w:rFonts w:ascii="Arial" w:hAnsi="Arial" w:cs="Arial"/>
          <w:sz w:val="22"/>
          <w:szCs w:val="22"/>
        </w:rPr>
        <w:t xml:space="preserve"> (Heo et al, 2020)</w:t>
      </w:r>
      <w:r w:rsidRPr="00132AD4">
        <w:rPr>
          <w:rFonts w:ascii="Arial" w:hAnsi="Arial" w:cs="Arial"/>
          <w:sz w:val="22"/>
          <w:szCs w:val="22"/>
        </w:rPr>
        <w:t>. These factors highlight how strong centralisation, when combined with preparedness and public trust, can produce effective pandemic outcomes</w:t>
      </w:r>
      <w:r w:rsidR="00C154B9" w:rsidRPr="00132AD4">
        <w:rPr>
          <w:rFonts w:ascii="Arial" w:hAnsi="Arial" w:cs="Arial"/>
          <w:sz w:val="22"/>
          <w:szCs w:val="22"/>
        </w:rPr>
        <w:t xml:space="preserve"> (Moon et al, 2024)</w:t>
      </w:r>
      <w:r w:rsidRPr="00132AD4">
        <w:rPr>
          <w:rFonts w:ascii="Arial" w:hAnsi="Arial" w:cs="Arial"/>
          <w:sz w:val="22"/>
          <w:szCs w:val="22"/>
        </w:rPr>
        <w:t>.</w:t>
      </w:r>
    </w:p>
    <w:p w14:paraId="15DC8AA3" w14:textId="53147F13" w:rsidR="00574D31" w:rsidRPr="00132AD4" w:rsidRDefault="00C13E38" w:rsidP="00C13E38">
      <w:pPr>
        <w:pStyle w:val="Heading2"/>
        <w:rPr>
          <w:rFonts w:cs="Arial"/>
          <w:sz w:val="22"/>
          <w:szCs w:val="22"/>
        </w:rPr>
      </w:pPr>
      <w:bookmarkStart w:id="8" w:name="_Toc216688713"/>
      <w:r w:rsidRPr="00132AD4">
        <w:rPr>
          <w:rStyle w:val="Heading2Char"/>
          <w:rFonts w:cs="Arial"/>
          <w:b/>
          <w:sz w:val="22"/>
          <w:szCs w:val="22"/>
        </w:rPr>
        <w:t>2</w:t>
      </w:r>
      <w:r w:rsidRPr="00132AD4">
        <w:rPr>
          <w:rFonts w:cs="Arial"/>
          <w:sz w:val="22"/>
          <w:szCs w:val="22"/>
        </w:rPr>
        <w:t xml:space="preserve">.2.2 </w:t>
      </w:r>
      <w:r w:rsidR="00574D31" w:rsidRPr="00132AD4">
        <w:rPr>
          <w:rFonts w:cs="Arial"/>
          <w:sz w:val="22"/>
          <w:szCs w:val="22"/>
        </w:rPr>
        <w:t>The Disadvantages of South Korea’s Healthcare System During COVID-19</w:t>
      </w:r>
      <w:bookmarkEnd w:id="8"/>
      <w:r w:rsidR="00574D31" w:rsidRPr="00132AD4">
        <w:rPr>
          <w:rFonts w:cs="Arial"/>
          <w:sz w:val="22"/>
          <w:szCs w:val="22"/>
        </w:rPr>
        <w:t xml:space="preserve"> </w:t>
      </w:r>
    </w:p>
    <w:p w14:paraId="1FF4455E" w14:textId="353F4D69"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Despite its effectiveness, South Korea’s centralised approach raised concerns regarding privacy and civil liberties. Extensive use of personal data for contact tracing, including location tracking and transaction records, sparked ethical debates domestically and internationally</w:t>
      </w:r>
      <w:r w:rsidR="00C154B9" w:rsidRPr="00132AD4">
        <w:rPr>
          <w:rFonts w:ascii="Arial" w:hAnsi="Arial" w:cs="Arial"/>
          <w:sz w:val="22"/>
          <w:szCs w:val="22"/>
        </w:rPr>
        <w:t xml:space="preserve"> (Heo et al, 2020)</w:t>
      </w:r>
      <w:r w:rsidRPr="00132AD4">
        <w:rPr>
          <w:rFonts w:ascii="Arial" w:hAnsi="Arial" w:cs="Arial"/>
          <w:sz w:val="22"/>
          <w:szCs w:val="22"/>
        </w:rPr>
        <w:t>. While these measures were legally permitted under emergency laws, critics argued that the lack of decentralised oversight limited opportunities for public accountability and individual consent</w:t>
      </w:r>
      <w:r w:rsidR="00C154B9" w:rsidRPr="00132AD4">
        <w:rPr>
          <w:rFonts w:ascii="Arial" w:hAnsi="Arial" w:cs="Arial"/>
          <w:sz w:val="22"/>
          <w:szCs w:val="22"/>
        </w:rPr>
        <w:t xml:space="preserve"> (Ko et al, 2023)</w:t>
      </w:r>
      <w:r w:rsidRPr="00132AD4">
        <w:rPr>
          <w:rFonts w:ascii="Arial" w:hAnsi="Arial" w:cs="Arial"/>
          <w:sz w:val="22"/>
          <w:szCs w:val="22"/>
        </w:rPr>
        <w:t>.</w:t>
      </w:r>
    </w:p>
    <w:p w14:paraId="7915F4B2" w14:textId="136C8FC6"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Additionally, South Korea’s healthcare system faced challenges related to workforce fatigue and hospital strain during later waves</w:t>
      </w:r>
      <w:r w:rsidR="00C154B9" w:rsidRPr="00132AD4">
        <w:rPr>
          <w:rFonts w:ascii="Arial" w:hAnsi="Arial" w:cs="Arial"/>
          <w:sz w:val="22"/>
          <w:szCs w:val="22"/>
        </w:rPr>
        <w:t xml:space="preserve"> (Moon et al, 2024)</w:t>
      </w:r>
      <w:r w:rsidRPr="00132AD4">
        <w:rPr>
          <w:rFonts w:ascii="Arial" w:hAnsi="Arial" w:cs="Arial"/>
          <w:sz w:val="22"/>
          <w:szCs w:val="22"/>
        </w:rPr>
        <w:t>. Although hospitals were well-coordinated, the heavy reliance on a centralised command structure placed sustained pressure on national institutions and healthcare workers</w:t>
      </w:r>
      <w:r w:rsidR="00C154B9" w:rsidRPr="00132AD4">
        <w:rPr>
          <w:rFonts w:ascii="Arial" w:hAnsi="Arial" w:cs="Arial"/>
          <w:sz w:val="22"/>
          <w:szCs w:val="22"/>
        </w:rPr>
        <w:t xml:space="preserve"> (Moon et al, 2024)</w:t>
      </w:r>
      <w:r w:rsidRPr="00132AD4">
        <w:rPr>
          <w:rFonts w:ascii="Arial" w:hAnsi="Arial" w:cs="Arial"/>
          <w:sz w:val="22"/>
          <w:szCs w:val="22"/>
        </w:rPr>
        <w:t>. Smaller private providers sometimes struggled to adapt to rapidly changing national directives</w:t>
      </w:r>
      <w:r w:rsidR="00C154B9" w:rsidRPr="00132AD4">
        <w:rPr>
          <w:rFonts w:ascii="Arial" w:hAnsi="Arial" w:cs="Arial"/>
          <w:sz w:val="22"/>
          <w:szCs w:val="22"/>
        </w:rPr>
        <w:t xml:space="preserve"> (Ko et al, 2023)</w:t>
      </w:r>
      <w:r w:rsidRPr="00132AD4">
        <w:rPr>
          <w:rFonts w:ascii="Arial" w:hAnsi="Arial" w:cs="Arial"/>
          <w:sz w:val="22"/>
          <w:szCs w:val="22"/>
        </w:rPr>
        <w:t>. Furthermore, the system’s success relied heavily on cultural norms of compliance and trust in government, raising questions about whether such a centralised model would be equally effective in societies with lower institutional trust</w:t>
      </w:r>
      <w:r w:rsidR="00C154B9" w:rsidRPr="00132AD4">
        <w:rPr>
          <w:rFonts w:ascii="Arial" w:hAnsi="Arial" w:cs="Arial"/>
          <w:sz w:val="22"/>
          <w:szCs w:val="22"/>
        </w:rPr>
        <w:t xml:space="preserve"> (Heo et al, 2020)</w:t>
      </w:r>
      <w:r w:rsidRPr="00132AD4">
        <w:rPr>
          <w:rFonts w:ascii="Arial" w:hAnsi="Arial" w:cs="Arial"/>
          <w:sz w:val="22"/>
          <w:szCs w:val="22"/>
        </w:rPr>
        <w:t>.</w:t>
      </w:r>
    </w:p>
    <w:p w14:paraId="7B08AF0B" w14:textId="33E5BE6F" w:rsidR="00574D31" w:rsidRPr="00132AD4" w:rsidRDefault="00574D31" w:rsidP="00C13E38">
      <w:pPr>
        <w:pStyle w:val="Heading1"/>
        <w:rPr>
          <w:rFonts w:cs="Arial"/>
          <w:sz w:val="22"/>
          <w:szCs w:val="22"/>
        </w:rPr>
      </w:pPr>
      <w:bookmarkStart w:id="9" w:name="_Toc216688714"/>
      <w:r w:rsidRPr="00132AD4">
        <w:rPr>
          <w:rFonts w:cs="Arial"/>
          <w:sz w:val="22"/>
          <w:szCs w:val="22"/>
        </w:rPr>
        <w:t>2.3 Canada’s Healthcare System</w:t>
      </w:r>
      <w:bookmarkEnd w:id="9"/>
      <w:r w:rsidRPr="00132AD4">
        <w:rPr>
          <w:rFonts w:cs="Arial"/>
          <w:sz w:val="22"/>
          <w:szCs w:val="22"/>
        </w:rPr>
        <w:t xml:space="preserve"> </w:t>
      </w:r>
    </w:p>
    <w:p w14:paraId="44662469" w14:textId="591D8A61" w:rsidR="00021E94" w:rsidRPr="00132AD4" w:rsidRDefault="00021E94" w:rsidP="00021E94">
      <w:pPr>
        <w:spacing w:line="360" w:lineRule="auto"/>
        <w:jc w:val="both"/>
        <w:rPr>
          <w:rFonts w:ascii="Arial" w:hAnsi="Arial" w:cs="Arial"/>
          <w:sz w:val="22"/>
          <w:szCs w:val="22"/>
        </w:rPr>
      </w:pPr>
      <w:r w:rsidRPr="00132AD4">
        <w:rPr>
          <w:rFonts w:ascii="Arial" w:hAnsi="Arial" w:cs="Arial"/>
          <w:sz w:val="22"/>
          <w:szCs w:val="22"/>
        </w:rPr>
        <w:t>Canada’s healthcare system operates under a publicly financed framework in which overall policy direction and funding arrangements are established at the national level, while the planning and delivery of healthcare services are primarily the responsibility of provincial and territorial governments (</w:t>
      </w:r>
      <w:proofErr w:type="spellStart"/>
      <w:r w:rsidRPr="00132AD4">
        <w:rPr>
          <w:rFonts w:ascii="Arial" w:hAnsi="Arial" w:cs="Arial"/>
          <w:sz w:val="22"/>
          <w:szCs w:val="22"/>
        </w:rPr>
        <w:t>Habbous</w:t>
      </w:r>
      <w:proofErr w:type="spellEnd"/>
      <w:r w:rsidRPr="00132AD4">
        <w:rPr>
          <w:rFonts w:ascii="Arial" w:hAnsi="Arial" w:cs="Arial"/>
          <w:sz w:val="22"/>
          <w:szCs w:val="22"/>
        </w:rPr>
        <w:t xml:space="preserve"> et al., 2023). This governance structure results in a high degree of decentralisation, granting subnational governments authority over hospitals, public health agencies, workforce management, and emergency preparedness</w:t>
      </w:r>
      <w:r w:rsidR="00725FA0" w:rsidRPr="00132AD4">
        <w:rPr>
          <w:rFonts w:ascii="Arial" w:hAnsi="Arial" w:cs="Arial"/>
          <w:sz w:val="22"/>
          <w:szCs w:val="22"/>
        </w:rPr>
        <w:t xml:space="preserve"> (Tuite et al., 2020)</w:t>
      </w:r>
      <w:r w:rsidRPr="00132AD4">
        <w:rPr>
          <w:rFonts w:ascii="Arial" w:hAnsi="Arial" w:cs="Arial"/>
          <w:sz w:val="22"/>
          <w:szCs w:val="22"/>
        </w:rPr>
        <w:t xml:space="preserve">. </w:t>
      </w:r>
      <w:r w:rsidR="00116FBE" w:rsidRPr="00132AD4">
        <w:rPr>
          <w:rFonts w:ascii="Arial" w:hAnsi="Arial" w:cs="Arial"/>
          <w:sz w:val="22"/>
          <w:szCs w:val="22"/>
        </w:rPr>
        <w:t>Before</w:t>
      </w:r>
      <w:r w:rsidRPr="00132AD4">
        <w:rPr>
          <w:rFonts w:ascii="Arial" w:hAnsi="Arial" w:cs="Arial"/>
          <w:sz w:val="22"/>
          <w:szCs w:val="22"/>
        </w:rPr>
        <w:t xml:space="preserve"> the pandemic, this model was widely viewed as beneficial for allowing provinces to tailor healthcare services to </w:t>
      </w:r>
      <w:r w:rsidR="00116FBE" w:rsidRPr="00132AD4">
        <w:rPr>
          <w:rFonts w:ascii="Arial" w:hAnsi="Arial" w:cs="Arial"/>
          <w:sz w:val="22"/>
          <w:szCs w:val="22"/>
        </w:rPr>
        <w:t xml:space="preserve">the </w:t>
      </w:r>
      <w:r w:rsidRPr="00132AD4">
        <w:rPr>
          <w:rFonts w:ascii="Arial" w:hAnsi="Arial" w:cs="Arial"/>
          <w:sz w:val="22"/>
          <w:szCs w:val="22"/>
        </w:rPr>
        <w:t xml:space="preserve">local </w:t>
      </w:r>
      <w:r w:rsidR="00116FBE" w:rsidRPr="00132AD4">
        <w:rPr>
          <w:rFonts w:ascii="Arial" w:hAnsi="Arial" w:cs="Arial"/>
          <w:sz w:val="22"/>
          <w:szCs w:val="22"/>
        </w:rPr>
        <w:t>population's</w:t>
      </w:r>
      <w:r w:rsidRPr="00132AD4">
        <w:rPr>
          <w:rFonts w:ascii="Arial" w:hAnsi="Arial" w:cs="Arial"/>
          <w:sz w:val="22"/>
          <w:szCs w:val="22"/>
        </w:rPr>
        <w:t xml:space="preserve"> needs. However, it also produced notable differences in system capacity and access to care across jurisdictions (Tuite et al., 2020).</w:t>
      </w:r>
    </w:p>
    <w:p w14:paraId="1D8FA172" w14:textId="20375FFE" w:rsidR="00021E94" w:rsidRPr="00132AD4" w:rsidRDefault="00021E94" w:rsidP="00021E94">
      <w:pPr>
        <w:spacing w:line="360" w:lineRule="auto"/>
        <w:jc w:val="both"/>
        <w:rPr>
          <w:rFonts w:ascii="Arial" w:hAnsi="Arial" w:cs="Arial"/>
          <w:sz w:val="22"/>
          <w:szCs w:val="22"/>
        </w:rPr>
      </w:pPr>
      <w:r w:rsidRPr="00132AD4">
        <w:rPr>
          <w:rFonts w:ascii="Arial" w:hAnsi="Arial" w:cs="Arial"/>
          <w:sz w:val="22"/>
          <w:szCs w:val="22"/>
        </w:rPr>
        <w:t>As COVID-19 spread across the country, Canada’s decentralised governance model strongly influenced the nature of its public health response</w:t>
      </w:r>
      <w:r w:rsidR="00116FBE" w:rsidRPr="00132AD4">
        <w:rPr>
          <w:rFonts w:ascii="Arial" w:hAnsi="Arial" w:cs="Arial"/>
          <w:sz w:val="22"/>
          <w:szCs w:val="22"/>
        </w:rPr>
        <w:t xml:space="preserve"> (Tuite et al., 2020)</w:t>
      </w:r>
      <w:r w:rsidRPr="00132AD4">
        <w:rPr>
          <w:rFonts w:ascii="Arial" w:hAnsi="Arial" w:cs="Arial"/>
          <w:sz w:val="22"/>
          <w:szCs w:val="22"/>
        </w:rPr>
        <w:t xml:space="preserve">. Provincial governments independently introduced measures such as movement restrictions, masking policies, testing programmes, and vaccination rollouts, leading to considerable variation in both the timing and intensity of interventions (Fisman et al., 2024). While some provinces implemented early and stringent controls, others adopted a more cautious or delayed approach, contributing to </w:t>
      </w:r>
      <w:r w:rsidRPr="00132AD4">
        <w:rPr>
          <w:rFonts w:ascii="Arial" w:hAnsi="Arial" w:cs="Arial"/>
          <w:sz w:val="22"/>
          <w:szCs w:val="22"/>
        </w:rPr>
        <w:lastRenderedPageBreak/>
        <w:t>uneven patterns of transmission and outcomes nationwide</w:t>
      </w:r>
      <w:r w:rsidR="00116FBE" w:rsidRPr="00132AD4">
        <w:rPr>
          <w:rFonts w:ascii="Arial" w:hAnsi="Arial" w:cs="Arial"/>
          <w:sz w:val="22"/>
          <w:szCs w:val="22"/>
        </w:rPr>
        <w:t xml:space="preserve"> (Tuite et al., 2020)</w:t>
      </w:r>
      <w:r w:rsidRPr="00132AD4">
        <w:rPr>
          <w:rFonts w:ascii="Arial" w:hAnsi="Arial" w:cs="Arial"/>
          <w:sz w:val="22"/>
          <w:szCs w:val="22"/>
        </w:rPr>
        <w:t>. In the early phase of the crisis, coordination between federal and provincial authorities was challenged by differing priorities and interpretations of public health risk (</w:t>
      </w:r>
      <w:proofErr w:type="spellStart"/>
      <w:r w:rsidRPr="00132AD4">
        <w:rPr>
          <w:rFonts w:ascii="Arial" w:hAnsi="Arial" w:cs="Arial"/>
          <w:sz w:val="22"/>
          <w:szCs w:val="22"/>
        </w:rPr>
        <w:t>Habbous</w:t>
      </w:r>
      <w:proofErr w:type="spellEnd"/>
      <w:r w:rsidRPr="00132AD4">
        <w:rPr>
          <w:rFonts w:ascii="Arial" w:hAnsi="Arial" w:cs="Arial"/>
          <w:sz w:val="22"/>
          <w:szCs w:val="22"/>
        </w:rPr>
        <w:t xml:space="preserve"> et al., 2023).</w:t>
      </w:r>
    </w:p>
    <w:p w14:paraId="069660A7" w14:textId="130E484D" w:rsidR="00574D31" w:rsidRPr="00132AD4" w:rsidRDefault="00021E94" w:rsidP="00574D31">
      <w:pPr>
        <w:spacing w:line="360" w:lineRule="auto"/>
        <w:jc w:val="both"/>
        <w:rPr>
          <w:rFonts w:ascii="Arial" w:hAnsi="Arial" w:cs="Arial"/>
          <w:sz w:val="22"/>
          <w:szCs w:val="22"/>
        </w:rPr>
      </w:pPr>
      <w:r w:rsidRPr="00132AD4">
        <w:rPr>
          <w:rFonts w:ascii="Arial" w:hAnsi="Arial" w:cs="Arial"/>
          <w:sz w:val="22"/>
          <w:szCs w:val="22"/>
        </w:rPr>
        <w:t>Over time, the federal government adopted a more prominent coordinating role in areas requiring national-level action, including international travel regulations, vaccine acquisition, and economic support initiatives (Fisman et al., 2024). Centralised mechanisms were used to negotiate and secure vaccine supplies, which were subsequently allocated to provinces according to population-based formulas (</w:t>
      </w:r>
      <w:proofErr w:type="spellStart"/>
      <w:r w:rsidRPr="00132AD4">
        <w:rPr>
          <w:rFonts w:ascii="Arial" w:hAnsi="Arial" w:cs="Arial"/>
          <w:sz w:val="22"/>
          <w:szCs w:val="22"/>
        </w:rPr>
        <w:t>Habbous</w:t>
      </w:r>
      <w:proofErr w:type="spellEnd"/>
      <w:r w:rsidRPr="00132AD4">
        <w:rPr>
          <w:rFonts w:ascii="Arial" w:hAnsi="Arial" w:cs="Arial"/>
          <w:sz w:val="22"/>
          <w:szCs w:val="22"/>
        </w:rPr>
        <w:t xml:space="preserve"> et al., 2023). This blended governance approach underscored the complexity of Canada’s healthcare system, illustrating how decentralised service delivery can coexist with targeted centralisation during nationwide emergencies that demand coordinated negotiation and resource mobilisation (Fisman et al., 2024).</w:t>
      </w:r>
    </w:p>
    <w:p w14:paraId="52068FBA" w14:textId="482C4985" w:rsidR="00574D31" w:rsidRPr="00132AD4" w:rsidRDefault="008B7FDE" w:rsidP="008B7FDE">
      <w:pPr>
        <w:pStyle w:val="Heading2"/>
        <w:rPr>
          <w:rFonts w:cs="Arial"/>
          <w:sz w:val="22"/>
          <w:szCs w:val="22"/>
        </w:rPr>
      </w:pPr>
      <w:bookmarkStart w:id="10" w:name="_Toc216688715"/>
      <w:r w:rsidRPr="00132AD4">
        <w:rPr>
          <w:rFonts w:cs="Arial"/>
          <w:sz w:val="22"/>
          <w:szCs w:val="22"/>
        </w:rPr>
        <w:t xml:space="preserve">2.3.1 </w:t>
      </w:r>
      <w:r w:rsidR="00574D31" w:rsidRPr="00132AD4">
        <w:rPr>
          <w:rFonts w:eastAsiaTheme="majorEastAsia" w:cs="Arial"/>
          <w:sz w:val="22"/>
          <w:szCs w:val="22"/>
        </w:rPr>
        <w:t>The Benefits of Canada’s Healthcare System During COVID-19</w:t>
      </w:r>
      <w:bookmarkEnd w:id="10"/>
      <w:r w:rsidR="00574D31" w:rsidRPr="00132AD4">
        <w:rPr>
          <w:rFonts w:eastAsiaTheme="majorEastAsia" w:cs="Arial"/>
          <w:sz w:val="22"/>
          <w:szCs w:val="22"/>
        </w:rPr>
        <w:t xml:space="preserve"> </w:t>
      </w:r>
    </w:p>
    <w:p w14:paraId="60C4C116" w14:textId="7247F715"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One of the primary strengths of Canada’s healthcare system during the pandemic was universal access to care</w:t>
      </w:r>
      <w:r w:rsidR="00F41568" w:rsidRPr="00132AD4">
        <w:rPr>
          <w:rFonts w:ascii="Arial" w:hAnsi="Arial" w:cs="Arial"/>
          <w:sz w:val="22"/>
          <w:szCs w:val="22"/>
        </w:rPr>
        <w:t xml:space="preserve"> (Shapiro and Stanton, 2022)</w:t>
      </w:r>
      <w:r w:rsidRPr="00132AD4">
        <w:rPr>
          <w:rFonts w:ascii="Arial" w:hAnsi="Arial" w:cs="Arial"/>
          <w:sz w:val="22"/>
          <w:szCs w:val="22"/>
        </w:rPr>
        <w:t>. COVID-19 testing, treatment, and vaccination were provided at no direct cost to individuals, reducing financial barriers and supporting equitable access across socio-economic groups</w:t>
      </w:r>
      <w:r w:rsidR="00416C3A" w:rsidRPr="00132AD4">
        <w:rPr>
          <w:rFonts w:ascii="Arial" w:hAnsi="Arial" w:cs="Arial"/>
          <w:sz w:val="22"/>
          <w:szCs w:val="22"/>
        </w:rPr>
        <w:t xml:space="preserve"> (Shapiro</w:t>
      </w:r>
      <w:r w:rsidR="00DB61E1" w:rsidRPr="00132AD4">
        <w:rPr>
          <w:rFonts w:ascii="Arial" w:hAnsi="Arial" w:cs="Arial"/>
          <w:sz w:val="22"/>
          <w:szCs w:val="22"/>
        </w:rPr>
        <w:t xml:space="preserve"> </w:t>
      </w:r>
      <w:r w:rsidR="00416C3A" w:rsidRPr="00132AD4">
        <w:rPr>
          <w:rFonts w:ascii="Arial" w:hAnsi="Arial" w:cs="Arial"/>
          <w:sz w:val="22"/>
          <w:szCs w:val="22"/>
        </w:rPr>
        <w:t>and Stanton, 2022)</w:t>
      </w:r>
      <w:r w:rsidRPr="00132AD4">
        <w:rPr>
          <w:rFonts w:ascii="Arial" w:hAnsi="Arial" w:cs="Arial"/>
          <w:sz w:val="22"/>
          <w:szCs w:val="22"/>
        </w:rPr>
        <w:t>. Federal involvement in vaccine procurement ensured that Canada secured sufficient doses, allowing provinces to focus on local distribution and prioritisation strategies. This collaboration ultimately supported a high national vaccination rate</w:t>
      </w:r>
      <w:r w:rsidR="000616A8" w:rsidRPr="00132AD4">
        <w:rPr>
          <w:rFonts w:ascii="Arial" w:hAnsi="Arial" w:cs="Arial"/>
          <w:sz w:val="22"/>
          <w:szCs w:val="22"/>
        </w:rPr>
        <w:t xml:space="preserve"> (Chen et al, 2023)</w:t>
      </w:r>
      <w:r w:rsidRPr="00132AD4">
        <w:rPr>
          <w:rFonts w:ascii="Arial" w:hAnsi="Arial" w:cs="Arial"/>
          <w:sz w:val="22"/>
          <w:szCs w:val="22"/>
        </w:rPr>
        <w:t>.</w:t>
      </w:r>
    </w:p>
    <w:p w14:paraId="16CA9A24" w14:textId="11B0AF68"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Decentralisation also allowed provinces to tailor responses to local epidemiological conditions. Regions with lower case numbers were able to ease restrictions earlier, while hotspots implemented stricter measures</w:t>
      </w:r>
      <w:r w:rsidR="00ED49D4" w:rsidRPr="00132AD4">
        <w:rPr>
          <w:rFonts w:ascii="Arial" w:hAnsi="Arial" w:cs="Arial"/>
          <w:sz w:val="22"/>
          <w:szCs w:val="22"/>
        </w:rPr>
        <w:t xml:space="preserve"> (Chen et al, 2023)</w:t>
      </w:r>
      <w:r w:rsidRPr="00132AD4">
        <w:rPr>
          <w:rFonts w:ascii="Arial" w:hAnsi="Arial" w:cs="Arial"/>
          <w:sz w:val="22"/>
          <w:szCs w:val="22"/>
        </w:rPr>
        <w:t>. Local public health authorities played a key role in community engagement, culturally appropriate communication, and targeted interventions</w:t>
      </w:r>
      <w:r w:rsidR="00ED49D4" w:rsidRPr="00132AD4">
        <w:rPr>
          <w:rFonts w:ascii="Arial" w:hAnsi="Arial" w:cs="Arial"/>
          <w:sz w:val="22"/>
          <w:szCs w:val="22"/>
        </w:rPr>
        <w:t xml:space="preserve"> (Shapiro and Stanton, 2022)</w:t>
      </w:r>
      <w:r w:rsidRPr="00132AD4">
        <w:rPr>
          <w:rFonts w:ascii="Arial" w:hAnsi="Arial" w:cs="Arial"/>
          <w:sz w:val="22"/>
          <w:szCs w:val="22"/>
        </w:rPr>
        <w:t>. Over time, provinces shared lessons learned, improving system adaptability</w:t>
      </w:r>
      <w:r w:rsidR="00ED49D4" w:rsidRPr="00132AD4">
        <w:rPr>
          <w:rFonts w:ascii="Arial" w:hAnsi="Arial" w:cs="Arial"/>
          <w:sz w:val="22"/>
          <w:szCs w:val="22"/>
        </w:rPr>
        <w:t xml:space="preserve"> (Tuite et al, 2020)</w:t>
      </w:r>
      <w:r w:rsidRPr="00132AD4">
        <w:rPr>
          <w:rFonts w:ascii="Arial" w:hAnsi="Arial" w:cs="Arial"/>
          <w:sz w:val="22"/>
          <w:szCs w:val="22"/>
        </w:rPr>
        <w:t>. This flexibility demonstrated how decentralised governance can support context-specific decision-making during prolonged public health crises</w:t>
      </w:r>
      <w:r w:rsidR="00ED49D4" w:rsidRPr="00132AD4">
        <w:rPr>
          <w:rFonts w:ascii="Arial" w:hAnsi="Arial" w:cs="Arial"/>
          <w:sz w:val="22"/>
          <w:szCs w:val="22"/>
        </w:rPr>
        <w:t xml:space="preserve"> (Shapiro and Stanton, 2022)</w:t>
      </w:r>
      <w:r w:rsidRPr="00132AD4">
        <w:rPr>
          <w:rFonts w:ascii="Arial" w:hAnsi="Arial" w:cs="Arial"/>
          <w:sz w:val="22"/>
          <w:szCs w:val="22"/>
        </w:rPr>
        <w:t>.</w:t>
      </w:r>
    </w:p>
    <w:p w14:paraId="758819B0" w14:textId="72734207" w:rsidR="00574D31" w:rsidRPr="00132AD4" w:rsidRDefault="008B7FDE" w:rsidP="008B7FDE">
      <w:pPr>
        <w:pStyle w:val="Heading2"/>
        <w:rPr>
          <w:rFonts w:cs="Arial"/>
          <w:sz w:val="22"/>
          <w:szCs w:val="22"/>
        </w:rPr>
      </w:pPr>
      <w:bookmarkStart w:id="11" w:name="_Toc216688716"/>
      <w:r w:rsidRPr="00132AD4">
        <w:rPr>
          <w:rFonts w:cs="Arial"/>
          <w:sz w:val="22"/>
          <w:szCs w:val="22"/>
        </w:rPr>
        <w:t xml:space="preserve">2.3.2 </w:t>
      </w:r>
      <w:r w:rsidR="00574D31" w:rsidRPr="00132AD4">
        <w:rPr>
          <w:rFonts w:eastAsiaTheme="majorEastAsia" w:cs="Arial"/>
          <w:sz w:val="22"/>
          <w:szCs w:val="22"/>
        </w:rPr>
        <w:t>The Disadvantages of Canada’s Healthcare System During COVID-19</w:t>
      </w:r>
      <w:bookmarkEnd w:id="11"/>
      <w:r w:rsidR="00574D31" w:rsidRPr="00132AD4">
        <w:rPr>
          <w:rFonts w:eastAsiaTheme="majorEastAsia" w:cs="Arial"/>
          <w:sz w:val="22"/>
          <w:szCs w:val="22"/>
        </w:rPr>
        <w:t xml:space="preserve"> </w:t>
      </w:r>
    </w:p>
    <w:p w14:paraId="014E6123" w14:textId="2433EF1D"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Despite these strengths, Canada’s decentralised healthcare system resulted in significant policy fragmentation during the pandemic. Inconsistent public health messaging, varying lockdown rules, and differing vaccination timelines created public confusion and, at times, reduced compliance</w:t>
      </w:r>
      <w:r w:rsidR="00ED49D4" w:rsidRPr="00132AD4">
        <w:rPr>
          <w:rFonts w:ascii="Arial" w:hAnsi="Arial" w:cs="Arial"/>
          <w:sz w:val="22"/>
          <w:szCs w:val="22"/>
        </w:rPr>
        <w:t xml:space="preserve"> (Shapiro and Stanton, 2022)</w:t>
      </w:r>
      <w:r w:rsidRPr="00132AD4">
        <w:rPr>
          <w:rFonts w:ascii="Arial" w:hAnsi="Arial" w:cs="Arial"/>
          <w:sz w:val="22"/>
          <w:szCs w:val="22"/>
        </w:rPr>
        <w:t>. The lack of a unified national pandemic strategy limited the ability to respond swiftly and uniformly, particularly during early waves when rapid containment was critical</w:t>
      </w:r>
      <w:r w:rsidR="00ED49D4" w:rsidRPr="00132AD4">
        <w:rPr>
          <w:rFonts w:ascii="Arial" w:hAnsi="Arial" w:cs="Arial"/>
          <w:sz w:val="22"/>
          <w:szCs w:val="22"/>
        </w:rPr>
        <w:t xml:space="preserve"> (Chen et al, 2023)</w:t>
      </w:r>
      <w:r w:rsidRPr="00132AD4">
        <w:rPr>
          <w:rFonts w:ascii="Arial" w:hAnsi="Arial" w:cs="Arial"/>
          <w:sz w:val="22"/>
          <w:szCs w:val="22"/>
        </w:rPr>
        <w:t>.</w:t>
      </w:r>
    </w:p>
    <w:p w14:paraId="36F13A48" w14:textId="3EB6CE6C"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lastRenderedPageBreak/>
        <w:t>Another major weakness exposed by the pandemic was the limited integration of long-term care within Canada’s healthcare system. Long-term care facilities fall largely under provincial jurisdiction and are often privately operated, leading to uneven standards and oversight</w:t>
      </w:r>
      <w:r w:rsidR="00ED49D4" w:rsidRPr="00132AD4">
        <w:rPr>
          <w:rFonts w:ascii="Arial" w:hAnsi="Arial" w:cs="Arial"/>
          <w:sz w:val="22"/>
          <w:szCs w:val="22"/>
        </w:rPr>
        <w:t xml:space="preserve"> (Tuite et al, 2020)</w:t>
      </w:r>
      <w:r w:rsidRPr="00132AD4">
        <w:rPr>
          <w:rFonts w:ascii="Arial" w:hAnsi="Arial" w:cs="Arial"/>
          <w:sz w:val="22"/>
          <w:szCs w:val="22"/>
        </w:rPr>
        <w:t>. This contributed to disproportionately high mortality rates among elderly residents</w:t>
      </w:r>
      <w:r w:rsidR="00ED49D4" w:rsidRPr="00132AD4">
        <w:rPr>
          <w:rFonts w:ascii="Arial" w:hAnsi="Arial" w:cs="Arial"/>
          <w:sz w:val="22"/>
          <w:szCs w:val="22"/>
        </w:rPr>
        <w:t xml:space="preserve"> (Chen et al, 2023)</w:t>
      </w:r>
      <w:r w:rsidRPr="00132AD4">
        <w:rPr>
          <w:rFonts w:ascii="Arial" w:hAnsi="Arial" w:cs="Arial"/>
          <w:sz w:val="22"/>
          <w:szCs w:val="22"/>
        </w:rPr>
        <w:t>. Additionally, staffing shortages and limited surge capacity highlighted systemic underinvestment in public health infrastructure</w:t>
      </w:r>
      <w:r w:rsidR="00ED49D4" w:rsidRPr="00132AD4">
        <w:rPr>
          <w:rFonts w:ascii="Arial" w:hAnsi="Arial" w:cs="Arial"/>
          <w:sz w:val="22"/>
          <w:szCs w:val="22"/>
        </w:rPr>
        <w:t xml:space="preserve"> (Tuite et al, 2020)</w:t>
      </w:r>
      <w:r w:rsidRPr="00132AD4">
        <w:rPr>
          <w:rFonts w:ascii="Arial" w:hAnsi="Arial" w:cs="Arial"/>
          <w:sz w:val="22"/>
          <w:szCs w:val="22"/>
        </w:rPr>
        <w:t>. These challenges underscore that while decentralisation supports autonomy, it can also weaken national crisis coordination without strong federal leadership and clearly defined emergency roles</w:t>
      </w:r>
      <w:r w:rsidR="00ED49D4" w:rsidRPr="00132AD4">
        <w:rPr>
          <w:rFonts w:ascii="Arial" w:hAnsi="Arial" w:cs="Arial"/>
          <w:sz w:val="22"/>
          <w:szCs w:val="22"/>
        </w:rPr>
        <w:t xml:space="preserve"> (Shapiro and Stanton, 2022)</w:t>
      </w:r>
      <w:r w:rsidRPr="00132AD4">
        <w:rPr>
          <w:rFonts w:ascii="Arial" w:hAnsi="Arial" w:cs="Arial"/>
          <w:sz w:val="22"/>
          <w:szCs w:val="22"/>
        </w:rPr>
        <w:t>.</w:t>
      </w:r>
    </w:p>
    <w:p w14:paraId="7A8278FC" w14:textId="6005B511" w:rsidR="00574D31" w:rsidRPr="00132AD4" w:rsidRDefault="00574D31" w:rsidP="008B7FDE">
      <w:pPr>
        <w:pStyle w:val="Heading1"/>
        <w:rPr>
          <w:rFonts w:cs="Arial"/>
          <w:sz w:val="22"/>
          <w:szCs w:val="22"/>
        </w:rPr>
      </w:pPr>
      <w:bookmarkStart w:id="12" w:name="_Toc216688717"/>
      <w:r w:rsidRPr="00132AD4">
        <w:rPr>
          <w:rFonts w:cs="Arial"/>
          <w:sz w:val="22"/>
          <w:szCs w:val="22"/>
        </w:rPr>
        <w:t>3. Leadership Styles</w:t>
      </w:r>
      <w:bookmarkEnd w:id="12"/>
      <w:r w:rsidRPr="00132AD4">
        <w:rPr>
          <w:rFonts w:cs="Arial"/>
          <w:sz w:val="22"/>
          <w:szCs w:val="22"/>
        </w:rPr>
        <w:t xml:space="preserve"> </w:t>
      </w:r>
    </w:p>
    <w:p w14:paraId="7C485926" w14:textId="471A19EC" w:rsidR="00574D31" w:rsidRPr="00132AD4" w:rsidRDefault="001378CF" w:rsidP="008B7FDE">
      <w:pPr>
        <w:pStyle w:val="Heading2"/>
        <w:rPr>
          <w:rFonts w:cs="Arial"/>
          <w:sz w:val="22"/>
          <w:szCs w:val="22"/>
        </w:rPr>
      </w:pPr>
      <w:bookmarkStart w:id="13" w:name="_Toc216688718"/>
      <w:r w:rsidRPr="00132AD4">
        <w:rPr>
          <w:rFonts w:cs="Arial"/>
          <w:sz w:val="22"/>
          <w:szCs w:val="22"/>
        </w:rPr>
        <w:t xml:space="preserve">3.1 </w:t>
      </w:r>
      <w:r w:rsidR="00574D31" w:rsidRPr="00132AD4">
        <w:rPr>
          <w:rFonts w:cs="Arial"/>
          <w:sz w:val="22"/>
          <w:szCs w:val="22"/>
        </w:rPr>
        <w:t>Leadership Styles in Spain During COVID-19</w:t>
      </w:r>
      <w:bookmarkEnd w:id="13"/>
      <w:r w:rsidR="00574D31" w:rsidRPr="00132AD4">
        <w:rPr>
          <w:rFonts w:cs="Arial"/>
          <w:sz w:val="22"/>
          <w:szCs w:val="22"/>
        </w:rPr>
        <w:t xml:space="preserve"> </w:t>
      </w:r>
    </w:p>
    <w:p w14:paraId="7E90F672" w14:textId="4F4E85E0" w:rsidR="00574D31" w:rsidRPr="00132AD4" w:rsidRDefault="000A5EF3" w:rsidP="00574D31">
      <w:pPr>
        <w:spacing w:line="360" w:lineRule="auto"/>
        <w:jc w:val="both"/>
        <w:rPr>
          <w:rFonts w:ascii="Arial" w:hAnsi="Arial" w:cs="Arial"/>
          <w:sz w:val="22"/>
          <w:szCs w:val="22"/>
        </w:rPr>
      </w:pPr>
      <w:r w:rsidRPr="00132AD4">
        <w:rPr>
          <w:rFonts w:ascii="Arial" w:hAnsi="Arial" w:cs="Arial"/>
          <w:sz w:val="22"/>
          <w:szCs w:val="22"/>
        </w:rPr>
        <w:t>Spain’s management of the COVID-19 crisis was largely directed by Prime Minister Pedro Sánchez and the national government, functioning within a governance framework characterised by significant political and administrative decentralisation (Rodríguez, 2020).</w:t>
      </w:r>
      <w:r w:rsidR="00574D31" w:rsidRPr="00132AD4">
        <w:rPr>
          <w:rFonts w:ascii="Arial" w:hAnsi="Arial" w:cs="Arial"/>
          <w:sz w:val="22"/>
          <w:szCs w:val="22"/>
        </w:rPr>
        <w:t xml:space="preserve"> Sánchez’s leadership style during the crisis can be characterised as predominantly directive and centralised, particularly during the initial emergency phase</w:t>
      </w:r>
      <w:r w:rsidR="009E2BC4" w:rsidRPr="00132AD4">
        <w:rPr>
          <w:rFonts w:ascii="Arial" w:hAnsi="Arial" w:cs="Arial"/>
          <w:sz w:val="22"/>
          <w:szCs w:val="22"/>
        </w:rPr>
        <w:t xml:space="preserve"> (Parker, 2022)</w:t>
      </w:r>
      <w:r w:rsidR="00574D31" w:rsidRPr="00132AD4">
        <w:rPr>
          <w:rFonts w:ascii="Arial" w:hAnsi="Arial" w:cs="Arial"/>
          <w:sz w:val="22"/>
          <w:szCs w:val="22"/>
        </w:rPr>
        <w:t>. When infection rates surged rapidly in early 2020, the government declared a state of alarm, suspending regional autonomy in health decision-making</w:t>
      </w:r>
      <w:r w:rsidR="00411978" w:rsidRPr="00132AD4">
        <w:rPr>
          <w:rFonts w:ascii="Arial" w:hAnsi="Arial" w:cs="Arial"/>
          <w:sz w:val="22"/>
          <w:szCs w:val="22"/>
        </w:rPr>
        <w:t xml:space="preserve"> (</w:t>
      </w:r>
      <w:r w:rsidR="008B7050" w:rsidRPr="00132AD4">
        <w:rPr>
          <w:rFonts w:ascii="Arial" w:hAnsi="Arial" w:cs="Arial"/>
          <w:sz w:val="22"/>
          <w:szCs w:val="22"/>
        </w:rPr>
        <w:t>Rivas-De-</w:t>
      </w:r>
      <w:proofErr w:type="spellStart"/>
      <w:r w:rsidR="008B7050" w:rsidRPr="00132AD4">
        <w:rPr>
          <w:rFonts w:ascii="Arial" w:hAnsi="Arial" w:cs="Arial"/>
          <w:sz w:val="22"/>
          <w:szCs w:val="22"/>
        </w:rPr>
        <w:t>roca</w:t>
      </w:r>
      <w:proofErr w:type="spellEnd"/>
      <w:r w:rsidR="00411978" w:rsidRPr="00132AD4">
        <w:rPr>
          <w:rFonts w:ascii="Arial" w:hAnsi="Arial" w:cs="Arial"/>
          <w:sz w:val="22"/>
          <w:szCs w:val="22"/>
        </w:rPr>
        <w:t xml:space="preserve"> et al, 2021)</w:t>
      </w:r>
      <w:r w:rsidR="00574D31" w:rsidRPr="00132AD4">
        <w:rPr>
          <w:rFonts w:ascii="Arial" w:hAnsi="Arial" w:cs="Arial"/>
          <w:sz w:val="22"/>
          <w:szCs w:val="22"/>
        </w:rPr>
        <w:t>. This shift reflected a crisis leadership approach, where authority was consolidated to enable swift action, including nationwide lockdowns, mobility restrictions, and centralised procurement of medical supplies</w:t>
      </w:r>
      <w:r w:rsidR="008B7050" w:rsidRPr="00132AD4">
        <w:rPr>
          <w:rFonts w:ascii="Arial" w:hAnsi="Arial" w:cs="Arial"/>
          <w:sz w:val="22"/>
          <w:szCs w:val="22"/>
        </w:rPr>
        <w:t xml:space="preserve"> (Rodríguez, 2020)</w:t>
      </w:r>
      <w:r w:rsidR="00574D31" w:rsidRPr="00132AD4">
        <w:rPr>
          <w:rFonts w:ascii="Arial" w:hAnsi="Arial" w:cs="Arial"/>
          <w:sz w:val="22"/>
          <w:szCs w:val="22"/>
        </w:rPr>
        <w:t>.</w:t>
      </w:r>
    </w:p>
    <w:p w14:paraId="1A4B6622" w14:textId="5538808D"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However, Spain’s leadership also demonstrated elements of collaborative and adaptive leadership as the pandemic evolved</w:t>
      </w:r>
      <w:r w:rsidR="008B7050" w:rsidRPr="00132AD4">
        <w:rPr>
          <w:rFonts w:ascii="Arial" w:hAnsi="Arial" w:cs="Arial"/>
          <w:sz w:val="22"/>
          <w:szCs w:val="22"/>
        </w:rPr>
        <w:t xml:space="preserve"> (Parker, 2022)</w:t>
      </w:r>
      <w:r w:rsidRPr="00132AD4">
        <w:rPr>
          <w:rFonts w:ascii="Arial" w:hAnsi="Arial" w:cs="Arial"/>
          <w:sz w:val="22"/>
          <w:szCs w:val="22"/>
        </w:rPr>
        <w:t>. Following the first wave, decision-making authority was gradually returned to the autonomous regions, with the central government adopting a coordinating and supervisory role</w:t>
      </w:r>
      <w:r w:rsidR="008B7050" w:rsidRPr="00132AD4">
        <w:rPr>
          <w:rFonts w:ascii="Arial" w:hAnsi="Arial" w:cs="Arial"/>
          <w:sz w:val="22"/>
          <w:szCs w:val="22"/>
        </w:rPr>
        <w:t xml:space="preserve"> (Rivas-De-</w:t>
      </w:r>
      <w:proofErr w:type="spellStart"/>
      <w:r w:rsidR="008B7050" w:rsidRPr="00132AD4">
        <w:rPr>
          <w:rFonts w:ascii="Arial" w:hAnsi="Arial" w:cs="Arial"/>
          <w:sz w:val="22"/>
          <w:szCs w:val="22"/>
        </w:rPr>
        <w:t>roca</w:t>
      </w:r>
      <w:proofErr w:type="spellEnd"/>
      <w:r w:rsidR="008B7050" w:rsidRPr="00132AD4">
        <w:rPr>
          <w:rFonts w:ascii="Arial" w:hAnsi="Arial" w:cs="Arial"/>
          <w:sz w:val="22"/>
          <w:szCs w:val="22"/>
        </w:rPr>
        <w:t xml:space="preserve"> et al, 2021)</w:t>
      </w:r>
      <w:r w:rsidRPr="00132AD4">
        <w:rPr>
          <w:rFonts w:ascii="Arial" w:hAnsi="Arial" w:cs="Arial"/>
          <w:sz w:val="22"/>
          <w:szCs w:val="22"/>
        </w:rPr>
        <w:t>. This approach reflected an attempt to balance national oversight with regional expertise. Leadership communication relied heavily on expert guidance from public health officials, though political negotiations with regional leaders sometimes complicated policy consistency</w:t>
      </w:r>
      <w:r w:rsidR="008B7050" w:rsidRPr="00132AD4">
        <w:rPr>
          <w:rFonts w:ascii="Arial" w:hAnsi="Arial" w:cs="Arial"/>
          <w:sz w:val="22"/>
          <w:szCs w:val="22"/>
        </w:rPr>
        <w:t xml:space="preserve"> (Parker, 2022)</w:t>
      </w:r>
      <w:r w:rsidRPr="00132AD4">
        <w:rPr>
          <w:rFonts w:ascii="Arial" w:hAnsi="Arial" w:cs="Arial"/>
          <w:sz w:val="22"/>
          <w:szCs w:val="22"/>
        </w:rPr>
        <w:t>. Overall, Spain’s leadership style fluctuated between central command and negotiated governance, shaped by constitutional constraints and political realities</w:t>
      </w:r>
      <w:r w:rsidR="008B7050" w:rsidRPr="00132AD4">
        <w:rPr>
          <w:rFonts w:ascii="Arial" w:hAnsi="Arial" w:cs="Arial"/>
          <w:sz w:val="22"/>
          <w:szCs w:val="22"/>
        </w:rPr>
        <w:t xml:space="preserve"> (Rodríguez, 2020)</w:t>
      </w:r>
      <w:r w:rsidRPr="00132AD4">
        <w:rPr>
          <w:rFonts w:ascii="Arial" w:hAnsi="Arial" w:cs="Arial"/>
          <w:sz w:val="22"/>
          <w:szCs w:val="22"/>
        </w:rPr>
        <w:t>.</w:t>
      </w:r>
    </w:p>
    <w:p w14:paraId="5C743EF1" w14:textId="1605FE1A" w:rsidR="00574D31" w:rsidRPr="00132AD4" w:rsidRDefault="001378CF" w:rsidP="008B7FDE">
      <w:pPr>
        <w:pStyle w:val="Heading2"/>
        <w:rPr>
          <w:rFonts w:cs="Arial"/>
          <w:sz w:val="22"/>
          <w:szCs w:val="22"/>
        </w:rPr>
      </w:pPr>
      <w:bookmarkStart w:id="14" w:name="_Toc216688719"/>
      <w:r w:rsidRPr="00132AD4">
        <w:rPr>
          <w:rFonts w:cs="Arial"/>
          <w:sz w:val="22"/>
          <w:szCs w:val="22"/>
        </w:rPr>
        <w:t xml:space="preserve">3.1.1 </w:t>
      </w:r>
      <w:r w:rsidR="00574D31" w:rsidRPr="00132AD4">
        <w:rPr>
          <w:rFonts w:cs="Arial"/>
          <w:sz w:val="22"/>
          <w:szCs w:val="22"/>
        </w:rPr>
        <w:t>Advantages of Spain’s Leadership Style During COVID-19</w:t>
      </w:r>
      <w:bookmarkEnd w:id="14"/>
      <w:r w:rsidR="00574D31" w:rsidRPr="00132AD4">
        <w:rPr>
          <w:rFonts w:cs="Arial"/>
          <w:sz w:val="22"/>
          <w:szCs w:val="22"/>
        </w:rPr>
        <w:t xml:space="preserve"> </w:t>
      </w:r>
    </w:p>
    <w:p w14:paraId="7ED0657A" w14:textId="57B02688"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One of the main advantages of Spain’s leadership approach was its ability to exercise decisive authority during the most critical phase of the pandemic. The declaration of the state of alarm enabled the central government to override fragmented regional responses and implement uniform measures across the country</w:t>
      </w:r>
      <w:r w:rsidR="0070284F" w:rsidRPr="00132AD4">
        <w:rPr>
          <w:rFonts w:ascii="Arial" w:hAnsi="Arial" w:cs="Arial"/>
          <w:sz w:val="22"/>
          <w:szCs w:val="22"/>
        </w:rPr>
        <w:t xml:space="preserve"> (Gutiérrez, 2022)</w:t>
      </w:r>
      <w:r w:rsidRPr="00132AD4">
        <w:rPr>
          <w:rFonts w:ascii="Arial" w:hAnsi="Arial" w:cs="Arial"/>
          <w:sz w:val="22"/>
          <w:szCs w:val="22"/>
        </w:rPr>
        <w:t xml:space="preserve">. This decisive action aligned with </w:t>
      </w:r>
      <w:r w:rsidRPr="00132AD4">
        <w:rPr>
          <w:rFonts w:ascii="Arial" w:hAnsi="Arial" w:cs="Arial"/>
          <w:sz w:val="22"/>
          <w:szCs w:val="22"/>
        </w:rPr>
        <w:lastRenderedPageBreak/>
        <w:t>authoritative leadership theory, which is often effective in emergencies where rapid decision-making is essential</w:t>
      </w:r>
      <w:r w:rsidR="008E4E7C" w:rsidRPr="00132AD4">
        <w:rPr>
          <w:rFonts w:ascii="Arial" w:hAnsi="Arial" w:cs="Arial"/>
          <w:sz w:val="22"/>
          <w:szCs w:val="22"/>
        </w:rPr>
        <w:t xml:space="preserve"> (Campolongo and Osuna, 2024)</w:t>
      </w:r>
      <w:r w:rsidRPr="00132AD4">
        <w:rPr>
          <w:rFonts w:ascii="Arial" w:hAnsi="Arial" w:cs="Arial"/>
          <w:sz w:val="22"/>
          <w:szCs w:val="22"/>
        </w:rPr>
        <w:t>. National lockdowns, border controls, and movement restrictions helped slow transmission during the first wave and prevented further collapse of overstretched hospitals</w:t>
      </w:r>
      <w:r w:rsidR="008B7050" w:rsidRPr="00132AD4">
        <w:rPr>
          <w:rFonts w:ascii="Arial" w:hAnsi="Arial" w:cs="Arial"/>
          <w:sz w:val="22"/>
          <w:szCs w:val="22"/>
        </w:rPr>
        <w:t xml:space="preserve"> (Rivas-De-</w:t>
      </w:r>
      <w:proofErr w:type="spellStart"/>
      <w:r w:rsidR="008B7050" w:rsidRPr="00132AD4">
        <w:rPr>
          <w:rFonts w:ascii="Arial" w:hAnsi="Arial" w:cs="Arial"/>
          <w:sz w:val="22"/>
          <w:szCs w:val="22"/>
        </w:rPr>
        <w:t>roca</w:t>
      </w:r>
      <w:proofErr w:type="spellEnd"/>
      <w:r w:rsidR="008B7050" w:rsidRPr="00132AD4">
        <w:rPr>
          <w:rFonts w:ascii="Arial" w:hAnsi="Arial" w:cs="Arial"/>
          <w:sz w:val="22"/>
          <w:szCs w:val="22"/>
        </w:rPr>
        <w:t xml:space="preserve"> et al, 2021)</w:t>
      </w:r>
      <w:r w:rsidRPr="00132AD4">
        <w:rPr>
          <w:rFonts w:ascii="Arial" w:hAnsi="Arial" w:cs="Arial"/>
          <w:sz w:val="22"/>
          <w:szCs w:val="22"/>
        </w:rPr>
        <w:t>.</w:t>
      </w:r>
    </w:p>
    <w:p w14:paraId="1BD1F315" w14:textId="3D8212EA"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Another strength was the government’s reliance on scientific and technical expertise to inform policy decisions. Regular press briefings featuring health experts reinforced the legitimacy of interventions and demonstrated elements of evidence-based leadership</w:t>
      </w:r>
      <w:r w:rsidR="008E4E7C" w:rsidRPr="00132AD4">
        <w:rPr>
          <w:rFonts w:ascii="Arial" w:hAnsi="Arial" w:cs="Arial"/>
          <w:sz w:val="22"/>
          <w:szCs w:val="22"/>
        </w:rPr>
        <w:t xml:space="preserve"> (Campolongo and Osuna, 2024)</w:t>
      </w:r>
      <w:r w:rsidRPr="00132AD4">
        <w:rPr>
          <w:rFonts w:ascii="Arial" w:hAnsi="Arial" w:cs="Arial"/>
          <w:sz w:val="22"/>
          <w:szCs w:val="22"/>
        </w:rPr>
        <w:t>. Over time, the leadership adopted a more adaptive style, adjusting restrictions based on epidemiological indicators and regional capacity</w:t>
      </w:r>
      <w:r w:rsidR="008B7050" w:rsidRPr="00132AD4">
        <w:rPr>
          <w:rFonts w:ascii="Arial" w:hAnsi="Arial" w:cs="Arial"/>
          <w:sz w:val="22"/>
          <w:szCs w:val="22"/>
        </w:rPr>
        <w:t xml:space="preserve"> (Rivas-De-</w:t>
      </w:r>
      <w:proofErr w:type="spellStart"/>
      <w:r w:rsidR="008B7050" w:rsidRPr="00132AD4">
        <w:rPr>
          <w:rFonts w:ascii="Arial" w:hAnsi="Arial" w:cs="Arial"/>
          <w:sz w:val="22"/>
          <w:szCs w:val="22"/>
        </w:rPr>
        <w:t>roca</w:t>
      </w:r>
      <w:proofErr w:type="spellEnd"/>
      <w:r w:rsidR="008B7050" w:rsidRPr="00132AD4">
        <w:rPr>
          <w:rFonts w:ascii="Arial" w:hAnsi="Arial" w:cs="Arial"/>
          <w:sz w:val="22"/>
          <w:szCs w:val="22"/>
        </w:rPr>
        <w:t xml:space="preserve"> et al, 2021)</w:t>
      </w:r>
      <w:r w:rsidRPr="00132AD4">
        <w:rPr>
          <w:rFonts w:ascii="Arial" w:hAnsi="Arial" w:cs="Arial"/>
          <w:sz w:val="22"/>
          <w:szCs w:val="22"/>
        </w:rPr>
        <w:t>. The collaborative phase that followed allowed autonomous communities to tailor responses to local conditions while operating within a national framework. This flexibility helped maintain political stability and reduced resistance from regional governments, highlighting the importance of situational leadership in prolonged crises</w:t>
      </w:r>
      <w:r w:rsidR="008E4E7C" w:rsidRPr="00132AD4">
        <w:rPr>
          <w:rFonts w:ascii="Arial" w:hAnsi="Arial" w:cs="Arial"/>
          <w:sz w:val="22"/>
          <w:szCs w:val="22"/>
        </w:rPr>
        <w:t xml:space="preserve"> (Gutiérrez, 2022)</w:t>
      </w:r>
      <w:r w:rsidRPr="00132AD4">
        <w:rPr>
          <w:rFonts w:ascii="Arial" w:hAnsi="Arial" w:cs="Arial"/>
          <w:sz w:val="22"/>
          <w:szCs w:val="22"/>
        </w:rPr>
        <w:t>.</w:t>
      </w:r>
    </w:p>
    <w:p w14:paraId="29F07FF8" w14:textId="6F663C7F" w:rsidR="00574D31" w:rsidRPr="00132AD4" w:rsidRDefault="001378CF" w:rsidP="008B7FDE">
      <w:pPr>
        <w:pStyle w:val="Heading2"/>
        <w:rPr>
          <w:rFonts w:cs="Arial"/>
          <w:sz w:val="22"/>
          <w:szCs w:val="22"/>
        </w:rPr>
      </w:pPr>
      <w:bookmarkStart w:id="15" w:name="_Toc216688720"/>
      <w:r w:rsidRPr="00132AD4">
        <w:rPr>
          <w:rFonts w:cs="Arial"/>
          <w:sz w:val="22"/>
          <w:szCs w:val="22"/>
        </w:rPr>
        <w:t xml:space="preserve">3.1.2 </w:t>
      </w:r>
      <w:r w:rsidR="00574D31" w:rsidRPr="00132AD4">
        <w:rPr>
          <w:rFonts w:cs="Arial"/>
          <w:sz w:val="22"/>
          <w:szCs w:val="22"/>
        </w:rPr>
        <w:t>Disadvantages of Spain’s Leadership Style During COVID-19</w:t>
      </w:r>
      <w:bookmarkEnd w:id="15"/>
      <w:r w:rsidR="00574D31" w:rsidRPr="00132AD4">
        <w:rPr>
          <w:rFonts w:cs="Arial"/>
          <w:sz w:val="22"/>
          <w:szCs w:val="22"/>
        </w:rPr>
        <w:t xml:space="preserve"> </w:t>
      </w:r>
    </w:p>
    <w:p w14:paraId="703EB25B" w14:textId="44118B4B"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Despite its strengths, Spain’s leadership approach also revealed significant weaknesses. The initial response was criticised for being reactive rather than proactive, with delays in recognising the severity of the outbreak</w:t>
      </w:r>
      <w:r w:rsidR="008E4E7C" w:rsidRPr="00132AD4">
        <w:rPr>
          <w:rFonts w:ascii="Arial" w:hAnsi="Arial" w:cs="Arial"/>
          <w:sz w:val="22"/>
          <w:szCs w:val="22"/>
        </w:rPr>
        <w:t xml:space="preserve"> (Gutiérrez, 2022)</w:t>
      </w:r>
      <w:r w:rsidRPr="00132AD4">
        <w:rPr>
          <w:rFonts w:ascii="Arial" w:hAnsi="Arial" w:cs="Arial"/>
          <w:sz w:val="22"/>
          <w:szCs w:val="22"/>
        </w:rPr>
        <w:t>. Leadership communication in the early stages underestimated risks, which limited preparedness and public awareness</w:t>
      </w:r>
      <w:r w:rsidR="005F2059" w:rsidRPr="00132AD4">
        <w:rPr>
          <w:rFonts w:ascii="Arial" w:hAnsi="Arial" w:cs="Arial"/>
          <w:sz w:val="22"/>
          <w:szCs w:val="22"/>
        </w:rPr>
        <w:t xml:space="preserve"> (Parker, 2022)</w:t>
      </w:r>
      <w:r w:rsidRPr="00132AD4">
        <w:rPr>
          <w:rFonts w:ascii="Arial" w:hAnsi="Arial" w:cs="Arial"/>
          <w:sz w:val="22"/>
          <w:szCs w:val="22"/>
        </w:rPr>
        <w:t>. From a leadership theory perspective, this reflected shortcomings in anticipatory and transformational leadership, as opportunities to mobilise society early were missed. The abrupt shift to centralised control also generated political tension, particularly in regions with strong autonomy movements, undermining trust and cooperation</w:t>
      </w:r>
      <w:r w:rsidR="000B780C" w:rsidRPr="00132AD4">
        <w:rPr>
          <w:rFonts w:ascii="Arial" w:hAnsi="Arial" w:cs="Arial"/>
          <w:sz w:val="22"/>
          <w:szCs w:val="22"/>
        </w:rPr>
        <w:t xml:space="preserve"> (Campolongo and Osuna, 2024)</w:t>
      </w:r>
      <w:r w:rsidRPr="00132AD4">
        <w:rPr>
          <w:rFonts w:ascii="Arial" w:hAnsi="Arial" w:cs="Arial"/>
          <w:sz w:val="22"/>
          <w:szCs w:val="22"/>
        </w:rPr>
        <w:t>.</w:t>
      </w:r>
    </w:p>
    <w:p w14:paraId="304D43AC" w14:textId="753FF5D6" w:rsidR="00574D31" w:rsidRPr="00132AD4" w:rsidRDefault="00574D31" w:rsidP="00574D31">
      <w:pPr>
        <w:spacing w:line="360" w:lineRule="auto"/>
        <w:jc w:val="both"/>
        <w:rPr>
          <w:rFonts w:ascii="Arial" w:hAnsi="Arial" w:cs="Arial"/>
          <w:sz w:val="22"/>
          <w:szCs w:val="22"/>
        </w:rPr>
      </w:pPr>
      <w:r w:rsidRPr="00132AD4">
        <w:rPr>
          <w:rFonts w:ascii="Arial" w:hAnsi="Arial" w:cs="Arial"/>
          <w:sz w:val="22"/>
          <w:szCs w:val="22"/>
        </w:rPr>
        <w:t>Furthermore, inconsistent communication and frequent policy changes weakened public confidence over time. The oscillation between centralised and decentralised decision-making created confusion among citizens regarding rules and responsibilities</w:t>
      </w:r>
      <w:r w:rsidR="005F2059" w:rsidRPr="00132AD4">
        <w:rPr>
          <w:rFonts w:ascii="Arial" w:hAnsi="Arial" w:cs="Arial"/>
          <w:sz w:val="22"/>
          <w:szCs w:val="22"/>
        </w:rPr>
        <w:t xml:space="preserve"> (Parker, 2022)</w:t>
      </w:r>
      <w:r w:rsidRPr="00132AD4">
        <w:rPr>
          <w:rFonts w:ascii="Arial" w:hAnsi="Arial" w:cs="Arial"/>
          <w:sz w:val="22"/>
          <w:szCs w:val="22"/>
        </w:rPr>
        <w:t>. Leadership messaging sometimes appeared politicised, especially when disagreements emerged between national and regional authorities. This reduced the effectiveness of collaborative leadership, as coordination depended heavily on political alignment rather than shared public health goals</w:t>
      </w:r>
      <w:r w:rsidR="008E4E7C" w:rsidRPr="00132AD4">
        <w:rPr>
          <w:rFonts w:ascii="Arial" w:hAnsi="Arial" w:cs="Arial"/>
          <w:sz w:val="22"/>
          <w:szCs w:val="22"/>
        </w:rPr>
        <w:t xml:space="preserve"> (Gutiérrez, 2022)</w:t>
      </w:r>
      <w:r w:rsidRPr="00132AD4">
        <w:rPr>
          <w:rFonts w:ascii="Arial" w:hAnsi="Arial" w:cs="Arial"/>
          <w:sz w:val="22"/>
          <w:szCs w:val="22"/>
        </w:rPr>
        <w:t>. The lack of a unified long-term vision for managing subsequent waves further exposed limitations in strategic leadership, demonstrating how fragmented authority can undermine coherence during extended public health emergencies</w:t>
      </w:r>
      <w:r w:rsidR="008E4E7C" w:rsidRPr="00132AD4">
        <w:rPr>
          <w:rFonts w:ascii="Arial" w:hAnsi="Arial" w:cs="Arial"/>
          <w:sz w:val="22"/>
          <w:szCs w:val="22"/>
        </w:rPr>
        <w:t xml:space="preserve"> (Campolongo and Osuna, 2024)</w:t>
      </w:r>
      <w:r w:rsidRPr="00132AD4">
        <w:rPr>
          <w:rFonts w:ascii="Arial" w:hAnsi="Arial" w:cs="Arial"/>
          <w:sz w:val="22"/>
          <w:szCs w:val="22"/>
        </w:rPr>
        <w:t>.</w:t>
      </w:r>
    </w:p>
    <w:p w14:paraId="4E38610C" w14:textId="77777777" w:rsidR="001378CF" w:rsidRPr="00132AD4" w:rsidRDefault="001378CF" w:rsidP="008B7FDE">
      <w:pPr>
        <w:pStyle w:val="Heading1"/>
        <w:rPr>
          <w:rFonts w:cs="Arial"/>
          <w:sz w:val="22"/>
          <w:szCs w:val="22"/>
        </w:rPr>
      </w:pPr>
      <w:bookmarkStart w:id="16" w:name="_Toc216688721"/>
      <w:r w:rsidRPr="00132AD4">
        <w:rPr>
          <w:rFonts w:cs="Arial"/>
          <w:sz w:val="22"/>
          <w:szCs w:val="22"/>
        </w:rPr>
        <w:lastRenderedPageBreak/>
        <w:t>3.2 Leadership Styles in South Korea During COVID-19</w:t>
      </w:r>
      <w:bookmarkEnd w:id="16"/>
      <w:r w:rsidRPr="00132AD4">
        <w:rPr>
          <w:rFonts w:cs="Arial"/>
          <w:sz w:val="22"/>
          <w:szCs w:val="22"/>
        </w:rPr>
        <w:t xml:space="preserve"> </w:t>
      </w:r>
    </w:p>
    <w:p w14:paraId="6C0DE0BB" w14:textId="027A5C36" w:rsidR="001378CF" w:rsidRPr="00132AD4" w:rsidRDefault="006C2B0D" w:rsidP="001378CF">
      <w:pPr>
        <w:spacing w:line="360" w:lineRule="auto"/>
        <w:jc w:val="both"/>
        <w:rPr>
          <w:rFonts w:ascii="Arial" w:hAnsi="Arial" w:cs="Arial"/>
          <w:sz w:val="22"/>
          <w:szCs w:val="22"/>
        </w:rPr>
      </w:pPr>
      <w:r w:rsidRPr="00132AD4">
        <w:rPr>
          <w:rFonts w:ascii="Arial" w:hAnsi="Arial" w:cs="Arial"/>
          <w:sz w:val="22"/>
          <w:szCs w:val="22"/>
        </w:rPr>
        <w:t>South Korea’s management of the COVID-19 crisis was guided by President Moon Jae-in in collaboration with key public health institutions, most notably the Korea Disease Control and Prevention Agency (KDCA) (Kim, 2022).</w:t>
      </w:r>
      <w:r w:rsidR="001378CF" w:rsidRPr="00132AD4">
        <w:rPr>
          <w:rFonts w:ascii="Arial" w:hAnsi="Arial" w:cs="Arial"/>
          <w:sz w:val="22"/>
          <w:szCs w:val="22"/>
        </w:rPr>
        <w:t xml:space="preserve"> The leadership style demonstrated during the crisis can be described as technocratic, participative, and evidence-based, with strong elements of transformational and adaptive leadership</w:t>
      </w:r>
      <w:r w:rsidR="00BB2A65" w:rsidRPr="00132AD4">
        <w:rPr>
          <w:rFonts w:ascii="Arial" w:hAnsi="Arial" w:cs="Arial"/>
          <w:sz w:val="22"/>
          <w:szCs w:val="22"/>
        </w:rPr>
        <w:t xml:space="preserve"> (Cho and Roh,</w:t>
      </w:r>
      <w:r w:rsidR="00931C27" w:rsidRPr="00132AD4">
        <w:rPr>
          <w:rFonts w:ascii="Arial" w:hAnsi="Arial" w:cs="Arial"/>
          <w:sz w:val="22"/>
          <w:szCs w:val="22"/>
        </w:rPr>
        <w:t xml:space="preserve"> </w:t>
      </w:r>
      <w:r w:rsidR="00BB2A65" w:rsidRPr="00132AD4">
        <w:rPr>
          <w:rFonts w:ascii="Arial" w:hAnsi="Arial" w:cs="Arial"/>
          <w:sz w:val="22"/>
          <w:szCs w:val="22"/>
        </w:rPr>
        <w:t>2025)</w:t>
      </w:r>
      <w:r w:rsidR="001378CF" w:rsidRPr="00132AD4">
        <w:rPr>
          <w:rFonts w:ascii="Arial" w:hAnsi="Arial" w:cs="Arial"/>
          <w:sz w:val="22"/>
          <w:szCs w:val="22"/>
        </w:rPr>
        <w:t>. Rather than relying on coercive lockdowns, leaders emphasised transparency, expertise, and public cooperation. Decision-making was guided by epidemiological data, scientific modelling, and lessons learned from previous outbreaks such as MERS</w:t>
      </w:r>
      <w:r w:rsidR="005B0EC5" w:rsidRPr="00132AD4">
        <w:rPr>
          <w:rFonts w:ascii="Arial" w:hAnsi="Arial" w:cs="Arial"/>
          <w:sz w:val="22"/>
          <w:szCs w:val="22"/>
        </w:rPr>
        <w:t xml:space="preserve"> (Lee and Kim, 2020)</w:t>
      </w:r>
      <w:r w:rsidR="001378CF" w:rsidRPr="00132AD4">
        <w:rPr>
          <w:rFonts w:ascii="Arial" w:hAnsi="Arial" w:cs="Arial"/>
          <w:sz w:val="22"/>
          <w:szCs w:val="22"/>
        </w:rPr>
        <w:t>.</w:t>
      </w:r>
    </w:p>
    <w:p w14:paraId="6B735726" w14:textId="23C28EC0"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Leadership authority was highly centralised, yet execution was decentralised to local governments under clear national guidance</w:t>
      </w:r>
      <w:r w:rsidR="00C74938" w:rsidRPr="00132AD4">
        <w:rPr>
          <w:rFonts w:ascii="Arial" w:hAnsi="Arial" w:cs="Arial"/>
          <w:sz w:val="22"/>
          <w:szCs w:val="22"/>
        </w:rPr>
        <w:t xml:space="preserve"> (Cho and Roh,</w:t>
      </w:r>
      <w:r w:rsidR="00931C27" w:rsidRPr="00132AD4">
        <w:rPr>
          <w:rFonts w:ascii="Arial" w:hAnsi="Arial" w:cs="Arial"/>
          <w:sz w:val="22"/>
          <w:szCs w:val="22"/>
        </w:rPr>
        <w:t xml:space="preserve"> </w:t>
      </w:r>
      <w:r w:rsidR="00C74938" w:rsidRPr="00132AD4">
        <w:rPr>
          <w:rFonts w:ascii="Arial" w:hAnsi="Arial" w:cs="Arial"/>
          <w:sz w:val="22"/>
          <w:szCs w:val="22"/>
        </w:rPr>
        <w:t>2025)</w:t>
      </w:r>
      <w:r w:rsidRPr="00132AD4">
        <w:rPr>
          <w:rFonts w:ascii="Arial" w:hAnsi="Arial" w:cs="Arial"/>
          <w:sz w:val="22"/>
          <w:szCs w:val="22"/>
        </w:rPr>
        <w:t>. This reflects a systems leadership approach, where national leaders set strategic direction while empowering operational agencies to act efficiently</w:t>
      </w:r>
      <w:r w:rsidR="00C74938" w:rsidRPr="00132AD4">
        <w:rPr>
          <w:rFonts w:ascii="Arial" w:hAnsi="Arial" w:cs="Arial"/>
          <w:sz w:val="22"/>
          <w:szCs w:val="22"/>
        </w:rPr>
        <w:t xml:space="preserve"> (Kim, 2022)</w:t>
      </w:r>
      <w:r w:rsidRPr="00132AD4">
        <w:rPr>
          <w:rFonts w:ascii="Arial" w:hAnsi="Arial" w:cs="Arial"/>
          <w:sz w:val="22"/>
          <w:szCs w:val="22"/>
        </w:rPr>
        <w:t>. Communication was frequent, factual, and consistent, with daily briefings reinforcing trust and accountability</w:t>
      </w:r>
      <w:r w:rsidR="00C74938" w:rsidRPr="00132AD4">
        <w:rPr>
          <w:rFonts w:ascii="Arial" w:hAnsi="Arial" w:cs="Arial"/>
          <w:sz w:val="22"/>
          <w:szCs w:val="22"/>
        </w:rPr>
        <w:t xml:space="preserve"> (Cho and Roh,</w:t>
      </w:r>
      <w:r w:rsidR="00931C27" w:rsidRPr="00132AD4">
        <w:rPr>
          <w:rFonts w:ascii="Arial" w:hAnsi="Arial" w:cs="Arial"/>
          <w:sz w:val="22"/>
          <w:szCs w:val="22"/>
        </w:rPr>
        <w:t xml:space="preserve"> </w:t>
      </w:r>
      <w:r w:rsidR="00C74938" w:rsidRPr="00132AD4">
        <w:rPr>
          <w:rFonts w:ascii="Arial" w:hAnsi="Arial" w:cs="Arial"/>
          <w:sz w:val="22"/>
          <w:szCs w:val="22"/>
        </w:rPr>
        <w:t>2025)</w:t>
      </w:r>
      <w:r w:rsidRPr="00132AD4">
        <w:rPr>
          <w:rFonts w:ascii="Arial" w:hAnsi="Arial" w:cs="Arial"/>
          <w:sz w:val="22"/>
          <w:szCs w:val="22"/>
        </w:rPr>
        <w:t>. By positioning public health experts at the forefront, political leaders reinforced legitimacy and minimised partisan conflict. Overall, South Korea’s leadership prioritised competence, preparedness, and collective responsibility, enabling rapid mobilisation without widespread public resistance</w:t>
      </w:r>
      <w:r w:rsidR="00931C27" w:rsidRPr="00132AD4">
        <w:rPr>
          <w:rFonts w:ascii="Arial" w:hAnsi="Arial" w:cs="Arial"/>
          <w:sz w:val="22"/>
          <w:szCs w:val="22"/>
        </w:rPr>
        <w:t xml:space="preserve"> (Lee and Kim, 2020)</w:t>
      </w:r>
      <w:r w:rsidRPr="00132AD4">
        <w:rPr>
          <w:rFonts w:ascii="Arial" w:hAnsi="Arial" w:cs="Arial"/>
          <w:sz w:val="22"/>
          <w:szCs w:val="22"/>
        </w:rPr>
        <w:t>.</w:t>
      </w:r>
    </w:p>
    <w:p w14:paraId="5E26D30B" w14:textId="348073E6" w:rsidR="001378CF" w:rsidRPr="00132AD4" w:rsidRDefault="001378CF" w:rsidP="008B7FDE">
      <w:pPr>
        <w:pStyle w:val="Heading2"/>
        <w:rPr>
          <w:rFonts w:cs="Arial"/>
          <w:sz w:val="22"/>
          <w:szCs w:val="22"/>
        </w:rPr>
      </w:pPr>
      <w:bookmarkStart w:id="17" w:name="_Toc216688722"/>
      <w:r w:rsidRPr="00132AD4">
        <w:rPr>
          <w:rFonts w:cs="Arial"/>
          <w:sz w:val="22"/>
          <w:szCs w:val="22"/>
        </w:rPr>
        <w:t>3.2.1 Advantages of South Korea’s Leadership Style During COVID-19</w:t>
      </w:r>
      <w:bookmarkEnd w:id="17"/>
      <w:r w:rsidRPr="00132AD4">
        <w:rPr>
          <w:rFonts w:cs="Arial"/>
          <w:sz w:val="22"/>
          <w:szCs w:val="22"/>
        </w:rPr>
        <w:t xml:space="preserve"> </w:t>
      </w:r>
    </w:p>
    <w:p w14:paraId="21F4BB2B" w14:textId="7140ECA8"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A key advantage of South Korea’s leadership style was its strong commitment to transformational leadership, which focused on motivating collective action rather than enforcing compliance through strict restrictions</w:t>
      </w:r>
      <w:r w:rsidR="00A430B6" w:rsidRPr="00132AD4">
        <w:rPr>
          <w:rFonts w:ascii="Arial" w:hAnsi="Arial" w:cs="Arial"/>
          <w:sz w:val="22"/>
          <w:szCs w:val="22"/>
        </w:rPr>
        <w:t xml:space="preserve"> (Çelik, 2022)</w:t>
      </w:r>
      <w:r w:rsidRPr="00132AD4">
        <w:rPr>
          <w:rFonts w:ascii="Arial" w:hAnsi="Arial" w:cs="Arial"/>
          <w:sz w:val="22"/>
          <w:szCs w:val="22"/>
        </w:rPr>
        <w:t>. Transparent communication built high levels of public trust, encouraging voluntary adherence to testing, isolation, and mask-wearing guidelines</w:t>
      </w:r>
      <w:r w:rsidR="008D62EE" w:rsidRPr="00132AD4">
        <w:rPr>
          <w:rFonts w:ascii="Arial" w:hAnsi="Arial" w:cs="Arial"/>
          <w:sz w:val="22"/>
          <w:szCs w:val="22"/>
        </w:rPr>
        <w:t xml:space="preserve"> (Schwak, 2023)</w:t>
      </w:r>
      <w:r w:rsidRPr="00132AD4">
        <w:rPr>
          <w:rFonts w:ascii="Arial" w:hAnsi="Arial" w:cs="Arial"/>
          <w:sz w:val="22"/>
          <w:szCs w:val="22"/>
        </w:rPr>
        <w:t>. This trust reduced the need for economically damaging lockdowns and allowed social and economic activities to continue with minimal disruption</w:t>
      </w:r>
      <w:r w:rsidR="003A0B2A" w:rsidRPr="00132AD4">
        <w:rPr>
          <w:rFonts w:ascii="Arial" w:hAnsi="Arial" w:cs="Arial"/>
          <w:sz w:val="22"/>
          <w:szCs w:val="22"/>
        </w:rPr>
        <w:t xml:space="preserve"> (Çelik, 2022)</w:t>
      </w:r>
      <w:r w:rsidRPr="00132AD4">
        <w:rPr>
          <w:rFonts w:ascii="Arial" w:hAnsi="Arial" w:cs="Arial"/>
          <w:sz w:val="22"/>
          <w:szCs w:val="22"/>
        </w:rPr>
        <w:t>. Leaders consistently framed the pandemic as a shared national challenge, reinforcing social solidarity</w:t>
      </w:r>
      <w:r w:rsidR="00C74938" w:rsidRPr="00132AD4">
        <w:rPr>
          <w:rFonts w:ascii="Arial" w:hAnsi="Arial" w:cs="Arial"/>
          <w:sz w:val="22"/>
          <w:szCs w:val="22"/>
        </w:rPr>
        <w:t xml:space="preserve"> (Kim, 2022)</w:t>
      </w:r>
      <w:r w:rsidRPr="00132AD4">
        <w:rPr>
          <w:rFonts w:ascii="Arial" w:hAnsi="Arial" w:cs="Arial"/>
          <w:sz w:val="22"/>
          <w:szCs w:val="22"/>
        </w:rPr>
        <w:t>.</w:t>
      </w:r>
    </w:p>
    <w:p w14:paraId="44BD337E" w14:textId="4AFF1320"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Another major strength was the effective use of evidence-based and adaptive leadership. South Korean leaders demonstrated agility by rapidly approving diagnostic tests, scaling up testing infrastructure, and adjusting policies in response to emerging data</w:t>
      </w:r>
      <w:r w:rsidR="00C74938" w:rsidRPr="00132AD4">
        <w:rPr>
          <w:rFonts w:ascii="Arial" w:hAnsi="Arial" w:cs="Arial"/>
          <w:sz w:val="22"/>
          <w:szCs w:val="22"/>
        </w:rPr>
        <w:t xml:space="preserve"> (Kim, 2022)</w:t>
      </w:r>
      <w:r w:rsidRPr="00132AD4">
        <w:rPr>
          <w:rFonts w:ascii="Arial" w:hAnsi="Arial" w:cs="Arial"/>
          <w:sz w:val="22"/>
          <w:szCs w:val="22"/>
        </w:rPr>
        <w:t>. Centralised coordination ensured consistency, while decentralised implementation enabled rapid local responses</w:t>
      </w:r>
      <w:r w:rsidR="008D62EE" w:rsidRPr="00132AD4">
        <w:rPr>
          <w:rFonts w:ascii="Arial" w:hAnsi="Arial" w:cs="Arial"/>
          <w:sz w:val="22"/>
          <w:szCs w:val="22"/>
        </w:rPr>
        <w:t xml:space="preserve"> (Schwak, 2023)</w:t>
      </w:r>
      <w:r w:rsidRPr="00132AD4">
        <w:rPr>
          <w:rFonts w:ascii="Arial" w:hAnsi="Arial" w:cs="Arial"/>
          <w:sz w:val="22"/>
          <w:szCs w:val="22"/>
        </w:rPr>
        <w:t>. The integration of technology into public health leadership</w:t>
      </w:r>
      <w:r w:rsidR="008B7FDE" w:rsidRPr="00132AD4">
        <w:rPr>
          <w:rFonts w:ascii="Arial" w:hAnsi="Arial" w:cs="Arial"/>
          <w:sz w:val="22"/>
          <w:szCs w:val="22"/>
        </w:rPr>
        <w:t xml:space="preserve">, </w:t>
      </w:r>
      <w:r w:rsidRPr="00132AD4">
        <w:rPr>
          <w:rFonts w:ascii="Arial" w:hAnsi="Arial" w:cs="Arial"/>
          <w:sz w:val="22"/>
          <w:szCs w:val="22"/>
        </w:rPr>
        <w:t>such as digital contact tracing and real-time alerts</w:t>
      </w:r>
      <w:r w:rsidR="008B7FDE" w:rsidRPr="00132AD4">
        <w:rPr>
          <w:rFonts w:ascii="Arial" w:hAnsi="Arial" w:cs="Arial"/>
          <w:sz w:val="22"/>
          <w:szCs w:val="22"/>
        </w:rPr>
        <w:t xml:space="preserve">, </w:t>
      </w:r>
      <w:r w:rsidRPr="00132AD4">
        <w:rPr>
          <w:rFonts w:ascii="Arial" w:hAnsi="Arial" w:cs="Arial"/>
          <w:sz w:val="22"/>
          <w:szCs w:val="22"/>
        </w:rPr>
        <w:t>enhanced situational awareness and response speed</w:t>
      </w:r>
      <w:r w:rsidR="00C74938" w:rsidRPr="00132AD4">
        <w:rPr>
          <w:rFonts w:ascii="Arial" w:hAnsi="Arial" w:cs="Arial"/>
          <w:sz w:val="22"/>
          <w:szCs w:val="22"/>
        </w:rPr>
        <w:t xml:space="preserve"> (Kim, 2022)</w:t>
      </w:r>
      <w:r w:rsidRPr="00132AD4">
        <w:rPr>
          <w:rFonts w:ascii="Arial" w:hAnsi="Arial" w:cs="Arial"/>
          <w:sz w:val="22"/>
          <w:szCs w:val="22"/>
        </w:rPr>
        <w:t xml:space="preserve">. This leadership model proved highly effective in preventing healthcare system overload and maintaining low mortality rates, illustrating how </w:t>
      </w:r>
      <w:r w:rsidRPr="00132AD4">
        <w:rPr>
          <w:rFonts w:ascii="Arial" w:hAnsi="Arial" w:cs="Arial"/>
          <w:sz w:val="22"/>
          <w:szCs w:val="22"/>
        </w:rPr>
        <w:lastRenderedPageBreak/>
        <w:t>strong institutional leadership can translate preparedness into measurable outcomes</w:t>
      </w:r>
      <w:r w:rsidR="003A0B2A" w:rsidRPr="00132AD4">
        <w:rPr>
          <w:rFonts w:ascii="Arial" w:hAnsi="Arial" w:cs="Arial"/>
          <w:sz w:val="22"/>
          <w:szCs w:val="22"/>
        </w:rPr>
        <w:t xml:space="preserve"> (Çelik, 2022)</w:t>
      </w:r>
      <w:r w:rsidRPr="00132AD4">
        <w:rPr>
          <w:rFonts w:ascii="Arial" w:hAnsi="Arial" w:cs="Arial"/>
          <w:sz w:val="22"/>
          <w:szCs w:val="22"/>
        </w:rPr>
        <w:t>.</w:t>
      </w:r>
    </w:p>
    <w:p w14:paraId="389A7F9F" w14:textId="49E64C4E" w:rsidR="001378CF" w:rsidRPr="00132AD4" w:rsidRDefault="001378CF" w:rsidP="008B7FDE">
      <w:pPr>
        <w:pStyle w:val="Heading2"/>
        <w:rPr>
          <w:rFonts w:cs="Arial"/>
          <w:sz w:val="22"/>
          <w:szCs w:val="22"/>
        </w:rPr>
      </w:pPr>
      <w:bookmarkStart w:id="18" w:name="_Toc216688723"/>
      <w:r w:rsidRPr="00132AD4">
        <w:rPr>
          <w:rFonts w:cs="Arial"/>
          <w:sz w:val="22"/>
          <w:szCs w:val="22"/>
        </w:rPr>
        <w:t>3.2.2 Disadvantages of South Korea’s Leadership Style During COVID-19</w:t>
      </w:r>
      <w:bookmarkEnd w:id="18"/>
      <w:r w:rsidRPr="00132AD4">
        <w:rPr>
          <w:rFonts w:cs="Arial"/>
          <w:sz w:val="22"/>
          <w:szCs w:val="22"/>
        </w:rPr>
        <w:t xml:space="preserve"> </w:t>
      </w:r>
    </w:p>
    <w:p w14:paraId="5F0619B0" w14:textId="596B028E"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Despite its effectiveness, South Korea’s leadership approach raised ethical and governance concerns, particularly regarding privacy and civil liberties</w:t>
      </w:r>
      <w:r w:rsidR="00A456BB" w:rsidRPr="00132AD4">
        <w:rPr>
          <w:rFonts w:ascii="Arial" w:hAnsi="Arial" w:cs="Arial"/>
          <w:sz w:val="22"/>
          <w:szCs w:val="22"/>
        </w:rPr>
        <w:t xml:space="preserve"> (Schwak, 2023)</w:t>
      </w:r>
      <w:r w:rsidRPr="00132AD4">
        <w:rPr>
          <w:rFonts w:ascii="Arial" w:hAnsi="Arial" w:cs="Arial"/>
          <w:sz w:val="22"/>
          <w:szCs w:val="22"/>
        </w:rPr>
        <w:t>. The extensive use of surveillance technologies for contact tracing, supported by centralised authority, led to public debate about data protection and long-term implications for individual rights</w:t>
      </w:r>
      <w:r w:rsidR="003A0B2A" w:rsidRPr="00132AD4">
        <w:rPr>
          <w:rFonts w:ascii="Arial" w:hAnsi="Arial" w:cs="Arial"/>
          <w:sz w:val="22"/>
          <w:szCs w:val="22"/>
        </w:rPr>
        <w:t xml:space="preserve"> (Çelik, 2022)</w:t>
      </w:r>
      <w:r w:rsidRPr="00132AD4">
        <w:rPr>
          <w:rFonts w:ascii="Arial" w:hAnsi="Arial" w:cs="Arial"/>
          <w:sz w:val="22"/>
          <w:szCs w:val="22"/>
        </w:rPr>
        <w:t>. From a leadership ethics perspective, this highlighted the tension between utilitarian crisis leadership and democratic accountability</w:t>
      </w:r>
      <w:r w:rsidR="008D62EE" w:rsidRPr="00132AD4">
        <w:rPr>
          <w:rFonts w:ascii="Arial" w:hAnsi="Arial" w:cs="Arial"/>
          <w:sz w:val="22"/>
          <w:szCs w:val="22"/>
        </w:rPr>
        <w:t xml:space="preserve"> (Schwak, 2023)</w:t>
      </w:r>
      <w:r w:rsidRPr="00132AD4">
        <w:rPr>
          <w:rFonts w:ascii="Arial" w:hAnsi="Arial" w:cs="Arial"/>
          <w:sz w:val="22"/>
          <w:szCs w:val="22"/>
        </w:rPr>
        <w:t>. While public trust remained relatively high, critics argued that citizens had limited opportunity to challenge or influence these measures</w:t>
      </w:r>
      <w:r w:rsidR="00C74938" w:rsidRPr="00132AD4">
        <w:rPr>
          <w:rFonts w:ascii="Arial" w:hAnsi="Arial" w:cs="Arial"/>
          <w:sz w:val="22"/>
          <w:szCs w:val="22"/>
        </w:rPr>
        <w:t xml:space="preserve"> (Cho and Roh,</w:t>
      </w:r>
      <w:r w:rsidR="003A0B2A" w:rsidRPr="00132AD4">
        <w:rPr>
          <w:rFonts w:ascii="Arial" w:hAnsi="Arial" w:cs="Arial"/>
          <w:sz w:val="22"/>
          <w:szCs w:val="22"/>
        </w:rPr>
        <w:t xml:space="preserve"> </w:t>
      </w:r>
      <w:r w:rsidR="00C74938" w:rsidRPr="00132AD4">
        <w:rPr>
          <w:rFonts w:ascii="Arial" w:hAnsi="Arial" w:cs="Arial"/>
          <w:sz w:val="22"/>
          <w:szCs w:val="22"/>
        </w:rPr>
        <w:t>2025)</w:t>
      </w:r>
      <w:r w:rsidRPr="00132AD4">
        <w:rPr>
          <w:rFonts w:ascii="Arial" w:hAnsi="Arial" w:cs="Arial"/>
          <w:sz w:val="22"/>
          <w:szCs w:val="22"/>
        </w:rPr>
        <w:t>.</w:t>
      </w:r>
    </w:p>
    <w:p w14:paraId="08146D0D" w14:textId="1E862648"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 xml:space="preserve">Additionally, South Korea’s leadership success was </w:t>
      </w:r>
      <w:r w:rsidR="008B7FDE" w:rsidRPr="00132AD4">
        <w:rPr>
          <w:rFonts w:ascii="Arial" w:hAnsi="Arial" w:cs="Arial"/>
          <w:sz w:val="22"/>
          <w:szCs w:val="22"/>
        </w:rPr>
        <w:t>context-dependent</w:t>
      </w:r>
      <w:r w:rsidRPr="00132AD4">
        <w:rPr>
          <w:rFonts w:ascii="Arial" w:hAnsi="Arial" w:cs="Arial"/>
          <w:sz w:val="22"/>
          <w:szCs w:val="22"/>
        </w:rPr>
        <w:t>. High public compliance was influenced by cultural norms that prioritise collective responsibility and trust in institutions</w:t>
      </w:r>
      <w:r w:rsidR="008D62EE" w:rsidRPr="00132AD4">
        <w:rPr>
          <w:rFonts w:ascii="Arial" w:hAnsi="Arial" w:cs="Arial"/>
          <w:sz w:val="22"/>
          <w:szCs w:val="22"/>
        </w:rPr>
        <w:t xml:space="preserve"> (Schwak, 2023)</w:t>
      </w:r>
      <w:r w:rsidRPr="00132AD4">
        <w:rPr>
          <w:rFonts w:ascii="Arial" w:hAnsi="Arial" w:cs="Arial"/>
          <w:sz w:val="22"/>
          <w:szCs w:val="22"/>
        </w:rPr>
        <w:t>. This raises questions about the transferability of this leadership model to countries with lower institutional trust or stronger resistance to state authority</w:t>
      </w:r>
      <w:r w:rsidR="008D62EE" w:rsidRPr="00132AD4">
        <w:rPr>
          <w:rFonts w:ascii="Arial" w:hAnsi="Arial" w:cs="Arial"/>
          <w:sz w:val="22"/>
          <w:szCs w:val="22"/>
        </w:rPr>
        <w:t xml:space="preserve"> (Schwak, 2023)</w:t>
      </w:r>
      <w:r w:rsidRPr="00132AD4">
        <w:rPr>
          <w:rFonts w:ascii="Arial" w:hAnsi="Arial" w:cs="Arial"/>
          <w:sz w:val="22"/>
          <w:szCs w:val="22"/>
        </w:rPr>
        <w:t>. Prolonged reliance on centralised leadership also placed sustained pressure on public health officials and healthcare workers, contributing to fatigue during later waves</w:t>
      </w:r>
      <w:r w:rsidR="00C74938" w:rsidRPr="00132AD4">
        <w:rPr>
          <w:rFonts w:ascii="Arial" w:hAnsi="Arial" w:cs="Arial"/>
          <w:sz w:val="22"/>
          <w:szCs w:val="22"/>
        </w:rPr>
        <w:t xml:space="preserve"> (Cho and Roh,2025)</w:t>
      </w:r>
      <w:r w:rsidRPr="00132AD4">
        <w:rPr>
          <w:rFonts w:ascii="Arial" w:hAnsi="Arial" w:cs="Arial"/>
          <w:sz w:val="22"/>
          <w:szCs w:val="22"/>
        </w:rPr>
        <w:t>. These limitations demonstrate that while technocratic and centralised leadership can be highly effective in emergencies, it must be balanced with safeguards for rights, workforce sustainability, and long-term public engagement</w:t>
      </w:r>
      <w:r w:rsidR="003A0B2A" w:rsidRPr="00132AD4">
        <w:rPr>
          <w:rFonts w:ascii="Arial" w:hAnsi="Arial" w:cs="Arial"/>
          <w:sz w:val="22"/>
          <w:szCs w:val="22"/>
        </w:rPr>
        <w:t xml:space="preserve"> (Çelik, 2022)</w:t>
      </w:r>
      <w:r w:rsidRPr="00132AD4">
        <w:rPr>
          <w:rFonts w:ascii="Arial" w:hAnsi="Arial" w:cs="Arial"/>
          <w:sz w:val="22"/>
          <w:szCs w:val="22"/>
        </w:rPr>
        <w:t>.</w:t>
      </w:r>
    </w:p>
    <w:p w14:paraId="7300CB07" w14:textId="0C4D60CE" w:rsidR="001378CF" w:rsidRPr="00132AD4" w:rsidRDefault="008B7FDE" w:rsidP="008B7FDE">
      <w:pPr>
        <w:pStyle w:val="Heading1"/>
        <w:rPr>
          <w:rFonts w:cs="Arial"/>
          <w:sz w:val="22"/>
          <w:szCs w:val="22"/>
        </w:rPr>
      </w:pPr>
      <w:bookmarkStart w:id="19" w:name="_Toc216688724"/>
      <w:r w:rsidRPr="00132AD4">
        <w:rPr>
          <w:rFonts w:cs="Arial"/>
          <w:sz w:val="22"/>
          <w:szCs w:val="22"/>
        </w:rPr>
        <w:t xml:space="preserve">3.3 </w:t>
      </w:r>
      <w:r w:rsidR="001378CF" w:rsidRPr="00132AD4">
        <w:rPr>
          <w:rFonts w:cs="Arial"/>
          <w:sz w:val="22"/>
          <w:szCs w:val="22"/>
        </w:rPr>
        <w:t>Leadership Styles in Canada During COVID-19</w:t>
      </w:r>
      <w:bookmarkEnd w:id="19"/>
      <w:r w:rsidR="001378CF" w:rsidRPr="00132AD4">
        <w:rPr>
          <w:rFonts w:cs="Arial"/>
          <w:sz w:val="22"/>
          <w:szCs w:val="22"/>
        </w:rPr>
        <w:t xml:space="preserve"> </w:t>
      </w:r>
    </w:p>
    <w:p w14:paraId="4BEF90FF" w14:textId="77777777" w:rsidR="00B64D4B" w:rsidRPr="00132AD4" w:rsidRDefault="00B64D4B" w:rsidP="001378CF">
      <w:pPr>
        <w:spacing w:line="360" w:lineRule="auto"/>
        <w:jc w:val="both"/>
        <w:rPr>
          <w:rFonts w:ascii="Arial" w:hAnsi="Arial" w:cs="Arial"/>
          <w:sz w:val="22"/>
          <w:szCs w:val="22"/>
        </w:rPr>
      </w:pPr>
      <w:r w:rsidRPr="00132AD4">
        <w:rPr>
          <w:rFonts w:ascii="Arial" w:hAnsi="Arial" w:cs="Arial"/>
          <w:sz w:val="22"/>
          <w:szCs w:val="22"/>
        </w:rPr>
        <w:t>Canada’s response to the COVID-19 pandemic was overseen at the national level by Prime Minister Justin Trudeau, working in conjunction with provincial leaders and public health officials (Attaran, 2020). The leadership approach adopted throughout the crisis emphasised cooperation, consultation, and clear risk communication, aligning with principles of transformational and shared leadership (Keeley, 2023). Owing to the decentralised nature of Canada’s healthcare governance, federal authorities focused primarily on facilitating coordination, providing strategic direction, and fostering intergovernmental consensus rather than exercising direct authority over healthcare delivery (Shaban and Brunet-</w:t>
      </w:r>
      <w:proofErr w:type="spellStart"/>
      <w:r w:rsidRPr="00132AD4">
        <w:rPr>
          <w:rFonts w:ascii="Arial" w:hAnsi="Arial" w:cs="Arial"/>
          <w:sz w:val="22"/>
          <w:szCs w:val="22"/>
        </w:rPr>
        <w:t>Jailly</w:t>
      </w:r>
      <w:proofErr w:type="spellEnd"/>
      <w:r w:rsidRPr="00132AD4">
        <w:rPr>
          <w:rFonts w:ascii="Arial" w:hAnsi="Arial" w:cs="Arial"/>
          <w:sz w:val="22"/>
          <w:szCs w:val="22"/>
        </w:rPr>
        <w:t>, 2022).</w:t>
      </w:r>
    </w:p>
    <w:p w14:paraId="5B259495" w14:textId="705A1BF6"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Federal leaders emphasised empathy, transparency, and social solidarity in public messaging, frequently acknowledging uncertainty and encouraging collective responsibility</w:t>
      </w:r>
      <w:r w:rsidR="00EE753D" w:rsidRPr="00132AD4">
        <w:rPr>
          <w:rFonts w:ascii="Arial" w:hAnsi="Arial" w:cs="Arial"/>
          <w:sz w:val="22"/>
          <w:szCs w:val="22"/>
        </w:rPr>
        <w:t xml:space="preserve"> (Attaran, 2020)</w:t>
      </w:r>
      <w:r w:rsidRPr="00132AD4">
        <w:rPr>
          <w:rFonts w:ascii="Arial" w:hAnsi="Arial" w:cs="Arial"/>
          <w:sz w:val="22"/>
          <w:szCs w:val="22"/>
        </w:rPr>
        <w:t>. Daily briefings became a central feature of leadership communication, with public health experts prominently involved</w:t>
      </w:r>
      <w:r w:rsidR="00EE753D" w:rsidRPr="00132AD4">
        <w:rPr>
          <w:rFonts w:ascii="Arial" w:hAnsi="Arial" w:cs="Arial"/>
          <w:sz w:val="22"/>
          <w:szCs w:val="22"/>
        </w:rPr>
        <w:t xml:space="preserve"> (Keeley, 2023)</w:t>
      </w:r>
      <w:r w:rsidRPr="00132AD4">
        <w:rPr>
          <w:rFonts w:ascii="Arial" w:hAnsi="Arial" w:cs="Arial"/>
          <w:sz w:val="22"/>
          <w:szCs w:val="22"/>
        </w:rPr>
        <w:t>. This approach aligned with participative leadership theory, aiming to build trust and voluntary compliance rather than enforce rigid mandates</w:t>
      </w:r>
      <w:r w:rsidR="000454DA" w:rsidRPr="00132AD4">
        <w:rPr>
          <w:rFonts w:ascii="Arial" w:hAnsi="Arial" w:cs="Arial"/>
          <w:sz w:val="22"/>
          <w:szCs w:val="22"/>
        </w:rPr>
        <w:t xml:space="preserve"> (Shaban and Brunet-</w:t>
      </w:r>
      <w:proofErr w:type="spellStart"/>
      <w:r w:rsidR="000454DA" w:rsidRPr="00132AD4">
        <w:rPr>
          <w:rFonts w:ascii="Arial" w:hAnsi="Arial" w:cs="Arial"/>
          <w:sz w:val="22"/>
          <w:szCs w:val="22"/>
        </w:rPr>
        <w:t>Jailly</w:t>
      </w:r>
      <w:proofErr w:type="spellEnd"/>
      <w:r w:rsidR="000454DA" w:rsidRPr="00132AD4">
        <w:rPr>
          <w:rFonts w:ascii="Arial" w:hAnsi="Arial" w:cs="Arial"/>
          <w:sz w:val="22"/>
          <w:szCs w:val="22"/>
        </w:rPr>
        <w:t>, 2022)</w:t>
      </w:r>
      <w:r w:rsidRPr="00132AD4">
        <w:rPr>
          <w:rFonts w:ascii="Arial" w:hAnsi="Arial" w:cs="Arial"/>
          <w:sz w:val="22"/>
          <w:szCs w:val="22"/>
        </w:rPr>
        <w:t>. However, because provinces retained decision-</w:t>
      </w:r>
      <w:r w:rsidRPr="00132AD4">
        <w:rPr>
          <w:rFonts w:ascii="Arial" w:hAnsi="Arial" w:cs="Arial"/>
          <w:sz w:val="22"/>
          <w:szCs w:val="22"/>
        </w:rPr>
        <w:lastRenderedPageBreak/>
        <w:t>making authority over public health measures, leadership during the pandemic was fragmented across multiple political actors, creating a complex and layered governance environment</w:t>
      </w:r>
      <w:r w:rsidR="00EE753D" w:rsidRPr="00132AD4">
        <w:rPr>
          <w:rFonts w:ascii="Arial" w:hAnsi="Arial" w:cs="Arial"/>
          <w:sz w:val="22"/>
          <w:szCs w:val="22"/>
        </w:rPr>
        <w:t xml:space="preserve"> (Attaran, 2020)</w:t>
      </w:r>
      <w:r w:rsidRPr="00132AD4">
        <w:rPr>
          <w:rFonts w:ascii="Arial" w:hAnsi="Arial" w:cs="Arial"/>
          <w:sz w:val="22"/>
          <w:szCs w:val="22"/>
        </w:rPr>
        <w:t>.</w:t>
      </w:r>
    </w:p>
    <w:p w14:paraId="4BC20EAB" w14:textId="1C957DCA" w:rsidR="001378CF" w:rsidRPr="00132AD4" w:rsidRDefault="008B7FDE" w:rsidP="008B7FDE">
      <w:pPr>
        <w:pStyle w:val="Heading2"/>
        <w:rPr>
          <w:rFonts w:cs="Arial"/>
          <w:sz w:val="22"/>
          <w:szCs w:val="22"/>
        </w:rPr>
      </w:pPr>
      <w:bookmarkStart w:id="20" w:name="_Toc216688725"/>
      <w:r w:rsidRPr="00132AD4">
        <w:rPr>
          <w:rFonts w:cs="Arial"/>
          <w:sz w:val="22"/>
          <w:szCs w:val="22"/>
        </w:rPr>
        <w:t xml:space="preserve">3.3.1 </w:t>
      </w:r>
      <w:r w:rsidR="001378CF" w:rsidRPr="00132AD4">
        <w:rPr>
          <w:rFonts w:cs="Arial"/>
          <w:sz w:val="22"/>
          <w:szCs w:val="22"/>
        </w:rPr>
        <w:t>Advantages of Canada’s Leadership Style During COVID-19</w:t>
      </w:r>
      <w:bookmarkEnd w:id="20"/>
      <w:r w:rsidR="001378CF" w:rsidRPr="00132AD4">
        <w:rPr>
          <w:rFonts w:cs="Arial"/>
          <w:sz w:val="22"/>
          <w:szCs w:val="22"/>
        </w:rPr>
        <w:t xml:space="preserve"> </w:t>
      </w:r>
    </w:p>
    <w:p w14:paraId="6EB982B2" w14:textId="7CB38C6F"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One of the key advantages of Canada’s leadership approach was its strong emphasis on empathetic and transparent communication</w:t>
      </w:r>
      <w:r w:rsidR="002758BF" w:rsidRPr="00132AD4">
        <w:rPr>
          <w:rFonts w:ascii="Arial" w:hAnsi="Arial" w:cs="Arial"/>
          <w:sz w:val="22"/>
          <w:szCs w:val="22"/>
        </w:rPr>
        <w:t xml:space="preserve"> (McLellan, 2022)</w:t>
      </w:r>
      <w:r w:rsidRPr="00132AD4">
        <w:rPr>
          <w:rFonts w:ascii="Arial" w:hAnsi="Arial" w:cs="Arial"/>
          <w:sz w:val="22"/>
          <w:szCs w:val="22"/>
        </w:rPr>
        <w:t>. Leaders consistently framed the pandemic as a shared societal challenge, prioritising compassion for vulnerable populations and frontline workers</w:t>
      </w:r>
      <w:r w:rsidR="00D12490" w:rsidRPr="00132AD4">
        <w:rPr>
          <w:rFonts w:ascii="Arial" w:hAnsi="Arial" w:cs="Arial"/>
          <w:sz w:val="22"/>
          <w:szCs w:val="22"/>
        </w:rPr>
        <w:t xml:space="preserve"> (Cameron, 2021)</w:t>
      </w:r>
      <w:r w:rsidRPr="00132AD4">
        <w:rPr>
          <w:rFonts w:ascii="Arial" w:hAnsi="Arial" w:cs="Arial"/>
          <w:sz w:val="22"/>
          <w:szCs w:val="22"/>
        </w:rPr>
        <w:t>. This aligns with transformational leadership, which seeks to inspire cooperation through shared values and moral purpose</w:t>
      </w:r>
      <w:r w:rsidR="00E964E5" w:rsidRPr="00132AD4">
        <w:rPr>
          <w:rFonts w:ascii="Arial" w:hAnsi="Arial" w:cs="Arial"/>
          <w:sz w:val="22"/>
          <w:szCs w:val="22"/>
        </w:rPr>
        <w:t xml:space="preserve"> (Cameron, 2021)</w:t>
      </w:r>
      <w:r w:rsidRPr="00132AD4">
        <w:rPr>
          <w:rFonts w:ascii="Arial" w:hAnsi="Arial" w:cs="Arial"/>
          <w:sz w:val="22"/>
          <w:szCs w:val="22"/>
        </w:rPr>
        <w:t>. Clear messaging around public health guidance and financial supports helped maintain public trust during prolonged periods of uncertainty</w:t>
      </w:r>
      <w:r w:rsidR="00EE753D" w:rsidRPr="00132AD4">
        <w:rPr>
          <w:rFonts w:ascii="Arial" w:hAnsi="Arial" w:cs="Arial"/>
          <w:sz w:val="22"/>
          <w:szCs w:val="22"/>
        </w:rPr>
        <w:t xml:space="preserve"> (Attaran, 2020)</w:t>
      </w:r>
      <w:r w:rsidRPr="00132AD4">
        <w:rPr>
          <w:rFonts w:ascii="Arial" w:hAnsi="Arial" w:cs="Arial"/>
          <w:sz w:val="22"/>
          <w:szCs w:val="22"/>
        </w:rPr>
        <w:t>.</w:t>
      </w:r>
    </w:p>
    <w:p w14:paraId="5DD7D8EE" w14:textId="6A8C4110"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Another strength was the effective use of collaborative and distributed leadership across federal, provincial, and local levels. While decentralisation led to variation, it also allowed leaders closest to communities to adapt policies to local needs</w:t>
      </w:r>
      <w:r w:rsidR="00FA05ED" w:rsidRPr="00132AD4">
        <w:rPr>
          <w:rFonts w:ascii="Arial" w:hAnsi="Arial" w:cs="Arial"/>
          <w:sz w:val="22"/>
          <w:szCs w:val="22"/>
        </w:rPr>
        <w:t xml:space="preserve"> (McLellan, 2022)</w:t>
      </w:r>
      <w:r w:rsidRPr="00132AD4">
        <w:rPr>
          <w:rFonts w:ascii="Arial" w:hAnsi="Arial" w:cs="Arial"/>
          <w:sz w:val="22"/>
          <w:szCs w:val="22"/>
        </w:rPr>
        <w:t>. Federal leadership was particularly effective in areas requiring national coordination, such as vaccine procurement, border controls, and economic relief programmes</w:t>
      </w:r>
      <w:r w:rsidR="00EE753D" w:rsidRPr="00132AD4">
        <w:rPr>
          <w:rFonts w:ascii="Arial" w:hAnsi="Arial" w:cs="Arial"/>
          <w:sz w:val="22"/>
          <w:szCs w:val="22"/>
        </w:rPr>
        <w:t xml:space="preserve"> (Attaran, 2020)</w:t>
      </w:r>
      <w:r w:rsidRPr="00132AD4">
        <w:rPr>
          <w:rFonts w:ascii="Arial" w:hAnsi="Arial" w:cs="Arial"/>
          <w:sz w:val="22"/>
          <w:szCs w:val="22"/>
        </w:rPr>
        <w:t>. By securing vaccines centrally and distributing them equitably to provinces, federal leaders mitigated competitive fragmentation</w:t>
      </w:r>
      <w:r w:rsidR="00EE753D" w:rsidRPr="00132AD4">
        <w:rPr>
          <w:rFonts w:ascii="Arial" w:hAnsi="Arial" w:cs="Arial"/>
          <w:sz w:val="22"/>
          <w:szCs w:val="22"/>
        </w:rPr>
        <w:t xml:space="preserve"> (Attaran, 2020)</w:t>
      </w:r>
      <w:r w:rsidRPr="00132AD4">
        <w:rPr>
          <w:rFonts w:ascii="Arial" w:hAnsi="Arial" w:cs="Arial"/>
          <w:sz w:val="22"/>
          <w:szCs w:val="22"/>
        </w:rPr>
        <w:t>. This division of leadership responsibilities demonstrated how shared leadership models can function effectively in federated systems during complex crises</w:t>
      </w:r>
      <w:r w:rsidR="00D12490" w:rsidRPr="00132AD4">
        <w:rPr>
          <w:rFonts w:ascii="Arial" w:hAnsi="Arial" w:cs="Arial"/>
          <w:sz w:val="22"/>
          <w:szCs w:val="22"/>
        </w:rPr>
        <w:t xml:space="preserve"> (Cameron, 2021)</w:t>
      </w:r>
      <w:r w:rsidRPr="00132AD4">
        <w:rPr>
          <w:rFonts w:ascii="Arial" w:hAnsi="Arial" w:cs="Arial"/>
          <w:sz w:val="22"/>
          <w:szCs w:val="22"/>
        </w:rPr>
        <w:t>.</w:t>
      </w:r>
    </w:p>
    <w:p w14:paraId="3CA9FC73" w14:textId="361ADC68" w:rsidR="001378CF" w:rsidRPr="00132AD4" w:rsidRDefault="008B7FDE" w:rsidP="008B7FDE">
      <w:pPr>
        <w:pStyle w:val="Heading2"/>
        <w:rPr>
          <w:rFonts w:cs="Arial"/>
          <w:sz w:val="22"/>
          <w:szCs w:val="22"/>
        </w:rPr>
      </w:pPr>
      <w:bookmarkStart w:id="21" w:name="_Toc216688726"/>
      <w:r w:rsidRPr="00132AD4">
        <w:rPr>
          <w:rFonts w:cs="Arial"/>
          <w:sz w:val="22"/>
          <w:szCs w:val="22"/>
        </w:rPr>
        <w:t xml:space="preserve">3.3.2 </w:t>
      </w:r>
      <w:r w:rsidR="001378CF" w:rsidRPr="00132AD4">
        <w:rPr>
          <w:rFonts w:cs="Arial"/>
          <w:sz w:val="22"/>
          <w:szCs w:val="22"/>
        </w:rPr>
        <w:t>Disadvantages of Canada’s Leadership Style During COVID-19</w:t>
      </w:r>
      <w:bookmarkEnd w:id="21"/>
      <w:r w:rsidR="001378CF" w:rsidRPr="00132AD4">
        <w:rPr>
          <w:rFonts w:cs="Arial"/>
          <w:sz w:val="22"/>
          <w:szCs w:val="22"/>
        </w:rPr>
        <w:t xml:space="preserve"> </w:t>
      </w:r>
    </w:p>
    <w:p w14:paraId="6046A762" w14:textId="52B947CB"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Despite these strengths, Canada’s leadership approach also revealed significant limitations. The heavy reliance on collaborative and consensus-based leadership sometimes resulted in slow decision-making, particularly during the early stages of the pandemic</w:t>
      </w:r>
      <w:r w:rsidR="00EE753D" w:rsidRPr="00132AD4">
        <w:rPr>
          <w:rFonts w:ascii="Arial" w:hAnsi="Arial" w:cs="Arial"/>
          <w:sz w:val="22"/>
          <w:szCs w:val="22"/>
        </w:rPr>
        <w:t xml:space="preserve"> (Keeley, 2023)</w:t>
      </w:r>
      <w:r w:rsidRPr="00132AD4">
        <w:rPr>
          <w:rFonts w:ascii="Arial" w:hAnsi="Arial" w:cs="Arial"/>
          <w:sz w:val="22"/>
          <w:szCs w:val="22"/>
        </w:rPr>
        <w:t>. The absence of a strong, unified national strategy led to inconsistent policies across provinces, including differing lockdown rules, testing protocols, and vaccination timelines. From a crisis leadership perspective, this highlighted the weaknesses of decentralised authority when rapid, coordinated action is required</w:t>
      </w:r>
      <w:r w:rsidR="00502642" w:rsidRPr="00132AD4">
        <w:rPr>
          <w:rFonts w:ascii="Arial" w:hAnsi="Arial" w:cs="Arial"/>
          <w:sz w:val="22"/>
          <w:szCs w:val="22"/>
        </w:rPr>
        <w:t xml:space="preserve"> (Cameron, 2021)</w:t>
      </w:r>
      <w:r w:rsidRPr="00132AD4">
        <w:rPr>
          <w:rFonts w:ascii="Arial" w:hAnsi="Arial" w:cs="Arial"/>
          <w:sz w:val="22"/>
          <w:szCs w:val="22"/>
        </w:rPr>
        <w:t>.</w:t>
      </w:r>
    </w:p>
    <w:p w14:paraId="1190521E" w14:textId="37414175"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Additionally, leadership messaging was occasionally undermined by political disagreements between federal and provincial leaders</w:t>
      </w:r>
      <w:r w:rsidR="00EE753D" w:rsidRPr="00132AD4">
        <w:rPr>
          <w:rFonts w:ascii="Arial" w:hAnsi="Arial" w:cs="Arial"/>
          <w:sz w:val="22"/>
          <w:szCs w:val="22"/>
        </w:rPr>
        <w:t xml:space="preserve"> (Keeley, 2023)</w:t>
      </w:r>
      <w:r w:rsidRPr="00132AD4">
        <w:rPr>
          <w:rFonts w:ascii="Arial" w:hAnsi="Arial" w:cs="Arial"/>
          <w:sz w:val="22"/>
          <w:szCs w:val="22"/>
        </w:rPr>
        <w:t>. Conflicting public statements created confusion and reduced compliance in some regions</w:t>
      </w:r>
      <w:r w:rsidR="00C23038" w:rsidRPr="00132AD4">
        <w:rPr>
          <w:rFonts w:ascii="Arial" w:hAnsi="Arial" w:cs="Arial"/>
          <w:sz w:val="22"/>
          <w:szCs w:val="22"/>
        </w:rPr>
        <w:t xml:space="preserve"> (Cameron, 2021)</w:t>
      </w:r>
      <w:r w:rsidRPr="00132AD4">
        <w:rPr>
          <w:rFonts w:ascii="Arial" w:hAnsi="Arial" w:cs="Arial"/>
          <w:sz w:val="22"/>
          <w:szCs w:val="22"/>
        </w:rPr>
        <w:t>. This fragmentation limited the effectiveness of strategic leadership, as long-term planning and national alignment were difficult to sustain</w:t>
      </w:r>
      <w:r w:rsidR="00FA05ED" w:rsidRPr="00132AD4">
        <w:rPr>
          <w:rFonts w:ascii="Arial" w:hAnsi="Arial" w:cs="Arial"/>
          <w:sz w:val="22"/>
          <w:szCs w:val="22"/>
        </w:rPr>
        <w:t xml:space="preserve"> (McLellan, 2022)</w:t>
      </w:r>
      <w:r w:rsidRPr="00132AD4">
        <w:rPr>
          <w:rFonts w:ascii="Arial" w:hAnsi="Arial" w:cs="Arial"/>
          <w:sz w:val="22"/>
          <w:szCs w:val="22"/>
        </w:rPr>
        <w:t>. Furthermore, Canada’s leadership approach struggled to address systemic weaknesses in long-term care, an area that suffered disproportionately high mortality</w:t>
      </w:r>
      <w:r w:rsidR="00C23038" w:rsidRPr="00132AD4">
        <w:rPr>
          <w:rFonts w:ascii="Arial" w:hAnsi="Arial" w:cs="Arial"/>
          <w:sz w:val="22"/>
          <w:szCs w:val="22"/>
        </w:rPr>
        <w:t xml:space="preserve"> (Cameron, 2021)</w:t>
      </w:r>
      <w:r w:rsidRPr="00132AD4">
        <w:rPr>
          <w:rFonts w:ascii="Arial" w:hAnsi="Arial" w:cs="Arial"/>
          <w:sz w:val="22"/>
          <w:szCs w:val="22"/>
        </w:rPr>
        <w:t xml:space="preserve">. These shortcomings demonstrate that </w:t>
      </w:r>
      <w:r w:rsidRPr="00132AD4">
        <w:rPr>
          <w:rFonts w:ascii="Arial" w:hAnsi="Arial" w:cs="Arial"/>
          <w:sz w:val="22"/>
          <w:szCs w:val="22"/>
        </w:rPr>
        <w:lastRenderedPageBreak/>
        <w:t>while empathetic and collaborative leadership can build trust, it must be supported by clearer authority, accountability, and preparedness structures to be fully effective during large-scale public health emergencies</w:t>
      </w:r>
      <w:r w:rsidR="00EE753D" w:rsidRPr="00132AD4">
        <w:rPr>
          <w:rFonts w:ascii="Arial" w:hAnsi="Arial" w:cs="Arial"/>
          <w:sz w:val="22"/>
          <w:szCs w:val="22"/>
        </w:rPr>
        <w:t xml:space="preserve"> (Keeley, 2023)</w:t>
      </w:r>
      <w:r w:rsidRPr="00132AD4">
        <w:rPr>
          <w:rFonts w:ascii="Arial" w:hAnsi="Arial" w:cs="Arial"/>
          <w:sz w:val="22"/>
          <w:szCs w:val="22"/>
        </w:rPr>
        <w:t>.</w:t>
      </w:r>
    </w:p>
    <w:p w14:paraId="5BC73CAE" w14:textId="77777777" w:rsidR="001378CF" w:rsidRPr="00132AD4" w:rsidRDefault="001378CF" w:rsidP="008B7FDE">
      <w:pPr>
        <w:pStyle w:val="Heading1"/>
        <w:rPr>
          <w:rFonts w:cs="Arial"/>
          <w:sz w:val="22"/>
          <w:szCs w:val="22"/>
        </w:rPr>
      </w:pPr>
      <w:bookmarkStart w:id="22" w:name="_Toc216688727"/>
      <w:r w:rsidRPr="00132AD4">
        <w:rPr>
          <w:rFonts w:cs="Arial"/>
          <w:sz w:val="22"/>
          <w:szCs w:val="22"/>
        </w:rPr>
        <w:t>Conclusion</w:t>
      </w:r>
      <w:bookmarkEnd w:id="22"/>
      <w:r w:rsidRPr="00132AD4">
        <w:rPr>
          <w:rFonts w:cs="Arial"/>
          <w:sz w:val="22"/>
          <w:szCs w:val="22"/>
        </w:rPr>
        <w:t xml:space="preserve"> </w:t>
      </w:r>
    </w:p>
    <w:p w14:paraId="32A4CD30" w14:textId="1AC74746" w:rsidR="00B64D4B" w:rsidRPr="00132AD4" w:rsidRDefault="00B64D4B" w:rsidP="001378CF">
      <w:pPr>
        <w:spacing w:line="360" w:lineRule="auto"/>
        <w:jc w:val="both"/>
        <w:rPr>
          <w:rFonts w:ascii="Arial" w:hAnsi="Arial" w:cs="Arial"/>
          <w:sz w:val="22"/>
          <w:szCs w:val="22"/>
        </w:rPr>
      </w:pPr>
      <w:r w:rsidRPr="00132AD4">
        <w:rPr>
          <w:rFonts w:ascii="Arial" w:hAnsi="Arial" w:cs="Arial"/>
          <w:sz w:val="22"/>
          <w:szCs w:val="22"/>
        </w:rPr>
        <w:t>This report explored the ways in which national healthcare arrangements and leadership strategies influenced how Spain, South Korea, and Canada responded to the COVID-19 crisis. The analysis identified the organisation of authority, particularly how decision-making power was distributed between central and regional levels</w:t>
      </w:r>
      <w:r w:rsidR="005406FA" w:rsidRPr="00132AD4">
        <w:rPr>
          <w:rFonts w:ascii="Arial" w:hAnsi="Arial" w:cs="Arial"/>
          <w:sz w:val="22"/>
          <w:szCs w:val="22"/>
        </w:rPr>
        <w:t xml:space="preserve">, </w:t>
      </w:r>
      <w:r w:rsidRPr="00132AD4">
        <w:rPr>
          <w:rFonts w:ascii="Arial" w:hAnsi="Arial" w:cs="Arial"/>
          <w:sz w:val="22"/>
          <w:szCs w:val="22"/>
        </w:rPr>
        <w:t>as a key factor shaping the efficiency and coherence of pandemic responses. Although all three countries maintained broad access to healthcare, differences in institutional readiness, governance capacity, and emergency leadership produced markedly different results. The experience of the pandemic underscored that the effectiveness of a healthcare system is not defined by its structure alone, but by its ability to respond flexibly, coordinate effectively, and sustain performance under crisis conditions.</w:t>
      </w:r>
    </w:p>
    <w:p w14:paraId="54EAAA01" w14:textId="0CFF2115"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From a systems perspective, South Korea’s centrally coordinated healthcare governance enabled rapid mobilisation, technological integration, and consistent national implementation of public health measures. Spain and Canada, with more decentralised systems, faced early challenges related to fragmentation and uneven regional responses. However, decentralisation also allowed flexibility and local adaptation during later phases of the pandemic. These cases illustrate that hybrid models</w:t>
      </w:r>
      <w:r w:rsidR="00734D10" w:rsidRPr="00132AD4">
        <w:rPr>
          <w:rFonts w:ascii="Arial" w:hAnsi="Arial" w:cs="Arial"/>
          <w:sz w:val="22"/>
          <w:szCs w:val="22"/>
        </w:rPr>
        <w:t xml:space="preserve">, </w:t>
      </w:r>
      <w:r w:rsidRPr="00132AD4">
        <w:rPr>
          <w:rFonts w:ascii="Arial" w:hAnsi="Arial" w:cs="Arial"/>
          <w:sz w:val="22"/>
          <w:szCs w:val="22"/>
        </w:rPr>
        <w:t>where central authority strengthens coordination while regions retain operational autonomy</w:t>
      </w:r>
      <w:r w:rsidR="00734D10" w:rsidRPr="00132AD4">
        <w:rPr>
          <w:rFonts w:ascii="Arial" w:hAnsi="Arial" w:cs="Arial"/>
          <w:sz w:val="22"/>
          <w:szCs w:val="22"/>
        </w:rPr>
        <w:t xml:space="preserve">, </w:t>
      </w:r>
      <w:r w:rsidRPr="00132AD4">
        <w:rPr>
          <w:rFonts w:ascii="Arial" w:hAnsi="Arial" w:cs="Arial"/>
          <w:sz w:val="22"/>
          <w:szCs w:val="22"/>
        </w:rPr>
        <w:t>may offer the most resilience during prolonged public health crises.</w:t>
      </w:r>
    </w:p>
    <w:p w14:paraId="4988B89C" w14:textId="77777777" w:rsidR="001378CF" w:rsidRPr="00132AD4" w:rsidRDefault="001378CF" w:rsidP="001378CF">
      <w:pPr>
        <w:spacing w:line="360" w:lineRule="auto"/>
        <w:jc w:val="both"/>
        <w:rPr>
          <w:rFonts w:ascii="Arial" w:hAnsi="Arial" w:cs="Arial"/>
          <w:sz w:val="22"/>
          <w:szCs w:val="22"/>
        </w:rPr>
      </w:pPr>
      <w:r w:rsidRPr="00132AD4">
        <w:rPr>
          <w:rFonts w:ascii="Arial" w:hAnsi="Arial" w:cs="Arial"/>
          <w:sz w:val="22"/>
          <w:szCs w:val="22"/>
        </w:rPr>
        <w:t>Leadership styles further influenced the success of pandemic responses. South Korea’s technocratic and evidence-based leadership fostered public trust and compliance, while Spain’s fluctuating leadership approach revealed tensions between central authority and regional autonomy. Canada’s empathetic and collaborative leadership strengthened social solidarity but struggled with consistency and speed. Overall, the pandemic underscored the importance of decisive, transparent, and adaptive leadership aligned with healthcare system structures. Strong leadership, supported by clear governance frameworks, is essential for effective crisis management in future global health emergencies.</w:t>
      </w:r>
    </w:p>
    <w:p w14:paraId="1D1F271E" w14:textId="77777777" w:rsidR="001378CF" w:rsidRPr="00132AD4" w:rsidRDefault="001378CF" w:rsidP="001378CF">
      <w:pPr>
        <w:spacing w:line="360" w:lineRule="auto"/>
        <w:jc w:val="both"/>
        <w:rPr>
          <w:rFonts w:ascii="Arial" w:hAnsi="Arial" w:cs="Arial"/>
          <w:vanish/>
          <w:sz w:val="22"/>
          <w:szCs w:val="22"/>
        </w:rPr>
      </w:pPr>
      <w:r w:rsidRPr="00132AD4">
        <w:rPr>
          <w:rFonts w:ascii="Arial" w:hAnsi="Arial" w:cs="Arial"/>
          <w:vanish/>
          <w:sz w:val="22"/>
          <w:szCs w:val="22"/>
        </w:rPr>
        <w:t>Top of Form</w:t>
      </w:r>
    </w:p>
    <w:p w14:paraId="191CB919" w14:textId="77777777" w:rsidR="001378CF" w:rsidRPr="00132AD4" w:rsidRDefault="001378CF" w:rsidP="001378CF">
      <w:pPr>
        <w:spacing w:line="360" w:lineRule="auto"/>
        <w:jc w:val="both"/>
        <w:rPr>
          <w:rFonts w:ascii="Arial" w:hAnsi="Arial" w:cs="Arial"/>
          <w:sz w:val="22"/>
          <w:szCs w:val="22"/>
        </w:rPr>
      </w:pPr>
    </w:p>
    <w:p w14:paraId="663D4E87" w14:textId="77777777" w:rsidR="00574D31" w:rsidRPr="00132AD4" w:rsidRDefault="00574D31" w:rsidP="00574D31">
      <w:pPr>
        <w:spacing w:line="360" w:lineRule="auto"/>
        <w:jc w:val="both"/>
        <w:rPr>
          <w:rFonts w:ascii="Arial" w:hAnsi="Arial" w:cs="Arial"/>
          <w:sz w:val="22"/>
          <w:szCs w:val="22"/>
        </w:rPr>
      </w:pPr>
    </w:p>
    <w:p w14:paraId="39F253CE" w14:textId="77777777" w:rsidR="00571B93" w:rsidRPr="00132AD4" w:rsidRDefault="00571B93" w:rsidP="005C2919">
      <w:pPr>
        <w:spacing w:line="360" w:lineRule="auto"/>
        <w:jc w:val="both"/>
        <w:rPr>
          <w:rFonts w:ascii="Arial" w:hAnsi="Arial" w:cs="Arial"/>
          <w:sz w:val="22"/>
          <w:szCs w:val="22"/>
        </w:rPr>
      </w:pPr>
    </w:p>
    <w:p w14:paraId="4F30BDFD" w14:textId="77777777" w:rsidR="00571B93" w:rsidRPr="00132AD4" w:rsidRDefault="00571B93" w:rsidP="005C2919">
      <w:pPr>
        <w:spacing w:line="360" w:lineRule="auto"/>
        <w:jc w:val="both"/>
        <w:rPr>
          <w:rFonts w:ascii="Arial" w:hAnsi="Arial" w:cs="Arial"/>
          <w:sz w:val="22"/>
          <w:szCs w:val="22"/>
        </w:rPr>
      </w:pPr>
    </w:p>
    <w:p w14:paraId="26DA82D4" w14:textId="17EBD18C" w:rsidR="00C96D49" w:rsidRPr="00132AD4" w:rsidRDefault="00C96D49" w:rsidP="00C96D49">
      <w:pPr>
        <w:pStyle w:val="Heading1"/>
        <w:rPr>
          <w:rFonts w:cs="Arial"/>
          <w:sz w:val="22"/>
          <w:szCs w:val="22"/>
        </w:rPr>
      </w:pPr>
      <w:bookmarkStart w:id="23" w:name="_Toc216688728"/>
      <w:r w:rsidRPr="00132AD4">
        <w:rPr>
          <w:rFonts w:cs="Arial"/>
          <w:sz w:val="22"/>
          <w:szCs w:val="22"/>
        </w:rPr>
        <w:lastRenderedPageBreak/>
        <w:t>References</w:t>
      </w:r>
      <w:bookmarkEnd w:id="23"/>
    </w:p>
    <w:p w14:paraId="18731B48" w14:textId="07405218" w:rsidR="000F5B2D" w:rsidRPr="00132AD4" w:rsidRDefault="000F5B2D" w:rsidP="005C2919">
      <w:pPr>
        <w:spacing w:line="360" w:lineRule="auto"/>
        <w:jc w:val="both"/>
        <w:rPr>
          <w:rFonts w:ascii="Arial" w:hAnsi="Arial" w:cs="Arial"/>
          <w:sz w:val="22"/>
          <w:szCs w:val="22"/>
        </w:rPr>
      </w:pPr>
      <w:r w:rsidRPr="00132AD4">
        <w:rPr>
          <w:rFonts w:ascii="Arial" w:hAnsi="Arial" w:cs="Arial"/>
          <w:sz w:val="22"/>
          <w:szCs w:val="22"/>
        </w:rPr>
        <w:t xml:space="preserve">Attaran, A., </w:t>
      </w:r>
      <w:r w:rsidR="00734D10" w:rsidRPr="00132AD4">
        <w:rPr>
          <w:rFonts w:ascii="Arial" w:hAnsi="Arial" w:cs="Arial"/>
          <w:sz w:val="22"/>
          <w:szCs w:val="22"/>
        </w:rPr>
        <w:t>(</w:t>
      </w:r>
      <w:r w:rsidRPr="00132AD4">
        <w:rPr>
          <w:rFonts w:ascii="Arial" w:hAnsi="Arial" w:cs="Arial"/>
          <w:sz w:val="22"/>
          <w:szCs w:val="22"/>
        </w:rPr>
        <w:t>2020</w:t>
      </w:r>
      <w:r w:rsidR="00734D10" w:rsidRPr="00132AD4">
        <w:rPr>
          <w:rFonts w:ascii="Arial" w:hAnsi="Arial" w:cs="Arial"/>
          <w:sz w:val="22"/>
          <w:szCs w:val="22"/>
        </w:rPr>
        <w:t>)</w:t>
      </w:r>
      <w:r w:rsidRPr="00132AD4">
        <w:rPr>
          <w:rFonts w:ascii="Arial" w:hAnsi="Arial" w:cs="Arial"/>
          <w:sz w:val="22"/>
          <w:szCs w:val="22"/>
        </w:rPr>
        <w:t>. The failing federation: Why Canada is ineffective at COVID-19. </w:t>
      </w:r>
      <w:r w:rsidRPr="00132AD4">
        <w:rPr>
          <w:rFonts w:ascii="Arial" w:hAnsi="Arial" w:cs="Arial"/>
          <w:i/>
          <w:iCs/>
          <w:sz w:val="22"/>
          <w:szCs w:val="22"/>
        </w:rPr>
        <w:t xml:space="preserve">J. </w:t>
      </w:r>
      <w:proofErr w:type="spellStart"/>
      <w:r w:rsidRPr="00132AD4">
        <w:rPr>
          <w:rFonts w:ascii="Arial" w:hAnsi="Arial" w:cs="Arial"/>
          <w:i/>
          <w:iCs/>
          <w:sz w:val="22"/>
          <w:szCs w:val="22"/>
        </w:rPr>
        <w:t>Nat'l</w:t>
      </w:r>
      <w:proofErr w:type="spellEnd"/>
      <w:r w:rsidRPr="00132AD4">
        <w:rPr>
          <w:rFonts w:ascii="Arial" w:hAnsi="Arial" w:cs="Arial"/>
          <w:i/>
          <w:iCs/>
          <w:sz w:val="22"/>
          <w:szCs w:val="22"/>
        </w:rPr>
        <w:t xml:space="preserve"> Sec. L. &amp; </w:t>
      </w:r>
      <w:proofErr w:type="spellStart"/>
      <w:r w:rsidRPr="00132AD4">
        <w:rPr>
          <w:rFonts w:ascii="Arial" w:hAnsi="Arial" w:cs="Arial"/>
          <w:i/>
          <w:iCs/>
          <w:sz w:val="22"/>
          <w:szCs w:val="22"/>
        </w:rPr>
        <w:t>Pol'y</w:t>
      </w:r>
      <w:proofErr w:type="spellEnd"/>
      <w:r w:rsidRPr="00132AD4">
        <w:rPr>
          <w:rFonts w:ascii="Arial" w:hAnsi="Arial" w:cs="Arial"/>
          <w:sz w:val="22"/>
          <w:szCs w:val="22"/>
        </w:rPr>
        <w:t>, </w:t>
      </w:r>
      <w:r w:rsidRPr="00132AD4">
        <w:rPr>
          <w:rFonts w:ascii="Arial" w:hAnsi="Arial" w:cs="Arial"/>
          <w:i/>
          <w:iCs/>
          <w:sz w:val="22"/>
          <w:szCs w:val="22"/>
        </w:rPr>
        <w:t>11</w:t>
      </w:r>
      <w:r w:rsidRPr="00132AD4">
        <w:rPr>
          <w:rFonts w:ascii="Arial" w:hAnsi="Arial" w:cs="Arial"/>
          <w:sz w:val="22"/>
          <w:szCs w:val="22"/>
        </w:rPr>
        <w:t>, p.229.</w:t>
      </w:r>
    </w:p>
    <w:p w14:paraId="43A3FDDE" w14:textId="790DF3BE" w:rsidR="00502642" w:rsidRPr="00132AD4" w:rsidRDefault="00502642" w:rsidP="005C2919">
      <w:pPr>
        <w:spacing w:line="360" w:lineRule="auto"/>
        <w:jc w:val="both"/>
        <w:rPr>
          <w:rFonts w:ascii="Arial" w:hAnsi="Arial" w:cs="Arial"/>
          <w:sz w:val="22"/>
          <w:szCs w:val="22"/>
        </w:rPr>
      </w:pPr>
      <w:r w:rsidRPr="00132AD4">
        <w:rPr>
          <w:rFonts w:ascii="Arial" w:hAnsi="Arial" w:cs="Arial"/>
          <w:sz w:val="22"/>
          <w:szCs w:val="22"/>
        </w:rPr>
        <w:t xml:space="preserve">Cameron, D., </w:t>
      </w:r>
      <w:r w:rsidR="00E70183" w:rsidRPr="00132AD4">
        <w:rPr>
          <w:rFonts w:ascii="Arial" w:hAnsi="Arial" w:cs="Arial"/>
          <w:sz w:val="22"/>
          <w:szCs w:val="22"/>
        </w:rPr>
        <w:t>(</w:t>
      </w:r>
      <w:r w:rsidRPr="00132AD4">
        <w:rPr>
          <w:rFonts w:ascii="Arial" w:hAnsi="Arial" w:cs="Arial"/>
          <w:sz w:val="22"/>
          <w:szCs w:val="22"/>
        </w:rPr>
        <w:t>2021</w:t>
      </w:r>
      <w:r w:rsidR="00E70183" w:rsidRPr="00132AD4">
        <w:rPr>
          <w:rFonts w:ascii="Arial" w:hAnsi="Arial" w:cs="Arial"/>
          <w:sz w:val="22"/>
          <w:szCs w:val="22"/>
        </w:rPr>
        <w:t>)</w:t>
      </w:r>
      <w:r w:rsidRPr="00132AD4">
        <w:rPr>
          <w:rFonts w:ascii="Arial" w:hAnsi="Arial" w:cs="Arial"/>
          <w:sz w:val="22"/>
          <w:szCs w:val="22"/>
        </w:rPr>
        <w:t>. The relative performance of federal and non-federal countries during the pandemic. In </w:t>
      </w:r>
      <w:r w:rsidRPr="00132AD4">
        <w:rPr>
          <w:rFonts w:ascii="Arial" w:hAnsi="Arial" w:cs="Arial"/>
          <w:i/>
          <w:iCs/>
          <w:sz w:val="22"/>
          <w:szCs w:val="22"/>
        </w:rPr>
        <w:t>Federalism and the Response to COVID-19</w:t>
      </w:r>
      <w:r w:rsidRPr="00132AD4">
        <w:rPr>
          <w:rFonts w:ascii="Arial" w:hAnsi="Arial" w:cs="Arial"/>
          <w:sz w:val="22"/>
          <w:szCs w:val="22"/>
        </w:rPr>
        <w:t> (pp. 262-276). Routledge India.</w:t>
      </w:r>
    </w:p>
    <w:p w14:paraId="73DD6C7D" w14:textId="44BB26D6" w:rsidR="0070284F" w:rsidRPr="00132AD4" w:rsidRDefault="0070284F" w:rsidP="005C2919">
      <w:pPr>
        <w:spacing w:line="360" w:lineRule="auto"/>
        <w:jc w:val="both"/>
        <w:rPr>
          <w:rFonts w:ascii="Arial" w:hAnsi="Arial" w:cs="Arial"/>
          <w:sz w:val="22"/>
          <w:szCs w:val="22"/>
        </w:rPr>
      </w:pPr>
      <w:r w:rsidRPr="00132AD4">
        <w:rPr>
          <w:rFonts w:ascii="Arial" w:hAnsi="Arial" w:cs="Arial"/>
          <w:sz w:val="22"/>
          <w:szCs w:val="22"/>
        </w:rPr>
        <w:t xml:space="preserve">Campolongo, F. and Olivas Osuna, J.J., </w:t>
      </w:r>
      <w:r w:rsidR="00E70183" w:rsidRPr="00132AD4">
        <w:rPr>
          <w:rFonts w:ascii="Arial" w:hAnsi="Arial" w:cs="Arial"/>
          <w:sz w:val="22"/>
          <w:szCs w:val="22"/>
        </w:rPr>
        <w:t>(</w:t>
      </w:r>
      <w:r w:rsidRPr="00132AD4">
        <w:rPr>
          <w:rFonts w:ascii="Arial" w:hAnsi="Arial" w:cs="Arial"/>
          <w:sz w:val="22"/>
          <w:szCs w:val="22"/>
        </w:rPr>
        <w:t>2024</w:t>
      </w:r>
      <w:r w:rsidR="00E70183" w:rsidRPr="00132AD4">
        <w:rPr>
          <w:rFonts w:ascii="Arial" w:hAnsi="Arial" w:cs="Arial"/>
          <w:sz w:val="22"/>
          <w:szCs w:val="22"/>
        </w:rPr>
        <w:t>)</w:t>
      </w:r>
      <w:r w:rsidRPr="00132AD4">
        <w:rPr>
          <w:rFonts w:ascii="Arial" w:hAnsi="Arial" w:cs="Arial"/>
          <w:sz w:val="22"/>
          <w:szCs w:val="22"/>
        </w:rPr>
        <w:t>. Times of crises: ideology and party system transformations in Spain. </w:t>
      </w:r>
      <w:proofErr w:type="spellStart"/>
      <w:r w:rsidRPr="00132AD4">
        <w:rPr>
          <w:rFonts w:ascii="Arial" w:hAnsi="Arial" w:cs="Arial"/>
          <w:i/>
          <w:iCs/>
          <w:sz w:val="22"/>
          <w:szCs w:val="22"/>
        </w:rPr>
        <w:t>Partecipazione</w:t>
      </w:r>
      <w:proofErr w:type="spellEnd"/>
      <w:r w:rsidRPr="00132AD4">
        <w:rPr>
          <w:rFonts w:ascii="Arial" w:hAnsi="Arial" w:cs="Arial"/>
          <w:i/>
          <w:iCs/>
          <w:sz w:val="22"/>
          <w:szCs w:val="22"/>
        </w:rPr>
        <w:t xml:space="preserve"> e </w:t>
      </w:r>
      <w:proofErr w:type="spellStart"/>
      <w:r w:rsidRPr="00132AD4">
        <w:rPr>
          <w:rFonts w:ascii="Arial" w:hAnsi="Arial" w:cs="Arial"/>
          <w:i/>
          <w:iCs/>
          <w:sz w:val="22"/>
          <w:szCs w:val="22"/>
        </w:rPr>
        <w:t>Conflitto</w:t>
      </w:r>
      <w:proofErr w:type="spellEnd"/>
      <w:r w:rsidRPr="00132AD4">
        <w:rPr>
          <w:rFonts w:ascii="Arial" w:hAnsi="Arial" w:cs="Arial"/>
          <w:sz w:val="22"/>
          <w:szCs w:val="22"/>
        </w:rPr>
        <w:t>.</w:t>
      </w:r>
    </w:p>
    <w:p w14:paraId="3DCDAA45" w14:textId="0B830DEE" w:rsidR="003A0B2A" w:rsidRPr="00132AD4" w:rsidRDefault="003A0B2A" w:rsidP="005C2919">
      <w:pPr>
        <w:spacing w:line="360" w:lineRule="auto"/>
        <w:jc w:val="both"/>
        <w:rPr>
          <w:rFonts w:ascii="Arial" w:hAnsi="Arial" w:cs="Arial"/>
          <w:sz w:val="22"/>
          <w:szCs w:val="22"/>
        </w:rPr>
      </w:pPr>
      <w:r w:rsidRPr="00132AD4">
        <w:rPr>
          <w:rFonts w:ascii="Arial" w:hAnsi="Arial" w:cs="Arial"/>
          <w:sz w:val="22"/>
          <w:szCs w:val="22"/>
        </w:rPr>
        <w:t xml:space="preserve">Çelik, H., </w:t>
      </w:r>
      <w:r w:rsidR="00F12F18" w:rsidRPr="00132AD4">
        <w:rPr>
          <w:rFonts w:ascii="Arial" w:hAnsi="Arial" w:cs="Arial"/>
          <w:sz w:val="22"/>
          <w:szCs w:val="22"/>
        </w:rPr>
        <w:t>(</w:t>
      </w:r>
      <w:r w:rsidRPr="00132AD4">
        <w:rPr>
          <w:rFonts w:ascii="Arial" w:hAnsi="Arial" w:cs="Arial"/>
          <w:sz w:val="22"/>
          <w:szCs w:val="22"/>
        </w:rPr>
        <w:t>2022</w:t>
      </w:r>
      <w:r w:rsidR="00F12F18" w:rsidRPr="00132AD4">
        <w:rPr>
          <w:rFonts w:ascii="Arial" w:hAnsi="Arial" w:cs="Arial"/>
          <w:sz w:val="22"/>
          <w:szCs w:val="22"/>
        </w:rPr>
        <w:t>)</w:t>
      </w:r>
      <w:r w:rsidRPr="00132AD4">
        <w:rPr>
          <w:rFonts w:ascii="Arial" w:hAnsi="Arial" w:cs="Arial"/>
          <w:sz w:val="22"/>
          <w:szCs w:val="22"/>
        </w:rPr>
        <w:t>. Understanding South Korea-Middle East Relations under Moon Jae-in Administration. </w:t>
      </w:r>
      <w:r w:rsidRPr="00132AD4">
        <w:rPr>
          <w:rFonts w:ascii="Arial" w:hAnsi="Arial" w:cs="Arial"/>
          <w:i/>
          <w:iCs/>
          <w:sz w:val="22"/>
          <w:szCs w:val="22"/>
        </w:rPr>
        <w:t>Korea Europe Review: an interdisciplinary journal of politics, society, and economics</w:t>
      </w:r>
      <w:r w:rsidRPr="00132AD4">
        <w:rPr>
          <w:rFonts w:ascii="Arial" w:hAnsi="Arial" w:cs="Arial"/>
          <w:sz w:val="22"/>
          <w:szCs w:val="22"/>
        </w:rPr>
        <w:t>, (2).</w:t>
      </w:r>
    </w:p>
    <w:p w14:paraId="39CC1B05" w14:textId="627F041D" w:rsidR="003025CE" w:rsidRPr="00132AD4" w:rsidRDefault="003025CE" w:rsidP="005C2919">
      <w:pPr>
        <w:spacing w:line="360" w:lineRule="auto"/>
        <w:jc w:val="both"/>
        <w:rPr>
          <w:rFonts w:ascii="Arial" w:hAnsi="Arial" w:cs="Arial"/>
          <w:sz w:val="22"/>
          <w:szCs w:val="22"/>
        </w:rPr>
      </w:pPr>
      <w:r w:rsidRPr="00132AD4">
        <w:rPr>
          <w:rFonts w:ascii="Arial" w:hAnsi="Arial" w:cs="Arial"/>
          <w:sz w:val="22"/>
          <w:szCs w:val="22"/>
        </w:rPr>
        <w:t xml:space="preserve">Chen, H., Shi, L., Zhang, Y., Wang, X. and Sun, G., </w:t>
      </w:r>
      <w:r w:rsidR="00EC579B" w:rsidRPr="00132AD4">
        <w:rPr>
          <w:rFonts w:ascii="Arial" w:hAnsi="Arial" w:cs="Arial"/>
          <w:sz w:val="22"/>
          <w:szCs w:val="22"/>
        </w:rPr>
        <w:t>(</w:t>
      </w:r>
      <w:r w:rsidRPr="00132AD4">
        <w:rPr>
          <w:rFonts w:ascii="Arial" w:hAnsi="Arial" w:cs="Arial"/>
          <w:sz w:val="22"/>
          <w:szCs w:val="22"/>
        </w:rPr>
        <w:t>2021</w:t>
      </w:r>
      <w:r w:rsidR="00EC579B" w:rsidRPr="00132AD4">
        <w:rPr>
          <w:rFonts w:ascii="Arial" w:hAnsi="Arial" w:cs="Arial"/>
          <w:sz w:val="22"/>
          <w:szCs w:val="22"/>
        </w:rPr>
        <w:t>)</w:t>
      </w:r>
      <w:r w:rsidRPr="00132AD4">
        <w:rPr>
          <w:rFonts w:ascii="Arial" w:hAnsi="Arial" w:cs="Arial"/>
          <w:sz w:val="22"/>
          <w:szCs w:val="22"/>
        </w:rPr>
        <w:t>. Policy disparities in response to COVID-19 between China and South Korea. </w:t>
      </w:r>
      <w:r w:rsidRPr="00132AD4">
        <w:rPr>
          <w:rFonts w:ascii="Arial" w:hAnsi="Arial" w:cs="Arial"/>
          <w:i/>
          <w:iCs/>
          <w:sz w:val="22"/>
          <w:szCs w:val="22"/>
        </w:rPr>
        <w:t>Journal of epidemiology and global health</w:t>
      </w:r>
      <w:r w:rsidRPr="00132AD4">
        <w:rPr>
          <w:rFonts w:ascii="Arial" w:hAnsi="Arial" w:cs="Arial"/>
          <w:sz w:val="22"/>
          <w:szCs w:val="22"/>
        </w:rPr>
        <w:t>, </w:t>
      </w:r>
      <w:r w:rsidRPr="00132AD4">
        <w:rPr>
          <w:rFonts w:ascii="Arial" w:hAnsi="Arial" w:cs="Arial"/>
          <w:i/>
          <w:iCs/>
          <w:sz w:val="22"/>
          <w:szCs w:val="22"/>
        </w:rPr>
        <w:t>11</w:t>
      </w:r>
      <w:r w:rsidRPr="00132AD4">
        <w:rPr>
          <w:rFonts w:ascii="Arial" w:hAnsi="Arial" w:cs="Arial"/>
          <w:sz w:val="22"/>
          <w:szCs w:val="22"/>
        </w:rPr>
        <w:t>(2), pp.246-252.</w:t>
      </w:r>
    </w:p>
    <w:p w14:paraId="24868FD1" w14:textId="2A3F2222" w:rsidR="00ED49D4" w:rsidRPr="00132AD4" w:rsidRDefault="00ED49D4" w:rsidP="005C2919">
      <w:pPr>
        <w:spacing w:line="360" w:lineRule="auto"/>
        <w:jc w:val="both"/>
        <w:rPr>
          <w:rFonts w:ascii="Arial" w:hAnsi="Arial" w:cs="Arial"/>
          <w:sz w:val="22"/>
          <w:szCs w:val="22"/>
        </w:rPr>
      </w:pPr>
      <w:r w:rsidRPr="00132AD4">
        <w:rPr>
          <w:rFonts w:ascii="Arial" w:hAnsi="Arial" w:cs="Arial"/>
          <w:sz w:val="22"/>
          <w:szCs w:val="22"/>
        </w:rPr>
        <w:t xml:space="preserve">Chen, X., Bakal, J., Whitten, T., Waldie, B., Ho, C., Wright, P., Hassam, S. and Norris, C., </w:t>
      </w:r>
      <w:r w:rsidR="00F12F18" w:rsidRPr="00132AD4">
        <w:rPr>
          <w:rFonts w:ascii="Arial" w:hAnsi="Arial" w:cs="Arial"/>
          <w:sz w:val="22"/>
          <w:szCs w:val="22"/>
        </w:rPr>
        <w:t>(</w:t>
      </w:r>
      <w:r w:rsidRPr="00132AD4">
        <w:rPr>
          <w:rFonts w:ascii="Arial" w:hAnsi="Arial" w:cs="Arial"/>
          <w:sz w:val="22"/>
          <w:szCs w:val="22"/>
        </w:rPr>
        <w:t>2023</w:t>
      </w:r>
      <w:r w:rsidR="00F12F18" w:rsidRPr="00132AD4">
        <w:rPr>
          <w:rFonts w:ascii="Arial" w:hAnsi="Arial" w:cs="Arial"/>
          <w:sz w:val="22"/>
          <w:szCs w:val="22"/>
        </w:rPr>
        <w:t>)</w:t>
      </w:r>
      <w:r w:rsidRPr="00132AD4">
        <w:rPr>
          <w:rFonts w:ascii="Arial" w:hAnsi="Arial" w:cs="Arial"/>
          <w:sz w:val="22"/>
          <w:szCs w:val="22"/>
        </w:rPr>
        <w:t>. Assessing the impact of COVID-19 pandemic on the health of residents and the Healthcare system in Alberta, Canada: an observational study—the Alberta POST-COVID follow-up study. </w:t>
      </w:r>
      <w:r w:rsidRPr="00132AD4">
        <w:rPr>
          <w:rFonts w:ascii="Arial" w:hAnsi="Arial" w:cs="Arial"/>
          <w:i/>
          <w:iCs/>
          <w:sz w:val="22"/>
          <w:szCs w:val="22"/>
        </w:rPr>
        <w:t>BMJ open</w:t>
      </w:r>
      <w:r w:rsidRPr="00132AD4">
        <w:rPr>
          <w:rFonts w:ascii="Arial" w:hAnsi="Arial" w:cs="Arial"/>
          <w:sz w:val="22"/>
          <w:szCs w:val="22"/>
        </w:rPr>
        <w:t>, </w:t>
      </w:r>
      <w:r w:rsidRPr="00132AD4">
        <w:rPr>
          <w:rFonts w:ascii="Arial" w:hAnsi="Arial" w:cs="Arial"/>
          <w:i/>
          <w:iCs/>
          <w:sz w:val="22"/>
          <w:szCs w:val="22"/>
        </w:rPr>
        <w:t>13</w:t>
      </w:r>
      <w:r w:rsidRPr="00132AD4">
        <w:rPr>
          <w:rFonts w:ascii="Arial" w:hAnsi="Arial" w:cs="Arial"/>
          <w:sz w:val="22"/>
          <w:szCs w:val="22"/>
        </w:rPr>
        <w:t>(2), p.e067449.</w:t>
      </w:r>
    </w:p>
    <w:p w14:paraId="36B4655B" w14:textId="72EAA7A9" w:rsidR="00BB2A65" w:rsidRPr="00132AD4" w:rsidRDefault="00BB2A65" w:rsidP="005C2919">
      <w:pPr>
        <w:spacing w:line="360" w:lineRule="auto"/>
        <w:jc w:val="both"/>
        <w:rPr>
          <w:rFonts w:ascii="Arial" w:hAnsi="Arial" w:cs="Arial"/>
          <w:sz w:val="22"/>
          <w:szCs w:val="22"/>
        </w:rPr>
      </w:pPr>
      <w:r w:rsidRPr="00132AD4">
        <w:rPr>
          <w:rFonts w:ascii="Arial" w:hAnsi="Arial" w:cs="Arial"/>
          <w:sz w:val="22"/>
          <w:szCs w:val="22"/>
        </w:rPr>
        <w:t xml:space="preserve">Cho, Y. and Roh, G.W., </w:t>
      </w:r>
      <w:r w:rsidR="008B037E" w:rsidRPr="00132AD4">
        <w:rPr>
          <w:rFonts w:ascii="Arial" w:hAnsi="Arial" w:cs="Arial"/>
          <w:sz w:val="22"/>
          <w:szCs w:val="22"/>
        </w:rPr>
        <w:t>(</w:t>
      </w:r>
      <w:r w:rsidRPr="00132AD4">
        <w:rPr>
          <w:rFonts w:ascii="Arial" w:hAnsi="Arial" w:cs="Arial"/>
          <w:sz w:val="22"/>
          <w:szCs w:val="22"/>
        </w:rPr>
        <w:t>2025</w:t>
      </w:r>
      <w:r w:rsidR="008B037E" w:rsidRPr="00132AD4">
        <w:rPr>
          <w:rFonts w:ascii="Arial" w:hAnsi="Arial" w:cs="Arial"/>
          <w:sz w:val="22"/>
          <w:szCs w:val="22"/>
        </w:rPr>
        <w:t>)</w:t>
      </w:r>
      <w:r w:rsidRPr="00132AD4">
        <w:rPr>
          <w:rFonts w:ascii="Arial" w:hAnsi="Arial" w:cs="Arial"/>
          <w:sz w:val="22"/>
          <w:szCs w:val="22"/>
        </w:rPr>
        <w:t>. The Paradox of Successful Government Responses to COVID-19 in South Korea. In </w:t>
      </w:r>
      <w:r w:rsidRPr="00132AD4">
        <w:rPr>
          <w:rFonts w:ascii="Arial" w:hAnsi="Arial" w:cs="Arial"/>
          <w:i/>
          <w:iCs/>
          <w:sz w:val="22"/>
          <w:szCs w:val="22"/>
        </w:rPr>
        <w:t>State, Society, and Covid-19 in East Asia</w:t>
      </w:r>
      <w:r w:rsidRPr="00132AD4">
        <w:rPr>
          <w:rFonts w:ascii="Arial" w:hAnsi="Arial" w:cs="Arial"/>
          <w:sz w:val="22"/>
          <w:szCs w:val="22"/>
        </w:rPr>
        <w:t> (pp. 34-56). Routledge.</w:t>
      </w:r>
    </w:p>
    <w:p w14:paraId="61056C51" w14:textId="191C2719" w:rsidR="009269EC" w:rsidRPr="00132AD4" w:rsidRDefault="009269EC" w:rsidP="005C2919">
      <w:pPr>
        <w:spacing w:line="360" w:lineRule="auto"/>
        <w:jc w:val="both"/>
        <w:rPr>
          <w:rFonts w:ascii="Arial" w:hAnsi="Arial" w:cs="Arial"/>
          <w:sz w:val="22"/>
          <w:szCs w:val="22"/>
        </w:rPr>
      </w:pPr>
      <w:r w:rsidRPr="00132AD4">
        <w:rPr>
          <w:rFonts w:ascii="Arial" w:hAnsi="Arial" w:cs="Arial"/>
          <w:sz w:val="22"/>
          <w:szCs w:val="22"/>
        </w:rPr>
        <w:t xml:space="preserve">Fisman, D., Horton, J., Oliver, M., </w:t>
      </w:r>
      <w:proofErr w:type="spellStart"/>
      <w:r w:rsidRPr="00132AD4">
        <w:rPr>
          <w:rFonts w:ascii="Arial" w:hAnsi="Arial" w:cs="Arial"/>
          <w:sz w:val="22"/>
          <w:szCs w:val="22"/>
        </w:rPr>
        <w:t>Ungrin</w:t>
      </w:r>
      <w:proofErr w:type="spellEnd"/>
      <w:r w:rsidRPr="00132AD4">
        <w:rPr>
          <w:rFonts w:ascii="Arial" w:hAnsi="Arial" w:cs="Arial"/>
          <w:sz w:val="22"/>
          <w:szCs w:val="22"/>
        </w:rPr>
        <w:t xml:space="preserve">, M., Vipond, J., Wright, J.M. and </w:t>
      </w:r>
      <w:proofErr w:type="spellStart"/>
      <w:r w:rsidRPr="00132AD4">
        <w:rPr>
          <w:rFonts w:ascii="Arial" w:hAnsi="Arial" w:cs="Arial"/>
          <w:sz w:val="22"/>
          <w:szCs w:val="22"/>
        </w:rPr>
        <w:t>Zoutman</w:t>
      </w:r>
      <w:proofErr w:type="spellEnd"/>
      <w:r w:rsidRPr="00132AD4">
        <w:rPr>
          <w:rFonts w:ascii="Arial" w:hAnsi="Arial" w:cs="Arial"/>
          <w:sz w:val="22"/>
          <w:szCs w:val="22"/>
        </w:rPr>
        <w:t xml:space="preserve">, D., </w:t>
      </w:r>
      <w:r w:rsidR="00310432" w:rsidRPr="00132AD4">
        <w:rPr>
          <w:rFonts w:ascii="Arial" w:hAnsi="Arial" w:cs="Arial"/>
          <w:sz w:val="22"/>
          <w:szCs w:val="22"/>
        </w:rPr>
        <w:t>(</w:t>
      </w:r>
      <w:r w:rsidRPr="00132AD4">
        <w:rPr>
          <w:rFonts w:ascii="Arial" w:hAnsi="Arial" w:cs="Arial"/>
          <w:sz w:val="22"/>
          <w:szCs w:val="22"/>
        </w:rPr>
        <w:t>2024</w:t>
      </w:r>
      <w:r w:rsidR="00310432" w:rsidRPr="00132AD4">
        <w:rPr>
          <w:rFonts w:ascii="Arial" w:hAnsi="Arial" w:cs="Arial"/>
          <w:sz w:val="22"/>
          <w:szCs w:val="22"/>
        </w:rPr>
        <w:t>)</w:t>
      </w:r>
      <w:r w:rsidRPr="00132AD4">
        <w:rPr>
          <w:rFonts w:ascii="Arial" w:hAnsi="Arial" w:cs="Arial"/>
          <w:sz w:val="22"/>
          <w:szCs w:val="22"/>
        </w:rPr>
        <w:t>. Canada needs a national COVID-19 inquiry now. </w:t>
      </w:r>
      <w:r w:rsidRPr="00132AD4">
        <w:rPr>
          <w:rFonts w:ascii="Arial" w:hAnsi="Arial" w:cs="Arial"/>
          <w:i/>
          <w:iCs/>
          <w:sz w:val="22"/>
          <w:szCs w:val="22"/>
        </w:rPr>
        <w:t>BMC medicine</w:t>
      </w:r>
      <w:r w:rsidRPr="00132AD4">
        <w:rPr>
          <w:rFonts w:ascii="Arial" w:hAnsi="Arial" w:cs="Arial"/>
          <w:sz w:val="22"/>
          <w:szCs w:val="22"/>
        </w:rPr>
        <w:t>, </w:t>
      </w:r>
      <w:r w:rsidRPr="00132AD4">
        <w:rPr>
          <w:rFonts w:ascii="Arial" w:hAnsi="Arial" w:cs="Arial"/>
          <w:i/>
          <w:iCs/>
          <w:sz w:val="22"/>
          <w:szCs w:val="22"/>
        </w:rPr>
        <w:t>22</w:t>
      </w:r>
      <w:r w:rsidRPr="00132AD4">
        <w:rPr>
          <w:rFonts w:ascii="Arial" w:hAnsi="Arial" w:cs="Arial"/>
          <w:sz w:val="22"/>
          <w:szCs w:val="22"/>
        </w:rPr>
        <w:t>(1), p.537.</w:t>
      </w:r>
    </w:p>
    <w:p w14:paraId="09C8ADFB" w14:textId="1F9F52B5" w:rsidR="008E4E7C" w:rsidRPr="00132AD4" w:rsidRDefault="008E4E7C" w:rsidP="005C2919">
      <w:pPr>
        <w:spacing w:line="360" w:lineRule="auto"/>
        <w:jc w:val="both"/>
        <w:rPr>
          <w:rFonts w:ascii="Arial" w:hAnsi="Arial" w:cs="Arial"/>
          <w:sz w:val="22"/>
          <w:szCs w:val="22"/>
        </w:rPr>
      </w:pPr>
      <w:r w:rsidRPr="00132AD4">
        <w:rPr>
          <w:rFonts w:ascii="Arial" w:hAnsi="Arial" w:cs="Arial"/>
          <w:sz w:val="22"/>
          <w:szCs w:val="22"/>
        </w:rPr>
        <w:t xml:space="preserve">Gutiérrez, M.A., </w:t>
      </w:r>
      <w:r w:rsidR="00087AFC" w:rsidRPr="00132AD4">
        <w:rPr>
          <w:rFonts w:ascii="Arial" w:hAnsi="Arial" w:cs="Arial"/>
          <w:sz w:val="22"/>
          <w:szCs w:val="22"/>
        </w:rPr>
        <w:t>(</w:t>
      </w:r>
      <w:r w:rsidRPr="00132AD4">
        <w:rPr>
          <w:rFonts w:ascii="Arial" w:hAnsi="Arial" w:cs="Arial"/>
          <w:sz w:val="22"/>
          <w:szCs w:val="22"/>
        </w:rPr>
        <w:t>2022</w:t>
      </w:r>
      <w:r w:rsidR="00087AFC" w:rsidRPr="00132AD4">
        <w:rPr>
          <w:rFonts w:ascii="Arial" w:hAnsi="Arial" w:cs="Arial"/>
          <w:sz w:val="22"/>
          <w:szCs w:val="22"/>
        </w:rPr>
        <w:t>)</w:t>
      </w:r>
      <w:r w:rsidRPr="00132AD4">
        <w:rPr>
          <w:rFonts w:ascii="Arial" w:hAnsi="Arial" w:cs="Arial"/>
          <w:sz w:val="22"/>
          <w:szCs w:val="22"/>
        </w:rPr>
        <w:t>. The discourse of President Pedro Sánchez during the State of Alarm in Spain. </w:t>
      </w:r>
      <w:r w:rsidRPr="00132AD4">
        <w:rPr>
          <w:rFonts w:ascii="Arial" w:hAnsi="Arial" w:cs="Arial"/>
          <w:i/>
          <w:iCs/>
          <w:sz w:val="22"/>
          <w:szCs w:val="22"/>
        </w:rPr>
        <w:t>HCIAS Working Papers on Ibero-America</w:t>
      </w:r>
      <w:r w:rsidRPr="00132AD4">
        <w:rPr>
          <w:rFonts w:ascii="Arial" w:hAnsi="Arial" w:cs="Arial"/>
          <w:sz w:val="22"/>
          <w:szCs w:val="22"/>
        </w:rPr>
        <w:t>.</w:t>
      </w:r>
    </w:p>
    <w:p w14:paraId="3C95F3A9" w14:textId="24F13C59" w:rsidR="009269EC" w:rsidRPr="00132AD4" w:rsidRDefault="009269EC" w:rsidP="005C2919">
      <w:pPr>
        <w:spacing w:line="360" w:lineRule="auto"/>
        <w:jc w:val="both"/>
        <w:rPr>
          <w:rFonts w:ascii="Arial" w:hAnsi="Arial" w:cs="Arial"/>
          <w:sz w:val="22"/>
          <w:szCs w:val="22"/>
        </w:rPr>
      </w:pPr>
      <w:proofErr w:type="spellStart"/>
      <w:r w:rsidRPr="00132AD4">
        <w:rPr>
          <w:rFonts w:ascii="Arial" w:hAnsi="Arial" w:cs="Arial"/>
          <w:sz w:val="22"/>
          <w:szCs w:val="22"/>
        </w:rPr>
        <w:t>Habbous</w:t>
      </w:r>
      <w:proofErr w:type="spellEnd"/>
      <w:r w:rsidRPr="00132AD4">
        <w:rPr>
          <w:rFonts w:ascii="Arial" w:hAnsi="Arial" w:cs="Arial"/>
          <w:sz w:val="22"/>
          <w:szCs w:val="22"/>
        </w:rPr>
        <w:t xml:space="preserve">, S., Lambrinos, A., Petersen, S. and Hellsten, E., </w:t>
      </w:r>
      <w:r w:rsidR="005050D4" w:rsidRPr="00132AD4">
        <w:rPr>
          <w:rFonts w:ascii="Arial" w:hAnsi="Arial" w:cs="Arial"/>
          <w:sz w:val="22"/>
          <w:szCs w:val="22"/>
        </w:rPr>
        <w:t>(</w:t>
      </w:r>
      <w:r w:rsidRPr="00132AD4">
        <w:rPr>
          <w:rFonts w:ascii="Arial" w:hAnsi="Arial" w:cs="Arial"/>
          <w:sz w:val="22"/>
          <w:szCs w:val="22"/>
        </w:rPr>
        <w:t>2023</w:t>
      </w:r>
      <w:r w:rsidR="005050D4" w:rsidRPr="00132AD4">
        <w:rPr>
          <w:rFonts w:ascii="Arial" w:hAnsi="Arial" w:cs="Arial"/>
          <w:sz w:val="22"/>
          <w:szCs w:val="22"/>
        </w:rPr>
        <w:t>)</w:t>
      </w:r>
      <w:r w:rsidRPr="00132AD4">
        <w:rPr>
          <w:rFonts w:ascii="Arial" w:hAnsi="Arial" w:cs="Arial"/>
          <w:sz w:val="22"/>
          <w:szCs w:val="22"/>
        </w:rPr>
        <w:t>. The effect of the COVID-19 pandemic on hospital admissions and outpatient visits in Ontario, Canada. </w:t>
      </w:r>
      <w:r w:rsidRPr="00132AD4">
        <w:rPr>
          <w:rFonts w:ascii="Arial" w:hAnsi="Arial" w:cs="Arial"/>
          <w:i/>
          <w:iCs/>
          <w:sz w:val="22"/>
          <w:szCs w:val="22"/>
        </w:rPr>
        <w:t>Annals of Thoracic Medicine</w:t>
      </w:r>
      <w:r w:rsidRPr="00132AD4">
        <w:rPr>
          <w:rFonts w:ascii="Arial" w:hAnsi="Arial" w:cs="Arial"/>
          <w:sz w:val="22"/>
          <w:szCs w:val="22"/>
        </w:rPr>
        <w:t>, </w:t>
      </w:r>
      <w:r w:rsidRPr="00132AD4">
        <w:rPr>
          <w:rFonts w:ascii="Arial" w:hAnsi="Arial" w:cs="Arial"/>
          <w:i/>
          <w:iCs/>
          <w:sz w:val="22"/>
          <w:szCs w:val="22"/>
        </w:rPr>
        <w:t>18</w:t>
      </w:r>
      <w:r w:rsidRPr="00132AD4">
        <w:rPr>
          <w:rFonts w:ascii="Arial" w:hAnsi="Arial" w:cs="Arial"/>
          <w:sz w:val="22"/>
          <w:szCs w:val="22"/>
        </w:rPr>
        <w:t>(2), pp.70-78.</w:t>
      </w:r>
    </w:p>
    <w:p w14:paraId="4ABA5B37" w14:textId="0570A4E7" w:rsidR="004F4143" w:rsidRPr="00132AD4" w:rsidRDefault="004F4143" w:rsidP="005C2919">
      <w:pPr>
        <w:spacing w:line="360" w:lineRule="auto"/>
        <w:jc w:val="both"/>
        <w:rPr>
          <w:rFonts w:ascii="Arial" w:hAnsi="Arial" w:cs="Arial"/>
          <w:sz w:val="22"/>
          <w:szCs w:val="22"/>
        </w:rPr>
      </w:pPr>
      <w:r w:rsidRPr="00132AD4">
        <w:rPr>
          <w:rFonts w:ascii="Arial" w:hAnsi="Arial" w:cs="Arial"/>
          <w:sz w:val="22"/>
          <w:szCs w:val="22"/>
        </w:rPr>
        <w:t xml:space="preserve">Heo, K., Lee, D., Seo, Y. and Choi, H., </w:t>
      </w:r>
      <w:r w:rsidR="00B86515" w:rsidRPr="00132AD4">
        <w:rPr>
          <w:rFonts w:ascii="Arial" w:hAnsi="Arial" w:cs="Arial"/>
          <w:sz w:val="22"/>
          <w:szCs w:val="22"/>
        </w:rPr>
        <w:t>(</w:t>
      </w:r>
      <w:r w:rsidRPr="00132AD4">
        <w:rPr>
          <w:rFonts w:ascii="Arial" w:hAnsi="Arial" w:cs="Arial"/>
          <w:sz w:val="22"/>
          <w:szCs w:val="22"/>
        </w:rPr>
        <w:t>2020</w:t>
      </w:r>
      <w:r w:rsidR="00B86515" w:rsidRPr="00132AD4">
        <w:rPr>
          <w:rFonts w:ascii="Arial" w:hAnsi="Arial" w:cs="Arial"/>
          <w:sz w:val="22"/>
          <w:szCs w:val="22"/>
        </w:rPr>
        <w:t>)</w:t>
      </w:r>
      <w:r w:rsidRPr="00132AD4">
        <w:rPr>
          <w:rFonts w:ascii="Arial" w:hAnsi="Arial" w:cs="Arial"/>
          <w:sz w:val="22"/>
          <w:szCs w:val="22"/>
        </w:rPr>
        <w:t>. Searching for digital technologies in containment and mitigation strategies: experience from South Korea COVID-19. </w:t>
      </w:r>
      <w:r w:rsidRPr="00132AD4">
        <w:rPr>
          <w:rFonts w:ascii="Arial" w:hAnsi="Arial" w:cs="Arial"/>
          <w:i/>
          <w:iCs/>
          <w:sz w:val="22"/>
          <w:szCs w:val="22"/>
        </w:rPr>
        <w:t>Annals of Global Health</w:t>
      </w:r>
      <w:r w:rsidRPr="00132AD4">
        <w:rPr>
          <w:rFonts w:ascii="Arial" w:hAnsi="Arial" w:cs="Arial"/>
          <w:sz w:val="22"/>
          <w:szCs w:val="22"/>
        </w:rPr>
        <w:t>, </w:t>
      </w:r>
      <w:r w:rsidRPr="00132AD4">
        <w:rPr>
          <w:rFonts w:ascii="Arial" w:hAnsi="Arial" w:cs="Arial"/>
          <w:i/>
          <w:iCs/>
          <w:sz w:val="22"/>
          <w:szCs w:val="22"/>
        </w:rPr>
        <w:t>86</w:t>
      </w:r>
      <w:r w:rsidRPr="00132AD4">
        <w:rPr>
          <w:rFonts w:ascii="Arial" w:hAnsi="Arial" w:cs="Arial"/>
          <w:sz w:val="22"/>
          <w:szCs w:val="22"/>
        </w:rPr>
        <w:t>(1), p.109.</w:t>
      </w:r>
    </w:p>
    <w:p w14:paraId="33989DAE" w14:textId="7F961FED" w:rsidR="006A1D84" w:rsidRPr="00132AD4" w:rsidRDefault="006A1D84" w:rsidP="005C2919">
      <w:pPr>
        <w:spacing w:line="360" w:lineRule="auto"/>
        <w:jc w:val="both"/>
        <w:rPr>
          <w:rFonts w:ascii="Arial" w:hAnsi="Arial" w:cs="Arial"/>
          <w:sz w:val="22"/>
          <w:szCs w:val="22"/>
        </w:rPr>
      </w:pPr>
      <w:r w:rsidRPr="00132AD4">
        <w:rPr>
          <w:rFonts w:ascii="Arial" w:hAnsi="Arial" w:cs="Arial"/>
          <w:sz w:val="22"/>
          <w:szCs w:val="22"/>
        </w:rPr>
        <w:t xml:space="preserve">Hur, S.J., Kang, J.H., Cho, M.G., Lee, S.Y. and Kang, H.J., </w:t>
      </w:r>
      <w:r w:rsidR="00701F17" w:rsidRPr="00132AD4">
        <w:rPr>
          <w:rFonts w:ascii="Arial" w:hAnsi="Arial" w:cs="Arial"/>
          <w:sz w:val="22"/>
          <w:szCs w:val="22"/>
        </w:rPr>
        <w:t>(</w:t>
      </w:r>
      <w:r w:rsidRPr="00132AD4">
        <w:rPr>
          <w:rFonts w:ascii="Arial" w:hAnsi="Arial" w:cs="Arial"/>
          <w:sz w:val="22"/>
          <w:szCs w:val="22"/>
        </w:rPr>
        <w:t>2020</w:t>
      </w:r>
      <w:r w:rsidR="00701F17" w:rsidRPr="00132AD4">
        <w:rPr>
          <w:rFonts w:ascii="Arial" w:hAnsi="Arial" w:cs="Arial"/>
          <w:sz w:val="22"/>
          <w:szCs w:val="22"/>
        </w:rPr>
        <w:t>)</w:t>
      </w:r>
      <w:r w:rsidRPr="00132AD4">
        <w:rPr>
          <w:rFonts w:ascii="Arial" w:hAnsi="Arial" w:cs="Arial"/>
          <w:sz w:val="22"/>
          <w:szCs w:val="22"/>
        </w:rPr>
        <w:t>. Current strategies for the control of COVID-19 in South Korea. </w:t>
      </w:r>
      <w:r w:rsidRPr="00132AD4">
        <w:rPr>
          <w:rFonts w:ascii="Arial" w:hAnsi="Arial" w:cs="Arial"/>
          <w:i/>
          <w:iCs/>
          <w:sz w:val="22"/>
          <w:szCs w:val="22"/>
        </w:rPr>
        <w:t>Food and Life</w:t>
      </w:r>
      <w:r w:rsidRPr="00132AD4">
        <w:rPr>
          <w:rFonts w:ascii="Arial" w:hAnsi="Arial" w:cs="Arial"/>
          <w:sz w:val="22"/>
          <w:szCs w:val="22"/>
        </w:rPr>
        <w:t>, </w:t>
      </w:r>
      <w:r w:rsidRPr="00132AD4">
        <w:rPr>
          <w:rFonts w:ascii="Arial" w:hAnsi="Arial" w:cs="Arial"/>
          <w:i/>
          <w:iCs/>
          <w:sz w:val="22"/>
          <w:szCs w:val="22"/>
        </w:rPr>
        <w:t>2020</w:t>
      </w:r>
      <w:r w:rsidRPr="00132AD4">
        <w:rPr>
          <w:rFonts w:ascii="Arial" w:hAnsi="Arial" w:cs="Arial"/>
          <w:sz w:val="22"/>
          <w:szCs w:val="22"/>
        </w:rPr>
        <w:t>(1), pp.21-36.</w:t>
      </w:r>
    </w:p>
    <w:p w14:paraId="6AA07528" w14:textId="7F775351" w:rsidR="00322074" w:rsidRPr="00132AD4" w:rsidRDefault="00322074" w:rsidP="005C2919">
      <w:pPr>
        <w:spacing w:line="360" w:lineRule="auto"/>
        <w:jc w:val="both"/>
        <w:rPr>
          <w:rFonts w:ascii="Arial" w:hAnsi="Arial" w:cs="Arial"/>
          <w:sz w:val="22"/>
          <w:szCs w:val="22"/>
        </w:rPr>
      </w:pPr>
      <w:proofErr w:type="spellStart"/>
      <w:r w:rsidRPr="00132AD4">
        <w:rPr>
          <w:rFonts w:ascii="Arial" w:hAnsi="Arial" w:cs="Arial"/>
          <w:sz w:val="22"/>
          <w:szCs w:val="22"/>
        </w:rPr>
        <w:lastRenderedPageBreak/>
        <w:t>Jugl</w:t>
      </w:r>
      <w:proofErr w:type="spellEnd"/>
      <w:r w:rsidRPr="00132AD4">
        <w:rPr>
          <w:rFonts w:ascii="Arial" w:hAnsi="Arial" w:cs="Arial"/>
          <w:sz w:val="22"/>
          <w:szCs w:val="22"/>
        </w:rPr>
        <w:t xml:space="preserve">, M., </w:t>
      </w:r>
      <w:r w:rsidR="00EC579B" w:rsidRPr="00132AD4">
        <w:rPr>
          <w:rFonts w:ascii="Arial" w:hAnsi="Arial" w:cs="Arial"/>
          <w:sz w:val="22"/>
          <w:szCs w:val="22"/>
        </w:rPr>
        <w:t>(</w:t>
      </w:r>
      <w:r w:rsidRPr="00132AD4">
        <w:rPr>
          <w:rFonts w:ascii="Arial" w:hAnsi="Arial" w:cs="Arial"/>
          <w:sz w:val="22"/>
          <w:szCs w:val="22"/>
        </w:rPr>
        <w:t>2023</w:t>
      </w:r>
      <w:r w:rsidR="00EC579B" w:rsidRPr="00132AD4">
        <w:rPr>
          <w:rFonts w:ascii="Arial" w:hAnsi="Arial" w:cs="Arial"/>
          <w:sz w:val="22"/>
          <w:szCs w:val="22"/>
        </w:rPr>
        <w:t>)</w:t>
      </w:r>
      <w:r w:rsidRPr="00132AD4">
        <w:rPr>
          <w:rFonts w:ascii="Arial" w:hAnsi="Arial" w:cs="Arial"/>
          <w:sz w:val="22"/>
          <w:szCs w:val="22"/>
        </w:rPr>
        <w:t>. Administrative characteristics and timing of governments' crisis responses: A global study of early reactions to COVID</w:t>
      </w:r>
      <w:r w:rsidRPr="00132AD4">
        <w:rPr>
          <w:rFonts w:ascii="Cambria Math" w:hAnsi="Cambria Math" w:cs="Cambria Math"/>
          <w:sz w:val="22"/>
          <w:szCs w:val="22"/>
        </w:rPr>
        <w:t>‐</w:t>
      </w:r>
      <w:r w:rsidRPr="00132AD4">
        <w:rPr>
          <w:rFonts w:ascii="Arial" w:hAnsi="Arial" w:cs="Arial"/>
          <w:sz w:val="22"/>
          <w:szCs w:val="22"/>
        </w:rPr>
        <w:t>19. </w:t>
      </w:r>
      <w:r w:rsidRPr="00132AD4">
        <w:rPr>
          <w:rFonts w:ascii="Arial" w:hAnsi="Arial" w:cs="Arial"/>
          <w:i/>
          <w:iCs/>
          <w:sz w:val="22"/>
          <w:szCs w:val="22"/>
        </w:rPr>
        <w:t>Public Administration</w:t>
      </w:r>
      <w:r w:rsidRPr="00132AD4">
        <w:rPr>
          <w:rFonts w:ascii="Arial" w:hAnsi="Arial" w:cs="Arial"/>
          <w:sz w:val="22"/>
          <w:szCs w:val="22"/>
        </w:rPr>
        <w:t>, </w:t>
      </w:r>
      <w:r w:rsidRPr="00132AD4">
        <w:rPr>
          <w:rFonts w:ascii="Arial" w:hAnsi="Arial" w:cs="Arial"/>
          <w:i/>
          <w:iCs/>
          <w:sz w:val="22"/>
          <w:szCs w:val="22"/>
        </w:rPr>
        <w:t>101</w:t>
      </w:r>
      <w:r w:rsidRPr="00132AD4">
        <w:rPr>
          <w:rFonts w:ascii="Arial" w:hAnsi="Arial" w:cs="Arial"/>
          <w:sz w:val="22"/>
          <w:szCs w:val="22"/>
        </w:rPr>
        <w:t>(4), pp.1408-1426.</w:t>
      </w:r>
    </w:p>
    <w:p w14:paraId="31AC6B74" w14:textId="0BAB9E39" w:rsidR="000F5B2D" w:rsidRPr="00132AD4" w:rsidRDefault="000F5B2D" w:rsidP="005C2919">
      <w:pPr>
        <w:spacing w:line="360" w:lineRule="auto"/>
        <w:jc w:val="both"/>
        <w:rPr>
          <w:rFonts w:ascii="Arial" w:hAnsi="Arial" w:cs="Arial"/>
          <w:sz w:val="22"/>
          <w:szCs w:val="22"/>
        </w:rPr>
      </w:pPr>
      <w:r w:rsidRPr="00132AD4">
        <w:rPr>
          <w:rFonts w:ascii="Arial" w:hAnsi="Arial" w:cs="Arial"/>
          <w:sz w:val="22"/>
          <w:szCs w:val="22"/>
        </w:rPr>
        <w:t xml:space="preserve">Keeley, J., </w:t>
      </w:r>
      <w:r w:rsidR="0012015A" w:rsidRPr="00132AD4">
        <w:rPr>
          <w:rFonts w:ascii="Arial" w:hAnsi="Arial" w:cs="Arial"/>
          <w:sz w:val="22"/>
          <w:szCs w:val="22"/>
        </w:rPr>
        <w:t>(</w:t>
      </w:r>
      <w:r w:rsidRPr="00132AD4">
        <w:rPr>
          <w:rFonts w:ascii="Arial" w:hAnsi="Arial" w:cs="Arial"/>
          <w:sz w:val="22"/>
          <w:szCs w:val="22"/>
        </w:rPr>
        <w:t>2023</w:t>
      </w:r>
      <w:r w:rsidR="0012015A" w:rsidRPr="00132AD4">
        <w:rPr>
          <w:rFonts w:ascii="Arial" w:hAnsi="Arial" w:cs="Arial"/>
          <w:sz w:val="22"/>
          <w:szCs w:val="22"/>
        </w:rPr>
        <w:t>)</w:t>
      </w:r>
      <w:r w:rsidRPr="00132AD4">
        <w:rPr>
          <w:rFonts w:ascii="Arial" w:hAnsi="Arial" w:cs="Arial"/>
          <w:sz w:val="22"/>
          <w:szCs w:val="22"/>
        </w:rPr>
        <w:t>. Public Health, Politics and National Security: Covid-19 in Alberta and Canada, 2022. </w:t>
      </w:r>
      <w:r w:rsidRPr="00132AD4">
        <w:rPr>
          <w:rFonts w:ascii="Arial" w:hAnsi="Arial" w:cs="Arial"/>
          <w:i/>
          <w:iCs/>
          <w:sz w:val="22"/>
          <w:szCs w:val="22"/>
        </w:rPr>
        <w:t>Journal of Military and Strategic Studies</w:t>
      </w:r>
      <w:r w:rsidRPr="00132AD4">
        <w:rPr>
          <w:rFonts w:ascii="Arial" w:hAnsi="Arial" w:cs="Arial"/>
          <w:sz w:val="22"/>
          <w:szCs w:val="22"/>
        </w:rPr>
        <w:t>, </w:t>
      </w:r>
      <w:r w:rsidRPr="00132AD4">
        <w:rPr>
          <w:rFonts w:ascii="Arial" w:hAnsi="Arial" w:cs="Arial"/>
          <w:i/>
          <w:iCs/>
          <w:sz w:val="22"/>
          <w:szCs w:val="22"/>
        </w:rPr>
        <w:t>22</w:t>
      </w:r>
      <w:r w:rsidRPr="00132AD4">
        <w:rPr>
          <w:rFonts w:ascii="Arial" w:hAnsi="Arial" w:cs="Arial"/>
          <w:sz w:val="22"/>
          <w:szCs w:val="22"/>
        </w:rPr>
        <w:t>(3).</w:t>
      </w:r>
    </w:p>
    <w:p w14:paraId="7411874B" w14:textId="4F583137" w:rsidR="004F4143" w:rsidRPr="00132AD4" w:rsidRDefault="004F4143" w:rsidP="005C2919">
      <w:pPr>
        <w:spacing w:line="360" w:lineRule="auto"/>
        <w:jc w:val="both"/>
        <w:rPr>
          <w:rFonts w:ascii="Arial" w:hAnsi="Arial" w:cs="Arial"/>
          <w:sz w:val="22"/>
          <w:szCs w:val="22"/>
        </w:rPr>
      </w:pPr>
      <w:r w:rsidRPr="00132AD4">
        <w:rPr>
          <w:rFonts w:ascii="Arial" w:hAnsi="Arial" w:cs="Arial"/>
          <w:sz w:val="22"/>
          <w:szCs w:val="22"/>
        </w:rPr>
        <w:t xml:space="preserve">Ko, H.J., Yun, E., Ahn, B., Lee, H., Jang, W.M. and Lee, J.Y., </w:t>
      </w:r>
      <w:r w:rsidR="0015381B" w:rsidRPr="00132AD4">
        <w:rPr>
          <w:rFonts w:ascii="Arial" w:hAnsi="Arial" w:cs="Arial"/>
          <w:sz w:val="22"/>
          <w:szCs w:val="22"/>
        </w:rPr>
        <w:t>(</w:t>
      </w:r>
      <w:r w:rsidRPr="00132AD4">
        <w:rPr>
          <w:rFonts w:ascii="Arial" w:hAnsi="Arial" w:cs="Arial"/>
          <w:sz w:val="22"/>
          <w:szCs w:val="22"/>
        </w:rPr>
        <w:t>2023</w:t>
      </w:r>
      <w:r w:rsidR="0015381B" w:rsidRPr="00132AD4">
        <w:rPr>
          <w:rFonts w:ascii="Arial" w:hAnsi="Arial" w:cs="Arial"/>
          <w:sz w:val="22"/>
          <w:szCs w:val="22"/>
        </w:rPr>
        <w:t>)</w:t>
      </w:r>
      <w:r w:rsidRPr="00132AD4">
        <w:rPr>
          <w:rFonts w:ascii="Arial" w:hAnsi="Arial" w:cs="Arial"/>
          <w:sz w:val="22"/>
          <w:szCs w:val="22"/>
        </w:rPr>
        <w:t>. Lessons from health insurance responses in counteracting COVID-19: a qualitative comparative analysis of South Korea and three influential countries. </w:t>
      </w:r>
      <w:r w:rsidRPr="00132AD4">
        <w:rPr>
          <w:rFonts w:ascii="Arial" w:hAnsi="Arial" w:cs="Arial"/>
          <w:i/>
          <w:iCs/>
          <w:sz w:val="22"/>
          <w:szCs w:val="22"/>
        </w:rPr>
        <w:t>Archives of Public Health</w:t>
      </w:r>
      <w:r w:rsidRPr="00132AD4">
        <w:rPr>
          <w:rFonts w:ascii="Arial" w:hAnsi="Arial" w:cs="Arial"/>
          <w:sz w:val="22"/>
          <w:szCs w:val="22"/>
        </w:rPr>
        <w:t>, </w:t>
      </w:r>
      <w:r w:rsidRPr="00132AD4">
        <w:rPr>
          <w:rFonts w:ascii="Arial" w:hAnsi="Arial" w:cs="Arial"/>
          <w:i/>
          <w:iCs/>
          <w:sz w:val="22"/>
          <w:szCs w:val="22"/>
        </w:rPr>
        <w:t>81</w:t>
      </w:r>
      <w:r w:rsidRPr="00132AD4">
        <w:rPr>
          <w:rFonts w:ascii="Arial" w:hAnsi="Arial" w:cs="Arial"/>
          <w:sz w:val="22"/>
          <w:szCs w:val="22"/>
        </w:rPr>
        <w:t>(1), p.205.</w:t>
      </w:r>
    </w:p>
    <w:p w14:paraId="2160A21A" w14:textId="6CCC62AA" w:rsidR="00BB2A65" w:rsidRPr="00132AD4" w:rsidRDefault="00BB2A65" w:rsidP="005C2919">
      <w:pPr>
        <w:spacing w:line="360" w:lineRule="auto"/>
        <w:jc w:val="both"/>
        <w:rPr>
          <w:rFonts w:ascii="Arial" w:hAnsi="Arial" w:cs="Arial"/>
          <w:sz w:val="22"/>
          <w:szCs w:val="22"/>
        </w:rPr>
      </w:pPr>
      <w:r w:rsidRPr="00132AD4">
        <w:rPr>
          <w:rFonts w:ascii="Arial" w:hAnsi="Arial" w:cs="Arial"/>
          <w:sz w:val="22"/>
          <w:szCs w:val="22"/>
        </w:rPr>
        <w:t xml:space="preserve">Kim, Y., </w:t>
      </w:r>
      <w:r w:rsidR="002115BC" w:rsidRPr="00132AD4">
        <w:rPr>
          <w:rFonts w:ascii="Arial" w:hAnsi="Arial" w:cs="Arial"/>
          <w:sz w:val="22"/>
          <w:szCs w:val="22"/>
        </w:rPr>
        <w:t>(</w:t>
      </w:r>
      <w:r w:rsidRPr="00132AD4">
        <w:rPr>
          <w:rFonts w:ascii="Arial" w:hAnsi="Arial" w:cs="Arial"/>
          <w:sz w:val="22"/>
          <w:szCs w:val="22"/>
        </w:rPr>
        <w:t>2022</w:t>
      </w:r>
      <w:r w:rsidR="002115BC" w:rsidRPr="00132AD4">
        <w:rPr>
          <w:rFonts w:ascii="Arial" w:hAnsi="Arial" w:cs="Arial"/>
          <w:sz w:val="22"/>
          <w:szCs w:val="22"/>
        </w:rPr>
        <w:t>)</w:t>
      </w:r>
      <w:r w:rsidRPr="00132AD4">
        <w:rPr>
          <w:rFonts w:ascii="Arial" w:hAnsi="Arial" w:cs="Arial"/>
          <w:sz w:val="22"/>
          <w:szCs w:val="22"/>
        </w:rPr>
        <w:t>. Uncertain future of privacy protection under the Korean public health emergency preparedness governance amid the COVID-19 pandemic. </w:t>
      </w:r>
      <w:r w:rsidRPr="00132AD4">
        <w:rPr>
          <w:rFonts w:ascii="Arial" w:hAnsi="Arial" w:cs="Arial"/>
          <w:i/>
          <w:iCs/>
          <w:sz w:val="22"/>
          <w:szCs w:val="22"/>
        </w:rPr>
        <w:t>Cogent Social Sciences</w:t>
      </w:r>
      <w:r w:rsidRPr="00132AD4">
        <w:rPr>
          <w:rFonts w:ascii="Arial" w:hAnsi="Arial" w:cs="Arial"/>
          <w:sz w:val="22"/>
          <w:szCs w:val="22"/>
        </w:rPr>
        <w:t>, </w:t>
      </w:r>
      <w:r w:rsidRPr="00132AD4">
        <w:rPr>
          <w:rFonts w:ascii="Arial" w:hAnsi="Arial" w:cs="Arial"/>
          <w:i/>
          <w:iCs/>
          <w:sz w:val="22"/>
          <w:szCs w:val="22"/>
        </w:rPr>
        <w:t>8</w:t>
      </w:r>
      <w:r w:rsidRPr="00132AD4">
        <w:rPr>
          <w:rFonts w:ascii="Arial" w:hAnsi="Arial" w:cs="Arial"/>
          <w:sz w:val="22"/>
          <w:szCs w:val="22"/>
        </w:rPr>
        <w:t>(1), p.2006393.</w:t>
      </w:r>
    </w:p>
    <w:p w14:paraId="4EDEB752" w14:textId="6EE858BA" w:rsidR="00C74938" w:rsidRPr="00132AD4" w:rsidRDefault="00C74938" w:rsidP="005C2919">
      <w:pPr>
        <w:spacing w:line="360" w:lineRule="auto"/>
        <w:jc w:val="both"/>
        <w:rPr>
          <w:rFonts w:ascii="Arial" w:hAnsi="Arial" w:cs="Arial"/>
          <w:sz w:val="22"/>
          <w:szCs w:val="22"/>
        </w:rPr>
      </w:pPr>
      <w:r w:rsidRPr="00132AD4">
        <w:rPr>
          <w:rFonts w:ascii="Arial" w:hAnsi="Arial" w:cs="Arial"/>
          <w:sz w:val="22"/>
          <w:szCs w:val="22"/>
        </w:rPr>
        <w:t xml:space="preserve">Lee, S.T. and Kim, H.S., </w:t>
      </w:r>
      <w:r w:rsidR="00466F16" w:rsidRPr="00132AD4">
        <w:rPr>
          <w:rFonts w:ascii="Arial" w:hAnsi="Arial" w:cs="Arial"/>
          <w:sz w:val="22"/>
          <w:szCs w:val="22"/>
        </w:rPr>
        <w:t>(</w:t>
      </w:r>
      <w:r w:rsidRPr="00132AD4">
        <w:rPr>
          <w:rFonts w:ascii="Arial" w:hAnsi="Arial" w:cs="Arial"/>
          <w:sz w:val="22"/>
          <w:szCs w:val="22"/>
        </w:rPr>
        <w:t>2020</w:t>
      </w:r>
      <w:r w:rsidR="00466F16" w:rsidRPr="00132AD4">
        <w:rPr>
          <w:rFonts w:ascii="Arial" w:hAnsi="Arial" w:cs="Arial"/>
          <w:sz w:val="22"/>
          <w:szCs w:val="22"/>
        </w:rPr>
        <w:t>)</w:t>
      </w:r>
      <w:r w:rsidRPr="00132AD4">
        <w:rPr>
          <w:rFonts w:ascii="Arial" w:hAnsi="Arial" w:cs="Arial"/>
          <w:sz w:val="22"/>
          <w:szCs w:val="22"/>
        </w:rPr>
        <w:t>. Nation branding in the COVID-19 era: South Korea’s pandemic public diplomacy. </w:t>
      </w:r>
      <w:r w:rsidRPr="00132AD4">
        <w:rPr>
          <w:rFonts w:ascii="Arial" w:hAnsi="Arial" w:cs="Arial"/>
          <w:i/>
          <w:iCs/>
          <w:sz w:val="22"/>
          <w:szCs w:val="22"/>
        </w:rPr>
        <w:t>Place Branding and Public Diplomacy</w:t>
      </w:r>
      <w:r w:rsidRPr="00132AD4">
        <w:rPr>
          <w:rFonts w:ascii="Arial" w:hAnsi="Arial" w:cs="Arial"/>
          <w:sz w:val="22"/>
          <w:szCs w:val="22"/>
        </w:rPr>
        <w:t>, </w:t>
      </w:r>
      <w:r w:rsidRPr="00132AD4">
        <w:rPr>
          <w:rFonts w:ascii="Arial" w:hAnsi="Arial" w:cs="Arial"/>
          <w:i/>
          <w:iCs/>
          <w:sz w:val="22"/>
          <w:szCs w:val="22"/>
        </w:rPr>
        <w:t>17</w:t>
      </w:r>
      <w:r w:rsidRPr="00132AD4">
        <w:rPr>
          <w:rFonts w:ascii="Arial" w:hAnsi="Arial" w:cs="Arial"/>
          <w:sz w:val="22"/>
          <w:szCs w:val="22"/>
        </w:rPr>
        <w:t>(4), p.382.</w:t>
      </w:r>
    </w:p>
    <w:p w14:paraId="5735651F" w14:textId="0794C3B4" w:rsidR="006A1D84" w:rsidRPr="00132AD4" w:rsidRDefault="006A1D84" w:rsidP="005C2919">
      <w:pPr>
        <w:spacing w:line="360" w:lineRule="auto"/>
        <w:jc w:val="both"/>
        <w:rPr>
          <w:rFonts w:ascii="Arial" w:hAnsi="Arial" w:cs="Arial"/>
          <w:sz w:val="22"/>
          <w:szCs w:val="22"/>
        </w:rPr>
      </w:pPr>
      <w:r w:rsidRPr="00132AD4">
        <w:rPr>
          <w:rFonts w:ascii="Arial" w:hAnsi="Arial" w:cs="Arial"/>
          <w:sz w:val="22"/>
          <w:szCs w:val="22"/>
        </w:rPr>
        <w:t xml:space="preserve">Lee, Y.M., Kim, D.Y., Kim, E.J., Park, K.H. and Lee, M.S., </w:t>
      </w:r>
      <w:r w:rsidR="007D677A" w:rsidRPr="00132AD4">
        <w:rPr>
          <w:rFonts w:ascii="Arial" w:hAnsi="Arial" w:cs="Arial"/>
          <w:sz w:val="22"/>
          <w:szCs w:val="22"/>
        </w:rPr>
        <w:t>(</w:t>
      </w:r>
      <w:r w:rsidRPr="00132AD4">
        <w:rPr>
          <w:rFonts w:ascii="Arial" w:hAnsi="Arial" w:cs="Arial"/>
          <w:sz w:val="22"/>
          <w:szCs w:val="22"/>
        </w:rPr>
        <w:t>2023</w:t>
      </w:r>
      <w:r w:rsidR="007D677A" w:rsidRPr="00132AD4">
        <w:rPr>
          <w:rFonts w:ascii="Arial" w:hAnsi="Arial" w:cs="Arial"/>
          <w:sz w:val="22"/>
          <w:szCs w:val="22"/>
        </w:rPr>
        <w:t>)</w:t>
      </w:r>
      <w:r w:rsidRPr="00132AD4">
        <w:rPr>
          <w:rFonts w:ascii="Arial" w:hAnsi="Arial" w:cs="Arial"/>
          <w:sz w:val="22"/>
          <w:szCs w:val="22"/>
        </w:rPr>
        <w:t>. Impact of COVID-19 pandemic on healthcare-associated infections at intensive care units in South Korea: data from the Korean National Healthcare-Associated Infections Surveillance System (KONIS). </w:t>
      </w:r>
      <w:r w:rsidRPr="00132AD4">
        <w:rPr>
          <w:rFonts w:ascii="Arial" w:hAnsi="Arial" w:cs="Arial"/>
          <w:i/>
          <w:iCs/>
          <w:sz w:val="22"/>
          <w:szCs w:val="22"/>
        </w:rPr>
        <w:t>Journal of Hospital Infection</w:t>
      </w:r>
      <w:r w:rsidRPr="00132AD4">
        <w:rPr>
          <w:rFonts w:ascii="Arial" w:hAnsi="Arial" w:cs="Arial"/>
          <w:sz w:val="22"/>
          <w:szCs w:val="22"/>
        </w:rPr>
        <w:t>, </w:t>
      </w:r>
      <w:r w:rsidRPr="00132AD4">
        <w:rPr>
          <w:rFonts w:ascii="Arial" w:hAnsi="Arial" w:cs="Arial"/>
          <w:i/>
          <w:iCs/>
          <w:sz w:val="22"/>
          <w:szCs w:val="22"/>
        </w:rPr>
        <w:t>138</w:t>
      </w:r>
      <w:r w:rsidRPr="00132AD4">
        <w:rPr>
          <w:rFonts w:ascii="Arial" w:hAnsi="Arial" w:cs="Arial"/>
          <w:sz w:val="22"/>
          <w:szCs w:val="22"/>
        </w:rPr>
        <w:t>, pp.52-59.</w:t>
      </w:r>
    </w:p>
    <w:p w14:paraId="2A1F78FC" w14:textId="11C31765" w:rsidR="004636C0" w:rsidRPr="00132AD4" w:rsidRDefault="004636C0" w:rsidP="005C2919">
      <w:pPr>
        <w:spacing w:line="360" w:lineRule="auto"/>
        <w:jc w:val="both"/>
        <w:rPr>
          <w:rFonts w:ascii="Arial" w:hAnsi="Arial" w:cs="Arial"/>
          <w:sz w:val="22"/>
          <w:szCs w:val="22"/>
        </w:rPr>
      </w:pPr>
      <w:r w:rsidRPr="00132AD4">
        <w:rPr>
          <w:rFonts w:ascii="Arial" w:hAnsi="Arial" w:cs="Arial"/>
          <w:sz w:val="22"/>
          <w:szCs w:val="22"/>
        </w:rPr>
        <w:t xml:space="preserve">López </w:t>
      </w:r>
      <w:proofErr w:type="spellStart"/>
      <w:r w:rsidRPr="00132AD4">
        <w:rPr>
          <w:rFonts w:ascii="Arial" w:hAnsi="Arial" w:cs="Arial"/>
          <w:sz w:val="22"/>
          <w:szCs w:val="22"/>
        </w:rPr>
        <w:t>i</w:t>
      </w:r>
      <w:proofErr w:type="spellEnd"/>
      <w:r w:rsidRPr="00132AD4">
        <w:rPr>
          <w:rFonts w:ascii="Arial" w:hAnsi="Arial" w:cs="Arial"/>
          <w:sz w:val="22"/>
          <w:szCs w:val="22"/>
        </w:rPr>
        <w:t xml:space="preserve"> Casasnovas, G., López Seguí, F. and </w:t>
      </w:r>
      <w:proofErr w:type="spellStart"/>
      <w:r w:rsidRPr="00132AD4">
        <w:rPr>
          <w:rFonts w:ascii="Arial" w:hAnsi="Arial" w:cs="Arial"/>
          <w:sz w:val="22"/>
          <w:szCs w:val="22"/>
        </w:rPr>
        <w:t>Arasanz</w:t>
      </w:r>
      <w:proofErr w:type="spellEnd"/>
      <w:r w:rsidRPr="00132AD4">
        <w:rPr>
          <w:rFonts w:ascii="Arial" w:hAnsi="Arial" w:cs="Arial"/>
          <w:sz w:val="22"/>
          <w:szCs w:val="22"/>
        </w:rPr>
        <w:t xml:space="preserve"> Goset, À., </w:t>
      </w:r>
      <w:r w:rsidR="00406474" w:rsidRPr="00132AD4">
        <w:rPr>
          <w:rFonts w:ascii="Arial" w:hAnsi="Arial" w:cs="Arial"/>
          <w:sz w:val="22"/>
          <w:szCs w:val="22"/>
        </w:rPr>
        <w:t>(</w:t>
      </w:r>
      <w:r w:rsidRPr="00132AD4">
        <w:rPr>
          <w:rFonts w:ascii="Arial" w:hAnsi="Arial" w:cs="Arial"/>
          <w:sz w:val="22"/>
          <w:szCs w:val="22"/>
        </w:rPr>
        <w:t>2021</w:t>
      </w:r>
      <w:r w:rsidR="00406474" w:rsidRPr="00132AD4">
        <w:rPr>
          <w:rFonts w:ascii="Arial" w:hAnsi="Arial" w:cs="Arial"/>
          <w:sz w:val="22"/>
          <w:szCs w:val="22"/>
        </w:rPr>
        <w:t>)</w:t>
      </w:r>
      <w:r w:rsidRPr="00132AD4">
        <w:rPr>
          <w:rFonts w:ascii="Arial" w:hAnsi="Arial" w:cs="Arial"/>
          <w:sz w:val="22"/>
          <w:szCs w:val="22"/>
        </w:rPr>
        <w:t>. Sustainability and resilience in the Spanish health system.</w:t>
      </w:r>
    </w:p>
    <w:p w14:paraId="7EF7BB8C" w14:textId="39C88889" w:rsidR="00184ED6" w:rsidRPr="00132AD4" w:rsidRDefault="00184ED6" w:rsidP="005C2919">
      <w:pPr>
        <w:spacing w:line="360" w:lineRule="auto"/>
        <w:jc w:val="both"/>
        <w:rPr>
          <w:rFonts w:ascii="Arial" w:hAnsi="Arial" w:cs="Arial"/>
          <w:sz w:val="22"/>
          <w:szCs w:val="22"/>
        </w:rPr>
      </w:pPr>
      <w:r w:rsidRPr="00132AD4">
        <w:rPr>
          <w:rFonts w:ascii="Arial" w:hAnsi="Arial" w:cs="Arial"/>
          <w:sz w:val="22"/>
          <w:szCs w:val="22"/>
        </w:rPr>
        <w:t xml:space="preserve">Martin-Moreno, J.M., Arenas, A., Bengoa, R., Borrell, C., Franco, M., Garcia-Basteiro, A.L., </w:t>
      </w:r>
      <w:proofErr w:type="spellStart"/>
      <w:r w:rsidRPr="00132AD4">
        <w:rPr>
          <w:rFonts w:ascii="Arial" w:hAnsi="Arial" w:cs="Arial"/>
          <w:sz w:val="22"/>
          <w:szCs w:val="22"/>
        </w:rPr>
        <w:t>Gestal</w:t>
      </w:r>
      <w:proofErr w:type="spellEnd"/>
      <w:r w:rsidRPr="00132AD4">
        <w:rPr>
          <w:rFonts w:ascii="Arial" w:hAnsi="Arial" w:cs="Arial"/>
          <w:sz w:val="22"/>
          <w:szCs w:val="22"/>
        </w:rPr>
        <w:t xml:space="preserve">, J., Gonzalez Lopez-Valcarcel, B., Hernandez Aguado, I., </w:t>
      </w:r>
      <w:proofErr w:type="spellStart"/>
      <w:r w:rsidRPr="00132AD4">
        <w:rPr>
          <w:rFonts w:ascii="Arial" w:hAnsi="Arial" w:cs="Arial"/>
          <w:sz w:val="22"/>
          <w:szCs w:val="22"/>
        </w:rPr>
        <w:t>Legido</w:t>
      </w:r>
      <w:proofErr w:type="spellEnd"/>
      <w:r w:rsidRPr="00132AD4">
        <w:rPr>
          <w:rFonts w:ascii="Arial" w:hAnsi="Arial" w:cs="Arial"/>
          <w:sz w:val="22"/>
          <w:szCs w:val="22"/>
        </w:rPr>
        <w:t xml:space="preserve">-Quigley, H. and March, J.C., </w:t>
      </w:r>
      <w:r w:rsidR="00406474" w:rsidRPr="00132AD4">
        <w:rPr>
          <w:rFonts w:ascii="Arial" w:hAnsi="Arial" w:cs="Arial"/>
          <w:sz w:val="22"/>
          <w:szCs w:val="22"/>
        </w:rPr>
        <w:t>(</w:t>
      </w:r>
      <w:r w:rsidRPr="00132AD4">
        <w:rPr>
          <w:rFonts w:ascii="Arial" w:hAnsi="Arial" w:cs="Arial"/>
          <w:sz w:val="22"/>
          <w:szCs w:val="22"/>
        </w:rPr>
        <w:t>2022</w:t>
      </w:r>
      <w:r w:rsidR="00406474" w:rsidRPr="00132AD4">
        <w:rPr>
          <w:rFonts w:ascii="Arial" w:hAnsi="Arial" w:cs="Arial"/>
          <w:sz w:val="22"/>
          <w:szCs w:val="22"/>
        </w:rPr>
        <w:t>)</w:t>
      </w:r>
      <w:r w:rsidRPr="00132AD4">
        <w:rPr>
          <w:rFonts w:ascii="Arial" w:hAnsi="Arial" w:cs="Arial"/>
          <w:sz w:val="22"/>
          <w:szCs w:val="22"/>
        </w:rPr>
        <w:t>. Insight on how to assess and improve the response to the COVID-19 pandemic. </w:t>
      </w:r>
      <w:r w:rsidRPr="00132AD4">
        <w:rPr>
          <w:rFonts w:ascii="Arial" w:hAnsi="Arial" w:cs="Arial"/>
          <w:i/>
          <w:iCs/>
          <w:sz w:val="22"/>
          <w:szCs w:val="22"/>
        </w:rPr>
        <w:t>Gaceta sanitaria</w:t>
      </w:r>
      <w:r w:rsidRPr="00132AD4">
        <w:rPr>
          <w:rFonts w:ascii="Arial" w:hAnsi="Arial" w:cs="Arial"/>
          <w:sz w:val="22"/>
          <w:szCs w:val="22"/>
        </w:rPr>
        <w:t>.</w:t>
      </w:r>
    </w:p>
    <w:p w14:paraId="3EF48622" w14:textId="54F4D2AE" w:rsidR="00502642" w:rsidRPr="00132AD4" w:rsidRDefault="00502642" w:rsidP="005C2919">
      <w:pPr>
        <w:spacing w:line="360" w:lineRule="auto"/>
        <w:jc w:val="both"/>
        <w:rPr>
          <w:rFonts w:ascii="Arial" w:hAnsi="Arial" w:cs="Arial"/>
          <w:sz w:val="22"/>
          <w:szCs w:val="22"/>
        </w:rPr>
      </w:pPr>
      <w:r w:rsidRPr="00132AD4">
        <w:rPr>
          <w:rFonts w:ascii="Arial" w:hAnsi="Arial" w:cs="Arial"/>
          <w:sz w:val="22"/>
          <w:szCs w:val="22"/>
        </w:rPr>
        <w:t xml:space="preserve">McLellan, A., </w:t>
      </w:r>
      <w:r w:rsidR="00955477" w:rsidRPr="00132AD4">
        <w:rPr>
          <w:rFonts w:ascii="Arial" w:hAnsi="Arial" w:cs="Arial"/>
          <w:sz w:val="22"/>
          <w:szCs w:val="22"/>
        </w:rPr>
        <w:t>(</w:t>
      </w:r>
      <w:r w:rsidRPr="00132AD4">
        <w:rPr>
          <w:rFonts w:ascii="Arial" w:hAnsi="Arial" w:cs="Arial"/>
          <w:sz w:val="22"/>
          <w:szCs w:val="22"/>
        </w:rPr>
        <w:t>2022</w:t>
      </w:r>
      <w:r w:rsidR="00955477" w:rsidRPr="00132AD4">
        <w:rPr>
          <w:rFonts w:ascii="Arial" w:hAnsi="Arial" w:cs="Arial"/>
          <w:sz w:val="22"/>
          <w:szCs w:val="22"/>
        </w:rPr>
        <w:t>)</w:t>
      </w:r>
      <w:r w:rsidRPr="00132AD4">
        <w:rPr>
          <w:rFonts w:ascii="Arial" w:hAnsi="Arial" w:cs="Arial"/>
          <w:sz w:val="22"/>
          <w:szCs w:val="22"/>
        </w:rPr>
        <w:t>. Leadership in a time of crisis: reflections of a minister in the government of Canada during 9/11 and SARS. </w:t>
      </w:r>
      <w:r w:rsidRPr="00132AD4">
        <w:rPr>
          <w:rFonts w:ascii="Arial" w:hAnsi="Arial" w:cs="Arial"/>
          <w:i/>
          <w:iCs/>
          <w:sz w:val="22"/>
          <w:szCs w:val="22"/>
        </w:rPr>
        <w:t>International Journal of Public Leadership</w:t>
      </w:r>
      <w:r w:rsidRPr="00132AD4">
        <w:rPr>
          <w:rFonts w:ascii="Arial" w:hAnsi="Arial" w:cs="Arial"/>
          <w:sz w:val="22"/>
          <w:szCs w:val="22"/>
        </w:rPr>
        <w:t>, </w:t>
      </w:r>
      <w:r w:rsidRPr="00132AD4">
        <w:rPr>
          <w:rFonts w:ascii="Arial" w:hAnsi="Arial" w:cs="Arial"/>
          <w:i/>
          <w:iCs/>
          <w:sz w:val="22"/>
          <w:szCs w:val="22"/>
        </w:rPr>
        <w:t>18</w:t>
      </w:r>
      <w:r w:rsidRPr="00132AD4">
        <w:rPr>
          <w:rFonts w:ascii="Arial" w:hAnsi="Arial" w:cs="Arial"/>
          <w:sz w:val="22"/>
          <w:szCs w:val="22"/>
        </w:rPr>
        <w:t>(2), pp.101-108.</w:t>
      </w:r>
    </w:p>
    <w:p w14:paraId="00946CE4" w14:textId="4AE4959B" w:rsidR="003025CE" w:rsidRPr="00132AD4" w:rsidRDefault="003025CE" w:rsidP="005C2919">
      <w:pPr>
        <w:spacing w:line="360" w:lineRule="auto"/>
        <w:jc w:val="both"/>
        <w:rPr>
          <w:rFonts w:ascii="Arial" w:hAnsi="Arial" w:cs="Arial"/>
          <w:sz w:val="22"/>
          <w:szCs w:val="22"/>
        </w:rPr>
      </w:pPr>
      <w:r w:rsidRPr="00132AD4">
        <w:rPr>
          <w:rFonts w:ascii="Arial" w:hAnsi="Arial" w:cs="Arial"/>
          <w:sz w:val="22"/>
          <w:szCs w:val="22"/>
        </w:rPr>
        <w:t xml:space="preserve">Morgan, G.T., Poland, B., Jackson, S.F., Gloger, A., Luca, S., Lach, N. and Rolston, I.A., </w:t>
      </w:r>
      <w:r w:rsidR="00406474" w:rsidRPr="00132AD4">
        <w:rPr>
          <w:rFonts w:ascii="Arial" w:hAnsi="Arial" w:cs="Arial"/>
          <w:sz w:val="22"/>
          <w:szCs w:val="22"/>
        </w:rPr>
        <w:t>(</w:t>
      </w:r>
      <w:r w:rsidRPr="00132AD4">
        <w:rPr>
          <w:rFonts w:ascii="Arial" w:hAnsi="Arial" w:cs="Arial"/>
          <w:sz w:val="22"/>
          <w:szCs w:val="22"/>
        </w:rPr>
        <w:t>2022</w:t>
      </w:r>
      <w:r w:rsidR="00406474" w:rsidRPr="00132AD4">
        <w:rPr>
          <w:rFonts w:ascii="Arial" w:hAnsi="Arial" w:cs="Arial"/>
          <w:sz w:val="22"/>
          <w:szCs w:val="22"/>
        </w:rPr>
        <w:t>)</w:t>
      </w:r>
      <w:r w:rsidRPr="00132AD4">
        <w:rPr>
          <w:rFonts w:ascii="Arial" w:hAnsi="Arial" w:cs="Arial"/>
          <w:sz w:val="22"/>
          <w:szCs w:val="22"/>
        </w:rPr>
        <w:t>. A connected community response to COVID-19 in Toronto. </w:t>
      </w:r>
      <w:r w:rsidRPr="00132AD4">
        <w:rPr>
          <w:rFonts w:ascii="Arial" w:hAnsi="Arial" w:cs="Arial"/>
          <w:i/>
          <w:iCs/>
          <w:sz w:val="22"/>
          <w:szCs w:val="22"/>
        </w:rPr>
        <w:t>Global health promotion</w:t>
      </w:r>
      <w:r w:rsidRPr="00132AD4">
        <w:rPr>
          <w:rFonts w:ascii="Arial" w:hAnsi="Arial" w:cs="Arial"/>
          <w:sz w:val="22"/>
          <w:szCs w:val="22"/>
        </w:rPr>
        <w:t>, </w:t>
      </w:r>
      <w:r w:rsidRPr="00132AD4">
        <w:rPr>
          <w:rFonts w:ascii="Arial" w:hAnsi="Arial" w:cs="Arial"/>
          <w:i/>
          <w:iCs/>
          <w:sz w:val="22"/>
          <w:szCs w:val="22"/>
        </w:rPr>
        <w:t>29</w:t>
      </w:r>
      <w:r w:rsidRPr="00132AD4">
        <w:rPr>
          <w:rFonts w:ascii="Arial" w:hAnsi="Arial" w:cs="Arial"/>
          <w:sz w:val="22"/>
          <w:szCs w:val="22"/>
        </w:rPr>
        <w:t>(1), pp.101-104.</w:t>
      </w:r>
    </w:p>
    <w:p w14:paraId="4D60FBB6" w14:textId="14FE2287" w:rsidR="00C154B9" w:rsidRPr="00132AD4" w:rsidRDefault="00C154B9" w:rsidP="005C2919">
      <w:pPr>
        <w:spacing w:line="360" w:lineRule="auto"/>
        <w:jc w:val="both"/>
        <w:rPr>
          <w:rFonts w:ascii="Arial" w:hAnsi="Arial" w:cs="Arial"/>
          <w:sz w:val="22"/>
          <w:szCs w:val="22"/>
        </w:rPr>
      </w:pPr>
      <w:r w:rsidRPr="00132AD4">
        <w:rPr>
          <w:rFonts w:ascii="Arial" w:hAnsi="Arial" w:cs="Arial"/>
          <w:sz w:val="22"/>
          <w:szCs w:val="22"/>
        </w:rPr>
        <w:t xml:space="preserve">Moon, D., Jeon, J., Park, J., Choi, M.H., Kim, M.H. and Choi, H., </w:t>
      </w:r>
      <w:r w:rsidR="00616967" w:rsidRPr="00132AD4">
        <w:rPr>
          <w:rFonts w:ascii="Arial" w:hAnsi="Arial" w:cs="Arial"/>
          <w:sz w:val="22"/>
          <w:szCs w:val="22"/>
        </w:rPr>
        <w:t>(</w:t>
      </w:r>
      <w:r w:rsidRPr="00132AD4">
        <w:rPr>
          <w:rFonts w:ascii="Arial" w:hAnsi="Arial" w:cs="Arial"/>
          <w:sz w:val="22"/>
          <w:szCs w:val="22"/>
        </w:rPr>
        <w:t>2024</w:t>
      </w:r>
      <w:r w:rsidR="00616967" w:rsidRPr="00132AD4">
        <w:rPr>
          <w:rFonts w:ascii="Arial" w:hAnsi="Arial" w:cs="Arial"/>
          <w:sz w:val="22"/>
          <w:szCs w:val="22"/>
        </w:rPr>
        <w:t>)</w:t>
      </w:r>
      <w:r w:rsidRPr="00132AD4">
        <w:rPr>
          <w:rFonts w:ascii="Arial" w:hAnsi="Arial" w:cs="Arial"/>
          <w:sz w:val="22"/>
          <w:szCs w:val="22"/>
        </w:rPr>
        <w:t>. Universal health coverage saves more lives among severely ill COVID-19 patients: A difference-in-differences analysis of individual patient data in South Korea. </w:t>
      </w:r>
      <w:r w:rsidRPr="00132AD4">
        <w:rPr>
          <w:rFonts w:ascii="Arial" w:hAnsi="Arial" w:cs="Arial"/>
          <w:i/>
          <w:iCs/>
          <w:sz w:val="22"/>
          <w:szCs w:val="22"/>
        </w:rPr>
        <w:t>Health Research Policy and Systems</w:t>
      </w:r>
      <w:r w:rsidRPr="00132AD4">
        <w:rPr>
          <w:rFonts w:ascii="Arial" w:hAnsi="Arial" w:cs="Arial"/>
          <w:sz w:val="22"/>
          <w:szCs w:val="22"/>
        </w:rPr>
        <w:t>, </w:t>
      </w:r>
      <w:r w:rsidRPr="00132AD4">
        <w:rPr>
          <w:rFonts w:ascii="Arial" w:hAnsi="Arial" w:cs="Arial"/>
          <w:i/>
          <w:iCs/>
          <w:sz w:val="22"/>
          <w:szCs w:val="22"/>
        </w:rPr>
        <w:t>22</w:t>
      </w:r>
      <w:r w:rsidRPr="00132AD4">
        <w:rPr>
          <w:rFonts w:ascii="Arial" w:hAnsi="Arial" w:cs="Arial"/>
          <w:sz w:val="22"/>
          <w:szCs w:val="22"/>
        </w:rPr>
        <w:t>(1), p.116.</w:t>
      </w:r>
    </w:p>
    <w:p w14:paraId="38436E44" w14:textId="5521848D" w:rsidR="009E2BC4" w:rsidRPr="00132AD4" w:rsidRDefault="009E2BC4" w:rsidP="005C2919">
      <w:pPr>
        <w:spacing w:line="360" w:lineRule="auto"/>
        <w:jc w:val="both"/>
        <w:rPr>
          <w:rFonts w:ascii="Arial" w:hAnsi="Arial" w:cs="Arial"/>
          <w:sz w:val="22"/>
          <w:szCs w:val="22"/>
        </w:rPr>
      </w:pPr>
      <w:r w:rsidRPr="00132AD4">
        <w:rPr>
          <w:rFonts w:ascii="Arial" w:hAnsi="Arial" w:cs="Arial"/>
          <w:sz w:val="22"/>
          <w:szCs w:val="22"/>
        </w:rPr>
        <w:lastRenderedPageBreak/>
        <w:t xml:space="preserve">Parker, J., </w:t>
      </w:r>
      <w:r w:rsidR="00616967" w:rsidRPr="00132AD4">
        <w:rPr>
          <w:rFonts w:ascii="Arial" w:hAnsi="Arial" w:cs="Arial"/>
          <w:sz w:val="22"/>
          <w:szCs w:val="22"/>
        </w:rPr>
        <w:t>(</w:t>
      </w:r>
      <w:r w:rsidRPr="00132AD4">
        <w:rPr>
          <w:rFonts w:ascii="Arial" w:hAnsi="Arial" w:cs="Arial"/>
          <w:sz w:val="22"/>
          <w:szCs w:val="22"/>
        </w:rPr>
        <w:t>2022</w:t>
      </w:r>
      <w:r w:rsidR="00616967" w:rsidRPr="00132AD4">
        <w:rPr>
          <w:rFonts w:ascii="Arial" w:hAnsi="Arial" w:cs="Arial"/>
          <w:sz w:val="22"/>
          <w:szCs w:val="22"/>
        </w:rPr>
        <w:t>)</w:t>
      </w:r>
      <w:r w:rsidRPr="00132AD4">
        <w:rPr>
          <w:rFonts w:ascii="Arial" w:hAnsi="Arial" w:cs="Arial"/>
          <w:sz w:val="22"/>
          <w:szCs w:val="22"/>
        </w:rPr>
        <w:t>. Europe’s secessionist movements and Covid-19. </w:t>
      </w:r>
      <w:r w:rsidRPr="00132AD4">
        <w:rPr>
          <w:rFonts w:ascii="Arial" w:hAnsi="Arial" w:cs="Arial"/>
          <w:i/>
          <w:iCs/>
          <w:sz w:val="22"/>
          <w:szCs w:val="22"/>
        </w:rPr>
        <w:t>Nationalities Papers</w:t>
      </w:r>
      <w:r w:rsidRPr="00132AD4">
        <w:rPr>
          <w:rFonts w:ascii="Arial" w:hAnsi="Arial" w:cs="Arial"/>
          <w:sz w:val="22"/>
          <w:szCs w:val="22"/>
        </w:rPr>
        <w:t>, </w:t>
      </w:r>
      <w:r w:rsidRPr="00132AD4">
        <w:rPr>
          <w:rFonts w:ascii="Arial" w:hAnsi="Arial" w:cs="Arial"/>
          <w:i/>
          <w:iCs/>
          <w:sz w:val="22"/>
          <w:szCs w:val="22"/>
        </w:rPr>
        <w:t>50</w:t>
      </w:r>
      <w:r w:rsidRPr="00132AD4">
        <w:rPr>
          <w:rFonts w:ascii="Arial" w:hAnsi="Arial" w:cs="Arial"/>
          <w:sz w:val="22"/>
          <w:szCs w:val="22"/>
        </w:rPr>
        <w:t>(1), pp.118-129.</w:t>
      </w:r>
    </w:p>
    <w:p w14:paraId="3134A380" w14:textId="0D57BC34" w:rsidR="005C2919" w:rsidRPr="00132AD4" w:rsidRDefault="00F13DC1" w:rsidP="005C2919">
      <w:pPr>
        <w:spacing w:line="360" w:lineRule="auto"/>
        <w:jc w:val="both"/>
        <w:rPr>
          <w:rFonts w:ascii="Arial" w:hAnsi="Arial" w:cs="Arial"/>
          <w:sz w:val="22"/>
          <w:szCs w:val="22"/>
        </w:rPr>
      </w:pPr>
      <w:r w:rsidRPr="00132AD4">
        <w:rPr>
          <w:rFonts w:ascii="Arial" w:hAnsi="Arial" w:cs="Arial"/>
          <w:sz w:val="22"/>
          <w:szCs w:val="22"/>
        </w:rPr>
        <w:t>Perna, R., Hernández</w:t>
      </w:r>
      <w:r w:rsidRPr="00132AD4">
        <w:rPr>
          <w:rFonts w:ascii="Cambria Math" w:hAnsi="Cambria Math" w:cs="Cambria Math"/>
          <w:sz w:val="22"/>
          <w:szCs w:val="22"/>
        </w:rPr>
        <w:t>‐</w:t>
      </w:r>
      <w:r w:rsidRPr="00132AD4">
        <w:rPr>
          <w:rFonts w:ascii="Arial" w:hAnsi="Arial" w:cs="Arial"/>
          <w:sz w:val="22"/>
          <w:szCs w:val="22"/>
        </w:rPr>
        <w:t>Moreno, J. and Cruz</w:t>
      </w:r>
      <w:r w:rsidRPr="00132AD4">
        <w:rPr>
          <w:rFonts w:ascii="Cambria Math" w:hAnsi="Cambria Math" w:cs="Cambria Math"/>
          <w:sz w:val="22"/>
          <w:szCs w:val="22"/>
        </w:rPr>
        <w:t>‐</w:t>
      </w:r>
      <w:r w:rsidRPr="00132AD4">
        <w:rPr>
          <w:rFonts w:ascii="Arial" w:hAnsi="Arial" w:cs="Arial"/>
          <w:sz w:val="22"/>
          <w:szCs w:val="22"/>
        </w:rPr>
        <w:t xml:space="preserve">Martínez, G., </w:t>
      </w:r>
      <w:r w:rsidR="00406474" w:rsidRPr="00132AD4">
        <w:rPr>
          <w:rFonts w:ascii="Arial" w:hAnsi="Arial" w:cs="Arial"/>
          <w:sz w:val="22"/>
          <w:szCs w:val="22"/>
        </w:rPr>
        <w:t>(</w:t>
      </w:r>
      <w:r w:rsidRPr="00132AD4">
        <w:rPr>
          <w:rFonts w:ascii="Arial" w:hAnsi="Arial" w:cs="Arial"/>
          <w:sz w:val="22"/>
          <w:szCs w:val="22"/>
        </w:rPr>
        <w:t>2025</w:t>
      </w:r>
      <w:r w:rsidR="00406474" w:rsidRPr="00132AD4">
        <w:rPr>
          <w:rFonts w:ascii="Arial" w:hAnsi="Arial" w:cs="Arial"/>
          <w:sz w:val="22"/>
          <w:szCs w:val="22"/>
        </w:rPr>
        <w:t>)</w:t>
      </w:r>
      <w:r w:rsidRPr="00132AD4">
        <w:rPr>
          <w:rFonts w:ascii="Arial" w:hAnsi="Arial" w:cs="Arial"/>
          <w:sz w:val="22"/>
          <w:szCs w:val="22"/>
        </w:rPr>
        <w:t>. Reforming Long</w:t>
      </w:r>
      <w:r w:rsidRPr="00132AD4">
        <w:rPr>
          <w:rFonts w:ascii="Cambria Math" w:hAnsi="Cambria Math" w:cs="Cambria Math"/>
          <w:sz w:val="22"/>
          <w:szCs w:val="22"/>
        </w:rPr>
        <w:t>‐</w:t>
      </w:r>
      <w:r w:rsidRPr="00132AD4">
        <w:rPr>
          <w:rFonts w:ascii="Arial" w:hAnsi="Arial" w:cs="Arial"/>
          <w:sz w:val="22"/>
          <w:szCs w:val="22"/>
        </w:rPr>
        <w:t>Term Care Provision and Work in Post</w:t>
      </w:r>
      <w:r w:rsidRPr="00132AD4">
        <w:rPr>
          <w:rFonts w:ascii="Cambria Math" w:hAnsi="Cambria Math" w:cs="Cambria Math"/>
          <w:sz w:val="22"/>
          <w:szCs w:val="22"/>
        </w:rPr>
        <w:t>‐</w:t>
      </w:r>
      <w:r w:rsidRPr="00132AD4">
        <w:rPr>
          <w:rFonts w:ascii="Arial" w:hAnsi="Arial" w:cs="Arial"/>
          <w:sz w:val="22"/>
          <w:szCs w:val="22"/>
        </w:rPr>
        <w:t>Pandemic Times: Scope and Drivers of Policy Change in the Spanish Decentralised System. </w:t>
      </w:r>
      <w:r w:rsidRPr="00132AD4">
        <w:rPr>
          <w:rFonts w:ascii="Arial" w:hAnsi="Arial" w:cs="Arial"/>
          <w:i/>
          <w:iCs/>
          <w:sz w:val="22"/>
          <w:szCs w:val="22"/>
        </w:rPr>
        <w:t>Social Policy &amp; Administration</w:t>
      </w:r>
      <w:r w:rsidRPr="00132AD4">
        <w:rPr>
          <w:rFonts w:ascii="Arial" w:hAnsi="Arial" w:cs="Arial"/>
          <w:sz w:val="22"/>
          <w:szCs w:val="22"/>
        </w:rPr>
        <w:t>.</w:t>
      </w:r>
      <w:r w:rsidR="005C2919" w:rsidRPr="00132AD4">
        <w:rPr>
          <w:rFonts w:ascii="Arial" w:hAnsi="Arial" w:cs="Arial"/>
          <w:vanish/>
          <w:sz w:val="22"/>
          <w:szCs w:val="22"/>
        </w:rPr>
        <w:t>Top of Form</w:t>
      </w:r>
    </w:p>
    <w:p w14:paraId="6D607A25" w14:textId="1F4644A0" w:rsidR="009E2BC4" w:rsidRPr="00132AD4" w:rsidRDefault="009E2BC4" w:rsidP="005C2919">
      <w:pPr>
        <w:spacing w:line="360" w:lineRule="auto"/>
        <w:jc w:val="both"/>
        <w:rPr>
          <w:rFonts w:ascii="Arial" w:hAnsi="Arial" w:cs="Arial"/>
          <w:sz w:val="22"/>
          <w:szCs w:val="22"/>
        </w:rPr>
      </w:pPr>
      <w:r w:rsidRPr="00132AD4">
        <w:rPr>
          <w:rFonts w:ascii="Arial" w:hAnsi="Arial" w:cs="Arial"/>
          <w:sz w:val="22"/>
          <w:szCs w:val="22"/>
        </w:rPr>
        <w:t xml:space="preserve">Rodríguez, M.L., </w:t>
      </w:r>
      <w:r w:rsidR="005261F9" w:rsidRPr="00132AD4">
        <w:rPr>
          <w:rFonts w:ascii="Arial" w:hAnsi="Arial" w:cs="Arial"/>
          <w:sz w:val="22"/>
          <w:szCs w:val="22"/>
        </w:rPr>
        <w:t>(</w:t>
      </w:r>
      <w:r w:rsidRPr="00132AD4">
        <w:rPr>
          <w:rFonts w:ascii="Arial" w:hAnsi="Arial" w:cs="Arial"/>
          <w:sz w:val="22"/>
          <w:szCs w:val="22"/>
        </w:rPr>
        <w:t>2020</w:t>
      </w:r>
      <w:r w:rsidR="005261F9" w:rsidRPr="00132AD4">
        <w:rPr>
          <w:rFonts w:ascii="Arial" w:hAnsi="Arial" w:cs="Arial"/>
          <w:sz w:val="22"/>
          <w:szCs w:val="22"/>
        </w:rPr>
        <w:t>)</w:t>
      </w:r>
      <w:r w:rsidRPr="00132AD4">
        <w:rPr>
          <w:rFonts w:ascii="Arial" w:hAnsi="Arial" w:cs="Arial"/>
          <w:sz w:val="22"/>
          <w:szCs w:val="22"/>
        </w:rPr>
        <w:t>. How not to face coronavirus: the case of Spain. </w:t>
      </w:r>
      <w:proofErr w:type="spellStart"/>
      <w:r w:rsidRPr="00132AD4">
        <w:rPr>
          <w:rFonts w:ascii="Arial" w:hAnsi="Arial" w:cs="Arial"/>
          <w:i/>
          <w:iCs/>
          <w:sz w:val="22"/>
          <w:szCs w:val="22"/>
        </w:rPr>
        <w:t>Eubios</w:t>
      </w:r>
      <w:proofErr w:type="spellEnd"/>
      <w:r w:rsidRPr="00132AD4">
        <w:rPr>
          <w:rFonts w:ascii="Arial" w:hAnsi="Arial" w:cs="Arial"/>
          <w:i/>
          <w:iCs/>
          <w:sz w:val="22"/>
          <w:szCs w:val="22"/>
        </w:rPr>
        <w:t xml:space="preserve"> Journal of Asian and International Bioethics</w:t>
      </w:r>
      <w:r w:rsidRPr="00132AD4">
        <w:rPr>
          <w:rFonts w:ascii="Arial" w:hAnsi="Arial" w:cs="Arial"/>
          <w:sz w:val="22"/>
          <w:szCs w:val="22"/>
        </w:rPr>
        <w:t>, </w:t>
      </w:r>
      <w:r w:rsidRPr="00132AD4">
        <w:rPr>
          <w:rFonts w:ascii="Arial" w:hAnsi="Arial" w:cs="Arial"/>
          <w:i/>
          <w:iCs/>
          <w:sz w:val="22"/>
          <w:szCs w:val="22"/>
        </w:rPr>
        <w:t>30</w:t>
      </w:r>
      <w:r w:rsidRPr="00132AD4">
        <w:rPr>
          <w:rFonts w:ascii="Arial" w:hAnsi="Arial" w:cs="Arial"/>
          <w:sz w:val="22"/>
          <w:szCs w:val="22"/>
        </w:rPr>
        <w:t>(4), p.152.</w:t>
      </w:r>
    </w:p>
    <w:p w14:paraId="4D1AA23D" w14:textId="15922AF4" w:rsidR="00C81B3A" w:rsidRPr="00132AD4" w:rsidRDefault="00C81B3A" w:rsidP="005C2919">
      <w:pPr>
        <w:spacing w:line="360" w:lineRule="auto"/>
        <w:jc w:val="both"/>
        <w:rPr>
          <w:rFonts w:ascii="Arial" w:hAnsi="Arial" w:cs="Arial"/>
          <w:sz w:val="22"/>
          <w:szCs w:val="22"/>
        </w:rPr>
      </w:pPr>
      <w:r w:rsidRPr="00132AD4">
        <w:rPr>
          <w:rFonts w:ascii="Arial" w:hAnsi="Arial" w:cs="Arial"/>
          <w:sz w:val="22"/>
          <w:szCs w:val="22"/>
        </w:rPr>
        <w:t xml:space="preserve">Schwak, J., </w:t>
      </w:r>
      <w:r w:rsidR="005261F9" w:rsidRPr="00132AD4">
        <w:rPr>
          <w:rFonts w:ascii="Arial" w:hAnsi="Arial" w:cs="Arial"/>
          <w:sz w:val="22"/>
          <w:szCs w:val="22"/>
        </w:rPr>
        <w:t>(</w:t>
      </w:r>
      <w:r w:rsidRPr="00132AD4">
        <w:rPr>
          <w:rFonts w:ascii="Arial" w:hAnsi="Arial" w:cs="Arial"/>
          <w:sz w:val="22"/>
          <w:szCs w:val="22"/>
        </w:rPr>
        <w:t>2023</w:t>
      </w:r>
      <w:r w:rsidR="005261F9" w:rsidRPr="00132AD4">
        <w:rPr>
          <w:rFonts w:ascii="Arial" w:hAnsi="Arial" w:cs="Arial"/>
          <w:sz w:val="22"/>
          <w:szCs w:val="22"/>
        </w:rPr>
        <w:t>)</w:t>
      </w:r>
      <w:r w:rsidRPr="00132AD4">
        <w:rPr>
          <w:rFonts w:ascii="Arial" w:hAnsi="Arial" w:cs="Arial"/>
          <w:sz w:val="22"/>
          <w:szCs w:val="22"/>
        </w:rPr>
        <w:t>. Exporting K-Quarantine: Korea’s Promotion of its COVID-19 Management Strategy. In </w:t>
      </w:r>
      <w:r w:rsidRPr="00132AD4">
        <w:rPr>
          <w:rFonts w:ascii="Arial" w:hAnsi="Arial" w:cs="Arial"/>
          <w:i/>
          <w:iCs/>
          <w:sz w:val="22"/>
          <w:szCs w:val="22"/>
        </w:rPr>
        <w:t>SECURITY, DEVELOPMENT AND SUSTAINABILITY IN ASIA: Volume 3: Environment, Sustainability and Human Security</w:t>
      </w:r>
      <w:r w:rsidRPr="00132AD4">
        <w:rPr>
          <w:rFonts w:ascii="Arial" w:hAnsi="Arial" w:cs="Arial"/>
          <w:sz w:val="22"/>
          <w:szCs w:val="22"/>
        </w:rPr>
        <w:t> (pp. 49-65).</w:t>
      </w:r>
    </w:p>
    <w:p w14:paraId="5E6DFE8B" w14:textId="73D1A7AE" w:rsidR="004636C0" w:rsidRPr="00132AD4" w:rsidRDefault="004636C0" w:rsidP="005C2919">
      <w:pPr>
        <w:spacing w:line="360" w:lineRule="auto"/>
        <w:jc w:val="both"/>
        <w:rPr>
          <w:rFonts w:ascii="Arial" w:hAnsi="Arial" w:cs="Arial"/>
          <w:sz w:val="22"/>
          <w:szCs w:val="22"/>
        </w:rPr>
      </w:pPr>
      <w:r w:rsidRPr="00132AD4">
        <w:rPr>
          <w:rFonts w:ascii="Arial" w:hAnsi="Arial" w:cs="Arial"/>
          <w:sz w:val="22"/>
          <w:szCs w:val="22"/>
        </w:rPr>
        <w:t xml:space="preserve">Sendra, A., </w:t>
      </w:r>
      <w:proofErr w:type="spellStart"/>
      <w:r w:rsidRPr="00132AD4">
        <w:rPr>
          <w:rFonts w:ascii="Arial" w:hAnsi="Arial" w:cs="Arial"/>
          <w:sz w:val="22"/>
          <w:szCs w:val="22"/>
        </w:rPr>
        <w:t>Farré</w:t>
      </w:r>
      <w:proofErr w:type="spellEnd"/>
      <w:r w:rsidRPr="00132AD4">
        <w:rPr>
          <w:rFonts w:ascii="Arial" w:hAnsi="Arial" w:cs="Arial"/>
          <w:sz w:val="22"/>
          <w:szCs w:val="22"/>
        </w:rPr>
        <w:t xml:space="preserve">, J., Lovari, A. and </w:t>
      </w:r>
      <w:proofErr w:type="spellStart"/>
      <w:r w:rsidRPr="00132AD4">
        <w:rPr>
          <w:rFonts w:ascii="Arial" w:hAnsi="Arial" w:cs="Arial"/>
          <w:sz w:val="22"/>
          <w:szCs w:val="22"/>
        </w:rPr>
        <w:t>Lombi</w:t>
      </w:r>
      <w:proofErr w:type="spellEnd"/>
      <w:r w:rsidRPr="00132AD4">
        <w:rPr>
          <w:rFonts w:ascii="Arial" w:hAnsi="Arial" w:cs="Arial"/>
          <w:sz w:val="22"/>
          <w:szCs w:val="22"/>
        </w:rPr>
        <w:t xml:space="preserve">, L., </w:t>
      </w:r>
      <w:r w:rsidR="00406474" w:rsidRPr="00132AD4">
        <w:rPr>
          <w:rFonts w:ascii="Arial" w:hAnsi="Arial" w:cs="Arial"/>
          <w:sz w:val="22"/>
          <w:szCs w:val="22"/>
        </w:rPr>
        <w:t>(</w:t>
      </w:r>
      <w:r w:rsidRPr="00132AD4">
        <w:rPr>
          <w:rFonts w:ascii="Arial" w:hAnsi="Arial" w:cs="Arial"/>
          <w:sz w:val="22"/>
          <w:szCs w:val="22"/>
        </w:rPr>
        <w:t>2021</w:t>
      </w:r>
      <w:r w:rsidR="00406474" w:rsidRPr="00132AD4">
        <w:rPr>
          <w:rFonts w:ascii="Arial" w:hAnsi="Arial" w:cs="Arial"/>
          <w:sz w:val="22"/>
          <w:szCs w:val="22"/>
        </w:rPr>
        <w:t>)</w:t>
      </w:r>
      <w:r w:rsidRPr="00132AD4">
        <w:rPr>
          <w:rFonts w:ascii="Arial" w:hAnsi="Arial" w:cs="Arial"/>
          <w:sz w:val="22"/>
          <w:szCs w:val="22"/>
        </w:rPr>
        <w:t>. The impact of COVID-19 in Italy and Spain. </w:t>
      </w:r>
      <w:r w:rsidRPr="00132AD4">
        <w:rPr>
          <w:rFonts w:ascii="Arial" w:hAnsi="Arial" w:cs="Arial"/>
          <w:i/>
          <w:iCs/>
          <w:sz w:val="22"/>
          <w:szCs w:val="22"/>
        </w:rPr>
        <w:t>The COVID-19 Crisis: Social Perspectives</w:t>
      </w:r>
      <w:r w:rsidRPr="00132AD4">
        <w:rPr>
          <w:rFonts w:ascii="Arial" w:hAnsi="Arial" w:cs="Arial"/>
          <w:sz w:val="22"/>
          <w:szCs w:val="22"/>
        </w:rPr>
        <w:t>.</w:t>
      </w:r>
    </w:p>
    <w:p w14:paraId="29B45723" w14:textId="707B0D6A" w:rsidR="00EE753D" w:rsidRPr="00132AD4" w:rsidRDefault="00EE753D" w:rsidP="005C2919">
      <w:pPr>
        <w:spacing w:line="360" w:lineRule="auto"/>
        <w:jc w:val="both"/>
        <w:rPr>
          <w:rFonts w:ascii="Arial" w:hAnsi="Arial" w:cs="Arial"/>
          <w:sz w:val="22"/>
          <w:szCs w:val="22"/>
        </w:rPr>
      </w:pPr>
      <w:r w:rsidRPr="00132AD4">
        <w:rPr>
          <w:rFonts w:ascii="Arial" w:hAnsi="Arial" w:cs="Arial"/>
          <w:sz w:val="22"/>
          <w:szCs w:val="22"/>
        </w:rPr>
        <w:t>Shaban, T. and Brunet-</w:t>
      </w:r>
      <w:proofErr w:type="spellStart"/>
      <w:r w:rsidRPr="00132AD4">
        <w:rPr>
          <w:rFonts w:ascii="Arial" w:hAnsi="Arial" w:cs="Arial"/>
          <w:sz w:val="22"/>
          <w:szCs w:val="22"/>
        </w:rPr>
        <w:t>Jailly</w:t>
      </w:r>
      <w:proofErr w:type="spellEnd"/>
      <w:r w:rsidRPr="00132AD4">
        <w:rPr>
          <w:rFonts w:ascii="Arial" w:hAnsi="Arial" w:cs="Arial"/>
          <w:sz w:val="22"/>
          <w:szCs w:val="22"/>
        </w:rPr>
        <w:t xml:space="preserve">, E., </w:t>
      </w:r>
      <w:r w:rsidR="003E155E" w:rsidRPr="00132AD4">
        <w:rPr>
          <w:rFonts w:ascii="Arial" w:hAnsi="Arial" w:cs="Arial"/>
          <w:sz w:val="22"/>
          <w:szCs w:val="22"/>
        </w:rPr>
        <w:t>(</w:t>
      </w:r>
      <w:r w:rsidRPr="00132AD4">
        <w:rPr>
          <w:rFonts w:ascii="Arial" w:hAnsi="Arial" w:cs="Arial"/>
          <w:sz w:val="22"/>
          <w:szCs w:val="22"/>
        </w:rPr>
        <w:t>2022</w:t>
      </w:r>
      <w:r w:rsidR="003E155E" w:rsidRPr="00132AD4">
        <w:rPr>
          <w:rFonts w:ascii="Arial" w:hAnsi="Arial" w:cs="Arial"/>
          <w:sz w:val="22"/>
          <w:szCs w:val="22"/>
        </w:rPr>
        <w:t>)</w:t>
      </w:r>
      <w:r w:rsidRPr="00132AD4">
        <w:rPr>
          <w:rFonts w:ascii="Arial" w:hAnsi="Arial" w:cs="Arial"/>
          <w:sz w:val="22"/>
          <w:szCs w:val="22"/>
        </w:rPr>
        <w:t>. Health policy responses and social adaptation. </w:t>
      </w:r>
      <w:r w:rsidRPr="00132AD4">
        <w:rPr>
          <w:rFonts w:ascii="Arial" w:hAnsi="Arial" w:cs="Arial"/>
          <w:i/>
          <w:iCs/>
          <w:sz w:val="22"/>
          <w:szCs w:val="22"/>
        </w:rPr>
        <w:t>Public Behavioural Responses to Policy Making during the Pandemic: Comparative Perspectives on Mask-Wearing Policies</w:t>
      </w:r>
      <w:r w:rsidRPr="00132AD4">
        <w:rPr>
          <w:rFonts w:ascii="Arial" w:hAnsi="Arial" w:cs="Arial"/>
          <w:sz w:val="22"/>
          <w:szCs w:val="22"/>
        </w:rPr>
        <w:t>.</w:t>
      </w:r>
    </w:p>
    <w:p w14:paraId="4B8CC7E7" w14:textId="3CB17777" w:rsidR="00416C3A" w:rsidRPr="00132AD4" w:rsidRDefault="00416C3A" w:rsidP="005C2919">
      <w:pPr>
        <w:spacing w:line="360" w:lineRule="auto"/>
        <w:jc w:val="both"/>
        <w:rPr>
          <w:rFonts w:ascii="Arial" w:hAnsi="Arial" w:cs="Arial"/>
          <w:sz w:val="22"/>
          <w:szCs w:val="22"/>
        </w:rPr>
      </w:pPr>
      <w:r w:rsidRPr="00132AD4">
        <w:rPr>
          <w:rFonts w:ascii="Arial" w:hAnsi="Arial" w:cs="Arial"/>
          <w:sz w:val="22"/>
          <w:szCs w:val="22"/>
        </w:rPr>
        <w:t xml:space="preserve">Shapiro, S.J. and Stanton, J., </w:t>
      </w:r>
      <w:r w:rsidR="0008089F" w:rsidRPr="00132AD4">
        <w:rPr>
          <w:rFonts w:ascii="Arial" w:hAnsi="Arial" w:cs="Arial"/>
          <w:sz w:val="22"/>
          <w:szCs w:val="22"/>
        </w:rPr>
        <w:t>(</w:t>
      </w:r>
      <w:r w:rsidRPr="00132AD4">
        <w:rPr>
          <w:rFonts w:ascii="Arial" w:hAnsi="Arial" w:cs="Arial"/>
          <w:sz w:val="22"/>
          <w:szCs w:val="22"/>
        </w:rPr>
        <w:t>2022</w:t>
      </w:r>
      <w:r w:rsidR="0008089F" w:rsidRPr="00132AD4">
        <w:rPr>
          <w:rFonts w:ascii="Arial" w:hAnsi="Arial" w:cs="Arial"/>
          <w:sz w:val="22"/>
          <w:szCs w:val="22"/>
        </w:rPr>
        <w:t>)</w:t>
      </w:r>
      <w:r w:rsidRPr="00132AD4">
        <w:rPr>
          <w:rFonts w:ascii="Arial" w:hAnsi="Arial" w:cs="Arial"/>
          <w:sz w:val="22"/>
          <w:szCs w:val="22"/>
        </w:rPr>
        <w:t xml:space="preserve">. Canada After COVID-19: a flourishing community for </w:t>
      </w:r>
      <w:proofErr w:type="gramStart"/>
      <w:r w:rsidRPr="00132AD4">
        <w:rPr>
          <w:rFonts w:ascii="Arial" w:hAnsi="Arial" w:cs="Arial"/>
          <w:sz w:val="22"/>
          <w:szCs w:val="22"/>
        </w:rPr>
        <w:t>everyone?.</w:t>
      </w:r>
      <w:proofErr w:type="gramEnd"/>
      <w:r w:rsidRPr="00132AD4">
        <w:rPr>
          <w:rFonts w:ascii="Arial" w:hAnsi="Arial" w:cs="Arial"/>
          <w:sz w:val="22"/>
          <w:szCs w:val="22"/>
        </w:rPr>
        <w:t xml:space="preserve"> In </w:t>
      </w:r>
      <w:r w:rsidRPr="00132AD4">
        <w:rPr>
          <w:rFonts w:ascii="Arial" w:hAnsi="Arial" w:cs="Arial"/>
          <w:i/>
          <w:iCs/>
          <w:sz w:val="22"/>
          <w:szCs w:val="22"/>
        </w:rPr>
        <w:t>Community, Economy and COVID-19: Lessons from Multi-Country Analyses of a Global Pandemic</w:t>
      </w:r>
      <w:r w:rsidRPr="00132AD4">
        <w:rPr>
          <w:rFonts w:ascii="Arial" w:hAnsi="Arial" w:cs="Arial"/>
          <w:sz w:val="22"/>
          <w:szCs w:val="22"/>
        </w:rPr>
        <w:t> (pp. 103-118). Cham: Springer International Publishing.</w:t>
      </w:r>
    </w:p>
    <w:p w14:paraId="20DE2159" w14:textId="445AEDBE" w:rsidR="009269EC" w:rsidRPr="00132AD4" w:rsidRDefault="009269EC" w:rsidP="005C2919">
      <w:pPr>
        <w:spacing w:line="360" w:lineRule="auto"/>
        <w:jc w:val="both"/>
        <w:rPr>
          <w:rFonts w:ascii="Arial" w:hAnsi="Arial" w:cs="Arial"/>
          <w:sz w:val="22"/>
          <w:szCs w:val="22"/>
        </w:rPr>
      </w:pPr>
      <w:r w:rsidRPr="00132AD4">
        <w:rPr>
          <w:rFonts w:ascii="Arial" w:hAnsi="Arial" w:cs="Arial"/>
          <w:sz w:val="22"/>
          <w:szCs w:val="22"/>
        </w:rPr>
        <w:t xml:space="preserve">Tuite, A.R., Fisman, D.N. and Greer, A.L., </w:t>
      </w:r>
      <w:r w:rsidR="00304A23" w:rsidRPr="00132AD4">
        <w:rPr>
          <w:rFonts w:ascii="Arial" w:hAnsi="Arial" w:cs="Arial"/>
          <w:sz w:val="22"/>
          <w:szCs w:val="22"/>
        </w:rPr>
        <w:t>(</w:t>
      </w:r>
      <w:r w:rsidRPr="00132AD4">
        <w:rPr>
          <w:rFonts w:ascii="Arial" w:hAnsi="Arial" w:cs="Arial"/>
          <w:sz w:val="22"/>
          <w:szCs w:val="22"/>
        </w:rPr>
        <w:t>2020</w:t>
      </w:r>
      <w:r w:rsidR="00304A23" w:rsidRPr="00132AD4">
        <w:rPr>
          <w:rFonts w:ascii="Arial" w:hAnsi="Arial" w:cs="Arial"/>
          <w:sz w:val="22"/>
          <w:szCs w:val="22"/>
        </w:rPr>
        <w:t>)</w:t>
      </w:r>
      <w:r w:rsidRPr="00132AD4">
        <w:rPr>
          <w:rFonts w:ascii="Arial" w:hAnsi="Arial" w:cs="Arial"/>
          <w:sz w:val="22"/>
          <w:szCs w:val="22"/>
        </w:rPr>
        <w:t>. Mathematical modelling of COVID-19 transmission and mitigation strategies in the population of Ontario, Canada. </w:t>
      </w:r>
      <w:proofErr w:type="spellStart"/>
      <w:r w:rsidRPr="00132AD4">
        <w:rPr>
          <w:rFonts w:ascii="Arial" w:hAnsi="Arial" w:cs="Arial"/>
          <w:i/>
          <w:iCs/>
          <w:sz w:val="22"/>
          <w:szCs w:val="22"/>
        </w:rPr>
        <w:t>Cmaj</w:t>
      </w:r>
      <w:proofErr w:type="spellEnd"/>
      <w:r w:rsidRPr="00132AD4">
        <w:rPr>
          <w:rFonts w:ascii="Arial" w:hAnsi="Arial" w:cs="Arial"/>
          <w:sz w:val="22"/>
          <w:szCs w:val="22"/>
        </w:rPr>
        <w:t>, </w:t>
      </w:r>
      <w:r w:rsidRPr="00132AD4">
        <w:rPr>
          <w:rFonts w:ascii="Arial" w:hAnsi="Arial" w:cs="Arial"/>
          <w:i/>
          <w:iCs/>
          <w:sz w:val="22"/>
          <w:szCs w:val="22"/>
        </w:rPr>
        <w:t>192</w:t>
      </w:r>
      <w:r w:rsidRPr="00132AD4">
        <w:rPr>
          <w:rFonts w:ascii="Arial" w:hAnsi="Arial" w:cs="Arial"/>
          <w:sz w:val="22"/>
          <w:szCs w:val="22"/>
        </w:rPr>
        <w:t xml:space="preserve">(19), </w:t>
      </w:r>
      <w:proofErr w:type="gramStart"/>
      <w:r w:rsidRPr="00132AD4">
        <w:rPr>
          <w:rFonts w:ascii="Arial" w:hAnsi="Arial" w:cs="Arial"/>
          <w:sz w:val="22"/>
          <w:szCs w:val="22"/>
        </w:rPr>
        <w:t>pp.E</w:t>
      </w:r>
      <w:proofErr w:type="gramEnd"/>
      <w:r w:rsidRPr="00132AD4">
        <w:rPr>
          <w:rFonts w:ascii="Arial" w:hAnsi="Arial" w:cs="Arial"/>
          <w:sz w:val="22"/>
          <w:szCs w:val="22"/>
        </w:rPr>
        <w:t>497-E505.</w:t>
      </w:r>
    </w:p>
    <w:p w14:paraId="4D9DA354" w14:textId="6055CB32" w:rsidR="00322074" w:rsidRPr="00132AD4" w:rsidRDefault="00322074" w:rsidP="005C2919">
      <w:pPr>
        <w:spacing w:line="360" w:lineRule="auto"/>
        <w:jc w:val="both"/>
        <w:rPr>
          <w:rFonts w:ascii="Arial" w:hAnsi="Arial" w:cs="Arial"/>
          <w:vanish/>
          <w:sz w:val="22"/>
          <w:szCs w:val="22"/>
        </w:rPr>
      </w:pPr>
      <w:r w:rsidRPr="00132AD4">
        <w:rPr>
          <w:rFonts w:ascii="Arial" w:hAnsi="Arial" w:cs="Arial"/>
          <w:sz w:val="22"/>
          <w:szCs w:val="22"/>
        </w:rPr>
        <w:t xml:space="preserve">Zahariadis, N., Petridou, E., </w:t>
      </w:r>
      <w:proofErr w:type="spellStart"/>
      <w:r w:rsidRPr="00132AD4">
        <w:rPr>
          <w:rFonts w:ascii="Arial" w:hAnsi="Arial" w:cs="Arial"/>
          <w:sz w:val="22"/>
          <w:szCs w:val="22"/>
        </w:rPr>
        <w:t>Exadaktylos</w:t>
      </w:r>
      <w:proofErr w:type="spellEnd"/>
      <w:r w:rsidRPr="00132AD4">
        <w:rPr>
          <w:rFonts w:ascii="Arial" w:hAnsi="Arial" w:cs="Arial"/>
          <w:sz w:val="22"/>
          <w:szCs w:val="22"/>
        </w:rPr>
        <w:t xml:space="preserve">, T. and Sparf, J., </w:t>
      </w:r>
      <w:r w:rsidR="00406474" w:rsidRPr="00132AD4">
        <w:rPr>
          <w:rFonts w:ascii="Arial" w:hAnsi="Arial" w:cs="Arial"/>
          <w:sz w:val="22"/>
          <w:szCs w:val="22"/>
        </w:rPr>
        <w:t>(</w:t>
      </w:r>
      <w:r w:rsidRPr="00132AD4">
        <w:rPr>
          <w:rFonts w:ascii="Arial" w:hAnsi="Arial" w:cs="Arial"/>
          <w:sz w:val="22"/>
          <w:szCs w:val="22"/>
        </w:rPr>
        <w:t>2023</w:t>
      </w:r>
      <w:r w:rsidR="00406474" w:rsidRPr="00132AD4">
        <w:rPr>
          <w:rFonts w:ascii="Arial" w:hAnsi="Arial" w:cs="Arial"/>
          <w:sz w:val="22"/>
          <w:szCs w:val="22"/>
        </w:rPr>
        <w:t>)</w:t>
      </w:r>
      <w:r w:rsidRPr="00132AD4">
        <w:rPr>
          <w:rFonts w:ascii="Arial" w:hAnsi="Arial" w:cs="Arial"/>
          <w:sz w:val="22"/>
          <w:szCs w:val="22"/>
        </w:rPr>
        <w:t>. Policy styles and political trust in Europe’s national responses to the COVID-19 crisis. </w:t>
      </w:r>
      <w:r w:rsidRPr="00132AD4">
        <w:rPr>
          <w:rFonts w:ascii="Arial" w:hAnsi="Arial" w:cs="Arial"/>
          <w:i/>
          <w:iCs/>
          <w:sz w:val="22"/>
          <w:szCs w:val="22"/>
        </w:rPr>
        <w:t>Policy Studies</w:t>
      </w:r>
      <w:r w:rsidRPr="00132AD4">
        <w:rPr>
          <w:rFonts w:ascii="Arial" w:hAnsi="Arial" w:cs="Arial"/>
          <w:sz w:val="22"/>
          <w:szCs w:val="22"/>
        </w:rPr>
        <w:t>, </w:t>
      </w:r>
      <w:r w:rsidRPr="00132AD4">
        <w:rPr>
          <w:rFonts w:ascii="Arial" w:hAnsi="Arial" w:cs="Arial"/>
          <w:i/>
          <w:iCs/>
          <w:sz w:val="22"/>
          <w:szCs w:val="22"/>
        </w:rPr>
        <w:t>44</w:t>
      </w:r>
      <w:r w:rsidRPr="00132AD4">
        <w:rPr>
          <w:rFonts w:ascii="Arial" w:hAnsi="Arial" w:cs="Arial"/>
          <w:sz w:val="22"/>
          <w:szCs w:val="22"/>
        </w:rPr>
        <w:t>(1), pp.46-67.</w:t>
      </w:r>
    </w:p>
    <w:p w14:paraId="4B712C62" w14:textId="77777777" w:rsidR="005C2919" w:rsidRPr="00132AD4" w:rsidRDefault="005C2919" w:rsidP="005C2919">
      <w:pPr>
        <w:spacing w:line="360" w:lineRule="auto"/>
        <w:jc w:val="both"/>
        <w:rPr>
          <w:rFonts w:ascii="Arial" w:hAnsi="Arial" w:cs="Arial"/>
          <w:vanish/>
          <w:sz w:val="22"/>
          <w:szCs w:val="22"/>
        </w:rPr>
      </w:pPr>
      <w:r w:rsidRPr="00132AD4">
        <w:rPr>
          <w:rFonts w:ascii="Arial" w:hAnsi="Arial" w:cs="Arial"/>
          <w:vanish/>
          <w:sz w:val="22"/>
          <w:szCs w:val="22"/>
        </w:rPr>
        <w:t>Bottom of Form</w:t>
      </w:r>
    </w:p>
    <w:p w14:paraId="6D55EEED" w14:textId="77777777" w:rsidR="005C2919" w:rsidRPr="00132AD4" w:rsidRDefault="005C2919" w:rsidP="005C2919">
      <w:pPr>
        <w:spacing w:line="360" w:lineRule="auto"/>
        <w:jc w:val="both"/>
        <w:rPr>
          <w:rFonts w:ascii="Arial" w:hAnsi="Arial" w:cs="Arial"/>
          <w:sz w:val="22"/>
          <w:szCs w:val="22"/>
        </w:rPr>
      </w:pPr>
    </w:p>
    <w:p w14:paraId="4F0B0863" w14:textId="77777777" w:rsidR="000232B3" w:rsidRPr="00132AD4" w:rsidRDefault="000232B3" w:rsidP="005C2919">
      <w:pPr>
        <w:spacing w:line="360" w:lineRule="auto"/>
        <w:jc w:val="both"/>
        <w:rPr>
          <w:rFonts w:ascii="Arial" w:hAnsi="Arial" w:cs="Arial"/>
          <w:sz w:val="22"/>
          <w:szCs w:val="22"/>
        </w:rPr>
      </w:pPr>
    </w:p>
    <w:sectPr w:rsidR="000232B3" w:rsidRPr="00132AD4" w:rsidSect="0034275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292C3" w14:textId="77777777" w:rsidR="00F64FBA" w:rsidRDefault="00F64FBA" w:rsidP="005C2919">
      <w:pPr>
        <w:spacing w:after="0" w:line="240" w:lineRule="auto"/>
      </w:pPr>
      <w:r>
        <w:separator/>
      </w:r>
    </w:p>
  </w:endnote>
  <w:endnote w:type="continuationSeparator" w:id="0">
    <w:p w14:paraId="262E0EDF" w14:textId="77777777" w:rsidR="00F64FBA" w:rsidRDefault="00F64FBA" w:rsidP="005C2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423473"/>
      <w:docPartObj>
        <w:docPartGallery w:val="Page Numbers (Bottom of Page)"/>
        <w:docPartUnique/>
      </w:docPartObj>
    </w:sdtPr>
    <w:sdtEndPr>
      <w:rPr>
        <w:color w:val="7F7F7F" w:themeColor="background1" w:themeShade="7F"/>
        <w:spacing w:val="60"/>
      </w:rPr>
    </w:sdtEndPr>
    <w:sdtContent>
      <w:p w14:paraId="12397874" w14:textId="4755A9AD" w:rsidR="0034275F" w:rsidRDefault="0034275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0B2546D" w14:textId="77777777" w:rsidR="0034275F" w:rsidRDefault="00342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6FE1A" w14:textId="77777777" w:rsidR="00F64FBA" w:rsidRDefault="00F64FBA" w:rsidP="005C2919">
      <w:pPr>
        <w:spacing w:after="0" w:line="240" w:lineRule="auto"/>
      </w:pPr>
      <w:r>
        <w:separator/>
      </w:r>
    </w:p>
  </w:footnote>
  <w:footnote w:type="continuationSeparator" w:id="0">
    <w:p w14:paraId="2219075A" w14:textId="77777777" w:rsidR="00F64FBA" w:rsidRDefault="00F64FBA" w:rsidP="005C2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7286"/>
    <w:multiLevelType w:val="hybridMultilevel"/>
    <w:tmpl w:val="8CA29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077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E26"/>
    <w:rsid w:val="00003945"/>
    <w:rsid w:val="00013B05"/>
    <w:rsid w:val="00021E94"/>
    <w:rsid w:val="000232B3"/>
    <w:rsid w:val="000454DA"/>
    <w:rsid w:val="00045854"/>
    <w:rsid w:val="000616A8"/>
    <w:rsid w:val="0008089F"/>
    <w:rsid w:val="00087AFC"/>
    <w:rsid w:val="000A5EF3"/>
    <w:rsid w:val="000B780C"/>
    <w:rsid w:val="000F5B2D"/>
    <w:rsid w:val="00116FBE"/>
    <w:rsid w:val="0012015A"/>
    <w:rsid w:val="00132AD4"/>
    <w:rsid w:val="001330C4"/>
    <w:rsid w:val="001378CF"/>
    <w:rsid w:val="00147208"/>
    <w:rsid w:val="0015381B"/>
    <w:rsid w:val="00184ED6"/>
    <w:rsid w:val="00190B42"/>
    <w:rsid w:val="001A3ACE"/>
    <w:rsid w:val="001D670A"/>
    <w:rsid w:val="002115BC"/>
    <w:rsid w:val="00211642"/>
    <w:rsid w:val="002266E5"/>
    <w:rsid w:val="00262DF8"/>
    <w:rsid w:val="0026338B"/>
    <w:rsid w:val="002758BF"/>
    <w:rsid w:val="002C4AE8"/>
    <w:rsid w:val="003025CE"/>
    <w:rsid w:val="00304A23"/>
    <w:rsid w:val="00310432"/>
    <w:rsid w:val="00310E2A"/>
    <w:rsid w:val="00322074"/>
    <w:rsid w:val="00325180"/>
    <w:rsid w:val="00330B7A"/>
    <w:rsid w:val="0034275F"/>
    <w:rsid w:val="00383F1B"/>
    <w:rsid w:val="00392867"/>
    <w:rsid w:val="003A0B2A"/>
    <w:rsid w:val="003C01D8"/>
    <w:rsid w:val="003E155E"/>
    <w:rsid w:val="003E28B2"/>
    <w:rsid w:val="0040603E"/>
    <w:rsid w:val="00406474"/>
    <w:rsid w:val="00411978"/>
    <w:rsid w:val="00416C3A"/>
    <w:rsid w:val="004636C0"/>
    <w:rsid w:val="00466F16"/>
    <w:rsid w:val="00484C81"/>
    <w:rsid w:val="0049404D"/>
    <w:rsid w:val="004C3E26"/>
    <w:rsid w:val="004C70D0"/>
    <w:rsid w:val="004F4143"/>
    <w:rsid w:val="00502642"/>
    <w:rsid w:val="005050D4"/>
    <w:rsid w:val="005261F9"/>
    <w:rsid w:val="005406FA"/>
    <w:rsid w:val="005541A9"/>
    <w:rsid w:val="00571B93"/>
    <w:rsid w:val="00574D31"/>
    <w:rsid w:val="005B0EC5"/>
    <w:rsid w:val="005C2919"/>
    <w:rsid w:val="005D766A"/>
    <w:rsid w:val="005F2059"/>
    <w:rsid w:val="00616967"/>
    <w:rsid w:val="006265BE"/>
    <w:rsid w:val="00666DA7"/>
    <w:rsid w:val="00691634"/>
    <w:rsid w:val="006A1D84"/>
    <w:rsid w:val="006C2B0D"/>
    <w:rsid w:val="00701F17"/>
    <w:rsid w:val="0070284F"/>
    <w:rsid w:val="00725FA0"/>
    <w:rsid w:val="007348F5"/>
    <w:rsid w:val="00734D10"/>
    <w:rsid w:val="00775BE6"/>
    <w:rsid w:val="007D677A"/>
    <w:rsid w:val="00806EE1"/>
    <w:rsid w:val="00811D05"/>
    <w:rsid w:val="0084502D"/>
    <w:rsid w:val="008B037E"/>
    <w:rsid w:val="008B7050"/>
    <w:rsid w:val="008B7FDE"/>
    <w:rsid w:val="008C5B93"/>
    <w:rsid w:val="008D47EB"/>
    <w:rsid w:val="008D62EE"/>
    <w:rsid w:val="008E4E7C"/>
    <w:rsid w:val="00903671"/>
    <w:rsid w:val="009269EC"/>
    <w:rsid w:val="00931C27"/>
    <w:rsid w:val="0093658E"/>
    <w:rsid w:val="009416B3"/>
    <w:rsid w:val="00955477"/>
    <w:rsid w:val="009A78CC"/>
    <w:rsid w:val="009C2C1D"/>
    <w:rsid w:val="009E2BC4"/>
    <w:rsid w:val="00A143A8"/>
    <w:rsid w:val="00A377A2"/>
    <w:rsid w:val="00A430B6"/>
    <w:rsid w:val="00A456BB"/>
    <w:rsid w:val="00A85B59"/>
    <w:rsid w:val="00AB0E9B"/>
    <w:rsid w:val="00B1520B"/>
    <w:rsid w:val="00B32341"/>
    <w:rsid w:val="00B64D4B"/>
    <w:rsid w:val="00B86515"/>
    <w:rsid w:val="00BB2A65"/>
    <w:rsid w:val="00C02981"/>
    <w:rsid w:val="00C13E38"/>
    <w:rsid w:val="00C154B9"/>
    <w:rsid w:val="00C23038"/>
    <w:rsid w:val="00C74938"/>
    <w:rsid w:val="00C81B3A"/>
    <w:rsid w:val="00C82724"/>
    <w:rsid w:val="00C96D49"/>
    <w:rsid w:val="00CC4B9D"/>
    <w:rsid w:val="00D12490"/>
    <w:rsid w:val="00D620CA"/>
    <w:rsid w:val="00DB61E1"/>
    <w:rsid w:val="00DE0F06"/>
    <w:rsid w:val="00E34877"/>
    <w:rsid w:val="00E355CF"/>
    <w:rsid w:val="00E70183"/>
    <w:rsid w:val="00E964E5"/>
    <w:rsid w:val="00EB5A1C"/>
    <w:rsid w:val="00EC579B"/>
    <w:rsid w:val="00ED3077"/>
    <w:rsid w:val="00ED49D4"/>
    <w:rsid w:val="00ED7BE7"/>
    <w:rsid w:val="00EE753D"/>
    <w:rsid w:val="00F12F18"/>
    <w:rsid w:val="00F13DC1"/>
    <w:rsid w:val="00F2470F"/>
    <w:rsid w:val="00F41568"/>
    <w:rsid w:val="00F64FBA"/>
    <w:rsid w:val="00FA05ED"/>
    <w:rsid w:val="00FA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797D3"/>
  <w15:chartTrackingRefBased/>
  <w15:docId w15:val="{E20AA86E-63A9-439E-856F-69F22456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919"/>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C13E38"/>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4C3E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E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E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E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E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E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E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C13E38"/>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4C3E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E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E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E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E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E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E26"/>
    <w:rPr>
      <w:rFonts w:eastAsiaTheme="majorEastAsia" w:cstheme="majorBidi"/>
      <w:color w:val="272727" w:themeColor="text1" w:themeTint="D8"/>
    </w:rPr>
  </w:style>
  <w:style w:type="paragraph" w:styleId="Title">
    <w:name w:val="Title"/>
    <w:basedOn w:val="Normal"/>
    <w:next w:val="Normal"/>
    <w:link w:val="TitleChar"/>
    <w:uiPriority w:val="10"/>
    <w:qFormat/>
    <w:rsid w:val="004C3E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E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E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E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E26"/>
    <w:pPr>
      <w:spacing w:before="160"/>
      <w:jc w:val="center"/>
    </w:pPr>
    <w:rPr>
      <w:i/>
      <w:iCs/>
      <w:color w:val="404040" w:themeColor="text1" w:themeTint="BF"/>
    </w:rPr>
  </w:style>
  <w:style w:type="character" w:customStyle="1" w:styleId="QuoteChar">
    <w:name w:val="Quote Char"/>
    <w:basedOn w:val="DefaultParagraphFont"/>
    <w:link w:val="Quote"/>
    <w:uiPriority w:val="29"/>
    <w:rsid w:val="004C3E26"/>
    <w:rPr>
      <w:i/>
      <w:iCs/>
      <w:color w:val="404040" w:themeColor="text1" w:themeTint="BF"/>
    </w:rPr>
  </w:style>
  <w:style w:type="paragraph" w:styleId="ListParagraph">
    <w:name w:val="List Paragraph"/>
    <w:basedOn w:val="Normal"/>
    <w:uiPriority w:val="34"/>
    <w:qFormat/>
    <w:rsid w:val="004C3E26"/>
    <w:pPr>
      <w:ind w:left="720"/>
      <w:contextualSpacing/>
    </w:pPr>
  </w:style>
  <w:style w:type="character" w:styleId="IntenseEmphasis">
    <w:name w:val="Intense Emphasis"/>
    <w:basedOn w:val="DefaultParagraphFont"/>
    <w:uiPriority w:val="21"/>
    <w:qFormat/>
    <w:rsid w:val="004C3E26"/>
    <w:rPr>
      <w:i/>
      <w:iCs/>
      <w:color w:val="0F4761" w:themeColor="accent1" w:themeShade="BF"/>
    </w:rPr>
  </w:style>
  <w:style w:type="paragraph" w:styleId="IntenseQuote">
    <w:name w:val="Intense Quote"/>
    <w:basedOn w:val="Normal"/>
    <w:next w:val="Normal"/>
    <w:link w:val="IntenseQuoteChar"/>
    <w:uiPriority w:val="30"/>
    <w:qFormat/>
    <w:rsid w:val="004C3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E26"/>
    <w:rPr>
      <w:i/>
      <w:iCs/>
      <w:color w:val="0F4761" w:themeColor="accent1" w:themeShade="BF"/>
    </w:rPr>
  </w:style>
  <w:style w:type="character" w:styleId="IntenseReference">
    <w:name w:val="Intense Reference"/>
    <w:basedOn w:val="DefaultParagraphFont"/>
    <w:uiPriority w:val="32"/>
    <w:qFormat/>
    <w:rsid w:val="004C3E26"/>
    <w:rPr>
      <w:b/>
      <w:bCs/>
      <w:smallCaps/>
      <w:color w:val="0F4761" w:themeColor="accent1" w:themeShade="BF"/>
      <w:spacing w:val="5"/>
    </w:rPr>
  </w:style>
  <w:style w:type="paragraph" w:styleId="Header">
    <w:name w:val="header"/>
    <w:basedOn w:val="Normal"/>
    <w:link w:val="HeaderChar"/>
    <w:uiPriority w:val="99"/>
    <w:unhideWhenUsed/>
    <w:rsid w:val="005C29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919"/>
  </w:style>
  <w:style w:type="paragraph" w:styleId="Footer">
    <w:name w:val="footer"/>
    <w:basedOn w:val="Normal"/>
    <w:link w:val="FooterChar"/>
    <w:uiPriority w:val="99"/>
    <w:unhideWhenUsed/>
    <w:rsid w:val="005C29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919"/>
  </w:style>
  <w:style w:type="paragraph" w:styleId="TOCHeading">
    <w:name w:val="TOC Heading"/>
    <w:basedOn w:val="Heading1"/>
    <w:next w:val="Normal"/>
    <w:uiPriority w:val="39"/>
    <w:unhideWhenUsed/>
    <w:qFormat/>
    <w:rsid w:val="00EB5A1C"/>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EB5A1C"/>
    <w:pPr>
      <w:spacing w:after="100"/>
    </w:pPr>
  </w:style>
  <w:style w:type="paragraph" w:styleId="TOC2">
    <w:name w:val="toc 2"/>
    <w:basedOn w:val="Normal"/>
    <w:next w:val="Normal"/>
    <w:autoRedefine/>
    <w:uiPriority w:val="39"/>
    <w:unhideWhenUsed/>
    <w:rsid w:val="00EB5A1C"/>
    <w:pPr>
      <w:spacing w:after="100"/>
      <w:ind w:left="240"/>
    </w:pPr>
  </w:style>
  <w:style w:type="character" w:styleId="Hyperlink">
    <w:name w:val="Hyperlink"/>
    <w:basedOn w:val="DefaultParagraphFont"/>
    <w:uiPriority w:val="99"/>
    <w:unhideWhenUsed/>
    <w:rsid w:val="00EB5A1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TotalTime>
  <Pages>17</Pages>
  <Words>6587</Words>
  <Characters>37551</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Kashish Bhagat</cp:lastModifiedBy>
  <cp:revision>15</cp:revision>
  <dcterms:created xsi:type="dcterms:W3CDTF">2025-12-09T15:38:00Z</dcterms:created>
  <dcterms:modified xsi:type="dcterms:W3CDTF">2025-12-15T19:51:00Z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ed1696bd-b84b-4337-898d-53d1d072c4cc</vt:lpwstr>
  </property>
</Properties>
</file>