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ADC7F" w14:textId="77777777" w:rsidR="00EA48B1" w:rsidRDefault="00EA48B1" w:rsidP="0011725F">
      <w:pPr>
        <w:pStyle w:val="Subtitle"/>
      </w:pPr>
    </w:p>
    <w:p w14:paraId="15927F63" w14:textId="77777777" w:rsidR="00BB2AE4" w:rsidRDefault="00BB2AE4" w:rsidP="00BB2AE4">
      <w:pPr>
        <w:pStyle w:val="Subtitle"/>
      </w:pPr>
    </w:p>
    <w:p w14:paraId="09C60EE2" w14:textId="77777777" w:rsidR="00541335" w:rsidRDefault="00541335" w:rsidP="00BB2AE4">
      <w:pPr>
        <w:pStyle w:val="Subtitle"/>
      </w:pPr>
    </w:p>
    <w:p w14:paraId="38F526C3" w14:textId="77777777" w:rsidR="00541335" w:rsidRDefault="00541335" w:rsidP="00BB2AE4">
      <w:pPr>
        <w:pStyle w:val="Subtitle"/>
      </w:pPr>
    </w:p>
    <w:p w14:paraId="7BE9966C" w14:textId="0E35972C" w:rsidR="00BB2AE4" w:rsidRDefault="00BB2AE4" w:rsidP="00BB2AE4">
      <w:pPr>
        <w:pStyle w:val="Subtitle"/>
      </w:pPr>
      <w:r>
        <w:t xml:space="preserve">Module name: </w:t>
      </w:r>
      <w:r w:rsidR="00D94633">
        <w:t>Intro</w:t>
      </w:r>
      <w:r w:rsidR="00D008B0">
        <w:t>duction to public heath</w:t>
      </w:r>
    </w:p>
    <w:p w14:paraId="4B3C9562" w14:textId="4D5BADDA" w:rsidR="00BB2AE4" w:rsidRDefault="00BB2AE4" w:rsidP="00BB2AE4">
      <w:pPr>
        <w:pStyle w:val="Subtitle"/>
      </w:pPr>
      <w:r>
        <w:t>Module code:</w:t>
      </w:r>
      <w:r w:rsidR="0014217F">
        <w:t xml:space="preserve"> LCHS4008</w:t>
      </w:r>
    </w:p>
    <w:p w14:paraId="6E3BBD05" w14:textId="77777777" w:rsidR="00BB2AE4" w:rsidRDefault="00BB2AE4" w:rsidP="00BB2AE4">
      <w:pPr>
        <w:pStyle w:val="Subtitle"/>
      </w:pPr>
    </w:p>
    <w:p w14:paraId="04CF62A7" w14:textId="77777777" w:rsidR="00BB2AE4" w:rsidRDefault="00BB2AE4" w:rsidP="00BB2AE4">
      <w:pPr>
        <w:pStyle w:val="Subtitle"/>
      </w:pPr>
      <w:r>
        <w:t>Student name: Ibrahim Kante</w:t>
      </w:r>
    </w:p>
    <w:p w14:paraId="230861A2" w14:textId="77777777" w:rsidR="00BB2AE4" w:rsidRDefault="00BB2AE4" w:rsidP="00BB2AE4">
      <w:pPr>
        <w:pStyle w:val="Subtitle"/>
      </w:pPr>
      <w:r>
        <w:t>Student ID: 2512898</w:t>
      </w:r>
    </w:p>
    <w:p w14:paraId="139649D6" w14:textId="77777777" w:rsidR="00BB2AE4" w:rsidRDefault="00BB2AE4" w:rsidP="00BB2AE4">
      <w:pPr>
        <w:pStyle w:val="Subtitle"/>
      </w:pPr>
    </w:p>
    <w:p w14:paraId="079B633F" w14:textId="472676C8" w:rsidR="00BB2AE4" w:rsidRPr="002424B8" w:rsidRDefault="00BB2AE4" w:rsidP="00BB2AE4">
      <w:pPr>
        <w:pStyle w:val="Subtitle"/>
        <w:rPr>
          <w:lang w:val="fr-FR"/>
        </w:rPr>
      </w:pPr>
      <w:r w:rsidRPr="002424B8">
        <w:rPr>
          <w:lang w:val="fr-FR"/>
        </w:rPr>
        <w:t xml:space="preserve">Lecturer’s name: </w:t>
      </w:r>
      <w:r w:rsidR="002424B8" w:rsidRPr="002424B8">
        <w:rPr>
          <w:lang w:val="fr-FR"/>
        </w:rPr>
        <w:t>Dr P</w:t>
      </w:r>
      <w:r w:rsidR="002424B8">
        <w:rPr>
          <w:lang w:val="fr-FR"/>
        </w:rPr>
        <w:t>atronella</w:t>
      </w:r>
      <w:r w:rsidR="00784BB6">
        <w:rPr>
          <w:lang w:val="fr-FR"/>
        </w:rPr>
        <w:t xml:space="preserve"> Gan</w:t>
      </w:r>
      <w:r w:rsidR="0045074B">
        <w:rPr>
          <w:lang w:val="fr-FR"/>
        </w:rPr>
        <w:t xml:space="preserve">za </w:t>
      </w:r>
    </w:p>
    <w:p w14:paraId="7D69C5AF" w14:textId="77777777" w:rsidR="00EA48B1" w:rsidRPr="002424B8" w:rsidRDefault="00EA48B1" w:rsidP="0011725F">
      <w:pPr>
        <w:pStyle w:val="Subtitle"/>
        <w:rPr>
          <w:lang w:val="fr-FR"/>
        </w:rPr>
      </w:pPr>
    </w:p>
    <w:p w14:paraId="53BEED14" w14:textId="77777777" w:rsidR="00EA48B1" w:rsidRPr="002424B8" w:rsidRDefault="00EA48B1" w:rsidP="0011725F">
      <w:pPr>
        <w:pStyle w:val="Subtitle"/>
        <w:rPr>
          <w:lang w:val="fr-FR"/>
        </w:rPr>
      </w:pPr>
    </w:p>
    <w:p w14:paraId="52516E55" w14:textId="77777777" w:rsidR="00EA48B1" w:rsidRPr="002424B8" w:rsidRDefault="00EA48B1" w:rsidP="0011725F">
      <w:pPr>
        <w:pStyle w:val="Subtitle"/>
        <w:rPr>
          <w:lang w:val="fr-FR"/>
        </w:rPr>
      </w:pPr>
    </w:p>
    <w:p w14:paraId="15C87362" w14:textId="77777777" w:rsidR="00EA48B1" w:rsidRPr="002424B8" w:rsidRDefault="00EA48B1" w:rsidP="0011725F">
      <w:pPr>
        <w:pStyle w:val="Subtitle"/>
        <w:rPr>
          <w:lang w:val="fr-FR"/>
        </w:rPr>
      </w:pPr>
    </w:p>
    <w:p w14:paraId="6BDB11F5" w14:textId="77777777" w:rsidR="00EA48B1" w:rsidRPr="002424B8" w:rsidRDefault="00EA48B1" w:rsidP="0011725F">
      <w:pPr>
        <w:pStyle w:val="Subtitle"/>
        <w:rPr>
          <w:lang w:val="fr-FR"/>
        </w:rPr>
      </w:pPr>
    </w:p>
    <w:p w14:paraId="748891B1" w14:textId="77777777" w:rsidR="00EA48B1" w:rsidRPr="002424B8" w:rsidRDefault="00EA48B1" w:rsidP="0011725F">
      <w:pPr>
        <w:pStyle w:val="Subtitle"/>
        <w:rPr>
          <w:lang w:val="fr-FR"/>
        </w:rPr>
      </w:pPr>
    </w:p>
    <w:p w14:paraId="58F13ED0" w14:textId="77777777" w:rsidR="00EA48B1" w:rsidRPr="002424B8" w:rsidRDefault="00EA48B1" w:rsidP="0011725F">
      <w:pPr>
        <w:pStyle w:val="Subtitle"/>
        <w:rPr>
          <w:lang w:val="fr-FR"/>
        </w:rPr>
      </w:pPr>
    </w:p>
    <w:p w14:paraId="3504E038" w14:textId="77777777" w:rsidR="00EA48B1" w:rsidRPr="002424B8" w:rsidRDefault="00EA48B1" w:rsidP="0011725F">
      <w:pPr>
        <w:pStyle w:val="Subtitle"/>
        <w:rPr>
          <w:lang w:val="fr-FR"/>
        </w:rPr>
      </w:pPr>
    </w:p>
    <w:p w14:paraId="73C01C68" w14:textId="77777777" w:rsidR="00EA48B1" w:rsidRPr="002424B8" w:rsidRDefault="00EA48B1" w:rsidP="0011725F">
      <w:pPr>
        <w:pStyle w:val="Subtitle"/>
        <w:rPr>
          <w:lang w:val="fr-FR"/>
        </w:rPr>
      </w:pPr>
    </w:p>
    <w:p w14:paraId="783C8CB6" w14:textId="77777777" w:rsidR="00EA48B1" w:rsidRPr="002424B8" w:rsidRDefault="00EA48B1" w:rsidP="0011725F">
      <w:pPr>
        <w:pStyle w:val="Subtitle"/>
        <w:rPr>
          <w:lang w:val="fr-FR"/>
        </w:rPr>
      </w:pPr>
    </w:p>
    <w:p w14:paraId="7FB1703A" w14:textId="77777777" w:rsidR="00EA48B1" w:rsidRPr="002424B8" w:rsidRDefault="00EA48B1" w:rsidP="0011725F">
      <w:pPr>
        <w:pStyle w:val="Subtitle"/>
        <w:rPr>
          <w:lang w:val="fr-FR"/>
        </w:rPr>
      </w:pPr>
    </w:p>
    <w:p w14:paraId="7D8A1D60" w14:textId="77777777" w:rsidR="00EA48B1" w:rsidRPr="002424B8" w:rsidRDefault="00EA48B1" w:rsidP="0011725F">
      <w:pPr>
        <w:pStyle w:val="Subtitle"/>
        <w:rPr>
          <w:lang w:val="fr-FR"/>
        </w:rPr>
      </w:pPr>
    </w:p>
    <w:p w14:paraId="308BAD38" w14:textId="77777777" w:rsidR="00EA48B1" w:rsidRPr="002424B8" w:rsidRDefault="00EA48B1" w:rsidP="0011725F">
      <w:pPr>
        <w:pStyle w:val="Subtitle"/>
        <w:rPr>
          <w:lang w:val="fr-FR"/>
        </w:rPr>
      </w:pPr>
    </w:p>
    <w:p w14:paraId="6546FB91" w14:textId="77777777" w:rsidR="00EA48B1" w:rsidRPr="002424B8" w:rsidRDefault="00EA48B1" w:rsidP="0011725F">
      <w:pPr>
        <w:pStyle w:val="Subtitle"/>
        <w:rPr>
          <w:lang w:val="fr-FR"/>
        </w:rPr>
      </w:pPr>
    </w:p>
    <w:p w14:paraId="4DFC7F39" w14:textId="77777777" w:rsidR="00EA48B1" w:rsidRPr="002424B8" w:rsidRDefault="00EA48B1" w:rsidP="0011725F">
      <w:pPr>
        <w:pStyle w:val="Subtitle"/>
        <w:rPr>
          <w:lang w:val="fr-FR"/>
        </w:rPr>
      </w:pPr>
    </w:p>
    <w:p w14:paraId="73A73C0F" w14:textId="6F2DE023" w:rsidR="0011725F" w:rsidRPr="002424B8" w:rsidRDefault="0011725F" w:rsidP="0011725F">
      <w:pPr>
        <w:pStyle w:val="Subtitle"/>
        <w:rPr>
          <w:lang w:val="fr-FR"/>
        </w:rPr>
      </w:pPr>
      <w:r w:rsidRPr="002424B8">
        <w:rPr>
          <w:lang w:val="fr-FR"/>
        </w:rPr>
        <w:t xml:space="preserve">Contente </w:t>
      </w:r>
    </w:p>
    <w:p w14:paraId="3E4B278D" w14:textId="77777777" w:rsidR="0011725F" w:rsidRPr="002424B8" w:rsidRDefault="0011725F" w:rsidP="0011725F">
      <w:pPr>
        <w:rPr>
          <w:lang w:val="fr-FR"/>
        </w:rPr>
      </w:pPr>
    </w:p>
    <w:p w14:paraId="01A96C24" w14:textId="09508A57" w:rsidR="0011725F" w:rsidRDefault="00AD6682" w:rsidP="0011725F">
      <w:pPr>
        <w:pStyle w:val="Subtitle"/>
      </w:pPr>
      <w:r>
        <w:t>1.</w:t>
      </w:r>
      <w:r w:rsidR="0011725F">
        <w:t>Introduction</w:t>
      </w:r>
    </w:p>
    <w:p w14:paraId="22A46E57" w14:textId="77777777" w:rsidR="0011725F" w:rsidRPr="0011725F" w:rsidRDefault="0011725F" w:rsidP="0011725F"/>
    <w:p w14:paraId="38D5632F" w14:textId="0395A349" w:rsidR="0011725F" w:rsidRDefault="00AD6682" w:rsidP="0011725F">
      <w:pPr>
        <w:pStyle w:val="Subtitle"/>
      </w:pPr>
      <w:r>
        <w:t>2.</w:t>
      </w:r>
      <w:r w:rsidR="0011725F">
        <w:t>Mains body</w:t>
      </w:r>
    </w:p>
    <w:p w14:paraId="4F614758" w14:textId="77777777" w:rsidR="00EA48B1" w:rsidRPr="00EA48B1" w:rsidRDefault="00EA48B1" w:rsidP="00EA48B1"/>
    <w:p w14:paraId="09429FFF" w14:textId="0CA43E7A" w:rsidR="0011725F" w:rsidRDefault="00AD6682" w:rsidP="0011725F">
      <w:r>
        <w:t xml:space="preserve">2.1 </w:t>
      </w:r>
      <w:r w:rsidR="0011725F">
        <w:t>Method</w:t>
      </w:r>
      <w:r>
        <w:t>s</w:t>
      </w:r>
      <w:r w:rsidR="0011725F">
        <w:t xml:space="preserve"> used to measure monitor polio</w:t>
      </w:r>
      <w:r>
        <w:t>…………………………………………………</w:t>
      </w:r>
      <w:r w:rsidR="00EA48B1">
        <w:t>….</w:t>
      </w:r>
    </w:p>
    <w:p w14:paraId="74BC7DC4" w14:textId="77777777" w:rsidR="00EA48B1" w:rsidRPr="0011725F" w:rsidRDefault="00EA48B1" w:rsidP="0011725F"/>
    <w:p w14:paraId="687998FE" w14:textId="0293DC51" w:rsidR="0011725F" w:rsidRDefault="00AD6682" w:rsidP="00047AAF">
      <w:r>
        <w:t xml:space="preserve">2.2 Severity and significance </w:t>
      </w:r>
      <w:r w:rsidR="00EA48B1">
        <w:t>of</w:t>
      </w:r>
      <w:r>
        <w:t xml:space="preserve"> the heath issue……………………………………………………………</w:t>
      </w:r>
    </w:p>
    <w:p w14:paraId="5321FAB9" w14:textId="77777777" w:rsidR="00EA48B1" w:rsidRDefault="00EA48B1" w:rsidP="00047AAF"/>
    <w:p w14:paraId="43B6D945" w14:textId="429A1FE5" w:rsidR="0011725F" w:rsidRDefault="00AD6682" w:rsidP="00047AAF">
      <w:r>
        <w:t>2.3 Control polio………………………………………………………………………………………………………</w:t>
      </w:r>
    </w:p>
    <w:p w14:paraId="60280BAB" w14:textId="77777777" w:rsidR="00EA48B1" w:rsidRDefault="00EA48B1" w:rsidP="00047AAF"/>
    <w:p w14:paraId="755E917B" w14:textId="1E9D5AF4" w:rsidR="0011725F" w:rsidRDefault="00AD6682" w:rsidP="00047AAF">
      <w:r>
        <w:t>2.4 Consequence of polio for individuals and communities…………………………………………….</w:t>
      </w:r>
    </w:p>
    <w:p w14:paraId="73D0BA1B" w14:textId="77777777" w:rsidR="00EA48B1" w:rsidRDefault="00EA48B1" w:rsidP="00047AAF"/>
    <w:p w14:paraId="48209ADE" w14:textId="4B4D809B" w:rsidR="0011725F" w:rsidRDefault="00AD6682" w:rsidP="00047AAF">
      <w:r>
        <w:t>2.5 health and social care services required …………………………………………………………………</w:t>
      </w:r>
    </w:p>
    <w:p w14:paraId="6A2F9925" w14:textId="77777777" w:rsidR="0011725F" w:rsidRDefault="0011725F" w:rsidP="00047AAF"/>
    <w:p w14:paraId="57D03A0A" w14:textId="77777777" w:rsidR="0011725F" w:rsidRDefault="0011725F" w:rsidP="00047AAF"/>
    <w:p w14:paraId="285A14AB" w14:textId="5AE8375B" w:rsidR="00AD6682" w:rsidRDefault="00AD6682" w:rsidP="00AD6682">
      <w:pPr>
        <w:pStyle w:val="Subtitle"/>
      </w:pPr>
      <w:r>
        <w:t>3.Conclusion</w:t>
      </w:r>
    </w:p>
    <w:p w14:paraId="650B36B5" w14:textId="77777777" w:rsidR="00EA48B1" w:rsidRPr="00EA48B1" w:rsidRDefault="00EA48B1" w:rsidP="00EA48B1"/>
    <w:p w14:paraId="51298176" w14:textId="6A07E210" w:rsidR="00EA48B1" w:rsidRPr="00EA48B1" w:rsidRDefault="00EA48B1" w:rsidP="00EA48B1">
      <w:pPr>
        <w:pStyle w:val="Subtitle"/>
      </w:pPr>
      <w:r>
        <w:lastRenderedPageBreak/>
        <w:t>4.Reference</w:t>
      </w:r>
    </w:p>
    <w:p w14:paraId="07084E09" w14:textId="77777777" w:rsidR="0011725F" w:rsidRDefault="0011725F" w:rsidP="00047AAF"/>
    <w:p w14:paraId="5BC88658" w14:textId="77777777" w:rsidR="0011725F" w:rsidRDefault="0011725F" w:rsidP="00047AAF"/>
    <w:p w14:paraId="6A19468B" w14:textId="77777777" w:rsidR="0011725F" w:rsidRDefault="0011725F" w:rsidP="00047AAF"/>
    <w:p w14:paraId="2C727E92" w14:textId="77777777" w:rsidR="0011725F" w:rsidRDefault="0011725F" w:rsidP="00047AAF"/>
    <w:p w14:paraId="0CA3B14D" w14:textId="77777777" w:rsidR="0011725F" w:rsidRDefault="0011725F" w:rsidP="00047AAF"/>
    <w:p w14:paraId="64496BA0" w14:textId="77777777" w:rsidR="0011725F" w:rsidRDefault="0011725F" w:rsidP="00047AAF"/>
    <w:p w14:paraId="36E16FE2" w14:textId="77777777" w:rsidR="0011725F" w:rsidRDefault="0011725F" w:rsidP="00047AAF"/>
    <w:p w14:paraId="41DC0A7F" w14:textId="77777777" w:rsidR="0011725F" w:rsidRDefault="0011725F" w:rsidP="00047AAF"/>
    <w:p w14:paraId="52A31050" w14:textId="77777777" w:rsidR="0011725F" w:rsidRDefault="0011725F" w:rsidP="00047AAF"/>
    <w:p w14:paraId="5B8DF286" w14:textId="77777777" w:rsidR="0011725F" w:rsidRDefault="0011725F" w:rsidP="00047AAF"/>
    <w:p w14:paraId="16C749A3" w14:textId="77777777" w:rsidR="0011725F" w:rsidRDefault="0011725F" w:rsidP="00047AAF"/>
    <w:p w14:paraId="75230493" w14:textId="77777777" w:rsidR="0011725F" w:rsidRDefault="0011725F" w:rsidP="00047AAF"/>
    <w:p w14:paraId="74886706" w14:textId="77777777" w:rsidR="0011725F" w:rsidRDefault="0011725F" w:rsidP="00047AAF"/>
    <w:p w14:paraId="09ACA2BB" w14:textId="77777777" w:rsidR="0011725F" w:rsidRDefault="0011725F" w:rsidP="00047AAF"/>
    <w:p w14:paraId="6FC20675" w14:textId="77777777" w:rsidR="0011725F" w:rsidRDefault="0011725F" w:rsidP="00047AAF"/>
    <w:p w14:paraId="7592EB28" w14:textId="77777777" w:rsidR="0011725F" w:rsidRDefault="0011725F" w:rsidP="00047AAF"/>
    <w:p w14:paraId="48DC5A06" w14:textId="017EB92F" w:rsidR="00047AAF" w:rsidRDefault="00047AAF" w:rsidP="00047AAF">
      <w:r>
        <w:t>Introduction</w:t>
      </w:r>
    </w:p>
    <w:p w14:paraId="487684FA" w14:textId="77777777" w:rsidR="00047AAF" w:rsidRDefault="00047AAF" w:rsidP="00047AAF">
      <w:r>
        <w:t>Poliomyelitis, often referred to as polio, is a highly contagious viral illness caused by the poliovirus. It primarily affects children under five and spreads mainly through the faecal–oral route, especially in areas with poor sanitation and hygiene. In some cases, the virus invades the nervous system and leads to acute flaccid paralysis, which can become permanent. Among those who develop paralysis, around 5–10% may die if the muscles responsible for breathing are affected (WHO, 2025a). Most infections are either asymptomatic or cause only mild symptoms such as fever, tiredness, headache, vomiting, neck stiffness and limb pain. Because many infections show no clinical signs, surveillance must include clinical, laboratory and environmental approaches.</w:t>
      </w:r>
    </w:p>
    <w:p w14:paraId="05D83AC6" w14:textId="77777777" w:rsidR="00047AAF" w:rsidRDefault="00047AAF" w:rsidP="00047AAF"/>
    <w:p w14:paraId="2FE600B5" w14:textId="3F6B7615" w:rsidR="00047AAF" w:rsidRDefault="00047AAF" w:rsidP="00047AAF">
      <w:r>
        <w:lastRenderedPageBreak/>
        <w:t>Although the global burden of polio has decreased by more than 99% since 1988, wild poliovirus transmission persists in Afghanistan and Pakistan (WHO, 2025a). In 2025, 52 cases of wild poliovirus type 1 were recorded worldwide, demonstrating that international spread continue to pose a public-health threat (WHO,2026).</w:t>
      </w:r>
    </w:p>
    <w:p w14:paraId="4CB7419F" w14:textId="77777777" w:rsidR="00047AAF" w:rsidRDefault="00047AAF" w:rsidP="00047AAF"/>
    <w:p w14:paraId="6EC48A76" w14:textId="77777777" w:rsidR="00047AAF" w:rsidRDefault="00047AAF" w:rsidP="00047AAF"/>
    <w:p w14:paraId="07A71C3A" w14:textId="77777777" w:rsidR="00047AAF" w:rsidRDefault="00047AAF" w:rsidP="00047AAF"/>
    <w:p w14:paraId="63ABC786" w14:textId="77777777" w:rsidR="00047AAF" w:rsidRDefault="00047AAF" w:rsidP="00047AAF"/>
    <w:p w14:paraId="2C319E2F" w14:textId="30F28A2E" w:rsidR="00047AAF" w:rsidRDefault="00047AAF" w:rsidP="00047AAF">
      <w:r>
        <w:t>Main Body</w:t>
      </w:r>
    </w:p>
    <w:p w14:paraId="068E4406" w14:textId="77777777" w:rsidR="00047AAF" w:rsidRDefault="00047AAF" w:rsidP="00047AAF">
      <w:r>
        <w:t>Methods Used to Measure and Monitor Polio</w:t>
      </w:r>
    </w:p>
    <w:p w14:paraId="1AD45095" w14:textId="77777777" w:rsidR="00047AAF" w:rsidRDefault="00047AAF" w:rsidP="00047AAF">
      <w:r>
        <w:t>Monitoring polio relies on a combination of clinical, laboratory, environmental and vaccination</w:t>
      </w:r>
      <w:r>
        <w:rPr>
          <w:rFonts w:ascii="Cambria Math" w:hAnsi="Cambria Math" w:cs="Cambria Math"/>
        </w:rPr>
        <w:t>‑</w:t>
      </w:r>
      <w:r>
        <w:t>coverage surveillance. Acute flaccid paralysis (AFP) surveillance is one of the most critical methods. Healthcare workers identify individuals</w:t>
      </w:r>
      <w:r>
        <w:rPr>
          <w:rFonts w:ascii="Aptos" w:hAnsi="Aptos" w:cs="Aptos"/>
        </w:rPr>
        <w:t>—</w:t>
      </w:r>
      <w:r>
        <w:t>particularly children—who suddenly develop flaccid weakness or paralysis and investigate these cases to determine whether poliovirus is the cause. WHO emphasises that sensitive AFP surveillance and timely stool</w:t>
      </w:r>
      <w:r>
        <w:rPr>
          <w:rFonts w:ascii="Cambria Math" w:hAnsi="Cambria Math" w:cs="Cambria Math"/>
        </w:rPr>
        <w:t>‑</w:t>
      </w:r>
      <w:r>
        <w:t>sample collection are vital for detecting poliovirus transmission and confirming its absence (WHO, 2025b).</w:t>
      </w:r>
    </w:p>
    <w:p w14:paraId="5E2412A8" w14:textId="77777777" w:rsidR="00047AAF" w:rsidRDefault="00047AAF" w:rsidP="00047AAF"/>
    <w:p w14:paraId="28ECAF85" w14:textId="77777777" w:rsidR="00047AAF" w:rsidRDefault="00047AAF" w:rsidP="00047AAF">
      <w:r>
        <w:t>Laboratory surveillance involves testing stool samples to detect poliovirus and determine its type. Typically, two adequate stool specimens are collected at least 24 hours apart and within 14 days of the onset of paralysis. Genetic sequencing supports public</w:t>
      </w:r>
      <w:r>
        <w:rPr>
          <w:rFonts w:ascii="Cambria Math" w:hAnsi="Cambria Math" w:cs="Cambria Math"/>
        </w:rPr>
        <w:t>‑</w:t>
      </w:r>
      <w:r>
        <w:t>health teams by showing how viruses are related and helping to map transmission pathways. Environmental surveillance is another key method. Testing sewage and wastewater for poliovirus allows detection even when no paralysed individuals have been identified, which is crucial because most infections do not result in paralysis.</w:t>
      </w:r>
    </w:p>
    <w:p w14:paraId="1B1637CB" w14:textId="77777777" w:rsidR="00047AAF" w:rsidRDefault="00047AAF" w:rsidP="00047AAF"/>
    <w:p w14:paraId="3E671C3F" w14:textId="77777777" w:rsidR="00047AAF" w:rsidRDefault="00047AAF" w:rsidP="00047AAF">
      <w:r>
        <w:t xml:space="preserve">Vaccination uptake is also monitored to identify communities where children may not be fully immunised and therefore more vulnerable to outbreaks. In the UK, national programmes track childhood vaccination coverage. For 2024–2025, uptake of the primary DTaP/IPV course at age five was 93.2%, while the preschool </w:t>
      </w:r>
      <w:proofErr w:type="spellStart"/>
      <w:r>
        <w:t>dTaP</w:t>
      </w:r>
      <w:proofErr w:type="spellEnd"/>
      <w:r>
        <w:t xml:space="preserve">/IPV booster reached 82.4% (UKHSA, 2025). In England, adolescent Td/IPV coverage in 2024–2025 was 72.4% for Year 9 and 74.7% for Year 10 (UKHSA, 2026a). These figures highlight the importance of monitoring vaccination even when community transmission is not occurring. Coverage must be assessed by age, region and </w:t>
      </w:r>
      <w:r>
        <w:lastRenderedPageBreak/>
        <w:t>population group because national averages can mask local areas with low uptake. Such gaps can allow imported poliovirus to spread among susceptible children.</w:t>
      </w:r>
    </w:p>
    <w:p w14:paraId="14B36AE4" w14:textId="77777777" w:rsidR="00047AAF" w:rsidRDefault="00047AAF" w:rsidP="00047AAF"/>
    <w:p w14:paraId="421863AD" w14:textId="77777777" w:rsidR="00047AAF" w:rsidRDefault="00047AAF" w:rsidP="00047AAF">
      <w:r>
        <w:t>Severity and Significance of the Health Issue</w:t>
      </w:r>
    </w:p>
    <w:p w14:paraId="3CB4BC30" w14:textId="77777777" w:rsidR="00047AAF" w:rsidRDefault="00047AAF" w:rsidP="00047AAF">
      <w:r>
        <w:t>Polio remains a serious condition because its consequences can be lifelong, even though wild</w:t>
      </w:r>
      <w:r>
        <w:rPr>
          <w:rFonts w:ascii="Cambria Math" w:hAnsi="Cambria Math" w:cs="Cambria Math"/>
        </w:rPr>
        <w:t>‑</w:t>
      </w:r>
      <w:r>
        <w:t>virus cases are now rare. WHO estimates that one in 200 infections results in irreversible paralysis, and 5</w:t>
      </w:r>
      <w:r>
        <w:rPr>
          <w:rFonts w:ascii="Aptos" w:hAnsi="Aptos" w:cs="Aptos"/>
        </w:rPr>
        <w:t>–</w:t>
      </w:r>
      <w:r>
        <w:t>10% of those paralysed may die if their respiratory muscles are affected (WHO, 2025a). Globally, wild poliovirus cases have dropped by more than 99% since 1988—from an estimated 350,000 cases across more than 125 endemic countries to ongoing transmission limited to Afghanistan and Pakistan (WHO, 2025a). However, outbreaks caused by circulating vaccine</w:t>
      </w:r>
      <w:r>
        <w:rPr>
          <w:rFonts w:ascii="Cambria Math" w:hAnsi="Cambria Math" w:cs="Cambria Math"/>
        </w:rPr>
        <w:t>‑</w:t>
      </w:r>
      <w:r>
        <w:t>derived polioviruses also pose a significant challenge. In 2025, 202 cases of circulating vaccine</w:t>
      </w:r>
      <w:r>
        <w:rPr>
          <w:rFonts w:ascii="Cambria Math" w:hAnsi="Cambria Math" w:cs="Cambria Math"/>
        </w:rPr>
        <w:t>‑</w:t>
      </w:r>
      <w:r>
        <w:t>derived poliovirus were reported in 27 countries, with 192 linked to type 2 (WHO, 2026b). These figures show that eradication depends on sustained vaccination, strong surveillance and rapid response to outbreaks.</w:t>
      </w:r>
    </w:p>
    <w:p w14:paraId="7CA45D31" w14:textId="77777777" w:rsidR="00047AAF" w:rsidRDefault="00047AAF" w:rsidP="00047AAF"/>
    <w:p w14:paraId="1594643F" w14:textId="797D0AD3" w:rsidR="00202B8A" w:rsidRDefault="00047AAF" w:rsidP="00047AAF">
      <w:r>
        <w:t>The detection of poliovirus in London wastewater in 2022 demonstrated how quickly poliovirus can be imported into high</w:t>
      </w:r>
      <w:r>
        <w:rPr>
          <w:rFonts w:ascii="Cambria Math" w:hAnsi="Cambria Math" w:cs="Cambria Math"/>
        </w:rPr>
        <w:t>‑</w:t>
      </w:r>
      <w:r>
        <w:t>income countries and identified through environmental monitoring (UKHSA, 2026b). This event highlighted the need to maintain high vaccination coverage and sensitive surveillance systems even in places without endemic transmission. Polio therefore continues to be a major global health concern, and ongoing commitment is essential to prevent paralysis, deaths and future outbreaks to pose a public</w:t>
      </w:r>
      <w:r>
        <w:rPr>
          <w:rFonts w:ascii="Cambria Math" w:hAnsi="Cambria Math" w:cs="Cambria Math"/>
        </w:rPr>
        <w:t>‑</w:t>
      </w:r>
      <w:r>
        <w:t>health threat (WHO, 2026a).</w:t>
      </w:r>
    </w:p>
    <w:p w14:paraId="33DB4E40" w14:textId="77777777" w:rsidR="0011725F" w:rsidRDefault="0011725F" w:rsidP="00047AAF"/>
    <w:p w14:paraId="7B3FBC48" w14:textId="77777777" w:rsidR="0011725F" w:rsidRDefault="0011725F" w:rsidP="0011725F">
      <w:r>
        <w:t>Control of Polio</w:t>
      </w:r>
    </w:p>
    <w:p w14:paraId="5727233F" w14:textId="77777777" w:rsidR="0011725F" w:rsidRDefault="0011725F" w:rsidP="0011725F">
      <w:r>
        <w:t>Vaccination is the primary strategy for preventing polio, as no curative treatment exists. The inactivated poliovirus vaccine (IPV), which protects against all three poliovirus types, is widely used in routine immunisation programmes, including in the UK (WHO, 2025c). England’s schedule includes doses at eight, twelve and sixteen weeks, followed by preschool and adolescent boosters (UKHSA, 2026a).</w:t>
      </w:r>
    </w:p>
    <w:p w14:paraId="138002ED" w14:textId="77777777" w:rsidR="0011725F" w:rsidRDefault="0011725F" w:rsidP="0011725F"/>
    <w:p w14:paraId="30FD0C2D" w14:textId="77777777" w:rsidR="0011725F" w:rsidRDefault="0011725F" w:rsidP="0011725F">
      <w:r>
        <w:t xml:space="preserve">Outbreak control requires rapid identification of suspected cases, laboratory testing, contact tracing and targeted vaccination campaigns. International travel increases the risk of importation, making vaccination particularly important for travellers to areas with active </w:t>
      </w:r>
      <w:r>
        <w:lastRenderedPageBreak/>
        <w:t>transmission. Public-health education also plays a key role in promoting vaccination, hygiene and sanitation.</w:t>
      </w:r>
    </w:p>
    <w:p w14:paraId="76C8D829" w14:textId="77777777" w:rsidR="0011725F" w:rsidRDefault="0011725F" w:rsidP="0011725F"/>
    <w:p w14:paraId="1219977B" w14:textId="77777777" w:rsidR="0011725F" w:rsidRDefault="0011725F" w:rsidP="0011725F">
      <w:r>
        <w:t>Global coordination is essential because poliovirus can cross borders. Timely sharing of epidemiological and laboratory data supports effective international responses. Community engagement is equally important, as parents, carers and local organisations help ensure children complete their vaccination schedules and overcome barriers such as limited access or misinformation.</w:t>
      </w:r>
    </w:p>
    <w:p w14:paraId="7AD50373" w14:textId="77777777" w:rsidR="0011725F" w:rsidRDefault="0011725F" w:rsidP="0011725F"/>
    <w:p w14:paraId="58F254B4" w14:textId="77777777" w:rsidR="0011725F" w:rsidRDefault="0011725F" w:rsidP="0011725F">
      <w:r>
        <w:t>Consequences of Polio for Individuals and Communities</w:t>
      </w:r>
    </w:p>
    <w:p w14:paraId="63A85607" w14:textId="77777777" w:rsidR="0011725F" w:rsidRDefault="0011725F" w:rsidP="0011725F">
      <w:r>
        <w:t>Polio can lead to significant physical, psychological, social and economic consequences. Permanent paralysis may affect mobility, independence and participation in education or employment. Survivors may experience chronic muscle weakness, joint problems, swallowing difficulties or post-polio syndrome, which can emerge decades after initial infection (NHS, 2026).</w:t>
      </w:r>
    </w:p>
    <w:p w14:paraId="4BF9462D" w14:textId="77777777" w:rsidR="0011725F" w:rsidRDefault="0011725F" w:rsidP="0011725F"/>
    <w:p w14:paraId="3505FAF3" w14:textId="77777777" w:rsidR="0011725F" w:rsidRDefault="0011725F" w:rsidP="0011725F">
      <w:r>
        <w:t>Psychological impacts may include anxiety, depression, reduced self-esteem and social isolation. Families may face emotional strain and financial challenges due to long-term care needs, rehabilitation costs or reduced working hours for carers.</w:t>
      </w:r>
    </w:p>
    <w:p w14:paraId="41790482" w14:textId="77777777" w:rsidR="0011725F" w:rsidRDefault="0011725F" w:rsidP="0011725F"/>
    <w:p w14:paraId="5AAECCF6" w14:textId="77777777" w:rsidR="0011725F" w:rsidRDefault="0011725F" w:rsidP="0011725F">
      <w:r>
        <w:t>At the community level, outbreaks place pressure on health and social-care systems, requiring extensive surveillance, laboratory testing, vaccination campaigns and public communication. In resource-limited settings, these demands can be particularly burdensome.</w:t>
      </w:r>
    </w:p>
    <w:p w14:paraId="7EF9DC1F" w14:textId="77777777" w:rsidR="0011725F" w:rsidRDefault="0011725F" w:rsidP="0011725F"/>
    <w:p w14:paraId="527E7A89" w14:textId="77777777" w:rsidR="0011725F" w:rsidRDefault="0011725F" w:rsidP="0011725F">
      <w:r>
        <w:t>Health and Social-Care Services Required</w:t>
      </w:r>
    </w:p>
    <w:p w14:paraId="592FBB8D" w14:textId="77777777" w:rsidR="0011725F" w:rsidRDefault="0011725F" w:rsidP="0011725F">
      <w:r>
        <w:t>Individuals affected by polio often require coordinated, multidisciplinary support. Primary-care services monitor health and coordinate referrals. Physiotherapists help maintain mobility and prevent complications, while occupational therapists support daily functioning and recommend adaptations. Respiratory specialists may be needed when breathing muscles are affected. Speech and language therapists assist with swallowing or communication difficulties.</w:t>
      </w:r>
    </w:p>
    <w:p w14:paraId="173AEBA3" w14:textId="77777777" w:rsidR="0011725F" w:rsidRDefault="0011725F" w:rsidP="0011725F"/>
    <w:p w14:paraId="4A6E96C5" w14:textId="77777777" w:rsidR="0011725F" w:rsidRDefault="0011725F" w:rsidP="0011725F">
      <w:r>
        <w:lastRenderedPageBreak/>
        <w:t>Orthotic, wheelchair and mobility services promote independence, and pain-management services may be necessary. Social-care teams assess needs for practical support, home adaptations and personal care. Psychological services help individuals and families manage emotional impacts. Community organisations and peer-support groups reduce isolation and enhance wellbeing.</w:t>
      </w:r>
    </w:p>
    <w:p w14:paraId="0F9AD325" w14:textId="77777777" w:rsidR="0011725F" w:rsidRDefault="0011725F" w:rsidP="0011725F"/>
    <w:p w14:paraId="198434C0" w14:textId="41A2E22C" w:rsidR="0011725F" w:rsidRDefault="0011725F" w:rsidP="0011725F">
      <w:r>
        <w:t>Person-centred care is essential, ensuring that individuals’ preferences, cultural needs and goals are respected. Multidisciplinary collaboration supports holistic management and improves quality of life.</w:t>
      </w:r>
    </w:p>
    <w:p w14:paraId="7ABF62C1" w14:textId="656760B4" w:rsidR="00047AAF" w:rsidRDefault="00047AAF" w:rsidP="00047AAF"/>
    <w:p w14:paraId="3A0DE2DA" w14:textId="77777777" w:rsidR="0011725F" w:rsidRDefault="0011725F" w:rsidP="00047AAF"/>
    <w:p w14:paraId="3049801B" w14:textId="77777777" w:rsidR="0011725F" w:rsidRDefault="0011725F" w:rsidP="00047AAF"/>
    <w:p w14:paraId="1D04E222" w14:textId="77777777" w:rsidR="0011725F" w:rsidRDefault="0011725F" w:rsidP="0011725F">
      <w:r>
        <w:t>Conclusion</w:t>
      </w:r>
    </w:p>
    <w:p w14:paraId="5F63F988" w14:textId="77777777" w:rsidR="0011725F" w:rsidRDefault="0011725F" w:rsidP="0011725F"/>
    <w:p w14:paraId="1968C5AD" w14:textId="77777777" w:rsidR="0011725F" w:rsidRDefault="0011725F" w:rsidP="0011725F">
      <w:r>
        <w:t>Polio remains an important global public-health concern despite the dramatic reduction in cases since the global eradication programme began. Most infections are asymptomatic or mild, but some cause permanent paralysis and potentially life-threatening respiratory complications. Effective control therefore depends on prevention rather than cure. High vaccination coverage, AFP surveillance, laboratory testing, environmental wastewater surveillance and rapid outbreak response are essential for identifying and interrupting transmission.</w:t>
      </w:r>
    </w:p>
    <w:p w14:paraId="63744D92" w14:textId="77777777" w:rsidR="0011725F" w:rsidRDefault="0011725F" w:rsidP="0011725F"/>
    <w:p w14:paraId="7FD0BE11" w14:textId="77777777" w:rsidR="0011725F" w:rsidRDefault="0011725F" w:rsidP="0011725F">
      <w:r>
        <w:t>In the UK, routine vaccination and monitoring systems have helped prevent sustained community transmission, but uptake is not uniform and some booster coverage remains below optimal levels. Continued monitoring is necessary, particularly in communities with lower coverage and among people who may be exposed through international travel. For individuals living with the consequences of polio, integrated health and social-care services are essential. Physiotherapy, occupational therapy, respiratory care, social care, psychological support and mobility services can help maintain independence and quality of life. The long-term goal should be global eradication through sustained vaccination, strong surveillance and community engagement.</w:t>
      </w:r>
    </w:p>
    <w:p w14:paraId="06187ED3" w14:textId="77777777" w:rsidR="0011725F" w:rsidRDefault="0011725F" w:rsidP="0011725F"/>
    <w:p w14:paraId="74C626D0" w14:textId="77777777" w:rsidR="0011725F" w:rsidRDefault="0011725F" w:rsidP="0011725F">
      <w:r>
        <w:lastRenderedPageBreak/>
        <w:t>References</w:t>
      </w:r>
    </w:p>
    <w:p w14:paraId="70CBE24F" w14:textId="77777777" w:rsidR="0011725F" w:rsidRDefault="0011725F" w:rsidP="0011725F"/>
    <w:p w14:paraId="58B5EE81" w14:textId="77777777" w:rsidR="0011725F" w:rsidRDefault="0011725F" w:rsidP="0011725F">
      <w:r>
        <w:t>NHS (2026) Polio. NHS website. Available from: NHS.</w:t>
      </w:r>
    </w:p>
    <w:p w14:paraId="568BA3CD" w14:textId="77777777" w:rsidR="0011725F" w:rsidRDefault="0011725F" w:rsidP="0011725F"/>
    <w:p w14:paraId="4617E09D" w14:textId="77777777" w:rsidR="0011725F" w:rsidRDefault="0011725F" w:rsidP="0011725F">
      <w:r>
        <w:t>UK Health Security Agency (UKHSA) (2025) Vaccination coverage statistics for children aged up to 5 years, England: COVER programme report, April 2024 to March 2025. GOV.UK.</w:t>
      </w:r>
    </w:p>
    <w:p w14:paraId="1D10CB84" w14:textId="77777777" w:rsidR="0011725F" w:rsidRDefault="0011725F" w:rsidP="0011725F"/>
    <w:p w14:paraId="285C50AF" w14:textId="77777777" w:rsidR="0011725F" w:rsidRDefault="0011725F" w:rsidP="0011725F">
      <w:r>
        <w:t>UK Health Security Agency (UKHSA) (2026a) Td/IPV vaccine coverage for the NHS adolescent vaccination programme in England, academic year 2024 to 2025. GOV.UK.</w:t>
      </w:r>
    </w:p>
    <w:p w14:paraId="78901938" w14:textId="77777777" w:rsidR="0011725F" w:rsidRDefault="0011725F" w:rsidP="0011725F"/>
    <w:p w14:paraId="4B247CC5" w14:textId="77777777" w:rsidR="0011725F" w:rsidRDefault="0011725F" w:rsidP="0011725F">
      <w:r>
        <w:t>UK Health Security Agency (UKHSA) (2026b) Analysis of acute flaccid paralysis and myelitis: analysis of data up to 2025. GOV.UK.</w:t>
      </w:r>
    </w:p>
    <w:p w14:paraId="51D35C1F" w14:textId="77777777" w:rsidR="0011725F" w:rsidRDefault="0011725F" w:rsidP="0011725F"/>
    <w:p w14:paraId="3481E0D6" w14:textId="77777777" w:rsidR="0011725F" w:rsidRDefault="0011725F" w:rsidP="0011725F">
      <w:r>
        <w:t>World Health Organization (WHO) (2025a) Poliomyelitis. WHO.</w:t>
      </w:r>
    </w:p>
    <w:p w14:paraId="759B47D5" w14:textId="77777777" w:rsidR="0011725F" w:rsidRDefault="0011725F" w:rsidP="0011725F"/>
    <w:p w14:paraId="611FAB44" w14:textId="77777777" w:rsidR="0011725F" w:rsidRDefault="0011725F" w:rsidP="0011725F">
      <w:r>
        <w:t>World Health Organization (WHO) (2025b) Poliomyelitis: reported cases and incidence. WHO Global Health Observatory.</w:t>
      </w:r>
    </w:p>
    <w:p w14:paraId="16FA3755" w14:textId="77777777" w:rsidR="0011725F" w:rsidRDefault="0011725F" w:rsidP="0011725F"/>
    <w:p w14:paraId="18297360" w14:textId="77777777" w:rsidR="0011725F" w:rsidRDefault="0011725F" w:rsidP="0011725F">
      <w:r>
        <w:t>World Health Organization (WHO) (2025c) Immunization, Vaccines and Biologicals: Poliomyelitis (Polio). WHO.</w:t>
      </w:r>
    </w:p>
    <w:p w14:paraId="093BE5E5" w14:textId="77777777" w:rsidR="0011725F" w:rsidRDefault="0011725F" w:rsidP="0011725F"/>
    <w:p w14:paraId="59EF489F" w14:textId="77777777" w:rsidR="0011725F" w:rsidRDefault="0011725F" w:rsidP="0011725F">
      <w:r>
        <w:t>World Health Organization (WHO) (2026a) Statement of the Forty-fifth Meeting of the Polio IHR Emergency Committee. WHO.</w:t>
      </w:r>
    </w:p>
    <w:p w14:paraId="4BC1F213" w14:textId="77777777" w:rsidR="0011725F" w:rsidRDefault="0011725F" w:rsidP="0011725F"/>
    <w:p w14:paraId="1C93E479" w14:textId="6A709579" w:rsidR="0011725F" w:rsidRDefault="0011725F" w:rsidP="0011725F">
      <w:r>
        <w:t>World Health Organization (WHO) (2026b) Statement of the Forty-fourth Meeting of the Polio IHR Emergency Committee. WHO.</w:t>
      </w:r>
    </w:p>
    <w:sectPr w:rsidR="0011725F">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5D1EC" w14:textId="77777777" w:rsidR="00604072" w:rsidRDefault="00604072" w:rsidP="007E3FF8">
      <w:pPr>
        <w:spacing w:after="0" w:line="240" w:lineRule="auto"/>
      </w:pPr>
      <w:r>
        <w:separator/>
      </w:r>
    </w:p>
  </w:endnote>
  <w:endnote w:type="continuationSeparator" w:id="0">
    <w:p w14:paraId="0FE7868A" w14:textId="77777777" w:rsidR="00604072" w:rsidRDefault="00604072" w:rsidP="007E3F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BC694" w14:textId="77777777" w:rsidR="00541335" w:rsidRDefault="005413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48F83" w14:textId="77777777" w:rsidR="00541335" w:rsidRDefault="005413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8617A" w14:textId="77777777" w:rsidR="00541335" w:rsidRDefault="005413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EC801" w14:textId="77777777" w:rsidR="00604072" w:rsidRDefault="00604072" w:rsidP="007E3FF8">
      <w:pPr>
        <w:spacing w:after="0" w:line="240" w:lineRule="auto"/>
      </w:pPr>
      <w:r>
        <w:separator/>
      </w:r>
    </w:p>
  </w:footnote>
  <w:footnote w:type="continuationSeparator" w:id="0">
    <w:p w14:paraId="403204E5" w14:textId="77777777" w:rsidR="00604072" w:rsidRDefault="00604072" w:rsidP="007E3F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6525A" w14:textId="77777777" w:rsidR="00541335" w:rsidRDefault="005413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4752C" w14:textId="289E1C99" w:rsidR="007E3FF8" w:rsidRPr="007E3FF8" w:rsidRDefault="007E3FF8" w:rsidP="007E3FF8">
    <w:pPr>
      <w:pStyle w:val="Header"/>
    </w:pPr>
    <w:r w:rsidRPr="007E3FF8">
      <w:rPr>
        <w:noProof/>
      </w:rPr>
      <w:drawing>
        <wp:inline distT="0" distB="0" distL="0" distR="0" wp14:anchorId="006AC1AB" wp14:editId="4F56E72C">
          <wp:extent cx="2872740" cy="1911350"/>
          <wp:effectExtent l="0" t="0" r="3810" b="0"/>
          <wp:docPr id="1211997986" name="Picture 1" descr="PRIFYSGOL CYMR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997986" name="Picture 1" descr="PRIFYSGOL CYMRU&#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07127" cy="1934229"/>
                  </a:xfrm>
                  <a:prstGeom prst="rect">
                    <a:avLst/>
                  </a:prstGeom>
                  <a:noFill/>
                  <a:ln>
                    <a:noFill/>
                  </a:ln>
                </pic:spPr>
              </pic:pic>
            </a:graphicData>
          </a:graphic>
        </wp:inline>
      </w:drawing>
    </w:r>
  </w:p>
  <w:p w14:paraId="3D7EEFE3" w14:textId="77777777" w:rsidR="007E3FF8" w:rsidRPr="007E3FF8" w:rsidRDefault="007E3FF8" w:rsidP="007E3F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D797D" w14:textId="77777777" w:rsidR="00541335" w:rsidRDefault="005413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AAF"/>
    <w:rsid w:val="00047AAF"/>
    <w:rsid w:val="0011725F"/>
    <w:rsid w:val="0014217F"/>
    <w:rsid w:val="001970F9"/>
    <w:rsid w:val="00202B8A"/>
    <w:rsid w:val="002424B8"/>
    <w:rsid w:val="0045074B"/>
    <w:rsid w:val="00541335"/>
    <w:rsid w:val="00604072"/>
    <w:rsid w:val="00784BB6"/>
    <w:rsid w:val="00790586"/>
    <w:rsid w:val="007E3FF8"/>
    <w:rsid w:val="00977438"/>
    <w:rsid w:val="00AD6682"/>
    <w:rsid w:val="00B0046C"/>
    <w:rsid w:val="00B7286E"/>
    <w:rsid w:val="00BB2AE4"/>
    <w:rsid w:val="00D008B0"/>
    <w:rsid w:val="00D94633"/>
    <w:rsid w:val="00E37B36"/>
    <w:rsid w:val="00EA48B1"/>
    <w:rsid w:val="00F30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3D203"/>
  <w15:chartTrackingRefBased/>
  <w15:docId w15:val="{8195D0CB-B53D-46B6-98B1-483C3151E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A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7A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7A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7A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7A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7A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7A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7A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7A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A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7A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7A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7A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7A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7A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7A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7A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7AAF"/>
    <w:rPr>
      <w:rFonts w:eastAsiaTheme="majorEastAsia" w:cstheme="majorBidi"/>
      <w:color w:val="272727" w:themeColor="text1" w:themeTint="D8"/>
    </w:rPr>
  </w:style>
  <w:style w:type="paragraph" w:styleId="Title">
    <w:name w:val="Title"/>
    <w:basedOn w:val="Normal"/>
    <w:next w:val="Normal"/>
    <w:link w:val="TitleChar"/>
    <w:uiPriority w:val="10"/>
    <w:qFormat/>
    <w:rsid w:val="00047A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A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7A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7A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7AAF"/>
    <w:pPr>
      <w:spacing w:before="160"/>
      <w:jc w:val="center"/>
    </w:pPr>
    <w:rPr>
      <w:i/>
      <w:iCs/>
      <w:color w:val="404040" w:themeColor="text1" w:themeTint="BF"/>
    </w:rPr>
  </w:style>
  <w:style w:type="character" w:customStyle="1" w:styleId="QuoteChar">
    <w:name w:val="Quote Char"/>
    <w:basedOn w:val="DefaultParagraphFont"/>
    <w:link w:val="Quote"/>
    <w:uiPriority w:val="29"/>
    <w:rsid w:val="00047AAF"/>
    <w:rPr>
      <w:i/>
      <w:iCs/>
      <w:color w:val="404040" w:themeColor="text1" w:themeTint="BF"/>
    </w:rPr>
  </w:style>
  <w:style w:type="paragraph" w:styleId="ListParagraph">
    <w:name w:val="List Paragraph"/>
    <w:basedOn w:val="Normal"/>
    <w:uiPriority w:val="34"/>
    <w:qFormat/>
    <w:rsid w:val="00047AAF"/>
    <w:pPr>
      <w:ind w:left="720"/>
      <w:contextualSpacing/>
    </w:pPr>
  </w:style>
  <w:style w:type="character" w:styleId="IntenseEmphasis">
    <w:name w:val="Intense Emphasis"/>
    <w:basedOn w:val="DefaultParagraphFont"/>
    <w:uiPriority w:val="21"/>
    <w:qFormat/>
    <w:rsid w:val="00047AAF"/>
    <w:rPr>
      <w:i/>
      <w:iCs/>
      <w:color w:val="0F4761" w:themeColor="accent1" w:themeShade="BF"/>
    </w:rPr>
  </w:style>
  <w:style w:type="paragraph" w:styleId="IntenseQuote">
    <w:name w:val="Intense Quote"/>
    <w:basedOn w:val="Normal"/>
    <w:next w:val="Normal"/>
    <w:link w:val="IntenseQuoteChar"/>
    <w:uiPriority w:val="30"/>
    <w:qFormat/>
    <w:rsid w:val="00047A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7AAF"/>
    <w:rPr>
      <w:i/>
      <w:iCs/>
      <w:color w:val="0F4761" w:themeColor="accent1" w:themeShade="BF"/>
    </w:rPr>
  </w:style>
  <w:style w:type="character" w:styleId="IntenseReference">
    <w:name w:val="Intense Reference"/>
    <w:basedOn w:val="DefaultParagraphFont"/>
    <w:uiPriority w:val="32"/>
    <w:qFormat/>
    <w:rsid w:val="00047AAF"/>
    <w:rPr>
      <w:b/>
      <w:bCs/>
      <w:smallCaps/>
      <w:color w:val="0F4761" w:themeColor="accent1" w:themeShade="BF"/>
      <w:spacing w:val="5"/>
    </w:rPr>
  </w:style>
  <w:style w:type="paragraph" w:styleId="Header">
    <w:name w:val="header"/>
    <w:basedOn w:val="Normal"/>
    <w:link w:val="HeaderChar"/>
    <w:uiPriority w:val="99"/>
    <w:unhideWhenUsed/>
    <w:rsid w:val="007E3F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3FF8"/>
  </w:style>
  <w:style w:type="paragraph" w:styleId="Footer">
    <w:name w:val="footer"/>
    <w:basedOn w:val="Normal"/>
    <w:link w:val="FooterChar"/>
    <w:uiPriority w:val="99"/>
    <w:unhideWhenUsed/>
    <w:rsid w:val="007E3F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3F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1594</Words>
  <Characters>9088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Kante</dc:creator>
  <cp:keywords/>
  <dc:description/>
  <cp:lastModifiedBy>Ibrahim Kante</cp:lastModifiedBy>
  <cp:revision>2</cp:revision>
  <dcterms:created xsi:type="dcterms:W3CDTF">2026-08-27T16:33:00Z</dcterms:created>
  <dcterms:modified xsi:type="dcterms:W3CDTF">2026-08-27T16:33:00Z</dcterms:modified>
</cp:coreProperties>
</file>