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
    <w:p>
      <w:pPr>
        <w:jc w:val="center"/>
        <w:rPr>
          <w:rFonts w:ascii="Arial" w:cs="Arial" w:hAnsi="Arial"/>
        </w:rPr>
      </w:pPr>
    </w:p>
    <w:p>
      <w:pPr>
        <w:jc w:val="center"/>
        <w:rPr>
          <w:rFonts w:ascii="Arial" w:cs="Arial" w:hAnsi="Arial"/>
        </w:rPr>
      </w:pPr>
      <w:r>
        <w:rPr>
          <w:rFonts w:ascii="Arial" w:cs="Arial" w:hAnsi="Arial"/>
        </w:rPr>
        <w:t>Module Code: LCHS4010</w:t>
      </w:r>
    </w:p>
    <w:p>
      <w:pPr>
        <w:jc w:val="center"/>
        <w:rPr>
          <w:rFonts w:ascii="Arial" w:cs="Arial" w:hAnsi="Arial"/>
        </w:rPr>
      </w:pPr>
      <w:r>
        <w:rPr>
          <w:rFonts w:ascii="Arial" w:cs="Arial" w:hAnsi="Arial"/>
        </w:rPr>
        <w:t>Module Name: Psychology in Health and Social Care</w:t>
      </w:r>
    </w:p>
    <w:p>
      <w:pPr>
        <w:jc w:val="center"/>
        <w:rPr>
          <w:rFonts w:ascii="Arial" w:cs="Arial" w:hAnsi="Arial"/>
        </w:rPr>
      </w:pPr>
      <w:r>
        <w:rPr>
          <w:rFonts w:ascii="Arial" w:cs="Arial" w:hAnsi="Arial"/>
        </w:rPr>
        <w:t>Student Name: Gloria Omomoh Iyevhobu</w:t>
      </w:r>
    </w:p>
    <w:p>
      <w:pPr>
        <w:jc w:val="center"/>
        <w:rPr>
          <w:rFonts w:ascii="Arial" w:cs="Arial" w:hAnsi="Arial"/>
        </w:rPr>
      </w:pPr>
      <w:r>
        <w:rPr>
          <w:rFonts w:ascii="Arial" w:cs="Arial" w:hAnsi="Arial"/>
        </w:rPr>
        <w:t>Student Number: 2510902</w:t>
      </w:r>
    </w:p>
    <w:p>
      <w:pPr>
        <w:jc w:val="center"/>
        <w:rPr>
          <w:rFonts w:ascii="Arial" w:cs="Arial" w:hAnsi="Arial"/>
        </w:rPr>
      </w:pPr>
      <w:r>
        <w:rPr>
          <w:rFonts w:ascii="Arial" w:cs="Arial" w:hAnsi="Arial"/>
        </w:rPr>
        <w:t>Lecturer Name: Dr, Shepherd Ziko</w:t>
      </w:r>
    </w:p>
    <w:p>
      <w:pPr>
        <w:jc w:val="center"/>
        <w:rPr>
          <w:rFonts w:ascii="Arial" w:cs="Arial" w:hAnsi="Arial"/>
        </w:rPr>
      </w:pPr>
      <w:bookmarkStart w:id="0" w:name="_GoBack"/>
      <w:bookmarkEnd w:id="0"/>
    </w:p>
    <w:p>
      <w:pPr>
        <w:jc w:val="center"/>
        <w:rPr>
          <w:rFonts w:ascii="Arial" w:cs="Arial" w:hAnsi="Arial"/>
        </w:rPr>
      </w:pPr>
      <w:r>
        <w:rPr>
          <w:rFonts w:ascii="Arial" w:cs="Arial" w:hAnsi="Arial"/>
        </w:rPr>
        <w:t>Assessment Name</w:t>
      </w:r>
    </w:p>
    <w:p>
      <w:pPr>
        <w:pStyle w:val="22"/>
        <w:jc w:val="center"/>
        <w:rPr>
          <w:rFonts w:ascii="Arial" w:cs="Arial" w:hAnsi="Arial"/>
        </w:rPr>
      </w:pPr>
      <w:r>
        <w:rPr>
          <w:rFonts w:ascii="Arial" w:cs="Arial" w:hAnsi="Arial"/>
        </w:rPr>
        <w:t>Assessment Title: Discuss the Impact of Social Media on Mental Health in Adolescence</w:t>
      </w:r>
    </w:p>
    <w:p>
      <w:pPr>
        <w:rPr>
          <w:rFonts w:ascii="Arial" w:cs="Arial" w:hAnsi="Arial"/>
        </w:rPr>
      </w:pPr>
      <w:r>
        <w:rPr>
          <w:rFonts w:ascii="Arial" w:cs="Arial" w:hAnsi="Arial"/>
        </w:rPr>
        <w:br w:type="page"/>
      </w:r>
    </w:p>
    <w:p>
      <w:pPr>
        <w:pStyle w:val="22"/>
        <w:rPr>
          <w:rFonts w:ascii="Arial" w:cs="Arial" w:hAnsi="Arial"/>
        </w:rPr>
      </w:pPr>
      <w:r>
        <w:rPr>
          <w:rFonts w:ascii="Arial" w:cs="Arial" w:hAnsi="Arial"/>
        </w:rPr>
        <w:t>Social media refers to online platforms and applications that allow users to create and share content, communicate and interact with other people (Obar and Wildman, 2015). Adolescence is the stage between childhood and adulthood and usually refers to young people aged 10–19 years (World Health Organization, 2024). Mental health includes emotional, psychological and social wellbeing and affects how people think, feel and behave (World Health Organization, 2022). Social media is now part of everyday life for many adolescents. This has led to concern about how it may affect their mental health. However, the effects are not always negative and may differ between young people. This essay discusses the positive and negative effects of social media on adolescent mental health. It uses Vygotsky’s Sociocultural Theory and Bandura’s Social Learning Theory to explain these effects and compares the usefulness and limitations of both theories.</w:t>
      </w:r>
    </w:p>
    <w:p>
      <w:pPr>
        <w:pStyle w:val="22"/>
        <w:rPr>
          <w:rFonts w:ascii="Arial" w:cs="Arial" w:hAnsi="Arial"/>
        </w:rPr>
      </w:pPr>
    </w:p>
    <w:p>
      <w:pPr>
        <w:pStyle w:val="22"/>
        <w:rPr>
          <w:rFonts w:ascii="Arial" w:cs="Arial" w:hAnsi="Arial"/>
        </w:rPr>
      </w:pPr>
      <w:r>
        <w:rPr>
          <w:rFonts w:ascii="Arial" w:cs="Arial" w:hAnsi="Arial"/>
        </w:rPr>
        <w:t>Social media may support adolescent mental health in several ways. Young people can use it to communicate with friends, express themselves and find people with similar interests or experiences. Best et al. (2014) found that online communication can support friendships, social connection and emotional support. This may be especially helpful for adolescents who feel lonely or find it difficult to access support in person. Online groups can also provide information about mental health and show young people that they are not alone. Some adolescents may find it easier to discuss difficult feelings online before speaking to someone face to face. Social media can also help young people maintain friendships when distance, illness or other circumstances prevent regular contact. However, these benefits are more likely when communication is supportive and the information shared is reliable. Therefore, social media may help some adolescents develop a sense of belonging and feel more confident about discussing their experiences.</w:t>
      </w:r>
    </w:p>
    <w:p>
      <w:pPr>
        <w:pStyle w:val="22"/>
        <w:rPr>
          <w:rFonts w:ascii="Arial" w:cs="Arial" w:hAnsi="Arial"/>
        </w:rPr>
      </w:pPr>
    </w:p>
    <w:p>
      <w:pPr>
        <w:pStyle w:val="22"/>
        <w:rPr>
          <w:rFonts w:ascii="Arial" w:cs="Arial" w:hAnsi="Arial"/>
        </w:rPr>
      </w:pPr>
      <w:r>
        <w:rPr>
          <w:rFonts w:ascii="Arial" w:cs="Arial" w:hAnsi="Arial"/>
        </w:rPr>
        <w:t>However, social media may also have negative effects. Keles et al. (2020) found links between social media use and anxiety, depression and psychological distress among adolescents. Young people may compare themselves with edited photographs and idealised lifestyles, which can contribute to poor body image and lower self-esteem (Fardouly and Vartanian, 2016). Cyberbullying, disturbed sleep and pressure to remain online may also affect wellbeing (Keles et al., 2020). Nevertheless, these studies do not prove that social media directly causes mental-health problems. Young people who already feel anxious or depressed may use social media more often or use it in different ways. Odgers and Jensen (2020) argue that the overall effects are usually small, while Valkenburg et al. (2022) found that social media can affect individuals differently. Its impact may therefore depend on the content viewed, how it is used and the adolescent’s personal and social circumstances.</w:t>
      </w:r>
    </w:p>
    <w:p>
      <w:pPr>
        <w:pStyle w:val="22"/>
        <w:rPr>
          <w:rFonts w:ascii="Arial" w:cs="Arial" w:hAnsi="Arial"/>
        </w:rPr>
      </w:pPr>
    </w:p>
    <w:p>
      <w:pPr>
        <w:pStyle w:val="22"/>
        <w:rPr>
          <w:rFonts w:ascii="Arial" w:cs="Arial" w:hAnsi="Arial"/>
        </w:rPr>
      </w:pPr>
      <w:r>
        <w:rPr>
          <w:rFonts w:ascii="Arial" w:cs="Arial" w:hAnsi="Arial"/>
        </w:rPr>
        <w:t>One psychological theory that can help explain social media’s impact on adolescent mental health is Vygotsky’s (1978) Sociocultural Theory. Vygotsky argued that young people develop knowledge through social interaction. Their thinking is influenced by the language, culture and tools within their environment. He also introduced the zone of proximal development, which describes what a learner can achieve with guidance that they could not yet achieve independently (Vygotsky, 1978). This guidance may come from a more knowledgeable other, such as an adult, professional or more experienced peer. Wood et al. (1976) later used the term scaffolding to describe temporary support that helps a learner develop greater understanding and gradually become more independent. Although these ideas were developed to explain learning, they can also help explain how adolescents learn through online interaction.</w:t>
      </w:r>
    </w:p>
    <w:p>
      <w:pPr>
        <w:pStyle w:val="22"/>
        <w:rPr>
          <w:rFonts w:ascii="Arial" w:cs="Arial" w:hAnsi="Arial"/>
        </w:rPr>
      </w:pPr>
    </w:p>
    <w:p>
      <w:pPr>
        <w:pStyle w:val="22"/>
        <w:rPr>
          <w:rFonts w:ascii="Arial" w:cs="Arial" w:hAnsi="Arial"/>
        </w:rPr>
      </w:pPr>
      <w:r>
        <w:rPr>
          <w:rFonts w:ascii="Arial" w:cs="Arial" w:hAnsi="Arial"/>
        </w:rPr>
        <w:t>When applied to social media, Vygotsky’s theory suggests that online platforms can act as cultural tools through which adolescents communicate and develop their understanding of mental health. For example, a trusted organisation, professional or experienced peer may help an adolescent understand difficult emotions or identify appropriate support. This person may act as a more knowledgeable other by providing information and guidance. The advice may also provide scaffolding while the adolescent learns mental-health language and develops coping strategies (Vygotsky, 1978; Wood et al., 1976). Supportive online communities may allow adolescents to discuss their experiences, receive reassurance and learn how other people manage similar difficulties. This may reduce loneliness and strengthen social connection, particularly for adolescents who struggle to access support offline (Best et al., 2014). The adolescent may then begin to use this information to understand their feelings, increasing their confidence and willingness to seek help.</w:t>
      </w:r>
    </w:p>
    <w:p>
      <w:pPr>
        <w:pStyle w:val="22"/>
        <w:rPr>
          <w:rFonts w:ascii="Arial" w:cs="Arial" w:hAnsi="Arial"/>
        </w:rPr>
      </w:pPr>
    </w:p>
    <w:p>
      <w:pPr>
        <w:pStyle w:val="22"/>
        <w:rPr>
          <w:rFonts w:ascii="Arial" w:cs="Arial" w:hAnsi="Arial"/>
        </w:rPr>
      </w:pPr>
      <w:r>
        <w:rPr>
          <w:rFonts w:ascii="Arial" w:cs="Arial" w:hAnsi="Arial"/>
        </w:rPr>
        <w:t>However, Vygotsky’s theory also helps explain why online interaction may have negative effects. People who appear knowledgeable online may provide inaccurate or harmful advice. Adolescents may also learn that unrealistic beauty standards or unhealthy behaviours are normal when these are repeatedly accepted and encouraged within an online group. Negative comments or exclusion may affect how adolescents view themselves and their relationships with others. A strength of Vygotsky’s theory is that it explains how interaction, guidance and cultural messages can shape a young person’s understanding. However, the theory was mainly developed to explain learning and does not directly explain anxiety or depression. It also gives limited attention to biological development, personality and family circumstances. Vygotsky’s theory is therefore useful for explaining how adolescents learn from online interaction, but it cannot fully explain social media’s impact on their mental health.</w:t>
      </w:r>
    </w:p>
    <w:p>
      <w:pPr>
        <w:pStyle w:val="22"/>
        <w:rPr>
          <w:rFonts w:ascii="Arial" w:cs="Arial" w:hAnsi="Arial"/>
        </w:rPr>
      </w:pPr>
    </w:p>
    <w:p>
      <w:pPr>
        <w:pStyle w:val="22"/>
        <w:rPr>
          <w:rFonts w:ascii="Arial" w:cs="Arial" w:hAnsi="Arial"/>
        </w:rPr>
      </w:pPr>
      <w:r>
        <w:rPr>
          <w:rFonts w:ascii="Arial" w:cs="Arial" w:hAnsi="Arial"/>
        </w:rPr>
        <w:t>Another psychological theory that can help explain social media’s impact on adolescent mental health is Bandura’s Social Learning Theory. Bandura (1977) suggested that people can learn by observing and imitating others. Observational learning involves paying attention to a behaviour, remembering it, being able to reproduce it and having a reason to do so (Bandura, 1977). Adolescents may be more likely to copy people they admire, view as successful or believe are similar to themselves. Influencers, celebrities and popular peers may therefore become important online role models. Adolescents may also be encouraged to copy a behaviour when they see another person receiving likes, praise or positive comments for it (Bandura, 1977).</w:t>
      </w:r>
    </w:p>
    <w:p>
      <w:pPr>
        <w:pStyle w:val="22"/>
        <w:rPr>
          <w:rFonts w:ascii="Arial" w:cs="Arial" w:hAnsi="Arial"/>
        </w:rPr>
      </w:pPr>
    </w:p>
    <w:p>
      <w:pPr>
        <w:pStyle w:val="22"/>
        <w:rPr>
          <w:rFonts w:ascii="Arial" w:cs="Arial" w:hAnsi="Arial"/>
        </w:rPr>
      </w:pPr>
      <w:r>
        <w:rPr>
          <w:rFonts w:ascii="Arial" w:cs="Arial" w:hAnsi="Arial"/>
        </w:rPr>
        <w:t>Bandura’s theory can be applied to explain both negative and positive effects of social media. Likes, shares, comments and followers may reward the appearances and lifestyles promoted by peers, celebrities and influencers. Adolescents may therefore copy popular diets, beauty practices or risky online trends, particularly when these behaviours receive positive attention. If an adolescent posts similar content and also receives praise, they may be encouraged to repeat the behaviour. Exposure to idealised images may increase body comparison and dissatisfaction (Fardouly and Vartanian, 2016). This may negatively affect self-esteem when adolescents believe that they do not match the appearance or lifestyle being praised online.</w:t>
      </w:r>
    </w:p>
    <w:p>
      <w:pPr>
        <w:pStyle w:val="22"/>
        <w:rPr>
          <w:rFonts w:ascii="Arial" w:cs="Arial" w:hAnsi="Arial"/>
        </w:rPr>
      </w:pPr>
    </w:p>
    <w:p>
      <w:pPr>
        <w:pStyle w:val="22"/>
        <w:rPr>
          <w:rFonts w:ascii="Arial" w:cs="Arial" w:hAnsi="Arial"/>
        </w:rPr>
      </w:pPr>
      <w:r>
        <w:rPr>
          <w:rFonts w:ascii="Arial" w:cs="Arial" w:hAnsi="Arial"/>
        </w:rPr>
        <w:t>However, adolescents may also observe positive behaviours. For example, they may see other people discussing mental health, challenging stigma, using healthy coping strategies or seeking professional support. Seeing relatable people receive encouragement may increase an adolescent’s confidence and make seeking help appear more achievable. A strength of Bandura’s theory is that it clearly explains how online role models and visible rewards can influence behaviour. It is especially relevant to social media because adolescents can immediately see which behaviours receive attention and approval. However, the theory does not fully explain why one adolescent copies an observed behaviour while another rejects it. Existing mental health, personality, previous experiences and family support may affect how an adolescent responds. Bandura’s theory is therefore useful for explaining how social media may influence behaviour, but it cannot fully explain its impact on adolescent mental health.</w:t>
      </w:r>
    </w:p>
    <w:p>
      <w:pPr>
        <w:pStyle w:val="22"/>
        <w:rPr>
          <w:rFonts w:ascii="Arial" w:cs="Arial" w:hAnsi="Arial"/>
        </w:rPr>
      </w:pPr>
    </w:p>
    <w:p>
      <w:pPr>
        <w:pStyle w:val="22"/>
        <w:rPr>
          <w:rFonts w:ascii="Arial" w:cs="Arial" w:hAnsi="Arial"/>
        </w:rPr>
      </w:pPr>
      <w:r>
        <w:rPr>
          <w:rFonts w:ascii="Arial" w:cs="Arial" w:hAnsi="Arial"/>
        </w:rPr>
        <w:t>Vygotsky and Bandura both show that the social environment can influence adolescent development, but they explain this in different ways. Vygotsky focuses on how young people learn through communication, culture and guidance. Bandura explains how behaviours and attitudes can be learned by observing and copying other people. For example, Vygotsky’s theory may explain how an online support group helps an adolescent develop a better understanding of mental health. Bandura’s theory may better explain why an adolescent copies an influencer whose behaviour receives likes, comments and praise. Vygotsky therefore focuses more on learning through interaction, while Bandura gives a clearer explanation of how behaviour may be copied and repeated. However, the theories can work together because the same online person may provide guidance and also act as a role model.</w:t>
      </w:r>
    </w:p>
    <w:p>
      <w:pPr>
        <w:pStyle w:val="22"/>
        <w:rPr>
          <w:rFonts w:ascii="Arial" w:cs="Arial" w:hAnsi="Arial"/>
        </w:rPr>
      </w:pPr>
    </w:p>
    <w:p>
      <w:pPr>
        <w:pStyle w:val="22"/>
        <w:rPr>
          <w:rFonts w:ascii="Arial" w:cs="Arial" w:hAnsi="Arial"/>
        </w:rPr>
      </w:pPr>
      <w:r>
        <w:rPr>
          <w:rFonts w:ascii="Arial" w:cs="Arial" w:hAnsi="Arial"/>
        </w:rPr>
        <w:t>Both theories have limitations and neither was created to explain social media, and they do not fully consider how platform algorithms control the content adolescents see. They also focus mainly on social influences, although adolescent mental health may be affected by biological development, personality, family relationships, school experiences and existing mental-health difficulties. These factors may explain why two adolescents can view the same content but respond differently. Research also suggests that the effects of social media vary between individuals (Odgers and Jensen, 2020; Valkenburg, Meier and Beyens, 2022). Vygotsky and Bandura can explain how adolescents may learn from online interaction and content, but they cannot prove that social media directly causes changes in mental health. Therefore, using both theories provides a broader understanding, but they should be considered alongside recent research and other explanations.</w:t>
      </w:r>
    </w:p>
    <w:p>
      <w:pPr>
        <w:pStyle w:val="22"/>
        <w:rPr>
          <w:rFonts w:ascii="Arial" w:cs="Arial" w:hAnsi="Arial"/>
        </w:rPr>
      </w:pPr>
    </w:p>
    <w:p>
      <w:pPr>
        <w:pStyle w:val="22"/>
        <w:rPr>
          <w:rFonts w:ascii="Arial" w:cs="Arial" w:hAnsi="Arial"/>
        </w:rPr>
      </w:pPr>
      <w:r>
        <w:rPr>
          <w:rFonts w:ascii="Arial" w:cs="Arial" w:hAnsi="Arial"/>
        </w:rPr>
        <w:t>In conclusion, social media can have positive and negative effects on adolescent mental health. It may offer friendship, belonging, self-expression and access to support. However, cyberbullying, social comparison, unrealistic standards and pressure to remain online may contribute to poor wellbeing. Vygotsky’s theory helps explain how adolescents learn through online communication and cultural tools. Bandura’s theory explains how they may copy behaviours that they observe and see rewarded. Both theories are useful, but neither explains every adolescent’s experience. Overall, the impact of social media depends on the individual, the content they view, their existing relationships and the way they use online platforms.</w:t>
      </w:r>
    </w:p>
    <w:p>
      <w:pPr>
        <w:pStyle w:val="22"/>
        <w:rPr>
          <w:rFonts w:ascii="Arial" w:cs="Arial" w:hAnsi="Arial"/>
          <w:b/>
        </w:rPr>
      </w:pPr>
    </w:p>
    <w:p>
      <w:pPr>
        <w:pStyle w:val="22"/>
        <w:rPr>
          <w:rFonts w:ascii="Arial" w:cs="Arial" w:hAnsi="Arial"/>
          <w:b/>
        </w:rPr>
      </w:pPr>
    </w:p>
    <w:p>
      <w:pPr>
        <w:pStyle w:val="22"/>
        <w:rPr>
          <w:rFonts w:ascii="Arial" w:cs="Arial" w:hAnsi="Arial"/>
        </w:rPr>
      </w:pPr>
      <w:r>
        <w:rPr>
          <w:rFonts w:ascii="Arial" w:cs="Arial" w:hAnsi="Arial"/>
          <w:b/>
        </w:rPr>
        <w:t>Reference List</w:t>
      </w:r>
    </w:p>
    <w:p>
      <w:pPr>
        <w:pStyle w:val="22"/>
        <w:rPr>
          <w:rFonts w:ascii="Arial" w:cs="Arial" w:hAnsi="Arial"/>
        </w:rPr>
      </w:pPr>
    </w:p>
    <w:p>
      <w:pPr>
        <w:pStyle w:val="22"/>
        <w:rPr>
          <w:rFonts w:ascii="Arial" w:cs="Arial" w:hAnsi="Arial"/>
        </w:rPr>
      </w:pPr>
      <w:r>
        <w:rPr>
          <w:rFonts w:ascii="Arial" w:cs="Arial" w:hAnsi="Arial"/>
        </w:rPr>
        <w:t>Bandura, A. (1977) Social Learning Theory. Englewood Cliffs, NJ: Prentice-Hall.</w:t>
      </w:r>
    </w:p>
    <w:p>
      <w:pPr>
        <w:pStyle w:val="22"/>
        <w:rPr>
          <w:rFonts w:ascii="Arial" w:cs="Arial" w:hAnsi="Arial"/>
        </w:rPr>
      </w:pPr>
    </w:p>
    <w:p>
      <w:pPr>
        <w:pStyle w:val="22"/>
        <w:rPr>
          <w:rFonts w:ascii="Arial" w:cs="Arial" w:hAnsi="Arial"/>
        </w:rPr>
      </w:pPr>
      <w:r>
        <w:rPr>
          <w:rFonts w:ascii="Arial" w:cs="Arial" w:hAnsi="Arial"/>
        </w:rPr>
        <w:t>Best, P., Manktelow, R. and Taylor, B. (2014) ‘Online communication, social media and adolescent wellbeing: A systematic narrative review’, Children and Youth Services Review, 41, pp. 27–36.</w:t>
      </w:r>
    </w:p>
    <w:p>
      <w:pPr>
        <w:pStyle w:val="22"/>
        <w:rPr>
          <w:rFonts w:ascii="Arial" w:cs="Arial" w:hAnsi="Arial"/>
        </w:rPr>
      </w:pPr>
    </w:p>
    <w:p>
      <w:pPr>
        <w:pStyle w:val="22"/>
        <w:rPr>
          <w:rFonts w:ascii="Arial" w:cs="Arial" w:hAnsi="Arial"/>
        </w:rPr>
      </w:pPr>
      <w:r>
        <w:rPr>
          <w:rFonts w:ascii="Arial" w:cs="Arial" w:hAnsi="Arial"/>
        </w:rPr>
        <w:t>Fardouly, J. and Vartanian, L.R. (2016) ‘Social media and body image concerns: Current research and future directions’, Current Opinion in Psychology, 9, pp. 1–5.</w:t>
      </w:r>
    </w:p>
    <w:p>
      <w:pPr>
        <w:pStyle w:val="22"/>
        <w:rPr>
          <w:rFonts w:ascii="Arial" w:cs="Arial" w:hAnsi="Arial"/>
        </w:rPr>
      </w:pPr>
    </w:p>
    <w:p>
      <w:pPr>
        <w:pStyle w:val="22"/>
        <w:rPr>
          <w:rFonts w:ascii="Arial" w:cs="Arial" w:hAnsi="Arial"/>
        </w:rPr>
      </w:pPr>
      <w:r>
        <w:rPr>
          <w:rFonts w:ascii="Arial" w:cs="Arial" w:hAnsi="Arial"/>
        </w:rPr>
        <w:t xml:space="preserve">Keles, B., McCrae, N. and Grealish, A. (2020) ‘A systematic review: The influence of social media on depression, anxiety and psychological distress in adolescents’, International Journal of Adolescence and Youth, 25(1), pp. 79–93. </w:t>
      </w:r>
    </w:p>
    <w:p>
      <w:pPr>
        <w:pStyle w:val="22"/>
        <w:rPr>
          <w:rFonts w:ascii="Arial" w:cs="Arial" w:hAnsi="Arial"/>
        </w:rPr>
      </w:pPr>
    </w:p>
    <w:p>
      <w:pPr>
        <w:pStyle w:val="22"/>
        <w:rPr>
          <w:rFonts w:ascii="Arial" w:cs="Arial" w:hAnsi="Arial"/>
        </w:rPr>
      </w:pPr>
      <w:r>
        <w:rPr>
          <w:rFonts w:ascii="Arial" w:cs="Arial" w:hAnsi="Arial"/>
        </w:rPr>
        <w:t xml:space="preserve">Obar, J.A. and Wildman, S. (2015) ‘Social media definition and the governance challenge: An introduction to the special issue’, Telecommunications Policy, 39(9), pp. 745–750. </w:t>
      </w:r>
    </w:p>
    <w:p>
      <w:pPr>
        <w:pStyle w:val="22"/>
        <w:rPr>
          <w:rFonts w:ascii="Arial" w:cs="Arial" w:hAnsi="Arial"/>
        </w:rPr>
      </w:pPr>
    </w:p>
    <w:p>
      <w:pPr>
        <w:pStyle w:val="22"/>
        <w:rPr>
          <w:rFonts w:ascii="Arial" w:cs="Arial" w:hAnsi="Arial"/>
        </w:rPr>
      </w:pPr>
      <w:r>
        <w:rPr>
          <w:rFonts w:ascii="Arial" w:cs="Arial" w:hAnsi="Arial"/>
        </w:rPr>
        <w:t xml:space="preserve">Odgers, C.L. and Jensen, M.R. (2020) ‘Annual research review: Adolescent mental health in the digital age: Facts, fears, and future directions’, Journal of Child Psychology and Psychiatry, 61(3), pp. 336–348. </w:t>
      </w:r>
    </w:p>
    <w:p>
      <w:pPr>
        <w:pStyle w:val="22"/>
        <w:rPr>
          <w:rFonts w:ascii="Arial" w:cs="Arial" w:hAnsi="Arial"/>
        </w:rPr>
      </w:pPr>
    </w:p>
    <w:p>
      <w:pPr>
        <w:pStyle w:val="22"/>
        <w:rPr>
          <w:rFonts w:ascii="Arial" w:cs="Arial" w:hAnsi="Arial"/>
        </w:rPr>
      </w:pPr>
      <w:r>
        <w:rPr>
          <w:rFonts w:ascii="Arial" w:cs="Arial" w:hAnsi="Arial"/>
        </w:rPr>
        <w:t xml:space="preserve">Valkenburg, P.M., Meier, A. and Beyens, I. (2022) ‘Social media use and its impact on adolescent mental health: An umbrella review of the evidence’, Current Opinion in Psychology, 44, pp. 58–68. </w:t>
      </w:r>
    </w:p>
    <w:p>
      <w:pPr>
        <w:pStyle w:val="22"/>
        <w:rPr>
          <w:rFonts w:ascii="Arial" w:cs="Arial" w:hAnsi="Arial"/>
        </w:rPr>
      </w:pPr>
    </w:p>
    <w:p>
      <w:pPr>
        <w:pStyle w:val="22"/>
        <w:rPr>
          <w:rFonts w:ascii="Arial" w:cs="Arial" w:hAnsi="Arial"/>
        </w:rPr>
      </w:pPr>
      <w:r>
        <w:rPr>
          <w:rFonts w:ascii="Arial" w:cs="Arial" w:hAnsi="Arial"/>
        </w:rPr>
        <w:t>Vygotsky, L.S. (1978) Mind in Society: The Development of Higher Psychological Processes. Edited by M. Cole, V. John-Steiner, S. Scribner and E. Souberman. Cambridge, MA: Harvard University Press.</w:t>
      </w:r>
    </w:p>
    <w:p>
      <w:pPr>
        <w:pStyle w:val="22"/>
        <w:rPr>
          <w:rFonts w:ascii="Arial" w:cs="Arial" w:hAnsi="Arial"/>
        </w:rPr>
      </w:pPr>
    </w:p>
    <w:p>
      <w:pPr>
        <w:pStyle w:val="22"/>
        <w:rPr>
          <w:rFonts w:ascii="Arial" w:cs="Arial" w:hAnsi="Arial"/>
        </w:rPr>
      </w:pPr>
      <w:r>
        <w:rPr>
          <w:rFonts w:ascii="Arial" w:cs="Arial" w:hAnsi="Arial"/>
        </w:rPr>
        <w:t xml:space="preserve">Wood, D., Bruner, J.S. and Ross, G. (1976) ‘The role of tutoring in problem solving’, Journal of Child Psychology and Psychiatry, 17(2), pp. 89–100. </w:t>
      </w:r>
    </w:p>
    <w:p>
      <w:pPr>
        <w:pStyle w:val="22"/>
        <w:rPr>
          <w:rFonts w:ascii="Arial" w:cs="Arial" w:hAnsi="Arial"/>
        </w:rPr>
      </w:pPr>
    </w:p>
    <w:p>
      <w:pPr>
        <w:pStyle w:val="22"/>
        <w:rPr>
          <w:rFonts w:ascii="Arial" w:cs="Arial" w:hAnsi="Arial"/>
        </w:rPr>
      </w:pPr>
      <w:r>
        <w:rPr>
          <w:rFonts w:ascii="Arial" w:cs="Arial" w:hAnsi="Arial"/>
        </w:rPr>
        <w:t>World Health Organization (2022) Mental health: Strengthening our response. Available at: https://www.who.int/news-room/fact-sheets/detail/mental-health-strengthening-our-response (Accessed: 05 August 2026).</w:t>
      </w:r>
    </w:p>
    <w:p>
      <w:pPr>
        <w:pStyle w:val="22"/>
        <w:rPr>
          <w:rFonts w:ascii="Arial" w:cs="Arial" w:hAnsi="Arial"/>
        </w:rPr>
      </w:pPr>
    </w:p>
    <w:p>
      <w:pPr>
        <w:pStyle w:val="22"/>
        <w:rPr>
          <w:rFonts w:ascii="Arial" w:cs="Arial" w:hAnsi="Arial"/>
        </w:rPr>
      </w:pPr>
      <w:r>
        <w:rPr>
          <w:rFonts w:ascii="Arial" w:cs="Arial" w:hAnsi="Arial"/>
        </w:rPr>
        <w:t>World Health Organization (2024) Mental health of adolescents. Available at: https://www.who.int/news-room/fact-sheets/detail/adolescent-mental-health (Accessed: 05 August 2026).</w:t>
      </w:r>
    </w:p>
    <w:p/>
    <w:sectPr>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等线">
    <w:altName w:val="Droid Sans Fallback"/>
    <w:panose1 w:val="00000000000000000000"/>
    <w:charset w:val="00"/>
    <w:family w:val="auto"/>
    <w:pitch w:val="variable"/>
    <w:sig w:usb0="00000000" w:usb1="00000000" w:usb2="00000000" w:usb3="00000000" w:csb0="00000000" w:csb1="00000000"/>
  </w:font>
  <w:font w:name="等线 Light">
    <w:altName w:val="Droid Sans Fallback"/>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20"/>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Droid Sans" w:eastAsia="等线" w:cs="Arial" w:hAnsi="Droid Sans"/>
      <w:kern w:val="2"/>
      <w:sz w:val="24"/>
      <w:szCs w:val="24"/>
      <w:lang w:val="en-GB" w:eastAsia="zh-CN" w:bidi="ar-SA"/>
    </w:rPr>
  </w:style>
  <w:style w:type="paragraph" w:styleId="1">
    <w:name w:val="heading 1"/>
    <w:basedOn w:val="0"/>
    <w:next w:val="0"/>
    <w:pPr>
      <w:keepNext/>
      <w:keepLines/>
      <w:spacing w:before="360" w:after="80"/>
      <w:outlineLvl w:val="0"/>
    </w:pPr>
    <w:rPr>
      <w:rFonts w:ascii="Droid Sans" w:eastAsia="等线 Light" w:cs="Times New Roman" w:hAnsi="Droid Sans"/>
      <w:color w:val="0F4761"/>
      <w:sz w:val="40"/>
      <w:szCs w:val="40"/>
    </w:rPr>
  </w:style>
  <w:style w:type="paragraph" w:styleId="2">
    <w:name w:val="heading 2"/>
    <w:basedOn w:val="0"/>
    <w:next w:val="0"/>
    <w:pPr>
      <w:keepNext/>
      <w:keepLines/>
      <w:spacing w:before="160" w:after="80"/>
      <w:outlineLvl w:val="1"/>
    </w:pPr>
    <w:rPr>
      <w:rFonts w:ascii="Droid Sans" w:eastAsia="等线 Light" w:cs="Times New Roman" w:hAnsi="Droid Sans"/>
      <w:color w:val="0F4761"/>
      <w:sz w:val="32"/>
      <w:szCs w:val="32"/>
    </w:rPr>
  </w:style>
  <w:style w:type="paragraph" w:styleId="3">
    <w:name w:val="heading 3"/>
    <w:basedOn w:val="0"/>
    <w:next w:val="0"/>
    <w:pPr>
      <w:keepNext/>
      <w:keepLines/>
      <w:spacing w:before="160" w:after="80"/>
      <w:outlineLvl w:val="2"/>
    </w:pPr>
    <w:rPr>
      <w:rFonts w:eastAsia="等线 Light" w:cs="Times New Roman"/>
      <w:color w:val="0F4761"/>
      <w:sz w:val="28"/>
      <w:szCs w:val="28"/>
    </w:rPr>
  </w:style>
  <w:style w:type="paragraph" w:styleId="4">
    <w:name w:val="heading 4"/>
    <w:basedOn w:val="0"/>
    <w:next w:val="0"/>
    <w:pPr>
      <w:keepNext/>
      <w:keepLines/>
      <w:spacing w:before="80" w:after="40"/>
      <w:outlineLvl w:val="3"/>
    </w:pPr>
    <w:rPr>
      <w:rFonts w:eastAsia="等线 Light" w:cs="Times New Roman"/>
      <w:i/>
      <w:iCs/>
      <w:color w:val="0F4761"/>
    </w:rPr>
  </w:style>
  <w:style w:type="paragraph" w:styleId="5">
    <w:name w:val="heading 5"/>
    <w:basedOn w:val="0"/>
    <w:next w:val="0"/>
    <w:pPr>
      <w:keepNext/>
      <w:keepLines/>
      <w:spacing w:before="80" w:after="40"/>
      <w:outlineLvl w:val="4"/>
    </w:pPr>
    <w:rPr>
      <w:rFonts w:eastAsia="等线 Light" w:cs="Times New Roman"/>
      <w:color w:val="0F4761"/>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Droid Sans" w:eastAsia="等线 Light" w:cs="Times New Roman" w:hAnsi="Droid Sans"/>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0F4761"/>
    </w:rPr>
  </w:style>
  <w:style w:type="paragraph" w:customStyle="1" w:styleId="20">
    <w:name w:val="Intense Quote"/>
    <w:basedOn w:val="0"/>
    <w:next w:val="0"/>
    <w:pPr>
      <w:pBdr>
        <w:top w:val="single" w:sz="4" w:space="10" w:color="0F4761"/>
        <w:bottom w:val="single" w:sz="4" w:space="10" w:color="0F4761"/>
      </w:pBdr>
      <w:spacing w:before="360" w:after="360"/>
      <w:ind w:left="864" w:right="864"/>
      <w:jc w:val="center"/>
    </w:pPr>
    <w:rPr>
      <w:i/>
      <w:iCs/>
      <w:color w:val="0F4761"/>
    </w:rPr>
  </w:style>
  <w:style w:type="character" w:customStyle="1" w:styleId="21">
    <w:name w:val="Intense Reference"/>
    <w:basedOn w:val="10"/>
    <w:rPr>
      <w:b/>
      <w:bCs/>
      <w:caps w:val="0"/>
      <w:smallCaps/>
      <w:color w:val="0F4761"/>
      <w:spacing w:val="5"/>
    </w:rPr>
  </w:style>
  <w:style w:type="paragraph" w:customStyle="1" w:styleId="22">
    <w:name w:val="No Spacing"/>
    <w:pPr>
      <w:spacing w:after="0" w:line="240" w:lineRule="auto"/>
    </w:pPr>
    <w:rPr>
      <w:rFonts w:ascii="Droid Sans" w:eastAsia="Droid Sans" w:cs="Arial"/>
      <w:kern w:val="2"/>
      <w:sz w:val="24"/>
      <w:szCs w:val="24"/>
      <w:lang w:val="en-GB" w:eastAsia="en-US"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fontTable" Target="fontTable.xml"/></Relationships>
</file>

<file path=docProps/app.xml><?xml version="1.0" encoding="utf-8"?>
<Properties xmlns="http://schemas.openxmlformats.org/officeDocument/2006/extended-properties">
  <Template>Normal.eit</Template>
  <TotalTime>4</TotalTime>
  <Application>Honor_Office</Application>
  <Pages>6</Pages>
  <Words>1946</Words>
  <Characters>11281</Characters>
  <Lines>214</Lines>
  <Paragraphs>32</Paragraphs>
  <CharactersWithSpaces>13128</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Farah Wiita</dc:creator>
  <cp:lastModifiedBy>HONOR Docs</cp:lastModifiedBy>
  <cp:revision>3</cp:revision>
  <dcterms:created xsi:type="dcterms:W3CDTF">2026-07-23T13:50:00Z</dcterms:created>
  <dcterms:modified xsi:type="dcterms:W3CDTF">2026-08-17T12:04:37Z</dcterms:modified>
</cp:coreProperties>
</file>