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C2020C" w14:textId="35C6E85D" w:rsidR="00586561" w:rsidRDefault="0211F7B1" w:rsidP="7417CC87">
      <w:pPr>
        <w:spacing w:line="480" w:lineRule="auto"/>
        <w:rPr>
          <w:rFonts w:ascii="Times New Roman" w:eastAsia="Times New Roman" w:hAnsi="Times New Roman" w:cs="Times New Roman"/>
          <w:b/>
          <w:bCs/>
          <w:u w:val="single"/>
        </w:rPr>
      </w:pPr>
      <w:r w:rsidRPr="7417CC87">
        <w:rPr>
          <w:rFonts w:ascii="Times New Roman" w:eastAsia="Times New Roman" w:hAnsi="Times New Roman" w:cs="Times New Roman"/>
          <w:b/>
          <w:bCs/>
          <w:u w:val="single"/>
        </w:rPr>
        <w:t xml:space="preserve">Content page </w:t>
      </w:r>
    </w:p>
    <w:p w14:paraId="7587995D" w14:textId="6D8D2B7D" w:rsidR="00586561" w:rsidRDefault="65615D5E" w:rsidP="7417CC87">
      <w:pPr>
        <w:spacing w:line="480" w:lineRule="auto"/>
      </w:pPr>
      <w:r w:rsidRPr="7417CC87">
        <w:rPr>
          <w:rFonts w:ascii="Times New Roman" w:eastAsia="Times New Roman" w:hAnsi="Times New Roman" w:cs="Times New Roman"/>
        </w:rPr>
        <w:t>Business overview – pages 2-6</w:t>
      </w:r>
    </w:p>
    <w:p w14:paraId="56E50A70" w14:textId="648AEBA7" w:rsidR="00586561" w:rsidRDefault="65615D5E" w:rsidP="7417CC87">
      <w:pPr>
        <w:spacing w:line="480" w:lineRule="auto"/>
      </w:pPr>
      <w:r w:rsidRPr="7417CC87">
        <w:rPr>
          <w:rFonts w:ascii="Times New Roman" w:eastAsia="Times New Roman" w:hAnsi="Times New Roman" w:cs="Times New Roman"/>
        </w:rPr>
        <w:t>Market research and analysis – pages 6-</w:t>
      </w:r>
      <w:r w:rsidR="19E5B1E9" w:rsidRPr="7417CC87">
        <w:rPr>
          <w:rFonts w:ascii="Times New Roman" w:eastAsia="Times New Roman" w:hAnsi="Times New Roman" w:cs="Times New Roman"/>
        </w:rPr>
        <w:t>11</w:t>
      </w:r>
    </w:p>
    <w:p w14:paraId="43641EB9" w14:textId="6D7D05D3" w:rsidR="00586561" w:rsidRDefault="19E5B1E9" w:rsidP="7417CC87">
      <w:pPr>
        <w:spacing w:line="480" w:lineRule="auto"/>
      </w:pPr>
      <w:r w:rsidRPr="7417CC87">
        <w:rPr>
          <w:rFonts w:ascii="Times New Roman" w:eastAsia="Times New Roman" w:hAnsi="Times New Roman" w:cs="Times New Roman"/>
        </w:rPr>
        <w:t xml:space="preserve">Plan for operations – pages </w:t>
      </w:r>
      <w:r w:rsidR="41D2FC2B" w:rsidRPr="7417CC87">
        <w:rPr>
          <w:rFonts w:ascii="Times New Roman" w:eastAsia="Times New Roman" w:hAnsi="Times New Roman" w:cs="Times New Roman"/>
        </w:rPr>
        <w:t>11-15</w:t>
      </w:r>
    </w:p>
    <w:p w14:paraId="6C28F7CA" w14:textId="5D467A91" w:rsidR="00586561" w:rsidRDefault="41D2FC2B" w:rsidP="7417CC87">
      <w:pPr>
        <w:spacing w:line="480" w:lineRule="auto"/>
      </w:pPr>
      <w:r w:rsidRPr="7417CC87">
        <w:rPr>
          <w:rFonts w:ascii="Times New Roman" w:eastAsia="Times New Roman" w:hAnsi="Times New Roman" w:cs="Times New Roman"/>
        </w:rPr>
        <w:t>Sales and marketing – pages 15-19</w:t>
      </w:r>
    </w:p>
    <w:p w14:paraId="2DDCE520" w14:textId="2CD25C12" w:rsidR="00586561" w:rsidRDefault="41D2FC2B" w:rsidP="7417CC87">
      <w:pPr>
        <w:spacing w:line="480" w:lineRule="auto"/>
      </w:pPr>
      <w:r w:rsidRPr="7417CC87">
        <w:rPr>
          <w:rFonts w:ascii="Times New Roman" w:eastAsia="Times New Roman" w:hAnsi="Times New Roman" w:cs="Times New Roman"/>
        </w:rPr>
        <w:t>Financial overviews – pages 19-22</w:t>
      </w:r>
    </w:p>
    <w:p w14:paraId="02ACF0FB" w14:textId="1DC60ED3" w:rsidR="00586561" w:rsidRDefault="41D2FC2B" w:rsidP="7417CC87">
      <w:pPr>
        <w:spacing w:line="480" w:lineRule="auto"/>
      </w:pPr>
      <w:r w:rsidRPr="7417CC87">
        <w:rPr>
          <w:rFonts w:ascii="Times New Roman" w:eastAsia="Times New Roman" w:hAnsi="Times New Roman" w:cs="Times New Roman"/>
        </w:rPr>
        <w:t>Conclusion – page 22</w:t>
      </w:r>
    </w:p>
    <w:p w14:paraId="08413AB7" w14:textId="0C2F4460" w:rsidR="00586561" w:rsidRDefault="41D2FC2B" w:rsidP="7417CC87">
      <w:pPr>
        <w:spacing w:line="480" w:lineRule="auto"/>
      </w:pPr>
      <w:r w:rsidRPr="7417CC87">
        <w:rPr>
          <w:rFonts w:ascii="Times New Roman" w:eastAsia="Times New Roman" w:hAnsi="Times New Roman" w:cs="Times New Roman"/>
        </w:rPr>
        <w:t>Reference list – pages 23-26</w:t>
      </w:r>
    </w:p>
    <w:p w14:paraId="025C80C5" w14:textId="0EE04664" w:rsidR="00586561" w:rsidRDefault="00586561" w:rsidP="7417CC87">
      <w:pPr>
        <w:spacing w:line="480" w:lineRule="auto"/>
        <w:rPr>
          <w:rFonts w:ascii="Times New Roman" w:eastAsia="Times New Roman" w:hAnsi="Times New Roman" w:cs="Times New Roman"/>
          <w:u w:val="single"/>
        </w:rPr>
      </w:pPr>
    </w:p>
    <w:p w14:paraId="7C1D9C47" w14:textId="12A5E9F3" w:rsidR="00586561" w:rsidRDefault="00586561" w:rsidP="7417CC87">
      <w:pPr>
        <w:spacing w:line="480" w:lineRule="auto"/>
        <w:rPr>
          <w:rFonts w:ascii="Times New Roman" w:eastAsia="Times New Roman" w:hAnsi="Times New Roman" w:cs="Times New Roman"/>
          <w:u w:val="single"/>
        </w:rPr>
      </w:pPr>
    </w:p>
    <w:p w14:paraId="72CE78DB" w14:textId="395A9EFE" w:rsidR="00586561" w:rsidRDefault="00586561" w:rsidP="7417CC87">
      <w:pPr>
        <w:spacing w:line="480" w:lineRule="auto"/>
        <w:rPr>
          <w:rFonts w:ascii="Times New Roman" w:eastAsia="Times New Roman" w:hAnsi="Times New Roman" w:cs="Times New Roman"/>
          <w:u w:val="single"/>
        </w:rPr>
      </w:pPr>
    </w:p>
    <w:p w14:paraId="39B3361C" w14:textId="26BA6015" w:rsidR="00586561" w:rsidRDefault="00586561" w:rsidP="7417CC87">
      <w:pPr>
        <w:spacing w:line="480" w:lineRule="auto"/>
        <w:rPr>
          <w:rFonts w:ascii="Times New Roman" w:eastAsia="Times New Roman" w:hAnsi="Times New Roman" w:cs="Times New Roman"/>
          <w:u w:val="single"/>
        </w:rPr>
      </w:pPr>
    </w:p>
    <w:p w14:paraId="3D27E7D8" w14:textId="523610BB" w:rsidR="00586561" w:rsidRDefault="00586561" w:rsidP="7417CC87">
      <w:pPr>
        <w:spacing w:line="480" w:lineRule="auto"/>
        <w:rPr>
          <w:rFonts w:ascii="Times New Roman" w:eastAsia="Times New Roman" w:hAnsi="Times New Roman" w:cs="Times New Roman"/>
          <w:u w:val="single"/>
        </w:rPr>
      </w:pPr>
    </w:p>
    <w:p w14:paraId="23CAFC33" w14:textId="317078C3" w:rsidR="00586561" w:rsidRDefault="00586561" w:rsidP="7417CC87">
      <w:pPr>
        <w:spacing w:line="480" w:lineRule="auto"/>
        <w:rPr>
          <w:rFonts w:ascii="Times New Roman" w:eastAsia="Times New Roman" w:hAnsi="Times New Roman" w:cs="Times New Roman"/>
          <w:u w:val="single"/>
        </w:rPr>
      </w:pPr>
    </w:p>
    <w:p w14:paraId="27D14C16" w14:textId="1722B8D0" w:rsidR="00586561" w:rsidRDefault="00586561" w:rsidP="7417CC87">
      <w:pPr>
        <w:spacing w:line="480" w:lineRule="auto"/>
        <w:rPr>
          <w:rFonts w:ascii="Times New Roman" w:eastAsia="Times New Roman" w:hAnsi="Times New Roman" w:cs="Times New Roman"/>
          <w:u w:val="single"/>
        </w:rPr>
      </w:pPr>
    </w:p>
    <w:p w14:paraId="6D823E2D" w14:textId="4E5643FD" w:rsidR="00586561" w:rsidRDefault="00586561" w:rsidP="7417CC87">
      <w:pPr>
        <w:spacing w:line="480" w:lineRule="auto"/>
        <w:rPr>
          <w:rFonts w:ascii="Times New Roman" w:eastAsia="Times New Roman" w:hAnsi="Times New Roman" w:cs="Times New Roman"/>
          <w:u w:val="single"/>
        </w:rPr>
      </w:pPr>
    </w:p>
    <w:p w14:paraId="2DCFCE05" w14:textId="6E4BFEBA" w:rsidR="00586561" w:rsidRDefault="00586561" w:rsidP="7417CC87">
      <w:pPr>
        <w:spacing w:line="480" w:lineRule="auto"/>
        <w:rPr>
          <w:rFonts w:ascii="Times New Roman" w:eastAsia="Times New Roman" w:hAnsi="Times New Roman" w:cs="Times New Roman"/>
          <w:u w:val="single"/>
        </w:rPr>
      </w:pPr>
    </w:p>
    <w:p w14:paraId="22066009" w14:textId="06642578" w:rsidR="00586561" w:rsidRDefault="00586561" w:rsidP="7417CC87">
      <w:pPr>
        <w:spacing w:line="480" w:lineRule="auto"/>
        <w:rPr>
          <w:rFonts w:ascii="Times New Roman" w:eastAsia="Times New Roman" w:hAnsi="Times New Roman" w:cs="Times New Roman"/>
          <w:u w:val="single"/>
        </w:rPr>
      </w:pPr>
    </w:p>
    <w:p w14:paraId="2EB80CF9" w14:textId="2A96E3AA" w:rsidR="00586561" w:rsidRDefault="00586561" w:rsidP="7417CC87">
      <w:pPr>
        <w:spacing w:line="480" w:lineRule="auto"/>
        <w:rPr>
          <w:rFonts w:ascii="Times New Roman" w:eastAsia="Times New Roman" w:hAnsi="Times New Roman" w:cs="Times New Roman"/>
          <w:u w:val="single"/>
        </w:rPr>
      </w:pPr>
    </w:p>
    <w:p w14:paraId="36B7B00A" w14:textId="16FA0D1B" w:rsidR="00586561" w:rsidRDefault="00586561" w:rsidP="7417CC87">
      <w:pPr>
        <w:spacing w:line="480" w:lineRule="auto"/>
        <w:rPr>
          <w:rFonts w:ascii="Times New Roman" w:eastAsia="Times New Roman" w:hAnsi="Times New Roman" w:cs="Times New Roman"/>
          <w:u w:val="single"/>
        </w:rPr>
      </w:pPr>
    </w:p>
    <w:p w14:paraId="7F0A6A4B" w14:textId="4EAF2568" w:rsidR="00586561" w:rsidRDefault="00586561" w:rsidP="7417CC87">
      <w:pPr>
        <w:spacing w:line="480" w:lineRule="auto"/>
        <w:rPr>
          <w:rFonts w:ascii="Times New Roman" w:eastAsia="Times New Roman" w:hAnsi="Times New Roman" w:cs="Times New Roman"/>
          <w:u w:val="single"/>
        </w:rPr>
      </w:pPr>
    </w:p>
    <w:p w14:paraId="785F5FFC" w14:textId="52B36220" w:rsidR="00586561" w:rsidRDefault="00586561" w:rsidP="7417CC87">
      <w:pPr>
        <w:spacing w:line="480" w:lineRule="auto"/>
        <w:rPr>
          <w:rFonts w:ascii="Times New Roman" w:eastAsia="Times New Roman" w:hAnsi="Times New Roman" w:cs="Times New Roman"/>
          <w:u w:val="single"/>
        </w:rPr>
      </w:pPr>
    </w:p>
    <w:p w14:paraId="48753D0F" w14:textId="2F6A22A7" w:rsidR="00586561" w:rsidRDefault="00586561" w:rsidP="7417CC87">
      <w:pPr>
        <w:spacing w:line="480" w:lineRule="auto"/>
        <w:rPr>
          <w:rFonts w:ascii="Times New Roman" w:eastAsia="Times New Roman" w:hAnsi="Times New Roman" w:cs="Times New Roman"/>
          <w:u w:val="single"/>
        </w:rPr>
      </w:pPr>
    </w:p>
    <w:p w14:paraId="04B943FB" w14:textId="4D632303" w:rsidR="00586561" w:rsidRDefault="00586561" w:rsidP="7417CC87">
      <w:pPr>
        <w:spacing w:line="480" w:lineRule="auto"/>
        <w:rPr>
          <w:rFonts w:ascii="Times New Roman" w:eastAsia="Times New Roman" w:hAnsi="Times New Roman" w:cs="Times New Roman"/>
          <w:u w:val="single"/>
        </w:rPr>
      </w:pPr>
    </w:p>
    <w:p w14:paraId="36678BA7" w14:textId="64F9A774" w:rsidR="00586561" w:rsidRDefault="00586561" w:rsidP="7417CC87">
      <w:pPr>
        <w:spacing w:line="480" w:lineRule="auto"/>
        <w:rPr>
          <w:rFonts w:ascii="Times New Roman" w:eastAsia="Times New Roman" w:hAnsi="Times New Roman" w:cs="Times New Roman"/>
          <w:u w:val="single"/>
        </w:rPr>
      </w:pPr>
    </w:p>
    <w:p w14:paraId="78D8DC19" w14:textId="28B008C8" w:rsidR="00586561" w:rsidRDefault="00586561" w:rsidP="7417CC87">
      <w:pPr>
        <w:spacing w:line="480" w:lineRule="auto"/>
        <w:rPr>
          <w:rFonts w:ascii="Times New Roman" w:eastAsia="Times New Roman" w:hAnsi="Times New Roman" w:cs="Times New Roman"/>
          <w:u w:val="single"/>
        </w:rPr>
      </w:pPr>
    </w:p>
    <w:p w14:paraId="03D3A90C" w14:textId="672E73ED" w:rsidR="00586561" w:rsidRDefault="00586561" w:rsidP="7417CC87">
      <w:pPr>
        <w:spacing w:line="480" w:lineRule="auto"/>
        <w:rPr>
          <w:rFonts w:ascii="Times New Roman" w:eastAsia="Times New Roman" w:hAnsi="Times New Roman" w:cs="Times New Roman"/>
          <w:u w:val="single"/>
        </w:rPr>
      </w:pPr>
    </w:p>
    <w:p w14:paraId="667C1461" w14:textId="35470BEE" w:rsidR="00586561" w:rsidRDefault="706CA0E7" w:rsidP="7417CC87">
      <w:pPr>
        <w:spacing w:line="480" w:lineRule="auto"/>
        <w:rPr>
          <w:rFonts w:ascii="Times New Roman" w:eastAsia="Times New Roman" w:hAnsi="Times New Roman" w:cs="Times New Roman"/>
          <w:u w:val="single"/>
        </w:rPr>
      </w:pPr>
      <w:r w:rsidRPr="7417CC87">
        <w:rPr>
          <w:rFonts w:ascii="Times New Roman" w:eastAsia="Times New Roman" w:hAnsi="Times New Roman" w:cs="Times New Roman"/>
          <w:u w:val="single"/>
        </w:rPr>
        <w:t>Business overview</w:t>
      </w:r>
    </w:p>
    <w:p w14:paraId="5D0BC593" w14:textId="7FD1EBBD"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The sport and physical activity sector has experienced significant growth in recent years, driven by increasing participation rates, heightened awareness of athlete welfare, and the professionalisation of grassroots sport. Within this evolving context, there is a growing demand for accessible, high-quality medical and performance support services, particularly at the grassroots level where provision is often limited (Hoye et al., 2018). Pitch Side Player Care is a proposed business that seeks to address this gap by providing affordable, professional physiotherapy and player welfare services to grassroots football clubs.</w:t>
      </w:r>
    </w:p>
    <w:p w14:paraId="143D3616" w14:textId="11ACCDD4"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The business is built on the principle that every player, regardless of level or financial capacity, deserves access to expert care. By adopting a shared service model across clubs, Pitch Side Player Care aims to deliver cost-effective, high-quality support that enhances player health, reduces injury risk, and improves overall team performance. This overview will examine the business concept, service offering, value proposition, target market, and strategic positioning, supported by relevant sport management and business theory.</w:t>
      </w:r>
    </w:p>
    <w:p w14:paraId="3E6EA33E" w14:textId="6FB2BE79" w:rsidR="00586561" w:rsidRDefault="00586561" w:rsidP="7417CC87">
      <w:pPr>
        <w:spacing w:before="240" w:after="240" w:line="480" w:lineRule="auto"/>
        <w:rPr>
          <w:rFonts w:ascii="Times New Roman" w:eastAsia="Times New Roman" w:hAnsi="Times New Roman" w:cs="Times New Roman"/>
          <w:color w:val="000000" w:themeColor="text1"/>
        </w:rPr>
      </w:pPr>
    </w:p>
    <w:p w14:paraId="3163B48B" w14:textId="7A395030" w:rsidR="00586561" w:rsidRDefault="6912443C" w:rsidP="7417CC87">
      <w:pPr>
        <w:spacing w:before="240" w:after="240" w:line="480" w:lineRule="auto"/>
        <w:rPr>
          <w:rFonts w:ascii="Times New Roman" w:eastAsia="Times New Roman" w:hAnsi="Times New Roman" w:cs="Times New Roman"/>
          <w:color w:val="000000" w:themeColor="text1"/>
          <w:u w:val="single"/>
        </w:rPr>
      </w:pPr>
      <w:r w:rsidRPr="7417CC87">
        <w:rPr>
          <w:rFonts w:ascii="Times New Roman" w:eastAsia="Times New Roman" w:hAnsi="Times New Roman" w:cs="Times New Roman"/>
          <w:color w:val="000000" w:themeColor="text1"/>
          <w:u w:val="single"/>
        </w:rPr>
        <w:t>Business concept and service offering</w:t>
      </w:r>
    </w:p>
    <w:p w14:paraId="7260B4E6" w14:textId="1F3DB2AB"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i/>
          <w:iCs/>
          <w:color w:val="000000" w:themeColor="text1"/>
        </w:rPr>
        <w:t>Pitch Side Player Care</w:t>
      </w:r>
      <w:r w:rsidRPr="7417CC87">
        <w:rPr>
          <w:rFonts w:ascii="Times New Roman" w:eastAsia="Times New Roman" w:hAnsi="Times New Roman" w:cs="Times New Roman"/>
          <w:color w:val="000000" w:themeColor="text1"/>
        </w:rPr>
        <w:t xml:space="preserve"> operates as a specialised physiotherapy and player welfare service tailored specifically to grassroots football clubs. The business provides a range of services, including matchday medical cover, training session support, injury assessment, rehabilitation programmes, and injury prevention workshops. These services reflect best practice in sports medicine, where integrated approaches to injury management and prevention are essential for sustaining athlete participation and performance (Brukner and Khan, 2017).</w:t>
      </w:r>
    </w:p>
    <w:p w14:paraId="43A4459A" w14:textId="3332C94C"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The inclusion of pitch-side injury assessment and immediate treatment is particularly valuable in grassroots contexts, where clubs often lack qualified medical personnel. Immediate access to professional care can significantly reduce the severity of injuries and improve recovery outcomes (McCrory et al., 2017). Additionally, rehabilitation and recovery services provide structured, individualised programmes designed to return players to sport safely, aligning with contemporary approaches to athlete-centred care.</w:t>
      </w:r>
    </w:p>
    <w:p w14:paraId="3FA408F6" w14:textId="0172403F"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A key component of the service offering is injury prevention. Through education, strength and conditioning guidance, and workload monitoring, the business supports clubs in reducing injury incidence. Research indicates that structured injury prevention programmes can reduce injuries in football by up to 30–50%, highlighting the importance of proactive approaches (Soligard et al., 2008).</w:t>
      </w:r>
    </w:p>
    <w:p w14:paraId="6FE3B297" w14:textId="6FD6A3AA" w:rsidR="00586561" w:rsidRDefault="00586561" w:rsidP="7417CC87">
      <w:pPr>
        <w:spacing w:before="240" w:after="240" w:line="480" w:lineRule="auto"/>
        <w:rPr>
          <w:rFonts w:ascii="Times New Roman" w:eastAsia="Times New Roman" w:hAnsi="Times New Roman" w:cs="Times New Roman"/>
          <w:color w:val="000000" w:themeColor="text1"/>
        </w:rPr>
      </w:pPr>
    </w:p>
    <w:p w14:paraId="20BD16C9" w14:textId="7BBA7DA7" w:rsidR="00586561" w:rsidRDefault="6912443C" w:rsidP="7417CC87">
      <w:pPr>
        <w:spacing w:before="240" w:after="240" w:line="480" w:lineRule="auto"/>
        <w:rPr>
          <w:rFonts w:ascii="Times New Roman" w:eastAsia="Times New Roman" w:hAnsi="Times New Roman" w:cs="Times New Roman"/>
          <w:color w:val="000000" w:themeColor="text1"/>
          <w:u w:val="single"/>
        </w:rPr>
      </w:pPr>
      <w:r w:rsidRPr="7417CC87">
        <w:rPr>
          <w:rFonts w:ascii="Times New Roman" w:eastAsia="Times New Roman" w:hAnsi="Times New Roman" w:cs="Times New Roman"/>
          <w:color w:val="000000" w:themeColor="text1"/>
          <w:u w:val="single"/>
        </w:rPr>
        <w:t>Value proposition</w:t>
      </w:r>
    </w:p>
    <w:p w14:paraId="40C8257C" w14:textId="239B8FB8"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 xml:space="preserve">The core value proposition of </w:t>
      </w:r>
      <w:r w:rsidRPr="7417CC87">
        <w:rPr>
          <w:rFonts w:ascii="Times New Roman" w:eastAsia="Times New Roman" w:hAnsi="Times New Roman" w:cs="Times New Roman"/>
          <w:i/>
          <w:iCs/>
          <w:color w:val="000000" w:themeColor="text1"/>
        </w:rPr>
        <w:t>Pitch Side Player Care</w:t>
      </w:r>
      <w:r w:rsidRPr="7417CC87">
        <w:rPr>
          <w:rFonts w:ascii="Times New Roman" w:eastAsia="Times New Roman" w:hAnsi="Times New Roman" w:cs="Times New Roman"/>
          <w:color w:val="000000" w:themeColor="text1"/>
        </w:rPr>
        <w:t xml:space="preserve"> is centred on affordability, accessibility, and professionalism. The business adopts a shared service model, whereby multiple clubs contribute to the cost of services, making high-quality physiotherapy support financially viable for grassroots organisations. This approach aligns with principles of cost efficiency and resource sharing, which are particularly relevant in community sport settings where budgets are constrained (Hoye et al., 2018).</w:t>
      </w:r>
    </w:p>
    <w:p w14:paraId="17BBED42" w14:textId="62179430"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The emphasis on qualified and experienced physiotherapists ensures that the service maintains a high standard of care, enhancing credibility and trust among clubs. Professional accreditation, such as Health and Care Professions Council (HCPC) registration, further reinforces the legitimacy of the service and aligns with industry standards.</w:t>
      </w:r>
    </w:p>
    <w:p w14:paraId="74BFF55E" w14:textId="595B97B1"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In addition to improving player health, the business highlights its impact on performance and availability. Reduced injury rates lead to greater player availability, which is a key determinant of team success (Ekstrand et al., 2013). This creates a direct link between medical support and competitive performance, strengthening the business case for investment in such services.</w:t>
      </w:r>
    </w:p>
    <w:p w14:paraId="6EE18328" w14:textId="79B7603C"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 xml:space="preserve">The value proposition is further supported by its focus on grassroots football. By positioning itself as a community-focused organisation, </w:t>
      </w:r>
      <w:r w:rsidRPr="7417CC87">
        <w:rPr>
          <w:rFonts w:ascii="Times New Roman" w:eastAsia="Times New Roman" w:hAnsi="Times New Roman" w:cs="Times New Roman"/>
          <w:i/>
          <w:iCs/>
          <w:color w:val="000000" w:themeColor="text1"/>
        </w:rPr>
        <w:t>Pitch Side Player Care</w:t>
      </w:r>
      <w:r w:rsidRPr="7417CC87">
        <w:rPr>
          <w:rFonts w:ascii="Times New Roman" w:eastAsia="Times New Roman" w:hAnsi="Times New Roman" w:cs="Times New Roman"/>
          <w:color w:val="000000" w:themeColor="text1"/>
        </w:rPr>
        <w:t xml:space="preserve"> aligns with the social mission of sport, contributing to participation, inclusion, and community wellbeing. This dual focus on performance and social impact reflects broader trends in sport management, where organisations are increasingly expected to deliver both economic and social value (Smith and Stewart, 2010).</w:t>
      </w:r>
    </w:p>
    <w:p w14:paraId="1FF52797" w14:textId="536FDC7B" w:rsidR="00586561" w:rsidRDefault="00586561" w:rsidP="7417CC87">
      <w:pPr>
        <w:spacing w:before="240" w:after="240" w:line="480" w:lineRule="auto"/>
        <w:rPr>
          <w:rFonts w:ascii="Times New Roman" w:eastAsia="Times New Roman" w:hAnsi="Times New Roman" w:cs="Times New Roman"/>
          <w:color w:val="000000" w:themeColor="text1"/>
        </w:rPr>
      </w:pPr>
    </w:p>
    <w:p w14:paraId="60EB4963" w14:textId="7CB6A48A" w:rsidR="00586561" w:rsidRDefault="6912443C" w:rsidP="7417CC87">
      <w:pPr>
        <w:spacing w:before="240" w:after="240" w:line="480" w:lineRule="auto"/>
        <w:rPr>
          <w:rFonts w:ascii="Times New Roman" w:eastAsia="Times New Roman" w:hAnsi="Times New Roman" w:cs="Times New Roman"/>
          <w:color w:val="000000" w:themeColor="text1"/>
          <w:u w:val="single"/>
        </w:rPr>
      </w:pPr>
      <w:r w:rsidRPr="7417CC87">
        <w:rPr>
          <w:rFonts w:ascii="Times New Roman" w:eastAsia="Times New Roman" w:hAnsi="Times New Roman" w:cs="Times New Roman"/>
          <w:color w:val="000000" w:themeColor="text1"/>
          <w:u w:val="single"/>
        </w:rPr>
        <w:t xml:space="preserve">Target market and customer segments </w:t>
      </w:r>
    </w:p>
    <w:p w14:paraId="18EA9D0F" w14:textId="434ECE3E"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 xml:space="preserve">The primary target market for </w:t>
      </w:r>
      <w:r w:rsidRPr="7417CC87">
        <w:rPr>
          <w:rFonts w:ascii="Times New Roman" w:eastAsia="Times New Roman" w:hAnsi="Times New Roman" w:cs="Times New Roman"/>
          <w:i/>
          <w:iCs/>
          <w:color w:val="000000" w:themeColor="text1"/>
        </w:rPr>
        <w:t>Pitch Side Player Care</w:t>
      </w:r>
      <w:r w:rsidRPr="7417CC87">
        <w:rPr>
          <w:rFonts w:ascii="Times New Roman" w:eastAsia="Times New Roman" w:hAnsi="Times New Roman" w:cs="Times New Roman"/>
          <w:color w:val="000000" w:themeColor="text1"/>
        </w:rPr>
        <w:t xml:space="preserve"> consists of grassroots football clubs, including youth teams, amateur adult teams, and community-based organisations. These clubs often operate with limited financial and human resources, making them an ideal market for cost-effective shared services.</w:t>
      </w:r>
    </w:p>
    <w:p w14:paraId="1D582610" w14:textId="28BF7D2C"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Secondary stakeholders include players, coaches, and club administrators, all of whom benefit from improved medical support and injury management. Parents of youth players also represent an important stakeholder group, as concerns around player safety and wellbeing are particularly significant in youth sport.</w:t>
      </w:r>
    </w:p>
    <w:p w14:paraId="2DD426D9" w14:textId="1A80C9EF"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From a market perspective, grassroots football represents a large and relatively underserved segment. In the UK alone, millions of participants are involved in grassroots football, yet access to professional medical support remains inconsistent (The Football Association, 2020). This creates a clear opportunity for a business that can provide accessible and reliable services.</w:t>
      </w:r>
    </w:p>
    <w:p w14:paraId="4C5939B9" w14:textId="7CF3240B"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The business also leverages digital platforms, such as social media, to engage with its audience and promote its services. The use of platforms like Instagram enhances visibility and allows for direct communication with potential clients, reflecting contemporary marketing practices in sport (Pedersen and Thibault, 2019).</w:t>
      </w:r>
    </w:p>
    <w:p w14:paraId="132647BF" w14:textId="51B8D6E2" w:rsidR="00586561" w:rsidRDefault="00586561" w:rsidP="7417CC87">
      <w:pPr>
        <w:spacing w:before="240" w:after="240" w:line="480" w:lineRule="auto"/>
        <w:rPr>
          <w:rFonts w:ascii="Times New Roman" w:eastAsia="Times New Roman" w:hAnsi="Times New Roman" w:cs="Times New Roman"/>
          <w:color w:val="000000" w:themeColor="text1"/>
        </w:rPr>
      </w:pPr>
    </w:p>
    <w:p w14:paraId="6E3D2BE7" w14:textId="35F14CC8" w:rsidR="00586561" w:rsidRDefault="6912443C" w:rsidP="7417CC87">
      <w:pPr>
        <w:spacing w:before="240" w:after="240" w:line="480" w:lineRule="auto"/>
        <w:rPr>
          <w:rFonts w:ascii="Times New Roman" w:eastAsia="Times New Roman" w:hAnsi="Times New Roman" w:cs="Times New Roman"/>
          <w:color w:val="000000" w:themeColor="text1"/>
          <w:u w:val="single"/>
        </w:rPr>
      </w:pPr>
      <w:r w:rsidRPr="7417CC87">
        <w:rPr>
          <w:rFonts w:ascii="Times New Roman" w:eastAsia="Times New Roman" w:hAnsi="Times New Roman" w:cs="Times New Roman"/>
          <w:color w:val="000000" w:themeColor="text1"/>
          <w:u w:val="single"/>
        </w:rPr>
        <w:t xml:space="preserve">Strategic positioning </w:t>
      </w:r>
    </w:p>
    <w:p w14:paraId="3B2955EC" w14:textId="4A5E46D7" w:rsidR="00586561" w:rsidRDefault="00586561" w:rsidP="7417CC87">
      <w:pPr>
        <w:spacing w:before="240" w:after="240" w:line="480" w:lineRule="auto"/>
        <w:rPr>
          <w:rFonts w:ascii="Times New Roman" w:eastAsia="Times New Roman" w:hAnsi="Times New Roman" w:cs="Times New Roman"/>
          <w:color w:val="000000" w:themeColor="text1"/>
          <w:u w:val="single"/>
        </w:rPr>
      </w:pPr>
    </w:p>
    <w:p w14:paraId="1ABDB556" w14:textId="24758DC0"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i/>
          <w:iCs/>
          <w:color w:val="000000" w:themeColor="text1"/>
        </w:rPr>
        <w:t>Pitch Side Player Care</w:t>
      </w:r>
      <w:r w:rsidRPr="7417CC87">
        <w:rPr>
          <w:rFonts w:ascii="Times New Roman" w:eastAsia="Times New Roman" w:hAnsi="Times New Roman" w:cs="Times New Roman"/>
          <w:color w:val="000000" w:themeColor="text1"/>
        </w:rPr>
        <w:t xml:space="preserve"> adopts a differentiation strategy, focusing on delivering specialised, high-quality services tailored to grassroots football. Porter (2008) suggests that differentiation allows organisations to create unique value that distinguishes them from competitors. In this case, the combination of affordability, professionalism, and a shared service model creates a distinctive market position.</w:t>
      </w:r>
    </w:p>
    <w:p w14:paraId="5F5F9C34" w14:textId="4032F7CE"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The business also demonstrates elements of a resource-based approach, as its competitive advantage is derived from the expertise and qualifications of its staff. Skilled physiotherapists represent a valuable and relatively scarce resource, contributing to service quality and customer satisfaction (Barney, 1991).</w:t>
      </w:r>
    </w:p>
    <w:p w14:paraId="49EF8498" w14:textId="18ABBB67"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Additionally, the emphasis on player welfare and community impact aligns with stakeholder theory, which highlights the importance of addressing the needs of multiple stakeholder groups (Freeman, 2010). By delivering value to clubs, players, and communities, the business enhances its legitimacy and long-term sustainability.</w:t>
      </w:r>
    </w:p>
    <w:p w14:paraId="182BD6E9" w14:textId="5D54CB4A"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The use of affordable pricing structures further strengthens its competitive position. By offering flexible pricing for matchday cover, training support, and workshops, the business ensures that services remain accessible to a wide range of clubs. This approach balances financial viability with social responsibility, which is particularly important in the grassroots sport sector.</w:t>
      </w:r>
    </w:p>
    <w:p w14:paraId="1CD7B4FF" w14:textId="6ADA7A46" w:rsidR="20EFF8F8" w:rsidRDefault="20EFF8F8" w:rsidP="7417CC87">
      <w:pPr>
        <w:spacing w:line="480" w:lineRule="auto"/>
        <w:rPr>
          <w:rFonts w:ascii="Times New Roman" w:eastAsia="Times New Roman" w:hAnsi="Times New Roman" w:cs="Times New Roman"/>
          <w:b/>
          <w:bCs/>
          <w:u w:val="single"/>
        </w:rPr>
      </w:pPr>
    </w:p>
    <w:p w14:paraId="40AEF6AB" w14:textId="7713A303" w:rsidR="20EFF8F8" w:rsidRDefault="20EFF8F8" w:rsidP="7417CC87">
      <w:pPr>
        <w:spacing w:line="480" w:lineRule="auto"/>
        <w:rPr>
          <w:rFonts w:ascii="Times New Roman" w:eastAsia="Times New Roman" w:hAnsi="Times New Roman" w:cs="Times New Roman"/>
          <w:b/>
          <w:bCs/>
          <w:u w:val="single"/>
        </w:rPr>
      </w:pPr>
    </w:p>
    <w:p w14:paraId="3E1B7B5B" w14:textId="3917C184" w:rsidR="20EFF8F8" w:rsidRDefault="20EFF8F8" w:rsidP="7417CC87">
      <w:pPr>
        <w:spacing w:line="480" w:lineRule="auto"/>
        <w:rPr>
          <w:rFonts w:ascii="Times New Roman" w:eastAsia="Times New Roman" w:hAnsi="Times New Roman" w:cs="Times New Roman"/>
          <w:b/>
          <w:bCs/>
          <w:u w:val="single"/>
        </w:rPr>
      </w:pPr>
    </w:p>
    <w:p w14:paraId="09F8F5AC" w14:textId="4743DD3B" w:rsidR="20EFF8F8" w:rsidRDefault="20EFF8F8" w:rsidP="7417CC87">
      <w:pPr>
        <w:spacing w:line="480" w:lineRule="auto"/>
        <w:rPr>
          <w:rFonts w:ascii="Times New Roman" w:eastAsia="Times New Roman" w:hAnsi="Times New Roman" w:cs="Times New Roman"/>
          <w:b/>
          <w:bCs/>
          <w:u w:val="single"/>
        </w:rPr>
      </w:pPr>
    </w:p>
    <w:p w14:paraId="69C0DE8B" w14:textId="2F18F9AC" w:rsidR="20EFF8F8" w:rsidRDefault="2909627C" w:rsidP="7417CC87">
      <w:pPr>
        <w:spacing w:line="480" w:lineRule="auto"/>
        <w:rPr>
          <w:rFonts w:ascii="Times New Roman" w:eastAsia="Times New Roman" w:hAnsi="Times New Roman" w:cs="Times New Roman"/>
          <w:b/>
          <w:bCs/>
          <w:color w:val="000000" w:themeColor="text1"/>
          <w:u w:val="single"/>
        </w:rPr>
      </w:pPr>
      <w:r w:rsidRPr="7417CC87">
        <w:rPr>
          <w:rFonts w:ascii="Times New Roman" w:eastAsia="Times New Roman" w:hAnsi="Times New Roman" w:cs="Times New Roman"/>
          <w:b/>
          <w:bCs/>
          <w:u w:val="single"/>
        </w:rPr>
        <w:t>Market Research and Analysis</w:t>
      </w:r>
    </w:p>
    <w:p w14:paraId="2E52EE01" w14:textId="50631F16" w:rsidR="20EFF8F8" w:rsidRDefault="2909627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Market research and analysis is central to assessing whether Pitch Side Player Care is commercially viable, strategically positioned and realistically deliverable within grassroots football. The service is based on a clear problem: grassroots football has high levels of participation and regular injury risk, yet many clubs lack access to structured physiotherapy, rehabilitation and player welfare support. However, the existence of need does not automatically create a sustainable market. Research in sport development highlights that participation</w:t>
      </w:r>
      <w:r w:rsidR="28212D4F"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 xml:space="preserve">based need does not always translate into economic demand because community sport organisations are often shaped by financial, cultural and structural barriers (Coalter, 2013; Hoye et al., 2022). Therefore, </w:t>
      </w:r>
      <w:r w:rsidR="5A79A6F6" w:rsidRPr="7417CC87">
        <w:rPr>
          <w:rFonts w:ascii="Times New Roman" w:eastAsia="Times New Roman" w:hAnsi="Times New Roman" w:cs="Times New Roman"/>
          <w:color w:val="000000" w:themeColor="text1"/>
        </w:rPr>
        <w:t xml:space="preserve">Pitch Side Player Care </w:t>
      </w:r>
      <w:r w:rsidRPr="7417CC87">
        <w:rPr>
          <w:rFonts w:ascii="Times New Roman" w:eastAsia="Times New Roman" w:hAnsi="Times New Roman" w:cs="Times New Roman"/>
          <w:color w:val="000000" w:themeColor="text1"/>
        </w:rPr>
        <w:t xml:space="preserve">must be analysed </w:t>
      </w:r>
      <w:r w:rsidR="144349FF" w:rsidRPr="7417CC87">
        <w:rPr>
          <w:rFonts w:ascii="Times New Roman" w:eastAsia="Times New Roman" w:hAnsi="Times New Roman" w:cs="Times New Roman"/>
          <w:color w:val="000000" w:themeColor="text1"/>
        </w:rPr>
        <w:t>by the following: t</w:t>
      </w:r>
      <w:r w:rsidRPr="7417CC87">
        <w:rPr>
          <w:rFonts w:ascii="Times New Roman" w:eastAsia="Times New Roman" w:hAnsi="Times New Roman" w:cs="Times New Roman"/>
          <w:color w:val="000000" w:themeColor="text1"/>
        </w:rPr>
        <w:t>arget market, segmentation, competition, demand, barriers to entry, stakeholders and wider external forces.</w:t>
      </w:r>
    </w:p>
    <w:p w14:paraId="588D79DC" w14:textId="78EA8049" w:rsidR="20EFF8F8" w:rsidRDefault="2909627C" w:rsidP="7417CC87">
      <w:pPr>
        <w:spacing w:line="480" w:lineRule="auto"/>
        <w:rPr>
          <w:rFonts w:ascii="Times New Roman" w:eastAsia="Times New Roman" w:hAnsi="Times New Roman" w:cs="Times New Roman"/>
          <w:b/>
          <w:bCs/>
          <w:color w:val="000000" w:themeColor="text1"/>
        </w:rPr>
      </w:pPr>
      <w:r w:rsidRPr="7417CC87">
        <w:rPr>
          <w:rFonts w:ascii="Times New Roman" w:eastAsia="Times New Roman" w:hAnsi="Times New Roman" w:cs="Times New Roman"/>
          <w:b/>
          <w:bCs/>
        </w:rPr>
        <w:t>Target Market and Segmentation</w:t>
      </w:r>
    </w:p>
    <w:p w14:paraId="1C4C5DFD" w14:textId="3576FC16" w:rsidR="20EFF8F8" w:rsidRDefault="2909627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The target market for Pitch Side Player Care is the grassroots football sector in England, with a specific focus on amateur adult clubs, youth football clubs, community football organisations and lower-budget academies. This is a logical market because grassroots football is positioned by The Football Association as a central part of the sport’s development structure, with its 2024 to 2028 grassroots strategy focused on creating a thriving and accessible grassroots game (The Football Association, 2024). Sport England’s Active Lives data also shows that sport and physical activity participation remains a major public policy focus, particularly due to its links with health, wellbeing and social value outcomes (Sport England, 2025; DCMS, 2023). However, grassroots football should not be treated as one single market. It includes well</w:t>
      </w:r>
      <w:r w:rsidR="02CEEAA3"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funded community clubs, informal Sunday league teams, youth teams, disability teams and lower</w:t>
      </w:r>
      <w:r w:rsidR="11878430"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income clubs, all of which operate with different levels of finance, facilities and volunteer capacity (Sport England, 2022).</w:t>
      </w:r>
    </w:p>
    <w:p w14:paraId="23511F89" w14:textId="38AACD69" w:rsidR="20EFF8F8" w:rsidRDefault="2909627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For that reason, Pitch Side Player Care should use a segmented approach. The most suitable segment is a behavioural and organisational segment</w:t>
      </w:r>
      <w:r w:rsidR="10AE9AB1" w:rsidRPr="7417CC87">
        <w:rPr>
          <w:rFonts w:ascii="Times New Roman" w:eastAsia="Times New Roman" w:hAnsi="Times New Roman" w:cs="Times New Roman"/>
          <w:color w:val="000000" w:themeColor="text1"/>
        </w:rPr>
        <w:t>.</w:t>
      </w:r>
      <w:r w:rsidRPr="7417CC87">
        <w:rPr>
          <w:rFonts w:ascii="Times New Roman" w:eastAsia="Times New Roman" w:hAnsi="Times New Roman" w:cs="Times New Roman"/>
          <w:color w:val="000000" w:themeColor="text1"/>
        </w:rPr>
        <w:t xml:space="preserve"> </w:t>
      </w:r>
      <w:r w:rsidR="5985B53B" w:rsidRPr="7417CC87">
        <w:rPr>
          <w:rFonts w:ascii="Times New Roman" w:eastAsia="Times New Roman" w:hAnsi="Times New Roman" w:cs="Times New Roman"/>
          <w:color w:val="000000" w:themeColor="text1"/>
        </w:rPr>
        <w:t>C</w:t>
      </w:r>
      <w:r w:rsidRPr="7417CC87">
        <w:rPr>
          <w:rFonts w:ascii="Times New Roman" w:eastAsia="Times New Roman" w:hAnsi="Times New Roman" w:cs="Times New Roman"/>
          <w:color w:val="000000" w:themeColor="text1"/>
        </w:rPr>
        <w:t xml:space="preserve">lubs that train and compete regularly, experience repeated injury risk, but cannot afford permanent medical staff. This includes </w:t>
      </w:r>
      <w:r w:rsidR="4D6B76D9" w:rsidRPr="7417CC87">
        <w:rPr>
          <w:rFonts w:ascii="Times New Roman" w:eastAsia="Times New Roman" w:hAnsi="Times New Roman" w:cs="Times New Roman"/>
          <w:color w:val="000000" w:themeColor="text1"/>
        </w:rPr>
        <w:t>Saturday</w:t>
      </w:r>
      <w:r w:rsidRPr="7417CC87">
        <w:rPr>
          <w:rFonts w:ascii="Times New Roman" w:eastAsia="Times New Roman" w:hAnsi="Times New Roman" w:cs="Times New Roman"/>
          <w:color w:val="000000" w:themeColor="text1"/>
        </w:rPr>
        <w:t xml:space="preserve"> and </w:t>
      </w:r>
      <w:r w:rsidR="2A144DD7" w:rsidRPr="7417CC87">
        <w:rPr>
          <w:rFonts w:ascii="Times New Roman" w:eastAsia="Times New Roman" w:hAnsi="Times New Roman" w:cs="Times New Roman"/>
          <w:color w:val="000000" w:themeColor="text1"/>
        </w:rPr>
        <w:t>Sunday</w:t>
      </w:r>
      <w:r w:rsidRPr="7417CC87">
        <w:rPr>
          <w:rFonts w:ascii="Times New Roman" w:eastAsia="Times New Roman" w:hAnsi="Times New Roman" w:cs="Times New Roman"/>
          <w:color w:val="000000" w:themeColor="text1"/>
        </w:rPr>
        <w:t xml:space="preserve"> league teams, multi-team community clubs, youth football clubs and lower</w:t>
      </w:r>
      <w:r w:rsidR="4775794A"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budget academies. This segmentation is stronger than simply targeting grassroots football because it focuses on clubs with both a clear need and a realistic reason to purchase the service. Football injury research supports this need, as football is associated with substantial injury risk, especially lower</w:t>
      </w:r>
      <w:r w:rsidR="5FAC5103"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 xml:space="preserve">limb injuries such as muscle strains, ligament injuries and ankle sprains (Ekstrand, Hägglund and Waldén, 2011; López-Valenciano et al., 2020). </w:t>
      </w:r>
    </w:p>
    <w:p w14:paraId="2E04BF26" w14:textId="507ABD9A" w:rsidR="20EFF8F8" w:rsidRDefault="2909627C" w:rsidP="7417CC87">
      <w:pPr>
        <w:spacing w:line="480" w:lineRule="auto"/>
        <w:rPr>
          <w:rFonts w:ascii="Times New Roman" w:eastAsia="Times New Roman" w:hAnsi="Times New Roman" w:cs="Times New Roman"/>
          <w:b/>
          <w:bCs/>
          <w:color w:val="000000" w:themeColor="text1"/>
        </w:rPr>
      </w:pPr>
      <w:r w:rsidRPr="7417CC87">
        <w:rPr>
          <w:rFonts w:ascii="Times New Roman" w:eastAsia="Times New Roman" w:hAnsi="Times New Roman" w:cs="Times New Roman"/>
          <w:b/>
          <w:bCs/>
        </w:rPr>
        <w:t>Market Size and Demand</w:t>
      </w:r>
    </w:p>
    <w:p w14:paraId="6D890EE0" w14:textId="54D7F25A" w:rsidR="20EFF8F8" w:rsidRDefault="2909627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The market size and demand are potentially strong because grassroots football has a broad participation base and a repeated</w:t>
      </w:r>
      <w:r w:rsidR="2CF0ED20"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use service need. Unlike one</w:t>
      </w:r>
      <w:r w:rsidR="65D1AD71"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 xml:space="preserve">off products, injury assessment, rehabilitation, prevention education and player welfare support create recurring demand across a season. The FA’s grassroots strategy highlights the importance of positive football experiences, safe environments and participation growth, all of which align with a service focused on player care (The Football Association, 2024). </w:t>
      </w:r>
    </w:p>
    <w:p w14:paraId="63AB2855" w14:textId="76EC5672" w:rsidR="20EFF8F8" w:rsidRDefault="2909627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 xml:space="preserve">However, </w:t>
      </w:r>
      <w:r w:rsidR="044A9DE9" w:rsidRPr="7417CC87">
        <w:rPr>
          <w:rFonts w:ascii="Times New Roman" w:eastAsia="Times New Roman" w:hAnsi="Times New Roman" w:cs="Times New Roman"/>
          <w:color w:val="000000" w:themeColor="text1"/>
        </w:rPr>
        <w:t>h</w:t>
      </w:r>
      <w:r w:rsidRPr="7417CC87">
        <w:rPr>
          <w:rFonts w:ascii="Times New Roman" w:eastAsia="Times New Roman" w:hAnsi="Times New Roman" w:cs="Times New Roman"/>
          <w:color w:val="000000" w:themeColor="text1"/>
        </w:rPr>
        <w:t>igh participation does not automatically guarantee high purchasing power. Many grassroots clubs are volunteer</w:t>
      </w:r>
      <w:r w:rsidR="4F539C55"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led and financially constrained, meaning that demand may be high in principle but limited in practice by affordability. Research on community sport organisations suggests that financial sustainability is a persistent challenge, particularly in non</w:t>
      </w:r>
      <w:r w:rsidR="672224FA"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elite settings (Wicker and Breuer, 2014). Therefore, Pitch Side Player Care must demonstrate clear value to clubs by linking physiotherapy support to reduced injury absence, improved player availability, safer return</w:t>
      </w:r>
      <w:r w:rsidR="3E0DE4E5"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to</w:t>
      </w:r>
      <w:r w:rsidR="78345A78"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play decisions and stronger club reputation.</w:t>
      </w:r>
    </w:p>
    <w:p w14:paraId="2AD08100" w14:textId="67C8A342" w:rsidR="20EFF8F8" w:rsidRDefault="2909627C" w:rsidP="7417CC87">
      <w:pPr>
        <w:spacing w:line="480" w:lineRule="auto"/>
        <w:rPr>
          <w:rFonts w:ascii="Times New Roman" w:eastAsia="Times New Roman" w:hAnsi="Times New Roman" w:cs="Times New Roman"/>
          <w:b/>
          <w:bCs/>
          <w:color w:val="000000" w:themeColor="text1"/>
        </w:rPr>
      </w:pPr>
      <w:r w:rsidRPr="7417CC87">
        <w:rPr>
          <w:rFonts w:ascii="Times New Roman" w:eastAsia="Times New Roman" w:hAnsi="Times New Roman" w:cs="Times New Roman"/>
          <w:b/>
          <w:bCs/>
        </w:rPr>
        <w:t>Competitor Analysis</w:t>
      </w:r>
    </w:p>
    <w:p w14:paraId="0ED9DB92" w14:textId="72766F08" w:rsidR="20EFF8F8" w:rsidRDefault="2909627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 xml:space="preserve">Competitor analysis shows that Pitch Side Player Care operates in a </w:t>
      </w:r>
      <w:r w:rsidR="78C7BAAB" w:rsidRPr="7417CC87">
        <w:rPr>
          <w:rFonts w:ascii="Times New Roman" w:eastAsia="Times New Roman" w:hAnsi="Times New Roman" w:cs="Times New Roman"/>
          <w:color w:val="000000" w:themeColor="text1"/>
        </w:rPr>
        <w:t>shared</w:t>
      </w:r>
      <w:r w:rsidRPr="7417CC87">
        <w:rPr>
          <w:rFonts w:ascii="Times New Roman" w:eastAsia="Times New Roman" w:hAnsi="Times New Roman" w:cs="Times New Roman"/>
          <w:color w:val="000000" w:themeColor="text1"/>
        </w:rPr>
        <w:t xml:space="preserve"> competitive environment rather than against one direct competitor. The first competitor group is informal provision, including volunteer first aiders, coaches and players self</w:t>
      </w:r>
      <w:r w:rsidR="55E6E46E"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 xml:space="preserve">managing injuries. This is low cost and already embedded in grassroots football, but it is limited because it may lack professional clinical knowledge and structured rehabilitation planning. This is important because </w:t>
      </w:r>
      <w:r w:rsidR="68DE5B99" w:rsidRPr="7417CC87">
        <w:rPr>
          <w:rFonts w:ascii="Times New Roman" w:eastAsia="Times New Roman" w:hAnsi="Times New Roman" w:cs="Times New Roman"/>
          <w:color w:val="000000" w:themeColor="text1"/>
        </w:rPr>
        <w:t xml:space="preserve">poor </w:t>
      </w:r>
      <w:r w:rsidRPr="7417CC87">
        <w:rPr>
          <w:rFonts w:ascii="Times New Roman" w:eastAsia="Times New Roman" w:hAnsi="Times New Roman" w:cs="Times New Roman"/>
          <w:color w:val="000000" w:themeColor="text1"/>
        </w:rPr>
        <w:t>rehabilitation and premature return to play can increase the risk of re-injury in sport (Bahr and Krosshaug, 2005; Toohey et al., 2021).</w:t>
      </w:r>
    </w:p>
    <w:p w14:paraId="5692734F" w14:textId="53E9B35D" w:rsidR="20EFF8F8" w:rsidRDefault="2909627C" w:rsidP="7417CC87">
      <w:pPr>
        <w:spacing w:line="480" w:lineRule="auto"/>
        <w:rPr>
          <w:rFonts w:ascii="Times New Roman" w:eastAsia="Times New Roman" w:hAnsi="Times New Roman" w:cs="Times New Roman"/>
          <w:b/>
          <w:bCs/>
          <w:color w:val="000000" w:themeColor="text1"/>
        </w:rPr>
      </w:pPr>
      <w:r w:rsidRPr="7417CC87">
        <w:rPr>
          <w:rFonts w:ascii="Times New Roman" w:eastAsia="Times New Roman" w:hAnsi="Times New Roman" w:cs="Times New Roman"/>
          <w:b/>
          <w:bCs/>
        </w:rPr>
        <w:t>Positioning Strategy</w:t>
      </w:r>
    </w:p>
    <w:p w14:paraId="3A6A40A4" w14:textId="7158991B" w:rsidR="20EFF8F8" w:rsidRDefault="2909627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Pitch Side Player Care is positioned as a mid</w:t>
      </w:r>
      <w:r w:rsidR="78AEC2E7"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cost, sport</w:t>
      </w:r>
      <w:r w:rsidR="3697E92E"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specific and shared</w:t>
      </w:r>
      <w:r w:rsidR="20290A00"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service alternative. It sits between volunteer</w:t>
      </w:r>
      <w:r w:rsidR="12C3EA8B"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led support and expensive private clinics. Its key differentiation is that it combines pitch</w:t>
      </w:r>
      <w:r w:rsidR="19422B45"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side injury assessment, rehabilitation support, injury prevention education and player welfare guidance into one club</w:t>
      </w:r>
      <w:r w:rsidR="458585F5"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based service. This positioning is important because it avoids competing directly with private clinics on clinical prestige alone and instead competes on accessibility, sport specificity and continuity.</w:t>
      </w:r>
    </w:p>
    <w:p w14:paraId="13D44B00" w14:textId="6C87F75B" w:rsidR="20EFF8F8" w:rsidRDefault="2909627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 xml:space="preserve">However, </w:t>
      </w:r>
      <w:r w:rsidR="05A30051" w:rsidRPr="7417CC87">
        <w:rPr>
          <w:rFonts w:ascii="Times New Roman" w:eastAsia="Times New Roman" w:hAnsi="Times New Roman" w:cs="Times New Roman"/>
          <w:color w:val="000000" w:themeColor="text1"/>
        </w:rPr>
        <w:t>i</w:t>
      </w:r>
      <w:r w:rsidRPr="7417CC87">
        <w:rPr>
          <w:rFonts w:ascii="Times New Roman" w:eastAsia="Times New Roman" w:hAnsi="Times New Roman" w:cs="Times New Roman"/>
          <w:color w:val="000000" w:themeColor="text1"/>
        </w:rPr>
        <w:t>f the service is too cheap, clubs may question its quality. If it is too expensive, the target market may not adopt it. Pricing strategy in sport services must therefore balance perceived value with affordability, particularly in community contexts (Mullin, Hardy and Sutton, 2014). This means Pitch Side Player Care must communicate the benefits of professional care clearly, while still recognising the financial limitations of grassroots football clubs.</w:t>
      </w:r>
    </w:p>
    <w:p w14:paraId="3B8B3244" w14:textId="2CBB3879" w:rsidR="20EFF8F8" w:rsidRDefault="20EFF8F8" w:rsidP="7417CC87">
      <w:pPr>
        <w:spacing w:line="480" w:lineRule="auto"/>
        <w:rPr>
          <w:rFonts w:ascii="Times New Roman" w:eastAsia="Times New Roman" w:hAnsi="Times New Roman" w:cs="Times New Roman"/>
          <w:b/>
          <w:bCs/>
        </w:rPr>
      </w:pPr>
    </w:p>
    <w:p w14:paraId="33F1C57C" w14:textId="0F2A02EE" w:rsidR="20EFF8F8" w:rsidRDefault="2909627C" w:rsidP="7417CC87">
      <w:pPr>
        <w:spacing w:line="480" w:lineRule="auto"/>
        <w:rPr>
          <w:rFonts w:ascii="Times New Roman" w:eastAsia="Times New Roman" w:hAnsi="Times New Roman" w:cs="Times New Roman"/>
          <w:b/>
          <w:bCs/>
          <w:color w:val="000000" w:themeColor="text1"/>
        </w:rPr>
      </w:pPr>
      <w:r w:rsidRPr="7417CC87">
        <w:rPr>
          <w:rFonts w:ascii="Times New Roman" w:eastAsia="Times New Roman" w:hAnsi="Times New Roman" w:cs="Times New Roman"/>
          <w:b/>
          <w:bCs/>
        </w:rPr>
        <w:t>PESTLE Analysis</w:t>
      </w:r>
    </w:p>
    <w:p w14:paraId="00A14238" w14:textId="7160DFF4" w:rsidR="20EFF8F8" w:rsidRDefault="2909627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 xml:space="preserve">A PESTLE analysis highlights the wider external factors affecting the service. Politically, grassroots sport is supported by national strategies that promote participation, inclusion and community sport development (The Football Association, 2024; Sport England, 2025; DCMS, 2023). </w:t>
      </w:r>
      <w:r w:rsidR="721688F5" w:rsidRPr="7417CC87">
        <w:rPr>
          <w:rFonts w:ascii="Times New Roman" w:eastAsia="Times New Roman" w:hAnsi="Times New Roman" w:cs="Times New Roman"/>
          <w:color w:val="000000" w:themeColor="text1"/>
        </w:rPr>
        <w:t>H</w:t>
      </w:r>
      <w:r w:rsidRPr="7417CC87">
        <w:rPr>
          <w:rFonts w:ascii="Times New Roman" w:eastAsia="Times New Roman" w:hAnsi="Times New Roman" w:cs="Times New Roman"/>
          <w:color w:val="000000" w:themeColor="text1"/>
        </w:rPr>
        <w:t xml:space="preserve">owever, grassroots clubs face cost pressures that may limit spending on additional services. Socially, there is growing awareness of player welfare, injury prevention, mental wellbeing and safeguarding in sport, which supports the business concept (Hoye et al., 2022). </w:t>
      </w:r>
    </w:p>
    <w:p w14:paraId="4C213273" w14:textId="72F9AB98" w:rsidR="20EFF8F8" w:rsidRDefault="2909627C" w:rsidP="7417CC87">
      <w:pPr>
        <w:spacing w:line="480" w:lineRule="auto"/>
        <w:rPr>
          <w:rFonts w:ascii="Times New Roman" w:eastAsia="Times New Roman" w:hAnsi="Times New Roman" w:cs="Times New Roman"/>
          <w:b/>
          <w:bCs/>
          <w:color w:val="000000" w:themeColor="text1"/>
        </w:rPr>
      </w:pPr>
      <w:r w:rsidRPr="7417CC87">
        <w:rPr>
          <w:rFonts w:ascii="Times New Roman" w:eastAsia="Times New Roman" w:hAnsi="Times New Roman" w:cs="Times New Roman"/>
          <w:b/>
          <w:bCs/>
        </w:rPr>
        <w:t>Barriers to Entry</w:t>
      </w:r>
    </w:p>
    <w:p w14:paraId="48ECBCA1" w14:textId="73E024B7" w:rsidR="20EFF8F8" w:rsidRDefault="2909627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 xml:space="preserve">There are several barriers to entry. </w:t>
      </w:r>
      <w:r w:rsidR="5E2EA0DD" w:rsidRPr="7417CC87">
        <w:rPr>
          <w:rFonts w:ascii="Times New Roman" w:eastAsia="Times New Roman" w:hAnsi="Times New Roman" w:cs="Times New Roman"/>
          <w:color w:val="000000" w:themeColor="text1"/>
        </w:rPr>
        <w:t>The potential barriers are the</w:t>
      </w:r>
      <w:r w:rsidRPr="7417CC87">
        <w:rPr>
          <w:rFonts w:ascii="Times New Roman" w:eastAsia="Times New Roman" w:hAnsi="Times New Roman" w:cs="Times New Roman"/>
          <w:color w:val="000000" w:themeColor="text1"/>
        </w:rPr>
        <w:t xml:space="preserve"> need for qualified practitioners, professional insurance, clinical governance and safeguarding training. The CSP emphasises that private physiotherapy practice requires appropriate policies, professional standards and business readiness, which means clinical ability alone is not enough (CSP, n.d.; CSP, 2026; Watson and Minns Lowe, 2023). Financial barriers are also significant because clubs may accept the value of physiotherapy but still struggle to pay for it. Relationship barriers are especially important in grassroots football, where trust, reputation and word</w:t>
      </w:r>
      <w:r w:rsidR="66812BDB"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of</w:t>
      </w:r>
      <w:r w:rsidR="63E1B749"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mouth strongly influence decision</w:t>
      </w:r>
      <w:r w:rsidR="5FE9C656"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 xml:space="preserve">making. Operational barriers include travel time, scheduling across multiple clubs, maintaining care and ensuring service quality when demand increases. </w:t>
      </w:r>
    </w:p>
    <w:p w14:paraId="7D50A68E" w14:textId="174528FE" w:rsidR="20EFF8F8" w:rsidRDefault="20EFF8F8" w:rsidP="7417CC87">
      <w:pPr>
        <w:spacing w:line="480" w:lineRule="auto"/>
        <w:rPr>
          <w:rFonts w:ascii="Times New Roman" w:eastAsia="Times New Roman" w:hAnsi="Times New Roman" w:cs="Times New Roman"/>
          <w:b/>
          <w:bCs/>
        </w:rPr>
      </w:pPr>
    </w:p>
    <w:p w14:paraId="1763DD76" w14:textId="230719C3" w:rsidR="20EFF8F8" w:rsidRDefault="2909627C" w:rsidP="7417CC87">
      <w:pPr>
        <w:spacing w:line="480" w:lineRule="auto"/>
        <w:rPr>
          <w:rFonts w:ascii="Times New Roman" w:eastAsia="Times New Roman" w:hAnsi="Times New Roman" w:cs="Times New Roman"/>
          <w:b/>
          <w:bCs/>
          <w:color w:val="000000" w:themeColor="text1"/>
        </w:rPr>
      </w:pPr>
      <w:r w:rsidRPr="7417CC87">
        <w:rPr>
          <w:rFonts w:ascii="Times New Roman" w:eastAsia="Times New Roman" w:hAnsi="Times New Roman" w:cs="Times New Roman"/>
          <w:b/>
          <w:bCs/>
        </w:rPr>
        <w:t>Stakeholders and Partners</w:t>
      </w:r>
    </w:p>
    <w:p w14:paraId="0636BF82" w14:textId="578747CA" w:rsidR="20EFF8F8" w:rsidRDefault="2909627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The primary stakeholders are players, coaches, clubs and parents, because they are directly affected by injury management, player welfare and return</w:t>
      </w:r>
      <w:r w:rsidR="4144A99A"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to</w:t>
      </w:r>
      <w:r w:rsidR="69F3902C"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play decisions. League organisers and County Football Associations are also important because they influence local football structures, club engagement and safeguarding expectations. Strategic partners could include qualified physiotherapists, sports therapists, strength and conditioning practitioners, GP practices, sports injury clinics, local gyms, schools, colleges and community sport organisations.</w:t>
      </w:r>
      <w:r w:rsidR="7F343C81"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 xml:space="preserve">The FA and Sport England are wider institutional partners because their strategies shape the priorities of grassroots football and community sport participation (The Football Association, 2024; Sport England, 2025). </w:t>
      </w:r>
    </w:p>
    <w:p w14:paraId="701FAB38" w14:textId="2A6C0707" w:rsidR="20EFF8F8" w:rsidRDefault="20EFF8F8" w:rsidP="7417CC87">
      <w:pPr>
        <w:spacing w:line="480" w:lineRule="auto"/>
        <w:rPr>
          <w:rFonts w:ascii="Times New Roman" w:eastAsia="Times New Roman" w:hAnsi="Times New Roman" w:cs="Times New Roman"/>
        </w:rPr>
      </w:pPr>
    </w:p>
    <w:p w14:paraId="7AF7EC75" w14:textId="02BA5CB6" w:rsidR="20EFF8F8" w:rsidRDefault="20EFF8F8" w:rsidP="7417CC87">
      <w:pPr>
        <w:spacing w:line="480" w:lineRule="auto"/>
        <w:rPr>
          <w:rFonts w:ascii="Times New Roman" w:eastAsia="Times New Roman" w:hAnsi="Times New Roman" w:cs="Times New Roman"/>
          <w:b/>
          <w:bCs/>
        </w:rPr>
      </w:pPr>
    </w:p>
    <w:p w14:paraId="78CD5F94" w14:textId="7C0FD6DC"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b/>
          <w:bCs/>
        </w:rPr>
        <w:t>Plan for Operation</w:t>
      </w:r>
      <w:r w:rsidR="3FD49D65" w:rsidRPr="7417CC87">
        <w:rPr>
          <w:rFonts w:ascii="Times New Roman" w:eastAsia="Times New Roman" w:hAnsi="Times New Roman" w:cs="Times New Roman"/>
          <w:b/>
          <w:bCs/>
        </w:rPr>
        <w:t>s</w:t>
      </w:r>
    </w:p>
    <w:p w14:paraId="50B7ADFA" w14:textId="1DD5FCC5"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Pitchside Player Care is basically there to give amateur football clubs reliable, easy access to proper physio support without all the hassle. For it to actually work, the day-to-day running needs to be tight — sessions organised properly, staff knowing what they’re doing, and everything set up so players can get treated quickly and safely. At grassroots level, where clubs often don’t have regular access to qualified medical staff, having something structured like this can make a real difference. It not only helps deal with injuries better in the moment but can also reduce the chances of players getting seriously hurt in the first place (Wicker and Breuer, 2014; Ratten, 2020).</w:t>
      </w:r>
    </w:p>
    <w:p w14:paraId="0C086BA1" w14:textId="0189F700"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w:t>
      </w:r>
      <w:r w:rsidRPr="7417CC87">
        <w:rPr>
          <w:rFonts w:ascii="Times New Roman" w:eastAsia="Times New Roman" w:hAnsi="Times New Roman" w:cs="Times New Roman"/>
          <w:b/>
          <w:bCs/>
        </w:rPr>
        <w:t xml:space="preserve">A way to give services </w:t>
      </w:r>
      <w:r w:rsidRPr="7417CC87">
        <w:rPr>
          <w:rFonts w:ascii="Times New Roman" w:eastAsia="Times New Roman" w:hAnsi="Times New Roman" w:cs="Times New Roman"/>
        </w:rPr>
        <w:t xml:space="preserve"> </w:t>
      </w:r>
    </w:p>
    <w:p w14:paraId="10050169" w14:textId="7C240B38"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Pitchside Player Care works on a shared setup, meaning a few local clubs split the cost of bringing in qualified physios. It makes things way more affordable, especially for smaller clubs that wouldn’t be able to justify hiring someone full-time on their own (Taylor et al., 2019).</w:t>
      </w:r>
    </w:p>
    <w:p w14:paraId="213ECD11" w14:textId="249A6825"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Because of this, physios can be present at both training and matches, so if a player picks up a knock, they can get looked at straight away instead of waiting days or relying on guesswork. It just makes the whole process quicker, safer, and a lot more reliable for everyone involved.</w:t>
      </w:r>
    </w:p>
    <w:p w14:paraId="3910F9C4" w14:textId="0ABF6980"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This method also encourages clubs to be consistent, which means that all clubs should provide the same level of care, regardless of their resources (Misener and Doherty, 2012). </w:t>
      </w:r>
    </w:p>
    <w:p w14:paraId="0F1BDFEB" w14:textId="71A3295D"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w:t>
      </w:r>
    </w:p>
    <w:p w14:paraId="2B102DF4" w14:textId="728BAE7B" w:rsidR="14E35E19" w:rsidRDefault="14E35E19" w:rsidP="7417CC87">
      <w:pPr>
        <w:spacing w:line="480" w:lineRule="auto"/>
        <w:rPr>
          <w:rFonts w:ascii="Times New Roman" w:eastAsia="Times New Roman" w:hAnsi="Times New Roman" w:cs="Times New Roman"/>
        </w:rPr>
      </w:pPr>
    </w:p>
    <w:p w14:paraId="190D0291" w14:textId="4D13E6C4"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The main services are: </w:t>
      </w:r>
    </w:p>
    <w:p w14:paraId="3649F91A" w14:textId="1CCA11BB"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Pitchside Player Care's main jobs are to help players who are hurt, keep them from getting hurt, and make sure they are healthy. A big part of the service is what happens right there on the pitch. If someone gets injured, the physio can step in straight away, have a look, and decide whether it’s safe to carry on or not. That quick decision really matters — it can stop a small issue turning into something much worse (Clegg and Cross, 2020).</w:t>
      </w:r>
    </w:p>
    <w:p w14:paraId="18017124" w14:textId="79C868E7"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It’s not just about the moment though. Players are also given simple recovery advice and a clear plan to get back playing properly, instead of rushing it and making things worse (Ekstrand et al., 2011). On top of that, both players and coaches pick up a better understanding of injury risks over time, which helps make training and matches safer overall (Emery, 2010).</w:t>
      </w:r>
    </w:p>
    <w:p w14:paraId="346BDBE8" w14:textId="1C2C80D4"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Keeping an eye on player safety all the time can also help clubs lower their overall injury rates (Hägglund et al., 2013). </w:t>
      </w:r>
    </w:p>
    <w:p w14:paraId="3EE4FE47" w14:textId="5D1DBCC7"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b/>
          <w:bCs/>
        </w:rPr>
        <w:t xml:space="preserve"> The Structure of the Workforce and Hiring</w:t>
      </w:r>
      <w:r w:rsidRPr="7417CC87">
        <w:rPr>
          <w:rFonts w:ascii="Times New Roman" w:eastAsia="Times New Roman" w:hAnsi="Times New Roman" w:cs="Times New Roman"/>
        </w:rPr>
        <w:t xml:space="preserve"> </w:t>
      </w:r>
    </w:p>
    <w:p w14:paraId="49BACEC1" w14:textId="52818F1B"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The team is set up to keep things running smoothly without overcomplicating it. The Project Lead basically oversees everything — making sure clubs are looked after, bookings are organised, and physios are in the right place at the right time. They’re the main point of contact and keep things ticking across different clubs and sessions (Ratten, 2020).</w:t>
      </w:r>
    </w:p>
    <w:p w14:paraId="1D758397" w14:textId="6C1D1448"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A Lead Physiotherapist is in charge of clinical governance. This means making sure that all practices follow the rules set by groups like the Health and Care Professions Council (HCPC, 2022). This job is very important for making sure that the care stays high and that all employees follow the right professional rules. </w:t>
      </w:r>
    </w:p>
    <w:p w14:paraId="2A3B1E60" w14:textId="2BD61125"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Sessional physiotherapists are in charge of the service on the ground. They evaluate, treat, and help players get better after an injury on the pitch. Someone who works in operations or administration is also needed to handle bookings, set staff schedules, and keep in touch with clubs to make sure everything goes well (Taylor et al., 2019). </w:t>
      </w:r>
    </w:p>
    <w:p w14:paraId="3AAE003C" w14:textId="6233FACB" w:rsidR="20EFF8F8" w:rsidRDefault="0152D2F7" w:rsidP="7417CC87">
      <w:pPr>
        <w:spacing w:line="480" w:lineRule="auto"/>
        <w:rPr>
          <w:rFonts w:ascii="Times New Roman" w:eastAsia="Times New Roman" w:hAnsi="Times New Roman" w:cs="Times New Roman"/>
          <w:b/>
          <w:bCs/>
        </w:rPr>
      </w:pPr>
      <w:r w:rsidRPr="7417CC87">
        <w:rPr>
          <w:rFonts w:ascii="Times New Roman" w:eastAsia="Times New Roman" w:hAnsi="Times New Roman" w:cs="Times New Roman"/>
          <w:b/>
          <w:bCs/>
        </w:rPr>
        <w:t xml:space="preserve"> Tools and places to work </w:t>
      </w:r>
    </w:p>
    <w:p w14:paraId="1EC51338" w14:textId="1CB96FAE"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Pitchside Player Care uses a variety of tools to help people feel better. Physiotherapists can do evaluations in a variety of locations using portable treatment tables. To treat injuries quickly, you also need first aid kits and strapping materials. You can use ice packs and resistance bands for both quick therapy and rehab workouts. More structured recovery programs may use other types of rehabilitation equipment (Brukner and Khan, 2017). </w:t>
      </w:r>
    </w:p>
    <w:p w14:paraId="46ED25BF" w14:textId="554BF072"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w:t>
      </w:r>
    </w:p>
    <w:p w14:paraId="73FE661E" w14:textId="401654C6" w:rsidR="20EFF8F8" w:rsidRDefault="0152D2F7" w:rsidP="7417CC87">
      <w:pPr>
        <w:spacing w:line="480" w:lineRule="auto"/>
        <w:rPr>
          <w:rFonts w:ascii="Times New Roman" w:eastAsia="Times New Roman" w:hAnsi="Times New Roman" w:cs="Times New Roman"/>
          <w:b/>
          <w:bCs/>
        </w:rPr>
      </w:pPr>
      <w:r w:rsidRPr="7417CC87">
        <w:rPr>
          <w:rFonts w:ascii="Times New Roman" w:eastAsia="Times New Roman" w:hAnsi="Times New Roman" w:cs="Times New Roman"/>
          <w:b/>
          <w:bCs/>
        </w:rPr>
        <w:t xml:space="preserve"> Health and safety rules</w:t>
      </w:r>
    </w:p>
    <w:p w14:paraId="56923416" w14:textId="61BCB318"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Health and safety is a big deal here, especially in football where injuries are pretty common. To keep things covered, all physios need the right insurance in place, so both they and the players are protected if anything goes wrong. It’s just about making sure the service is safe, professional, and trusted by the clubs using it.</w:t>
      </w:r>
    </w:p>
    <w:p w14:paraId="20ADB237" w14:textId="3B29F700"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Before training and matches, quick checks are done to spot anything that might cause an issue and sort it before it becomes a problem. There’s also a simple plan for emergencies, so if something serious happens, everyone knows exactly what to do and how to get help fast.</w:t>
      </w:r>
    </w:p>
    <w:p w14:paraId="27C2FF0B" w14:textId="23669210"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On top of that, injuries are properly recorded so nothing gets missed and players are followed up with the right treatment. This makes the service accountable and helps it get better all the time. </w:t>
      </w:r>
    </w:p>
    <w:p w14:paraId="3C6EE604" w14:textId="5D5A8426"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One of the main challenges is making sure every club sticks to the same standards, even though they all have different setups and resources.</w:t>
      </w:r>
    </w:p>
    <w:p w14:paraId="53050EA9" w14:textId="35B78097" w:rsidR="20EFF8F8" w:rsidRDefault="0152D2F7" w:rsidP="7417CC87">
      <w:pPr>
        <w:spacing w:line="480" w:lineRule="auto"/>
        <w:rPr>
          <w:rFonts w:ascii="Times New Roman" w:eastAsia="Times New Roman" w:hAnsi="Times New Roman" w:cs="Times New Roman"/>
          <w:b/>
          <w:bCs/>
        </w:rPr>
      </w:pPr>
      <w:r w:rsidRPr="7417CC87">
        <w:rPr>
          <w:rFonts w:ascii="Times New Roman" w:eastAsia="Times New Roman" w:hAnsi="Times New Roman" w:cs="Times New Roman"/>
          <w:b/>
          <w:bCs/>
        </w:rPr>
        <w:t xml:space="preserve"> Safeguarding</w:t>
      </w:r>
    </w:p>
    <w:p w14:paraId="4972321D" w14:textId="4857490B"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Because a lot of players are kids and teenagers, keeping them safe is a top priority. Pitchside Player Care follows FA safeguarding guidelines, so staff know how to behave around young players and what to do if any concerns come up (Football Association, 2021).</w:t>
      </w:r>
    </w:p>
    <w:p w14:paraId="555499FB" w14:textId="2C50AF95"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Everyone working with young players also has to pass a DBS check. It’s just a way of making sure the right people are in those roles and that players, parents, and clubs can trust the service.</w:t>
      </w:r>
    </w:p>
    <w:p w14:paraId="1C7F459F" w14:textId="1D4D4FC6"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They also need to talk to the club's safety officers to make sure that any issues are handled properly (Department for Education, 2018). This promise to keep everyone safe helps make sure that everyone has a safe and friendly place to be.  </w:t>
      </w:r>
    </w:p>
    <w:p w14:paraId="08162BD3" w14:textId="272BC948" w:rsidR="20EFF8F8" w:rsidRDefault="0152D2F7" w:rsidP="7417CC87">
      <w:pPr>
        <w:spacing w:line="480" w:lineRule="auto"/>
        <w:rPr>
          <w:rFonts w:ascii="Times New Roman" w:eastAsia="Times New Roman" w:hAnsi="Times New Roman" w:cs="Times New Roman"/>
          <w:b/>
          <w:bCs/>
        </w:rPr>
      </w:pPr>
      <w:r w:rsidRPr="7417CC87">
        <w:rPr>
          <w:rFonts w:ascii="Times New Roman" w:eastAsia="Times New Roman" w:hAnsi="Times New Roman" w:cs="Times New Roman"/>
          <w:b/>
          <w:bCs/>
        </w:rPr>
        <w:t>The ability to grow and get bigger in the future</w:t>
      </w:r>
    </w:p>
    <w:p w14:paraId="15E0CB24" w14:textId="18164A65"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The way the service is set up means it can grow pretty easily. As more clubs want to get involved, you can just bring them into the shared system without needing to completely change how things run.</w:t>
      </w:r>
    </w:p>
    <w:p w14:paraId="46ACE7FE" w14:textId="706DE279"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The challenge is making sure the quality stays the same as it expands. That comes down to having well-trained staff, clear ways of working, and making sure everyone sticks to the same standards across all clubs (Misener and Doherty, 2012).</w:t>
      </w:r>
    </w:p>
    <w:p w14:paraId="08A0D115" w14:textId="205091A7"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w:t>
      </w:r>
    </w:p>
    <w:p w14:paraId="1D0DF9B7" w14:textId="0DE10385"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w:t>
      </w:r>
    </w:p>
    <w:p w14:paraId="20200DB5" w14:textId="7A793778"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Pitchside Player Care can grow in a way that lasts and helps grassroots football communities by making sure that protocols are in place from the start. </w:t>
      </w:r>
    </w:p>
    <w:p w14:paraId="4A3EED6B" w14:textId="0DBDDBCB" w:rsidR="0152D2F7" w:rsidRDefault="0152D2F7" w:rsidP="7417CC87">
      <w:pPr>
        <w:spacing w:line="480" w:lineRule="auto"/>
      </w:pPr>
      <w:r w:rsidRPr="7417CC87">
        <w:rPr>
          <w:rFonts w:ascii="Times New Roman" w:eastAsia="Times New Roman" w:hAnsi="Times New Roman" w:cs="Times New Roman"/>
        </w:rPr>
        <w:t>But to grow the service, resources will need to be carefully managed so that the quality of care doesn't suffer.</w:t>
      </w:r>
    </w:p>
    <w:p w14:paraId="71F7C35F" w14:textId="4FB7E39E" w:rsidR="7417CC87" w:rsidRDefault="7417CC87" w:rsidP="7417CC87">
      <w:pPr>
        <w:spacing w:line="480" w:lineRule="auto"/>
        <w:rPr>
          <w:rFonts w:ascii="Times New Roman" w:eastAsia="Times New Roman" w:hAnsi="Times New Roman" w:cs="Times New Roman"/>
        </w:rPr>
      </w:pPr>
    </w:p>
    <w:p w14:paraId="39D7793A" w14:textId="4B93AD6C" w:rsidR="7417CC87" w:rsidRDefault="7417CC87" w:rsidP="7417CC87">
      <w:pPr>
        <w:spacing w:line="480" w:lineRule="auto"/>
        <w:rPr>
          <w:rFonts w:ascii="Times New Roman" w:eastAsia="Times New Roman" w:hAnsi="Times New Roman" w:cs="Times New Roman"/>
        </w:rPr>
      </w:pPr>
    </w:p>
    <w:p w14:paraId="5F69B21B" w14:textId="72EEDCA0" w:rsidR="510B5060" w:rsidRDefault="510B5060" w:rsidP="7417CC87">
      <w:pPr>
        <w:spacing w:line="480" w:lineRule="auto"/>
        <w:rPr>
          <w:rFonts w:ascii="Times New Roman" w:eastAsia="Times New Roman" w:hAnsi="Times New Roman" w:cs="Times New Roman"/>
          <w:b/>
          <w:bCs/>
          <w:u w:val="single"/>
        </w:rPr>
      </w:pPr>
      <w:r w:rsidRPr="7417CC87">
        <w:rPr>
          <w:rFonts w:ascii="Times New Roman" w:eastAsia="Times New Roman" w:hAnsi="Times New Roman" w:cs="Times New Roman"/>
          <w:b/>
          <w:bCs/>
          <w:u w:val="single"/>
        </w:rPr>
        <w:t>Sales and marketing</w:t>
      </w:r>
    </w:p>
    <w:p w14:paraId="1A1AE081" w14:textId="2D4BF912"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color w:val="000000" w:themeColor="text1"/>
        </w:rPr>
        <w:t xml:space="preserve">Marketing plays a key role in establishing Pitch Side Player Care as a credible and sustainable service within grassroots football. As a service-based offering, the focus is not only on promotion but also on building trust and reducing uncertainty. Many grassroots clubs are unfamiliar with professional physiotherapy support, so marketing must clearly demonstrate its practical value. The target audience includes grassroots clubs, youth teams, and amateur leagues, where access to qualified medical support is often limited. These organisations frequently rely on volunteers or informal treatment, which can create hesitation around paying for structured services. As a result, marketing should prioritise education and relationship-building rather than simple promotion. For example, demonstrating how physiotherapy reduces injuries or improves player availability is likely to be more effective than general advertising. This reflects key principles of service marketing, where trust, expertise, and long-term relationships are essential (Kotler et al., 2019; Zeithaml et al., 2018). However, changing established behaviours in grassroots sport may take time, particularly where budgets are limited. </w:t>
      </w:r>
    </w:p>
    <w:p w14:paraId="08D6C2F4" w14:textId="0CFA997D" w:rsidR="7417CC87" w:rsidRDefault="7417CC87" w:rsidP="7417CC87">
      <w:pPr>
        <w:spacing w:line="480" w:lineRule="auto"/>
        <w:rPr>
          <w:rFonts w:ascii="Times New Roman" w:eastAsia="Times New Roman" w:hAnsi="Times New Roman" w:cs="Times New Roman"/>
          <w:color w:val="000000" w:themeColor="text1"/>
          <w:lang w:val="en-US"/>
        </w:rPr>
      </w:pPr>
    </w:p>
    <w:p w14:paraId="58BB17A2" w14:textId="499AD273"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b/>
          <w:bCs/>
          <w:color w:val="000000" w:themeColor="text1"/>
        </w:rPr>
        <w:t>Target Market and Customer Segmentation</w:t>
      </w:r>
    </w:p>
    <w:p w14:paraId="1DADA6D3" w14:textId="24AA818F"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color w:val="000000" w:themeColor="text1"/>
        </w:rPr>
        <w:t>The primary market consists of grassroots clubs, amateur leagues, and youth academies, all of which face high injury risk but limited access to physiotherapy. Coaches, volunteers, and parents are also important stakeholders, as they influence decisions around player welfare and spending. Segmentation helps make marketing more effective, as clubs differ in financial resources, competitiveness, and ambition. More competitive teams may invest in injury prevention, while recreational teams are likely to prioritise affordability. Tailoring communication to these differences is a key marketing principle (Armstrong and Kotler, 2020). However, segmentation in grassroots sport is not always clear-cut, as budgets and priorities can vary widely. This means the strategy must remain flexible rather than overly rigid.</w:t>
      </w:r>
    </w:p>
    <w:p w14:paraId="67DEF704" w14:textId="0F3FFCB9"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color w:val="000000" w:themeColor="text1"/>
        </w:rPr>
        <w:t xml:space="preserve"> </w:t>
      </w:r>
    </w:p>
    <w:p w14:paraId="0DC9997B" w14:textId="272D08D1"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b/>
          <w:bCs/>
          <w:color w:val="000000" w:themeColor="text1"/>
          <w:u w:val="single"/>
        </w:rPr>
        <w:t>Marketing Mix (4Ps)</w:t>
      </w:r>
    </w:p>
    <w:p w14:paraId="541DA022" w14:textId="05A51670"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color w:val="000000" w:themeColor="text1"/>
        </w:rPr>
        <w:t xml:space="preserve"> The marketing strategy is based on the 4Ps framework, ensuring alignment with customer needs. </w:t>
      </w:r>
    </w:p>
    <w:p w14:paraId="7D6C0A35" w14:textId="76870276"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b/>
          <w:bCs/>
          <w:color w:val="000000" w:themeColor="text1"/>
          <w:u w:val="single"/>
        </w:rPr>
        <w:t>Product</w:t>
      </w:r>
    </w:p>
    <w:p w14:paraId="63E16DF3" w14:textId="657606C6"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color w:val="000000" w:themeColor="text1"/>
        </w:rPr>
        <w:t>Pitch Side Player Care offers injury assessment, rehabilitation, prevention, and ongoing player monitoring. A key feature is its shared delivery model, allowing multiple clubs to access services at a lower cost. This helps bridge the gap between expensive private care and informal support. The service also provides intangible benefits, such as improved safety and player performance. However, these outcomes may be difficult to measure in the short term, which can make value harder to demonstrate initially.</w:t>
      </w:r>
    </w:p>
    <w:p w14:paraId="64BA7930" w14:textId="5631F52C"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b/>
          <w:bCs/>
          <w:color w:val="000000" w:themeColor="text1"/>
          <w:u w:val="single"/>
        </w:rPr>
        <w:t xml:space="preserve"> Price </w:t>
      </w:r>
    </w:p>
    <w:p w14:paraId="07E3C208" w14:textId="056317D0"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color w:val="000000" w:themeColor="text1"/>
        </w:rPr>
        <w:t>Pricing follows a subscription and cost-sharing model, improving affordability for grassroots clubs. This reflects elements of penetration pricing, encouraging adoption in an unfamiliar market. It also aligns with value-based pricing by emphasising long-term benefits such as reduced injury time and improved availability. While more affordable than hiring a full-time physiotherapist, some clubs may still hesitate due to uncertainty around immediate returns.</w:t>
      </w:r>
      <w:r w:rsidRPr="7417CC87">
        <w:rPr>
          <w:rFonts w:ascii="Times New Roman" w:eastAsia="Times New Roman" w:hAnsi="Times New Roman" w:cs="Times New Roman"/>
          <w:b/>
          <w:bCs/>
          <w:color w:val="000000" w:themeColor="text1"/>
          <w:u w:val="single"/>
        </w:rPr>
        <w:t xml:space="preserve"> </w:t>
      </w:r>
    </w:p>
    <w:p w14:paraId="2ECBECC2" w14:textId="737B97CA"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b/>
          <w:bCs/>
          <w:color w:val="000000" w:themeColor="text1"/>
          <w:u w:val="single"/>
        </w:rPr>
        <w:t>Place</w:t>
      </w:r>
      <w:r w:rsidRPr="7417CC87">
        <w:rPr>
          <w:rFonts w:ascii="Times New Roman" w:eastAsia="Times New Roman" w:hAnsi="Times New Roman" w:cs="Times New Roman"/>
          <w:color w:val="000000" w:themeColor="text1"/>
        </w:rPr>
        <w:t xml:space="preserve"> </w:t>
      </w:r>
    </w:p>
    <w:p w14:paraId="57667D42" w14:textId="3182B90C"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color w:val="000000" w:themeColor="text1"/>
        </w:rPr>
        <w:t xml:space="preserve">The service is delivered directly at training sessions and matchdays, making it highly accessible. This is important in grassroots sport, where players may lack time or resources to attend external clinics. On-site delivery improves convenience and engagement but may create logistical challenges if demand increases or multiple clubs require support simultaneously. </w:t>
      </w:r>
    </w:p>
    <w:p w14:paraId="2CF9D659" w14:textId="46E4A2E5"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b/>
          <w:bCs/>
          <w:color w:val="000000" w:themeColor="text1"/>
          <w:u w:val="single"/>
        </w:rPr>
        <w:t>Promotion</w:t>
      </w:r>
    </w:p>
    <w:p w14:paraId="7D4241A7" w14:textId="45B604B0"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color w:val="000000" w:themeColor="text1"/>
        </w:rPr>
        <w:t xml:space="preserve"> Promotion combines digital and direct communication. Social media platforms such as Instagram and Facebook help raise awareness, while direct contact allows for more personalised engagement. Workshops and partnerships with local organisations can further build credibility and demonstrate expertise. This reflects the idea that trust in service industries is often built through interaction rather than advertising alone (Chaffey and Ellis-Chadwick, 2019). However, this approach can be time-intensive, especially in early stages.</w:t>
      </w:r>
      <w:r w:rsidRPr="7417CC87">
        <w:rPr>
          <w:rFonts w:ascii="Times New Roman" w:eastAsia="Times New Roman" w:hAnsi="Times New Roman" w:cs="Times New Roman"/>
          <w:b/>
          <w:bCs/>
          <w:color w:val="000000" w:themeColor="text1"/>
          <w:u w:val="single"/>
        </w:rPr>
        <w:t xml:space="preserve"> </w:t>
      </w:r>
    </w:p>
    <w:p w14:paraId="3F87FDCC" w14:textId="00FFBA19" w:rsidR="3B646658" w:rsidRDefault="3B646658" w:rsidP="7417CC87">
      <w:pPr>
        <w:spacing w:line="480" w:lineRule="auto"/>
      </w:pPr>
      <w:r w:rsidRPr="7417CC87">
        <w:rPr>
          <w:rFonts w:ascii="Times New Roman" w:eastAsia="Times New Roman" w:hAnsi="Times New Roman" w:cs="Times New Roman"/>
          <w:b/>
          <w:bCs/>
          <w:color w:val="000000" w:themeColor="text1"/>
          <w:u w:val="single"/>
        </w:rPr>
        <w:t>Customer Acquisition Strategy</w:t>
      </w:r>
      <w:r w:rsidRPr="7417CC87">
        <w:rPr>
          <w:rFonts w:ascii="Times New Roman" w:eastAsia="Times New Roman" w:hAnsi="Times New Roman" w:cs="Times New Roman"/>
          <w:color w:val="000000" w:themeColor="text1"/>
        </w:rPr>
        <w:t xml:space="preserve"> </w:t>
      </w:r>
    </w:p>
    <w:p w14:paraId="5CE79CDB" w14:textId="335EB674"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color w:val="000000" w:themeColor="text1"/>
        </w:rPr>
        <w:t>Customer acquisition focuses on relationship-building and direct engagement. Contacting club representatives and attending local football events provides opportunities to introduce the service personally. Partnerships with organisations such as County Football Associations can increase credibility and visibility. Offering free injury prevention workshops is particularly effective, allowing clubs to experience the service before committing financially. This creates a simple marketing funnel: Awareness: social media and events Interest: workshops and meetings Conversion: subscription sign-up This approach highlights the importance of education in influencing decisions, particularly in less familiar markets (Chaffey and Ellis-Chadwick, 2019). However, converting interest into long-term customers may still require clear evidence of impact.</w:t>
      </w:r>
      <w:r w:rsidRPr="7417CC87">
        <w:rPr>
          <w:rFonts w:ascii="Times New Roman" w:eastAsia="Times New Roman" w:hAnsi="Times New Roman" w:cs="Times New Roman"/>
          <w:b/>
          <w:bCs/>
          <w:color w:val="000000" w:themeColor="text1"/>
          <w:u w:val="single"/>
        </w:rPr>
        <w:t xml:space="preserve"> </w:t>
      </w:r>
    </w:p>
    <w:p w14:paraId="19D071B0" w14:textId="32DE478E" w:rsidR="7417CC87" w:rsidRDefault="7417CC87" w:rsidP="7417CC87">
      <w:pPr>
        <w:spacing w:line="480" w:lineRule="auto"/>
        <w:rPr>
          <w:rFonts w:ascii="Times New Roman" w:eastAsia="Times New Roman" w:hAnsi="Times New Roman" w:cs="Times New Roman"/>
          <w:color w:val="000000" w:themeColor="text1"/>
          <w:lang w:val="en-US"/>
        </w:rPr>
      </w:pPr>
    </w:p>
    <w:p w14:paraId="3312B6B3" w14:textId="62A75442"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b/>
          <w:bCs/>
          <w:color w:val="000000" w:themeColor="text1"/>
          <w:u w:val="single"/>
        </w:rPr>
        <w:t>Customer Retention Strategy</w:t>
      </w:r>
    </w:p>
    <w:p w14:paraId="6D81A74F" w14:textId="5B01B62B"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color w:val="000000" w:themeColor="text1"/>
        </w:rPr>
        <w:t xml:space="preserve"> Retention is essential within a subscription model and depends on consistently delivering quality service and maintaining strong relationships. Regular feedback helps ensure the service meets customer needs, while ongoing communication supports engagement. Tracking outcomes, such as reduced injuries or improved availability, can provide evidence of value. Incentives like discounted long-term packages may encourage continued use. This reflects relationship marketing principles, which focus on long-term satisfaction rather than short-term transactions (Grönroos, 2004; Morgan and Hunt, 1994). However, maintaining consistent service quality may become more challenging as the business expands.</w:t>
      </w:r>
    </w:p>
    <w:p w14:paraId="27CB083F" w14:textId="7645FAFE" w:rsidR="7417CC87" w:rsidRDefault="7417CC87" w:rsidP="7417CC87">
      <w:pPr>
        <w:spacing w:line="480" w:lineRule="auto"/>
        <w:rPr>
          <w:rFonts w:ascii="Times New Roman" w:eastAsia="Times New Roman" w:hAnsi="Times New Roman" w:cs="Times New Roman"/>
          <w:color w:val="000000" w:themeColor="text1"/>
          <w:lang w:val="en-US"/>
        </w:rPr>
      </w:pPr>
    </w:p>
    <w:p w14:paraId="52C5E698" w14:textId="588F29B6"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b/>
          <w:bCs/>
          <w:color w:val="000000" w:themeColor="text1"/>
          <w:u w:val="single"/>
        </w:rPr>
        <w:t xml:space="preserve"> Branding and Positioning</w:t>
      </w:r>
      <w:r w:rsidRPr="7417CC87">
        <w:rPr>
          <w:rFonts w:ascii="Times New Roman" w:eastAsia="Times New Roman" w:hAnsi="Times New Roman" w:cs="Times New Roman"/>
          <w:color w:val="000000" w:themeColor="text1"/>
        </w:rPr>
        <w:t xml:space="preserve"> </w:t>
      </w:r>
    </w:p>
    <w:p w14:paraId="561A8595" w14:textId="2625579D"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color w:val="000000" w:themeColor="text1"/>
        </w:rPr>
        <w:t xml:space="preserve">Branding is critical in a health-related service, where trust and professionalism are key. Pitch Side Player Care aims to present itself as reliable, knowledgeable, and accessible, combining medical expertise with an understanding of football. In terms of positioning, the service sits between expensive private physiotherapy and informal volunteer support. It offers a more affordable option than private clinics while providing higher expertise than unqualified alternatives. This supports a differentiation strategy based on value (Porter, 2008). Maintaining this position will depend on consistently delivering quality and clearly communicating value. </w:t>
      </w:r>
    </w:p>
    <w:p w14:paraId="6DB0593B" w14:textId="350338C5" w:rsidR="7417CC87" w:rsidRDefault="7417CC87" w:rsidP="7417CC87">
      <w:pPr>
        <w:spacing w:line="480" w:lineRule="auto"/>
        <w:rPr>
          <w:rFonts w:ascii="Times New Roman" w:eastAsia="Times New Roman" w:hAnsi="Times New Roman" w:cs="Times New Roman"/>
          <w:b/>
          <w:bCs/>
          <w:u w:val="single"/>
        </w:rPr>
      </w:pPr>
    </w:p>
    <w:p w14:paraId="1D1DF38B" w14:textId="33C47285" w:rsidR="6DEE9852" w:rsidRDefault="6DEE9852" w:rsidP="7417CC87">
      <w:pPr>
        <w:spacing w:line="480" w:lineRule="auto"/>
        <w:rPr>
          <w:rFonts w:ascii="Times New Roman" w:eastAsia="Times New Roman" w:hAnsi="Times New Roman" w:cs="Times New Roman"/>
          <w:b/>
          <w:bCs/>
          <w:u w:val="single"/>
        </w:rPr>
      </w:pPr>
      <w:r w:rsidRPr="7417CC87">
        <w:rPr>
          <w:rFonts w:ascii="Times New Roman" w:eastAsia="Times New Roman" w:hAnsi="Times New Roman" w:cs="Times New Roman"/>
          <w:b/>
          <w:bCs/>
          <w:u w:val="single"/>
        </w:rPr>
        <w:t xml:space="preserve">Financial overviews </w:t>
      </w:r>
    </w:p>
    <w:p w14:paraId="4A2A8533" w14:textId="7B886A51" w:rsidR="62D8A774" w:rsidRDefault="62D8A774"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Pitch Side Player Care's financial plan aims to ensure that the business runs successfully while continuing to be open to local football teams. Because community sport organisations often face limited funding, all efforts must strike a balance between operational sustainability and affordability. This is particularly relevant in the case of sports entrepreneurship, where financial planning plays an important role in deciding whether a plan can be realistically applied and sustained over time (Ciletti and Chadwick, 2012). As a result, the business uses a shared service model, allowing multiple clubs to contribute to the cost of professional physiotherapy services. This strategy decreases the cost on small teams while still offering access to a higher degree of player care than what is usually offered at the grassroots level. This indicates the larger structure of community sport organisations, which often work with limited financial and human resources (Hoye et al., 2018).</w:t>
      </w:r>
    </w:p>
    <w:p w14:paraId="6BC0FBD1" w14:textId="4A22441C" w:rsidR="62D8A774" w:rsidRDefault="62D8A774"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The main revenue streams for the business are matchday physiotherapy services, training session support, and injury prevention programmes. Matchday coverage is estimated to generate between £80 and £120 every fixture, while training session assistance is priced between £40 and £60 per session. In addition, courses concentrating on injury prevention and player welfare are estimated to produce approximately £300 per club. These price schemes consider both the value of professional physiotherapy and the financial limits of grassroots football organisations. Many grassroots clubs lack access to qualified medical staff and must rely on volunteers, emphasising the need for a more structured and professional approach. Football is linked with a high rate of injuries, especially muscular strains and ligament damage, which increases the demand for easily accessible medical care (Ekstrand, Hägglund, and Waldén, 2011). At the same time, grassroots football has one of the highest participation rates in sports, suggesting a solid and consistent demand for these services (Sport England, 2023). The regular weekly fixture structure of grassroots football also encourages constant demand, making profits more predictable over the course of the season.</w:t>
      </w:r>
    </w:p>
    <w:p w14:paraId="7A348AB6" w14:textId="73B625C7" w:rsidR="62D8A774" w:rsidRDefault="62D8A774"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The cost structure of the company is heavily influenced by physiotherapist salaries, travel costs, equipment, and insurance. Wages are the highest expense since qualified professionals are required to provide safe and effective therapy in line with clinical standards. These expenses are mainly variable, increasing relative to the number of sessions delivered, so that increased supply of services will have a direct influence on expenditure. Travel costs are also high, especially if services are provided at many grassroots locations that may be widely spread out. Costs can vary based on the distance between clubs and the number of sessions. On the other hand, equipment and insurance costs are more fixed because they must be kept regardless of the amount of service provided. Managing these costs correctly is essential for making sure the business remains profitable while providing a high-quality service. This fits broader findings that physiotherapy enterprises often find it difficult balancing service delivery costs with financial sustainability (Watson and Minns Lowe, 2023). The shared service strategy improves cost efficiency by splitting expenses across numerous clubs, minimising the overall financial strain on any single organisation.</w:t>
      </w:r>
    </w:p>
    <w:p w14:paraId="5E9D2F78" w14:textId="0C4DF184" w:rsidR="62D8A774" w:rsidRDefault="62D8A774"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According to initial forecasts, the business would partner with eight grassroots football groups, each of which will play around 20 matches every season. This produces an estimated annual revenue of around £23,000. With total costs estimated at £13,000, the business is expected to earn a profit of around £10,000 in its first year of operating. These forecasts are based on typical participation levels in grassroots football, where clubs compete in weekly games throughout the season. The football season's structure provides for relatively consistent service delivery, resulting in more predictable financial forecasts. However, it is important to point out these figures are dependent on the effective creation of partnerships and the ability to keep up consistent demand for services throughout the season.</w:t>
      </w:r>
    </w:p>
    <w:p w14:paraId="222A37DC" w14:textId="0C18D4DB" w:rsidR="62D8A774" w:rsidRDefault="62D8A774"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 xml:space="preserve">A break-even analysis was also performed to identify the business's financial feasibility. The break-even point is estimated to be around 117 sessions, assuming an average income of £100 per session and costs of around £40 each session. Since eight clubs playing 20 matches each would create around 160 sessions, the business is expected to hit its break-even point in the first year. This means that the company should start making money once enough sessions have been provided. But since break-even analysis is based on estimated data, it is still open to changes in demand or cost changes, which means that actual performance could be different.   </w:t>
      </w:r>
    </w:p>
    <w:p w14:paraId="0186BDE2" w14:textId="4CA5976E" w:rsidR="7417CC87" w:rsidRDefault="7417CC87" w:rsidP="7417CC87">
      <w:pPr>
        <w:spacing w:before="240" w:after="240" w:line="480" w:lineRule="auto"/>
        <w:rPr>
          <w:rFonts w:ascii="Times New Roman" w:eastAsia="Times New Roman" w:hAnsi="Times New Roman" w:cs="Times New Roman"/>
          <w:color w:val="000000" w:themeColor="text1"/>
        </w:rPr>
      </w:pPr>
    </w:p>
    <w:p w14:paraId="04E41105" w14:textId="1D55A5CF" w:rsidR="62D8A774" w:rsidRDefault="62D8A774"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Given a positive financial forecast, there are many risks and restrictions to consider. One major danger is that fewer clubs than planned would use the service, resulting in lower income and potentially delaying break-even. Also, outside factors such as bad weather can lead to match cancellations, impacting income output and restricting the number of sessions. Travel costs are also a possible issue, especially if service delivery requires travelling across wide locations, which may reduce overall profitability. Additionally, grassroots football clubs are often highly price-sensitive, which means there is little opportunity to increase costs without greatly affecting demand. This is consistent with earlier findings that access to physiotherapy services can be unreliable across the UK, particularly in community sport settings (Chartered Society of Physiotherapy, 2025). These concerns point out the importance of building strong relationships with clubs and making sure of regular service demand in order to ensure financial stability.</w:t>
      </w:r>
    </w:p>
    <w:p w14:paraId="3226FACE" w14:textId="7CE674B1" w:rsidR="3A6CFCD8" w:rsidRDefault="3A6CFCD8" w:rsidP="7417CC87">
      <w:pPr>
        <w:spacing w:line="480" w:lineRule="auto"/>
        <w:rPr>
          <w:rFonts w:ascii="Times New Roman" w:eastAsia="Times New Roman" w:hAnsi="Times New Roman" w:cs="Times New Roman"/>
          <w:b/>
          <w:bCs/>
          <w:color w:val="000000" w:themeColor="text1"/>
          <w:u w:val="single"/>
        </w:rPr>
      </w:pPr>
      <w:r w:rsidRPr="7417CC87">
        <w:rPr>
          <w:rFonts w:ascii="Times New Roman" w:eastAsia="Times New Roman" w:hAnsi="Times New Roman" w:cs="Times New Roman"/>
          <w:b/>
          <w:bCs/>
          <w:color w:val="000000" w:themeColor="text1"/>
          <w:u w:val="single"/>
        </w:rPr>
        <w:t>Conclusion</w:t>
      </w:r>
    </w:p>
    <w:p w14:paraId="1C0D8D3D" w14:textId="12E7A334" w:rsidR="3A6CFCD8" w:rsidRDefault="3A6CFCD8" w:rsidP="7417CC87">
      <w:pPr>
        <w:spacing w:before="240" w:after="240" w:line="480" w:lineRule="auto"/>
      </w:pPr>
      <w:r w:rsidRPr="7417CC87">
        <w:rPr>
          <w:rFonts w:ascii="Times New Roman" w:eastAsia="Times New Roman" w:hAnsi="Times New Roman" w:cs="Times New Roman"/>
        </w:rPr>
        <w:t>Pitch Side Player Care provides a realistic and scalable solution to the lack of physiotherapy support in grassroots football. The shared service model allows clubs to access professional care at an affordable cost, addressing a clear gap in the market. The business demonstrates strong potential through identified demand, practical operations and achievable financial projections. While challenges such as consistency of service and club engagement may arise, the overall concept is viable. Ultimately, the business has the potential to improve player welfare, reduce injury risk and support long-term participation in grassroots sport.</w:t>
      </w:r>
    </w:p>
    <w:p w14:paraId="0BA1B0FE" w14:textId="6595524F" w:rsidR="7417CC87" w:rsidRDefault="7417CC87" w:rsidP="7417CC87">
      <w:pPr>
        <w:spacing w:before="240" w:after="240" w:line="480" w:lineRule="auto"/>
        <w:rPr>
          <w:rFonts w:ascii="Times New Roman" w:eastAsia="Times New Roman" w:hAnsi="Times New Roman" w:cs="Times New Roman"/>
          <w:b/>
          <w:bCs/>
          <w:u w:val="single"/>
        </w:rPr>
      </w:pPr>
    </w:p>
    <w:p w14:paraId="54B835ED" w14:textId="07D08AB1" w:rsidR="7417CC87" w:rsidRDefault="7417CC87" w:rsidP="7417CC87">
      <w:pPr>
        <w:spacing w:before="240" w:after="240" w:line="480" w:lineRule="auto"/>
        <w:rPr>
          <w:rFonts w:ascii="Times New Roman" w:eastAsia="Times New Roman" w:hAnsi="Times New Roman" w:cs="Times New Roman"/>
          <w:b/>
          <w:bCs/>
          <w:u w:val="single"/>
        </w:rPr>
      </w:pPr>
    </w:p>
    <w:p w14:paraId="5D10BC79" w14:textId="4E7E26B0" w:rsidR="7417CC87" w:rsidRDefault="7417CC87" w:rsidP="7417CC87">
      <w:pPr>
        <w:spacing w:before="240" w:after="240" w:line="480" w:lineRule="auto"/>
        <w:rPr>
          <w:rFonts w:ascii="Times New Roman" w:eastAsia="Times New Roman" w:hAnsi="Times New Roman" w:cs="Times New Roman"/>
          <w:b/>
          <w:bCs/>
          <w:u w:val="single"/>
        </w:rPr>
      </w:pPr>
    </w:p>
    <w:p w14:paraId="1EBF10E3" w14:textId="7E9D8DE6" w:rsidR="7417CC87" w:rsidRDefault="7417CC87" w:rsidP="7417CC87">
      <w:pPr>
        <w:spacing w:before="240" w:after="240" w:line="480" w:lineRule="auto"/>
        <w:rPr>
          <w:rFonts w:ascii="Times New Roman" w:eastAsia="Times New Roman" w:hAnsi="Times New Roman" w:cs="Times New Roman"/>
          <w:b/>
          <w:bCs/>
          <w:u w:val="single"/>
        </w:rPr>
      </w:pPr>
    </w:p>
    <w:p w14:paraId="36FD581B" w14:textId="30A24CA8" w:rsidR="7417CC87" w:rsidRDefault="7417CC87" w:rsidP="7417CC87">
      <w:pPr>
        <w:spacing w:before="240" w:after="240" w:line="480" w:lineRule="auto"/>
        <w:rPr>
          <w:rFonts w:ascii="Times New Roman" w:eastAsia="Times New Roman" w:hAnsi="Times New Roman" w:cs="Times New Roman"/>
          <w:b/>
          <w:bCs/>
          <w:u w:val="single"/>
        </w:rPr>
      </w:pPr>
    </w:p>
    <w:p w14:paraId="67548D39" w14:textId="24A66C13" w:rsidR="7417CC87" w:rsidRDefault="7417CC87" w:rsidP="7417CC87">
      <w:pPr>
        <w:spacing w:before="240" w:after="240" w:line="480" w:lineRule="auto"/>
        <w:rPr>
          <w:rFonts w:ascii="Times New Roman" w:eastAsia="Times New Roman" w:hAnsi="Times New Roman" w:cs="Times New Roman"/>
          <w:b/>
          <w:bCs/>
          <w:u w:val="single"/>
        </w:rPr>
      </w:pPr>
    </w:p>
    <w:p w14:paraId="0BA62C5C" w14:textId="13E192DC" w:rsidR="7A576C08" w:rsidRDefault="7A576C08" w:rsidP="7417CC87">
      <w:pPr>
        <w:spacing w:before="240" w:after="240" w:line="480" w:lineRule="auto"/>
      </w:pPr>
      <w:r w:rsidRPr="7417CC87">
        <w:rPr>
          <w:rFonts w:ascii="Times New Roman" w:eastAsia="Times New Roman" w:hAnsi="Times New Roman" w:cs="Times New Roman"/>
          <w:b/>
          <w:bCs/>
          <w:u w:val="single"/>
        </w:rPr>
        <w:t xml:space="preserve">Reference list </w:t>
      </w:r>
    </w:p>
    <w:p w14:paraId="560B95C5" w14:textId="1450C6A4" w:rsidR="7A576C08" w:rsidRDefault="7A576C08" w:rsidP="7417CC87">
      <w:pPr>
        <w:spacing w:before="240" w:after="240"/>
      </w:pPr>
      <w:r w:rsidRPr="7417CC87">
        <w:rPr>
          <w:rFonts w:ascii="Times New Roman" w:eastAsia="Times New Roman" w:hAnsi="Times New Roman" w:cs="Times New Roman"/>
        </w:rPr>
        <w:t xml:space="preserve">American Marketing Association (2022) </w:t>
      </w:r>
      <w:r w:rsidRPr="7417CC87">
        <w:rPr>
          <w:rFonts w:ascii="Times New Roman" w:eastAsia="Times New Roman" w:hAnsi="Times New Roman" w:cs="Times New Roman"/>
          <w:i/>
          <w:iCs/>
        </w:rPr>
        <w:t>The Four Ps of Marketing</w:t>
      </w:r>
      <w:r w:rsidRPr="7417CC87">
        <w:rPr>
          <w:rFonts w:ascii="Times New Roman" w:eastAsia="Times New Roman" w:hAnsi="Times New Roman" w:cs="Times New Roman"/>
        </w:rPr>
        <w:t xml:space="preserve">. Available at: </w:t>
      </w:r>
      <w:hyperlink r:id="rId7">
        <w:r w:rsidRPr="7417CC87">
          <w:rPr>
            <w:rStyle w:val="Hyperlink"/>
            <w:rFonts w:ascii="Times New Roman" w:eastAsia="Times New Roman" w:hAnsi="Times New Roman" w:cs="Times New Roman"/>
          </w:rPr>
          <w:t>https://www.ama.org/marketing-news/the-four-ps-of-marketing/</w:t>
        </w:r>
      </w:hyperlink>
      <w:r w:rsidRPr="7417CC87">
        <w:rPr>
          <w:rFonts w:ascii="Times New Roman" w:eastAsia="Times New Roman" w:hAnsi="Times New Roman" w:cs="Times New Roman"/>
        </w:rPr>
        <w:t xml:space="preserve"> (Accessed: 1 May 2026).</w:t>
      </w:r>
    </w:p>
    <w:p w14:paraId="491A9359" w14:textId="2A7580AA" w:rsidR="7A576C08" w:rsidRDefault="7A576C08" w:rsidP="7417CC87">
      <w:pPr>
        <w:spacing w:before="240" w:after="240"/>
      </w:pPr>
      <w:r w:rsidRPr="7417CC87">
        <w:rPr>
          <w:rFonts w:ascii="Times New Roman" w:eastAsia="Times New Roman" w:hAnsi="Times New Roman" w:cs="Times New Roman"/>
        </w:rPr>
        <w:t xml:space="preserve">Armstrong, G. and Kotler, P. (2020) </w:t>
      </w:r>
      <w:r w:rsidRPr="7417CC87">
        <w:rPr>
          <w:rFonts w:ascii="Times New Roman" w:eastAsia="Times New Roman" w:hAnsi="Times New Roman" w:cs="Times New Roman"/>
          <w:i/>
          <w:iCs/>
        </w:rPr>
        <w:t>Principles of Marketing</w:t>
      </w:r>
      <w:r w:rsidRPr="7417CC87">
        <w:rPr>
          <w:rFonts w:ascii="Times New Roman" w:eastAsia="Times New Roman" w:hAnsi="Times New Roman" w:cs="Times New Roman"/>
        </w:rPr>
        <w:t>. 18th edn. Harlow: Pearson.</w:t>
      </w:r>
    </w:p>
    <w:p w14:paraId="18E03B3D" w14:textId="6FF62CE5" w:rsidR="7A576C08" w:rsidRDefault="7A576C08" w:rsidP="7417CC87">
      <w:pPr>
        <w:spacing w:before="240" w:after="240"/>
      </w:pPr>
      <w:r w:rsidRPr="7417CC87">
        <w:rPr>
          <w:rFonts w:ascii="Times New Roman" w:eastAsia="Times New Roman" w:hAnsi="Times New Roman" w:cs="Times New Roman"/>
        </w:rPr>
        <w:t xml:space="preserve">Bahr, R. and Krosshaug, T. (2005) ‘Understanding injury mechanisms: a key component of preventing injuries in sport’, </w:t>
      </w:r>
      <w:r w:rsidRPr="7417CC87">
        <w:rPr>
          <w:rFonts w:ascii="Times New Roman" w:eastAsia="Times New Roman" w:hAnsi="Times New Roman" w:cs="Times New Roman"/>
          <w:i/>
          <w:iCs/>
        </w:rPr>
        <w:t>British Journal of Sports Medicine</w:t>
      </w:r>
      <w:r w:rsidRPr="7417CC87">
        <w:rPr>
          <w:rFonts w:ascii="Times New Roman" w:eastAsia="Times New Roman" w:hAnsi="Times New Roman" w:cs="Times New Roman"/>
        </w:rPr>
        <w:t>, 39(6), pp. 324–329.</w:t>
      </w:r>
    </w:p>
    <w:p w14:paraId="07958A1B" w14:textId="6F994AF3" w:rsidR="7A576C08" w:rsidRDefault="7A576C08" w:rsidP="7417CC87">
      <w:pPr>
        <w:spacing w:before="240" w:after="240"/>
      </w:pPr>
      <w:r w:rsidRPr="7417CC87">
        <w:rPr>
          <w:rFonts w:ascii="Times New Roman" w:eastAsia="Times New Roman" w:hAnsi="Times New Roman" w:cs="Times New Roman"/>
        </w:rPr>
        <w:t xml:space="preserve">Barney, J. (1991) ‘Firm resources and sustained competitive advantage’, </w:t>
      </w:r>
      <w:r w:rsidRPr="7417CC87">
        <w:rPr>
          <w:rFonts w:ascii="Times New Roman" w:eastAsia="Times New Roman" w:hAnsi="Times New Roman" w:cs="Times New Roman"/>
          <w:i/>
          <w:iCs/>
        </w:rPr>
        <w:t>Journal of Management</w:t>
      </w:r>
      <w:r w:rsidRPr="7417CC87">
        <w:rPr>
          <w:rFonts w:ascii="Times New Roman" w:eastAsia="Times New Roman" w:hAnsi="Times New Roman" w:cs="Times New Roman"/>
        </w:rPr>
        <w:t>, 17(1), pp. 99–120.</w:t>
      </w:r>
    </w:p>
    <w:p w14:paraId="7EEF47ED" w14:textId="12E58FE5" w:rsidR="7A576C08" w:rsidRDefault="7A576C08" w:rsidP="7417CC87">
      <w:pPr>
        <w:spacing w:before="240" w:after="240"/>
      </w:pPr>
      <w:r w:rsidRPr="7417CC87">
        <w:rPr>
          <w:rFonts w:ascii="Times New Roman" w:eastAsia="Times New Roman" w:hAnsi="Times New Roman" w:cs="Times New Roman"/>
        </w:rPr>
        <w:t xml:space="preserve">Brukner, P. and Khan, K. (2017) </w:t>
      </w:r>
      <w:r w:rsidRPr="7417CC87">
        <w:rPr>
          <w:rFonts w:ascii="Times New Roman" w:eastAsia="Times New Roman" w:hAnsi="Times New Roman" w:cs="Times New Roman"/>
          <w:i/>
          <w:iCs/>
        </w:rPr>
        <w:t>Brukner &amp; Khan’s Clinical Sports Medicine</w:t>
      </w:r>
      <w:r w:rsidRPr="7417CC87">
        <w:rPr>
          <w:rFonts w:ascii="Times New Roman" w:eastAsia="Times New Roman" w:hAnsi="Times New Roman" w:cs="Times New Roman"/>
        </w:rPr>
        <w:t>. 5th edn. Sydney: McGraw-Hill.</w:t>
      </w:r>
    </w:p>
    <w:p w14:paraId="13C760D0" w14:textId="44EC8E53" w:rsidR="7A576C08" w:rsidRDefault="7A576C08" w:rsidP="7417CC87">
      <w:pPr>
        <w:spacing w:before="240" w:after="240"/>
      </w:pPr>
      <w:r w:rsidRPr="7417CC87">
        <w:rPr>
          <w:rFonts w:ascii="Times New Roman" w:eastAsia="Times New Roman" w:hAnsi="Times New Roman" w:cs="Times New Roman"/>
        </w:rPr>
        <w:t xml:space="preserve">Chaffey, D. and Ellis-Chadwick, F. (2019) </w:t>
      </w:r>
      <w:r w:rsidRPr="7417CC87">
        <w:rPr>
          <w:rFonts w:ascii="Times New Roman" w:eastAsia="Times New Roman" w:hAnsi="Times New Roman" w:cs="Times New Roman"/>
          <w:i/>
          <w:iCs/>
        </w:rPr>
        <w:t>Digital Marketing</w:t>
      </w:r>
      <w:r w:rsidRPr="7417CC87">
        <w:rPr>
          <w:rFonts w:ascii="Times New Roman" w:eastAsia="Times New Roman" w:hAnsi="Times New Roman" w:cs="Times New Roman"/>
        </w:rPr>
        <w:t>. 7th edn. Harlow: Pearson.</w:t>
      </w:r>
    </w:p>
    <w:p w14:paraId="68F049E3" w14:textId="22513167" w:rsidR="7A576C08" w:rsidRDefault="7A576C08" w:rsidP="7417CC87">
      <w:pPr>
        <w:spacing w:before="240" w:after="240"/>
      </w:pPr>
      <w:r w:rsidRPr="7417CC87">
        <w:rPr>
          <w:rFonts w:ascii="Times New Roman" w:eastAsia="Times New Roman" w:hAnsi="Times New Roman" w:cs="Times New Roman"/>
        </w:rPr>
        <w:t xml:space="preserve">Chartered Society of Physiotherapy (CSP) (n.d.) </w:t>
      </w:r>
      <w:r w:rsidRPr="7417CC87">
        <w:rPr>
          <w:rFonts w:ascii="Times New Roman" w:eastAsia="Times New Roman" w:hAnsi="Times New Roman" w:cs="Times New Roman"/>
          <w:i/>
          <w:iCs/>
        </w:rPr>
        <w:t>Private physiotherapy practice: the essential guide</w:t>
      </w:r>
      <w:r w:rsidRPr="7417CC87">
        <w:rPr>
          <w:rFonts w:ascii="Times New Roman" w:eastAsia="Times New Roman" w:hAnsi="Times New Roman" w:cs="Times New Roman"/>
        </w:rPr>
        <w:t>. London: Chartered Society of Physiotherapy.</w:t>
      </w:r>
    </w:p>
    <w:p w14:paraId="4E9E42CB" w14:textId="56963CE4" w:rsidR="7A576C08" w:rsidRDefault="7A576C08" w:rsidP="7417CC87">
      <w:pPr>
        <w:spacing w:before="240" w:after="240"/>
      </w:pPr>
      <w:r w:rsidRPr="7417CC87">
        <w:rPr>
          <w:rFonts w:ascii="Times New Roman" w:eastAsia="Times New Roman" w:hAnsi="Times New Roman" w:cs="Times New Roman"/>
        </w:rPr>
        <w:t xml:space="preserve">Chartered Society of Physiotherapy (CSP) (2026) </w:t>
      </w:r>
      <w:r w:rsidRPr="7417CC87">
        <w:rPr>
          <w:rFonts w:ascii="Times New Roman" w:eastAsia="Times New Roman" w:hAnsi="Times New Roman" w:cs="Times New Roman"/>
          <w:i/>
          <w:iCs/>
        </w:rPr>
        <w:t>Policies and procedures for physiotherapy private practice</w:t>
      </w:r>
      <w:r w:rsidRPr="7417CC87">
        <w:rPr>
          <w:rFonts w:ascii="Times New Roman" w:eastAsia="Times New Roman" w:hAnsi="Times New Roman" w:cs="Times New Roman"/>
        </w:rPr>
        <w:t>. London: Chartered Society of Physiotherapy.</w:t>
      </w:r>
    </w:p>
    <w:p w14:paraId="27D6D75E" w14:textId="72DE97E2" w:rsidR="7A576C08" w:rsidRDefault="7A576C08" w:rsidP="7417CC87">
      <w:pPr>
        <w:spacing w:before="240" w:after="240"/>
      </w:pPr>
      <w:r w:rsidRPr="7417CC87">
        <w:rPr>
          <w:rFonts w:ascii="Times New Roman" w:eastAsia="Times New Roman" w:hAnsi="Times New Roman" w:cs="Times New Roman"/>
        </w:rPr>
        <w:t xml:space="preserve">Clegg, J. and Cross, J. (2020) ‘Injury management in amateur football’, </w:t>
      </w:r>
      <w:r w:rsidRPr="7417CC87">
        <w:rPr>
          <w:rFonts w:ascii="Times New Roman" w:eastAsia="Times New Roman" w:hAnsi="Times New Roman" w:cs="Times New Roman"/>
          <w:i/>
          <w:iCs/>
        </w:rPr>
        <w:t>BMJ Open Sport &amp; Exercise Medicine</w:t>
      </w:r>
      <w:r w:rsidRPr="7417CC87">
        <w:rPr>
          <w:rFonts w:ascii="Times New Roman" w:eastAsia="Times New Roman" w:hAnsi="Times New Roman" w:cs="Times New Roman"/>
        </w:rPr>
        <w:t>, 6(1), pp. 1–6.</w:t>
      </w:r>
    </w:p>
    <w:p w14:paraId="0FBD160C" w14:textId="1ECAFF1A" w:rsidR="7A576C08" w:rsidRDefault="7A576C08" w:rsidP="7417CC87">
      <w:pPr>
        <w:spacing w:before="240" w:after="240"/>
      </w:pPr>
      <w:r w:rsidRPr="7417CC87">
        <w:rPr>
          <w:rFonts w:ascii="Times New Roman" w:eastAsia="Times New Roman" w:hAnsi="Times New Roman" w:cs="Times New Roman"/>
        </w:rPr>
        <w:t xml:space="preserve">Coalter, F. (2013) </w:t>
      </w:r>
      <w:r w:rsidRPr="7417CC87">
        <w:rPr>
          <w:rFonts w:ascii="Times New Roman" w:eastAsia="Times New Roman" w:hAnsi="Times New Roman" w:cs="Times New Roman"/>
          <w:i/>
          <w:iCs/>
        </w:rPr>
        <w:t>Sport for development: what game are we playing?</w:t>
      </w:r>
      <w:r w:rsidRPr="7417CC87">
        <w:rPr>
          <w:rFonts w:ascii="Times New Roman" w:eastAsia="Times New Roman" w:hAnsi="Times New Roman" w:cs="Times New Roman"/>
        </w:rPr>
        <w:t xml:space="preserve"> London: Routledge.</w:t>
      </w:r>
    </w:p>
    <w:p w14:paraId="6C6589B2" w14:textId="5BFA64FC" w:rsidR="7A576C08" w:rsidRDefault="7A576C08" w:rsidP="7417CC87">
      <w:pPr>
        <w:spacing w:before="240" w:after="240"/>
      </w:pPr>
      <w:r w:rsidRPr="7417CC87">
        <w:rPr>
          <w:rFonts w:ascii="Times New Roman" w:eastAsia="Times New Roman" w:hAnsi="Times New Roman" w:cs="Times New Roman"/>
        </w:rPr>
        <w:t xml:space="preserve">Cunningham, G.B. (2019) </w:t>
      </w:r>
      <w:r w:rsidRPr="7417CC87">
        <w:rPr>
          <w:rFonts w:ascii="Times New Roman" w:eastAsia="Times New Roman" w:hAnsi="Times New Roman" w:cs="Times New Roman"/>
          <w:i/>
          <w:iCs/>
        </w:rPr>
        <w:t>Diversity and inclusion in sport organizations</w:t>
      </w:r>
      <w:r w:rsidRPr="7417CC87">
        <w:rPr>
          <w:rFonts w:ascii="Times New Roman" w:eastAsia="Times New Roman" w:hAnsi="Times New Roman" w:cs="Times New Roman"/>
        </w:rPr>
        <w:t>. 4th edn. New York: Routledge.</w:t>
      </w:r>
    </w:p>
    <w:p w14:paraId="4A647FA6" w14:textId="0E8240E4" w:rsidR="7A576C08" w:rsidRDefault="7A576C08" w:rsidP="7417CC87">
      <w:pPr>
        <w:spacing w:before="240" w:after="240"/>
      </w:pPr>
      <w:r w:rsidRPr="7417CC87">
        <w:rPr>
          <w:rFonts w:ascii="Times New Roman" w:eastAsia="Times New Roman" w:hAnsi="Times New Roman" w:cs="Times New Roman"/>
        </w:rPr>
        <w:t xml:space="preserve">Department for Culture, Media and Sport (DCMS) (2023) </w:t>
      </w:r>
      <w:r w:rsidRPr="7417CC87">
        <w:rPr>
          <w:rFonts w:ascii="Times New Roman" w:eastAsia="Times New Roman" w:hAnsi="Times New Roman" w:cs="Times New Roman"/>
          <w:i/>
          <w:iCs/>
        </w:rPr>
        <w:t>Get active: a strategy for the future of sport and physical activity</w:t>
      </w:r>
      <w:r w:rsidRPr="7417CC87">
        <w:rPr>
          <w:rFonts w:ascii="Times New Roman" w:eastAsia="Times New Roman" w:hAnsi="Times New Roman" w:cs="Times New Roman"/>
        </w:rPr>
        <w:t>. London: HM Government.</w:t>
      </w:r>
    </w:p>
    <w:p w14:paraId="1E61F576" w14:textId="7865B9F3" w:rsidR="7A576C08" w:rsidRDefault="7A576C08" w:rsidP="7417CC87">
      <w:pPr>
        <w:spacing w:before="240" w:after="240"/>
      </w:pPr>
      <w:r w:rsidRPr="7417CC87">
        <w:rPr>
          <w:rFonts w:ascii="Times New Roman" w:eastAsia="Times New Roman" w:hAnsi="Times New Roman" w:cs="Times New Roman"/>
        </w:rPr>
        <w:t xml:space="preserve">Department for Education (2018) </w:t>
      </w:r>
      <w:r w:rsidRPr="7417CC87">
        <w:rPr>
          <w:rFonts w:ascii="Times New Roman" w:eastAsia="Times New Roman" w:hAnsi="Times New Roman" w:cs="Times New Roman"/>
          <w:i/>
          <w:iCs/>
        </w:rPr>
        <w:t>Working Together to Safeguard Children</w:t>
      </w:r>
      <w:r w:rsidRPr="7417CC87">
        <w:rPr>
          <w:rFonts w:ascii="Times New Roman" w:eastAsia="Times New Roman" w:hAnsi="Times New Roman" w:cs="Times New Roman"/>
        </w:rPr>
        <w:t xml:space="preserve">. London: HM Government. Available at: </w:t>
      </w:r>
      <w:hyperlink r:id="rId8">
        <w:r w:rsidRPr="7417CC87">
          <w:rPr>
            <w:rStyle w:val="Hyperlink"/>
            <w:rFonts w:ascii="Times New Roman" w:eastAsia="Times New Roman" w:hAnsi="Times New Roman" w:cs="Times New Roman"/>
          </w:rPr>
          <w:t>https://www.gov.uk/government/publications/working-together-to-safeguard-children</w:t>
        </w:r>
      </w:hyperlink>
      <w:r w:rsidRPr="7417CC87">
        <w:rPr>
          <w:rFonts w:ascii="Times New Roman" w:eastAsia="Times New Roman" w:hAnsi="Times New Roman" w:cs="Times New Roman"/>
        </w:rPr>
        <w:t xml:space="preserve"> (Accessed: 1 May 2026).</w:t>
      </w:r>
    </w:p>
    <w:p w14:paraId="1CE57EBD" w14:textId="43209F07" w:rsidR="7A576C08" w:rsidRDefault="7A576C08" w:rsidP="7417CC87">
      <w:pPr>
        <w:spacing w:before="240" w:after="240"/>
      </w:pPr>
      <w:r w:rsidRPr="7417CC87">
        <w:rPr>
          <w:rFonts w:ascii="Times New Roman" w:eastAsia="Times New Roman" w:hAnsi="Times New Roman" w:cs="Times New Roman"/>
        </w:rPr>
        <w:t xml:space="preserve">Downward, P. and Rasciute, S. (2011) ‘Does sport make you happy? An analysis of the well-being derived from sports participation’, </w:t>
      </w:r>
      <w:r w:rsidRPr="7417CC87">
        <w:rPr>
          <w:rFonts w:ascii="Times New Roman" w:eastAsia="Times New Roman" w:hAnsi="Times New Roman" w:cs="Times New Roman"/>
          <w:i/>
          <w:iCs/>
        </w:rPr>
        <w:t>International Review of Applied Economics</w:t>
      </w:r>
      <w:r w:rsidRPr="7417CC87">
        <w:rPr>
          <w:rFonts w:ascii="Times New Roman" w:eastAsia="Times New Roman" w:hAnsi="Times New Roman" w:cs="Times New Roman"/>
        </w:rPr>
        <w:t>, 25(3), pp. 331–348.</w:t>
      </w:r>
    </w:p>
    <w:p w14:paraId="32369254" w14:textId="3F8DCFC4" w:rsidR="7A576C08" w:rsidRDefault="7A576C08" w:rsidP="7417CC87">
      <w:pPr>
        <w:spacing w:before="240" w:after="240"/>
      </w:pPr>
      <w:r w:rsidRPr="7417CC87">
        <w:rPr>
          <w:rFonts w:ascii="Times New Roman" w:eastAsia="Times New Roman" w:hAnsi="Times New Roman" w:cs="Times New Roman"/>
        </w:rPr>
        <w:t xml:space="preserve">Ekstrand, J., Hägglund, M. and Waldén, M. (2011) ‘Injury incidence and injury patterns in professional football: the UEFA injury study’, </w:t>
      </w:r>
      <w:r w:rsidRPr="7417CC87">
        <w:rPr>
          <w:rFonts w:ascii="Times New Roman" w:eastAsia="Times New Roman" w:hAnsi="Times New Roman" w:cs="Times New Roman"/>
          <w:i/>
          <w:iCs/>
        </w:rPr>
        <w:t>British Journal of Sports Medicine</w:t>
      </w:r>
      <w:r w:rsidRPr="7417CC87">
        <w:rPr>
          <w:rFonts w:ascii="Times New Roman" w:eastAsia="Times New Roman" w:hAnsi="Times New Roman" w:cs="Times New Roman"/>
        </w:rPr>
        <w:t>, 45(7), pp. 553–558.</w:t>
      </w:r>
    </w:p>
    <w:p w14:paraId="43837FDE" w14:textId="02D552B9" w:rsidR="7A576C08" w:rsidRDefault="7A576C08" w:rsidP="7417CC87">
      <w:pPr>
        <w:spacing w:before="240" w:after="240"/>
      </w:pPr>
      <w:r w:rsidRPr="7417CC87">
        <w:rPr>
          <w:rFonts w:ascii="Times New Roman" w:eastAsia="Times New Roman" w:hAnsi="Times New Roman" w:cs="Times New Roman"/>
        </w:rPr>
        <w:t xml:space="preserve">Ekstrand, J., Hägglund, M. and Waldén, M. (2013) ‘Epidemiology of muscle injuries in professional football’, </w:t>
      </w:r>
      <w:r w:rsidRPr="7417CC87">
        <w:rPr>
          <w:rFonts w:ascii="Times New Roman" w:eastAsia="Times New Roman" w:hAnsi="Times New Roman" w:cs="Times New Roman"/>
          <w:i/>
          <w:iCs/>
        </w:rPr>
        <w:t>American Journal of Sports Medicine</w:t>
      </w:r>
      <w:r w:rsidRPr="7417CC87">
        <w:rPr>
          <w:rFonts w:ascii="Times New Roman" w:eastAsia="Times New Roman" w:hAnsi="Times New Roman" w:cs="Times New Roman"/>
        </w:rPr>
        <w:t>, 39(6), pp. 1226–1232.</w:t>
      </w:r>
    </w:p>
    <w:p w14:paraId="29F99A43" w14:textId="4D685FDF" w:rsidR="7A576C08" w:rsidRDefault="7A576C08" w:rsidP="7417CC87">
      <w:pPr>
        <w:spacing w:before="240" w:after="240"/>
      </w:pPr>
      <w:r w:rsidRPr="7417CC87">
        <w:rPr>
          <w:rFonts w:ascii="Times New Roman" w:eastAsia="Times New Roman" w:hAnsi="Times New Roman" w:cs="Times New Roman"/>
        </w:rPr>
        <w:t xml:space="preserve">Emery, C.A. (2010) ‘Risk factors for injury in child and adolescent sport’, </w:t>
      </w:r>
      <w:r w:rsidRPr="7417CC87">
        <w:rPr>
          <w:rFonts w:ascii="Times New Roman" w:eastAsia="Times New Roman" w:hAnsi="Times New Roman" w:cs="Times New Roman"/>
          <w:i/>
          <w:iCs/>
        </w:rPr>
        <w:t>Clinical Journal of Sport Medicine</w:t>
      </w:r>
      <w:r w:rsidRPr="7417CC87">
        <w:rPr>
          <w:rFonts w:ascii="Times New Roman" w:eastAsia="Times New Roman" w:hAnsi="Times New Roman" w:cs="Times New Roman"/>
        </w:rPr>
        <w:t>, 20(3), pp. 256–268.</w:t>
      </w:r>
    </w:p>
    <w:p w14:paraId="6E29A2A2" w14:textId="4F2A7A23" w:rsidR="7A576C08" w:rsidRDefault="7A576C08" w:rsidP="7417CC87">
      <w:pPr>
        <w:spacing w:before="240" w:after="240"/>
      </w:pPr>
      <w:r w:rsidRPr="7417CC87">
        <w:rPr>
          <w:rFonts w:ascii="Times New Roman" w:eastAsia="Times New Roman" w:hAnsi="Times New Roman" w:cs="Times New Roman"/>
        </w:rPr>
        <w:t xml:space="preserve">Freeman, R.E. (2010) </w:t>
      </w:r>
      <w:r w:rsidRPr="7417CC87">
        <w:rPr>
          <w:rFonts w:ascii="Times New Roman" w:eastAsia="Times New Roman" w:hAnsi="Times New Roman" w:cs="Times New Roman"/>
          <w:i/>
          <w:iCs/>
        </w:rPr>
        <w:t>Strategic management: a stakeholder approach</w:t>
      </w:r>
      <w:r w:rsidRPr="7417CC87">
        <w:rPr>
          <w:rFonts w:ascii="Times New Roman" w:eastAsia="Times New Roman" w:hAnsi="Times New Roman" w:cs="Times New Roman"/>
        </w:rPr>
        <w:t>. Cambridge: Cambridge University Press.</w:t>
      </w:r>
    </w:p>
    <w:p w14:paraId="1FA09AA0" w14:textId="6F9B354B" w:rsidR="7A576C08" w:rsidRDefault="7A576C08" w:rsidP="7417CC87">
      <w:pPr>
        <w:spacing w:before="240" w:after="240"/>
      </w:pPr>
      <w:r w:rsidRPr="7417CC87">
        <w:rPr>
          <w:rFonts w:ascii="Times New Roman" w:eastAsia="Times New Roman" w:hAnsi="Times New Roman" w:cs="Times New Roman"/>
        </w:rPr>
        <w:t xml:space="preserve">Grönroos, C. (2004) ‘The relationship marketing process: communication, interaction, dialogue, value’, </w:t>
      </w:r>
      <w:r w:rsidRPr="7417CC87">
        <w:rPr>
          <w:rFonts w:ascii="Times New Roman" w:eastAsia="Times New Roman" w:hAnsi="Times New Roman" w:cs="Times New Roman"/>
          <w:i/>
          <w:iCs/>
        </w:rPr>
        <w:t>Journal of Business &amp; Industrial Marketing</w:t>
      </w:r>
      <w:r w:rsidRPr="7417CC87">
        <w:rPr>
          <w:rFonts w:ascii="Times New Roman" w:eastAsia="Times New Roman" w:hAnsi="Times New Roman" w:cs="Times New Roman"/>
        </w:rPr>
        <w:t>, 19(2), pp. 99–113.</w:t>
      </w:r>
    </w:p>
    <w:p w14:paraId="6ADAD29D" w14:textId="12706A8F" w:rsidR="7A576C08" w:rsidRDefault="7A576C08" w:rsidP="7417CC87">
      <w:pPr>
        <w:spacing w:before="240" w:after="240"/>
      </w:pPr>
      <w:r w:rsidRPr="7417CC87">
        <w:rPr>
          <w:rFonts w:ascii="Times New Roman" w:eastAsia="Times New Roman" w:hAnsi="Times New Roman" w:cs="Times New Roman"/>
        </w:rPr>
        <w:t xml:space="preserve">Gurau, T.V., Păunică, M., Diaconu, A. and Tudorache, G. (2023) ‘Epidemiology of injuries in professional and amateur football players: a systematic review’, </w:t>
      </w:r>
      <w:r w:rsidRPr="7417CC87">
        <w:rPr>
          <w:rFonts w:ascii="Times New Roman" w:eastAsia="Times New Roman" w:hAnsi="Times New Roman" w:cs="Times New Roman"/>
          <w:i/>
          <w:iCs/>
        </w:rPr>
        <w:t>Journal of Clinical Medicine</w:t>
      </w:r>
      <w:r w:rsidRPr="7417CC87">
        <w:rPr>
          <w:rFonts w:ascii="Times New Roman" w:eastAsia="Times New Roman" w:hAnsi="Times New Roman" w:cs="Times New Roman"/>
        </w:rPr>
        <w:t>, 12(19), 6293.</w:t>
      </w:r>
    </w:p>
    <w:p w14:paraId="1E36E33E" w14:textId="339B0AAD" w:rsidR="7A576C08" w:rsidRDefault="7A576C08" w:rsidP="7417CC87">
      <w:pPr>
        <w:spacing w:before="240" w:after="240"/>
      </w:pPr>
      <w:r w:rsidRPr="7417CC87">
        <w:rPr>
          <w:rFonts w:ascii="Times New Roman" w:eastAsia="Times New Roman" w:hAnsi="Times New Roman" w:cs="Times New Roman"/>
        </w:rPr>
        <w:t xml:space="preserve">Hägglund, M., Waldén, M. and Ekstrand, J. (2013) ‘Injuries among male and female elite football players’, </w:t>
      </w:r>
      <w:r w:rsidRPr="7417CC87">
        <w:rPr>
          <w:rFonts w:ascii="Times New Roman" w:eastAsia="Times New Roman" w:hAnsi="Times New Roman" w:cs="Times New Roman"/>
          <w:i/>
          <w:iCs/>
        </w:rPr>
        <w:t>Scandinavian Journal of Medicine &amp; Science in Sports</w:t>
      </w:r>
      <w:r w:rsidRPr="7417CC87">
        <w:rPr>
          <w:rFonts w:ascii="Times New Roman" w:eastAsia="Times New Roman" w:hAnsi="Times New Roman" w:cs="Times New Roman"/>
        </w:rPr>
        <w:t>, 23(6), pp. 749–759.</w:t>
      </w:r>
    </w:p>
    <w:p w14:paraId="78622A5D" w14:textId="3F0BFEAF" w:rsidR="7A576C08" w:rsidRDefault="7A576C08" w:rsidP="7417CC87">
      <w:pPr>
        <w:spacing w:before="240" w:after="240"/>
      </w:pPr>
      <w:r w:rsidRPr="7417CC87">
        <w:rPr>
          <w:rFonts w:ascii="Times New Roman" w:eastAsia="Times New Roman" w:hAnsi="Times New Roman" w:cs="Times New Roman"/>
        </w:rPr>
        <w:t xml:space="preserve">Health and Care Professions Council (2022) </w:t>
      </w:r>
      <w:r w:rsidRPr="7417CC87">
        <w:rPr>
          <w:rFonts w:ascii="Times New Roman" w:eastAsia="Times New Roman" w:hAnsi="Times New Roman" w:cs="Times New Roman"/>
          <w:i/>
          <w:iCs/>
        </w:rPr>
        <w:t>Standards of proficiency: physiotherapists</w:t>
      </w:r>
      <w:r w:rsidRPr="7417CC87">
        <w:rPr>
          <w:rFonts w:ascii="Times New Roman" w:eastAsia="Times New Roman" w:hAnsi="Times New Roman" w:cs="Times New Roman"/>
        </w:rPr>
        <w:t xml:space="preserve">. Available at: </w:t>
      </w:r>
      <w:hyperlink r:id="rId9">
        <w:r w:rsidRPr="7417CC87">
          <w:rPr>
            <w:rStyle w:val="Hyperlink"/>
            <w:rFonts w:ascii="Times New Roman" w:eastAsia="Times New Roman" w:hAnsi="Times New Roman" w:cs="Times New Roman"/>
          </w:rPr>
          <w:t>https://www.hcpc-uk.org</w:t>
        </w:r>
      </w:hyperlink>
      <w:r w:rsidRPr="7417CC87">
        <w:rPr>
          <w:rFonts w:ascii="Times New Roman" w:eastAsia="Times New Roman" w:hAnsi="Times New Roman" w:cs="Times New Roman"/>
        </w:rPr>
        <w:t xml:space="preserve"> (Accessed: 1 May 2026).</w:t>
      </w:r>
    </w:p>
    <w:p w14:paraId="769D3B4D" w14:textId="377C44EB" w:rsidR="7A576C08" w:rsidRDefault="7A576C08" w:rsidP="7417CC87">
      <w:pPr>
        <w:spacing w:before="240" w:after="240"/>
      </w:pPr>
      <w:r w:rsidRPr="7417CC87">
        <w:rPr>
          <w:rFonts w:ascii="Times New Roman" w:eastAsia="Times New Roman" w:hAnsi="Times New Roman" w:cs="Times New Roman"/>
        </w:rPr>
        <w:t xml:space="preserve">Hoye, R., Smith, A.C.T., Nicholson, M. and Stewart, B. (2022) </w:t>
      </w:r>
      <w:r w:rsidRPr="7417CC87">
        <w:rPr>
          <w:rFonts w:ascii="Times New Roman" w:eastAsia="Times New Roman" w:hAnsi="Times New Roman" w:cs="Times New Roman"/>
          <w:i/>
          <w:iCs/>
        </w:rPr>
        <w:t>Sport management: principles and applications</w:t>
      </w:r>
      <w:r w:rsidRPr="7417CC87">
        <w:rPr>
          <w:rFonts w:ascii="Times New Roman" w:eastAsia="Times New Roman" w:hAnsi="Times New Roman" w:cs="Times New Roman"/>
        </w:rPr>
        <w:t>. 6th edn. London: Routledge.</w:t>
      </w:r>
    </w:p>
    <w:p w14:paraId="11A69BA2" w14:textId="4C45B5CE" w:rsidR="7A576C08" w:rsidRDefault="7A576C08" w:rsidP="7417CC87">
      <w:pPr>
        <w:spacing w:before="240" w:after="240"/>
      </w:pPr>
      <w:r w:rsidRPr="7417CC87">
        <w:rPr>
          <w:rFonts w:ascii="Times New Roman" w:eastAsia="Times New Roman" w:hAnsi="Times New Roman" w:cs="Times New Roman"/>
        </w:rPr>
        <w:t xml:space="preserve">Kotler, P., Keller, K.L., Brady, M., Goodman, M. and Hansen, T. (2019) </w:t>
      </w:r>
      <w:r w:rsidRPr="7417CC87">
        <w:rPr>
          <w:rFonts w:ascii="Times New Roman" w:eastAsia="Times New Roman" w:hAnsi="Times New Roman" w:cs="Times New Roman"/>
          <w:i/>
          <w:iCs/>
        </w:rPr>
        <w:t>Marketing management</w:t>
      </w:r>
      <w:r w:rsidRPr="7417CC87">
        <w:rPr>
          <w:rFonts w:ascii="Times New Roman" w:eastAsia="Times New Roman" w:hAnsi="Times New Roman" w:cs="Times New Roman"/>
        </w:rPr>
        <w:t>. 4th European edn. Harlow: Pearson.</w:t>
      </w:r>
    </w:p>
    <w:p w14:paraId="00AAFF69" w14:textId="6D74660C" w:rsidR="7A576C08" w:rsidRDefault="7A576C08" w:rsidP="7417CC87">
      <w:pPr>
        <w:spacing w:before="240" w:after="240"/>
      </w:pPr>
      <w:r w:rsidRPr="7417CC87">
        <w:rPr>
          <w:rFonts w:ascii="Times New Roman" w:eastAsia="Times New Roman" w:hAnsi="Times New Roman" w:cs="Times New Roman"/>
        </w:rPr>
        <w:t xml:space="preserve">López-Valenciano, A. et al. (2020) ‘Epidemiology of injuries in professional football: a systematic review and meta-analysis’, </w:t>
      </w:r>
      <w:r w:rsidRPr="7417CC87">
        <w:rPr>
          <w:rFonts w:ascii="Times New Roman" w:eastAsia="Times New Roman" w:hAnsi="Times New Roman" w:cs="Times New Roman"/>
          <w:i/>
          <w:iCs/>
        </w:rPr>
        <w:t>British Journal of Sports Medicine</w:t>
      </w:r>
      <w:r w:rsidRPr="7417CC87">
        <w:rPr>
          <w:rFonts w:ascii="Times New Roman" w:eastAsia="Times New Roman" w:hAnsi="Times New Roman" w:cs="Times New Roman"/>
        </w:rPr>
        <w:t>, 54(12), pp. 711–718.</w:t>
      </w:r>
    </w:p>
    <w:p w14:paraId="38FECC58" w14:textId="6CEE4CB2" w:rsidR="7A576C08" w:rsidRDefault="7A576C08" w:rsidP="7417CC87">
      <w:pPr>
        <w:spacing w:before="240" w:after="240"/>
      </w:pPr>
      <w:r w:rsidRPr="7417CC87">
        <w:rPr>
          <w:rFonts w:ascii="Times New Roman" w:eastAsia="Times New Roman" w:hAnsi="Times New Roman" w:cs="Times New Roman"/>
        </w:rPr>
        <w:t xml:space="preserve">McCrory, P. et al. (2017) ‘Consensus statement on concussion in sport’, </w:t>
      </w:r>
      <w:r w:rsidRPr="7417CC87">
        <w:rPr>
          <w:rFonts w:ascii="Times New Roman" w:eastAsia="Times New Roman" w:hAnsi="Times New Roman" w:cs="Times New Roman"/>
          <w:i/>
          <w:iCs/>
        </w:rPr>
        <w:t>British Journal of Sports Medicine</w:t>
      </w:r>
      <w:r w:rsidRPr="7417CC87">
        <w:rPr>
          <w:rFonts w:ascii="Times New Roman" w:eastAsia="Times New Roman" w:hAnsi="Times New Roman" w:cs="Times New Roman"/>
        </w:rPr>
        <w:t>, 51(11), pp. 838–847.</w:t>
      </w:r>
    </w:p>
    <w:p w14:paraId="25AC70B0" w14:textId="422FCA46" w:rsidR="7A576C08" w:rsidRDefault="7A576C08" w:rsidP="7417CC87">
      <w:pPr>
        <w:spacing w:before="240" w:after="240"/>
      </w:pPr>
      <w:r w:rsidRPr="7417CC87">
        <w:rPr>
          <w:rFonts w:ascii="Times New Roman" w:eastAsia="Times New Roman" w:hAnsi="Times New Roman" w:cs="Times New Roman"/>
        </w:rPr>
        <w:t xml:space="preserve">Misener, L. and Doherty, A. (2012) ‘Connecting the community through sport club partnerships’, </w:t>
      </w:r>
      <w:r w:rsidRPr="7417CC87">
        <w:rPr>
          <w:rFonts w:ascii="Times New Roman" w:eastAsia="Times New Roman" w:hAnsi="Times New Roman" w:cs="Times New Roman"/>
          <w:i/>
          <w:iCs/>
        </w:rPr>
        <w:t>Sport Management Review</w:t>
      </w:r>
      <w:r w:rsidRPr="7417CC87">
        <w:rPr>
          <w:rFonts w:ascii="Times New Roman" w:eastAsia="Times New Roman" w:hAnsi="Times New Roman" w:cs="Times New Roman"/>
        </w:rPr>
        <w:t>, 15(3), pp. 283–295.</w:t>
      </w:r>
    </w:p>
    <w:p w14:paraId="385FE3A5" w14:textId="2BF11EF5" w:rsidR="7A576C08" w:rsidRDefault="7A576C08" w:rsidP="7417CC87">
      <w:pPr>
        <w:spacing w:before="240" w:after="240"/>
      </w:pPr>
      <w:r w:rsidRPr="7417CC87">
        <w:rPr>
          <w:rFonts w:ascii="Times New Roman" w:eastAsia="Times New Roman" w:hAnsi="Times New Roman" w:cs="Times New Roman"/>
        </w:rPr>
        <w:t xml:space="preserve">Morgan, R.M. and Hunt, S.D. (1994) ‘The commitment-trust theory of relationship marketing’, </w:t>
      </w:r>
      <w:r w:rsidRPr="7417CC87">
        <w:rPr>
          <w:rFonts w:ascii="Times New Roman" w:eastAsia="Times New Roman" w:hAnsi="Times New Roman" w:cs="Times New Roman"/>
          <w:i/>
          <w:iCs/>
        </w:rPr>
        <w:t>Journal of Marketing</w:t>
      </w:r>
      <w:r w:rsidRPr="7417CC87">
        <w:rPr>
          <w:rFonts w:ascii="Times New Roman" w:eastAsia="Times New Roman" w:hAnsi="Times New Roman" w:cs="Times New Roman"/>
        </w:rPr>
        <w:t>, 58(3), pp. 20–38.</w:t>
      </w:r>
    </w:p>
    <w:p w14:paraId="5D943122" w14:textId="2CAC03FB" w:rsidR="7A576C08" w:rsidRDefault="7A576C08" w:rsidP="7417CC87">
      <w:pPr>
        <w:spacing w:before="240" w:after="240"/>
      </w:pPr>
      <w:r w:rsidRPr="7417CC87">
        <w:rPr>
          <w:rFonts w:ascii="Times New Roman" w:eastAsia="Times New Roman" w:hAnsi="Times New Roman" w:cs="Times New Roman"/>
        </w:rPr>
        <w:t xml:space="preserve">Mullin, B.J., Hardy, S. and Sutton, W.A. (2014) </w:t>
      </w:r>
      <w:r w:rsidRPr="7417CC87">
        <w:rPr>
          <w:rFonts w:ascii="Times New Roman" w:eastAsia="Times New Roman" w:hAnsi="Times New Roman" w:cs="Times New Roman"/>
          <w:i/>
          <w:iCs/>
        </w:rPr>
        <w:t>Sport marketing</w:t>
      </w:r>
      <w:r w:rsidRPr="7417CC87">
        <w:rPr>
          <w:rFonts w:ascii="Times New Roman" w:eastAsia="Times New Roman" w:hAnsi="Times New Roman" w:cs="Times New Roman"/>
        </w:rPr>
        <w:t>. 4th edn. Champaign: Human Kinetics.</w:t>
      </w:r>
    </w:p>
    <w:p w14:paraId="0A58B83E" w14:textId="7091E9B0" w:rsidR="7A576C08" w:rsidRDefault="7A576C08" w:rsidP="7417CC87">
      <w:pPr>
        <w:spacing w:before="240" w:after="240"/>
      </w:pPr>
      <w:r w:rsidRPr="7417CC87">
        <w:rPr>
          <w:rFonts w:ascii="Times New Roman" w:eastAsia="Times New Roman" w:hAnsi="Times New Roman" w:cs="Times New Roman"/>
        </w:rPr>
        <w:t xml:space="preserve">Parent, M.M. and Smith-Swan, S. (2023) </w:t>
      </w:r>
      <w:r w:rsidRPr="7417CC87">
        <w:rPr>
          <w:rFonts w:ascii="Times New Roman" w:eastAsia="Times New Roman" w:hAnsi="Times New Roman" w:cs="Times New Roman"/>
          <w:i/>
          <w:iCs/>
        </w:rPr>
        <w:t>Managing major sports events: theory and practice</w:t>
      </w:r>
      <w:r w:rsidRPr="7417CC87">
        <w:rPr>
          <w:rFonts w:ascii="Times New Roman" w:eastAsia="Times New Roman" w:hAnsi="Times New Roman" w:cs="Times New Roman"/>
        </w:rPr>
        <w:t>. 2nd edn. London: Routledge.</w:t>
      </w:r>
    </w:p>
    <w:p w14:paraId="6587829C" w14:textId="34B94D48" w:rsidR="7A576C08" w:rsidRDefault="7A576C08" w:rsidP="7417CC87">
      <w:pPr>
        <w:spacing w:before="240" w:after="240"/>
      </w:pPr>
      <w:r w:rsidRPr="7417CC87">
        <w:rPr>
          <w:rFonts w:ascii="Times New Roman" w:eastAsia="Times New Roman" w:hAnsi="Times New Roman" w:cs="Times New Roman"/>
        </w:rPr>
        <w:t xml:space="preserve">Pedersen, P.M. and Thibault, L. (2019) </w:t>
      </w:r>
      <w:r w:rsidRPr="7417CC87">
        <w:rPr>
          <w:rFonts w:ascii="Times New Roman" w:eastAsia="Times New Roman" w:hAnsi="Times New Roman" w:cs="Times New Roman"/>
          <w:i/>
          <w:iCs/>
        </w:rPr>
        <w:t>Contemporary sport management</w:t>
      </w:r>
      <w:r w:rsidRPr="7417CC87">
        <w:rPr>
          <w:rFonts w:ascii="Times New Roman" w:eastAsia="Times New Roman" w:hAnsi="Times New Roman" w:cs="Times New Roman"/>
        </w:rPr>
        <w:t>. 6th edn. Champaign, IL: Human Kinetics.</w:t>
      </w:r>
    </w:p>
    <w:p w14:paraId="4AB2F808" w14:textId="00DE2BF3" w:rsidR="7A576C08" w:rsidRDefault="7A576C08" w:rsidP="7417CC87">
      <w:pPr>
        <w:spacing w:before="240" w:after="240"/>
      </w:pPr>
      <w:r w:rsidRPr="7417CC87">
        <w:rPr>
          <w:rFonts w:ascii="Times New Roman" w:eastAsia="Times New Roman" w:hAnsi="Times New Roman" w:cs="Times New Roman"/>
        </w:rPr>
        <w:t xml:space="preserve">Porter, M.E. (2008) ‘The five competitive forces that shape strategy’, </w:t>
      </w:r>
      <w:r w:rsidRPr="7417CC87">
        <w:rPr>
          <w:rFonts w:ascii="Times New Roman" w:eastAsia="Times New Roman" w:hAnsi="Times New Roman" w:cs="Times New Roman"/>
          <w:i/>
          <w:iCs/>
        </w:rPr>
        <w:t>Harvard Business Review</w:t>
      </w:r>
      <w:r w:rsidRPr="7417CC87">
        <w:rPr>
          <w:rFonts w:ascii="Times New Roman" w:eastAsia="Times New Roman" w:hAnsi="Times New Roman" w:cs="Times New Roman"/>
        </w:rPr>
        <w:t>, 86(1), pp. 78–93.</w:t>
      </w:r>
    </w:p>
    <w:p w14:paraId="65F05285" w14:textId="22BAB885" w:rsidR="7A576C08" w:rsidRDefault="7A576C08" w:rsidP="7417CC87">
      <w:pPr>
        <w:spacing w:before="240" w:after="240"/>
      </w:pPr>
      <w:r w:rsidRPr="7417CC87">
        <w:rPr>
          <w:rFonts w:ascii="Times New Roman" w:eastAsia="Times New Roman" w:hAnsi="Times New Roman" w:cs="Times New Roman"/>
        </w:rPr>
        <w:t xml:space="preserve">Ratten, V. (2020) </w:t>
      </w:r>
      <w:r w:rsidRPr="7417CC87">
        <w:rPr>
          <w:rFonts w:ascii="Times New Roman" w:eastAsia="Times New Roman" w:hAnsi="Times New Roman" w:cs="Times New Roman"/>
          <w:i/>
          <w:iCs/>
        </w:rPr>
        <w:t>Sport entrepreneurship: developing and sustaining an entrepreneurial sports culture</w:t>
      </w:r>
      <w:r w:rsidRPr="7417CC87">
        <w:rPr>
          <w:rFonts w:ascii="Times New Roman" w:eastAsia="Times New Roman" w:hAnsi="Times New Roman" w:cs="Times New Roman"/>
        </w:rPr>
        <w:t>. London: Routledge.</w:t>
      </w:r>
    </w:p>
    <w:p w14:paraId="24EF9CAE" w14:textId="6609DDCA" w:rsidR="7A576C08" w:rsidRDefault="7A576C08" w:rsidP="7417CC87">
      <w:pPr>
        <w:spacing w:before="240" w:after="240"/>
      </w:pPr>
      <w:r w:rsidRPr="7417CC87">
        <w:rPr>
          <w:rFonts w:ascii="Times New Roman" w:eastAsia="Times New Roman" w:hAnsi="Times New Roman" w:cs="Times New Roman"/>
        </w:rPr>
        <w:t xml:space="preserve">Shilbury, D., Ferkins, L. and Smythe, L. (2020) </w:t>
      </w:r>
      <w:r w:rsidRPr="7417CC87">
        <w:rPr>
          <w:rFonts w:ascii="Times New Roman" w:eastAsia="Times New Roman" w:hAnsi="Times New Roman" w:cs="Times New Roman"/>
          <w:i/>
          <w:iCs/>
        </w:rPr>
        <w:t>Sport governance and organisational performance</w:t>
      </w:r>
      <w:r w:rsidRPr="7417CC87">
        <w:rPr>
          <w:rFonts w:ascii="Times New Roman" w:eastAsia="Times New Roman" w:hAnsi="Times New Roman" w:cs="Times New Roman"/>
        </w:rPr>
        <w:t>. London: Routledge.</w:t>
      </w:r>
    </w:p>
    <w:p w14:paraId="54939199" w14:textId="582971F2" w:rsidR="7A576C08" w:rsidRDefault="7A576C08" w:rsidP="7417CC87">
      <w:pPr>
        <w:spacing w:before="240" w:after="240"/>
      </w:pPr>
      <w:r w:rsidRPr="7417CC87">
        <w:rPr>
          <w:rFonts w:ascii="Times New Roman" w:eastAsia="Times New Roman" w:hAnsi="Times New Roman" w:cs="Times New Roman"/>
        </w:rPr>
        <w:t xml:space="preserve">Smith, A.C.T. and Stewart, B. (2010) ‘The special features of sport: a critical revisit’, </w:t>
      </w:r>
      <w:r w:rsidRPr="7417CC87">
        <w:rPr>
          <w:rFonts w:ascii="Times New Roman" w:eastAsia="Times New Roman" w:hAnsi="Times New Roman" w:cs="Times New Roman"/>
          <w:i/>
          <w:iCs/>
        </w:rPr>
        <w:t>Sport Management Review</w:t>
      </w:r>
      <w:r w:rsidRPr="7417CC87">
        <w:rPr>
          <w:rFonts w:ascii="Times New Roman" w:eastAsia="Times New Roman" w:hAnsi="Times New Roman" w:cs="Times New Roman"/>
        </w:rPr>
        <w:t>, 13(1), pp. 1–13.</w:t>
      </w:r>
    </w:p>
    <w:p w14:paraId="19AB701A" w14:textId="450D193E" w:rsidR="7A576C08" w:rsidRDefault="7A576C08" w:rsidP="7417CC87">
      <w:pPr>
        <w:spacing w:before="240" w:after="240"/>
      </w:pPr>
      <w:r w:rsidRPr="7417CC87">
        <w:rPr>
          <w:rFonts w:ascii="Times New Roman" w:eastAsia="Times New Roman" w:hAnsi="Times New Roman" w:cs="Times New Roman"/>
        </w:rPr>
        <w:t xml:space="preserve">Soligard, T. et al. (2008) ‘Comprehensive warm-up programme to prevent injuries in young female footballers’, </w:t>
      </w:r>
      <w:r w:rsidRPr="7417CC87">
        <w:rPr>
          <w:rFonts w:ascii="Times New Roman" w:eastAsia="Times New Roman" w:hAnsi="Times New Roman" w:cs="Times New Roman"/>
          <w:i/>
          <w:iCs/>
        </w:rPr>
        <w:t>BMJ</w:t>
      </w:r>
      <w:r w:rsidRPr="7417CC87">
        <w:rPr>
          <w:rFonts w:ascii="Times New Roman" w:eastAsia="Times New Roman" w:hAnsi="Times New Roman" w:cs="Times New Roman"/>
        </w:rPr>
        <w:t>, 337, a2469.</w:t>
      </w:r>
    </w:p>
    <w:p w14:paraId="1E8BAF60" w14:textId="61AE936E" w:rsidR="7A576C08" w:rsidRDefault="7A576C08" w:rsidP="7417CC87">
      <w:pPr>
        <w:spacing w:before="240" w:after="240"/>
      </w:pPr>
      <w:r w:rsidRPr="7417CC87">
        <w:rPr>
          <w:rFonts w:ascii="Times New Roman" w:eastAsia="Times New Roman" w:hAnsi="Times New Roman" w:cs="Times New Roman"/>
        </w:rPr>
        <w:t xml:space="preserve">Sonesson, S., Lindblom, H., Hägglund, M. and Waldén, M. (2023) ‘Higher age and present injury at the start of the season are associated with increased injury burden in amateur football players’, </w:t>
      </w:r>
      <w:r w:rsidRPr="7417CC87">
        <w:rPr>
          <w:rFonts w:ascii="Times New Roman" w:eastAsia="Times New Roman" w:hAnsi="Times New Roman" w:cs="Times New Roman"/>
          <w:i/>
          <w:iCs/>
        </w:rPr>
        <w:t>BMJ Open Sport and Exercise Medicine</w:t>
      </w:r>
      <w:r w:rsidRPr="7417CC87">
        <w:rPr>
          <w:rFonts w:ascii="Times New Roman" w:eastAsia="Times New Roman" w:hAnsi="Times New Roman" w:cs="Times New Roman"/>
        </w:rPr>
        <w:t>, 9.</w:t>
      </w:r>
    </w:p>
    <w:p w14:paraId="1CA80E5A" w14:textId="26156020" w:rsidR="7A576C08" w:rsidRDefault="7A576C08" w:rsidP="7417CC87">
      <w:pPr>
        <w:spacing w:before="240" w:after="240"/>
      </w:pPr>
      <w:r w:rsidRPr="7417CC87">
        <w:rPr>
          <w:rFonts w:ascii="Times New Roman" w:eastAsia="Times New Roman" w:hAnsi="Times New Roman" w:cs="Times New Roman"/>
        </w:rPr>
        <w:t xml:space="preserve">Sport England (2022) </w:t>
      </w:r>
      <w:r w:rsidRPr="7417CC87">
        <w:rPr>
          <w:rFonts w:ascii="Times New Roman" w:eastAsia="Times New Roman" w:hAnsi="Times New Roman" w:cs="Times New Roman"/>
          <w:i/>
          <w:iCs/>
        </w:rPr>
        <w:t>Uniting the movement: update report</w:t>
      </w:r>
      <w:r w:rsidRPr="7417CC87">
        <w:rPr>
          <w:rFonts w:ascii="Times New Roman" w:eastAsia="Times New Roman" w:hAnsi="Times New Roman" w:cs="Times New Roman"/>
        </w:rPr>
        <w:t>. London: Sport England.</w:t>
      </w:r>
    </w:p>
    <w:p w14:paraId="035FBCDD" w14:textId="64FF6753" w:rsidR="7A576C08" w:rsidRDefault="7A576C08" w:rsidP="7417CC87">
      <w:pPr>
        <w:spacing w:before="240" w:after="240"/>
      </w:pPr>
      <w:r w:rsidRPr="7417CC87">
        <w:rPr>
          <w:rFonts w:ascii="Times New Roman" w:eastAsia="Times New Roman" w:hAnsi="Times New Roman" w:cs="Times New Roman"/>
        </w:rPr>
        <w:t xml:space="preserve">Sport England (2023) </w:t>
      </w:r>
      <w:r w:rsidRPr="7417CC87">
        <w:rPr>
          <w:rFonts w:ascii="Times New Roman" w:eastAsia="Times New Roman" w:hAnsi="Times New Roman" w:cs="Times New Roman"/>
          <w:i/>
          <w:iCs/>
        </w:rPr>
        <w:t>Active Lives adult survey</w:t>
      </w:r>
      <w:r w:rsidRPr="7417CC87">
        <w:rPr>
          <w:rFonts w:ascii="Times New Roman" w:eastAsia="Times New Roman" w:hAnsi="Times New Roman" w:cs="Times New Roman"/>
        </w:rPr>
        <w:t xml:space="preserve">. London: Sport England. Available at: </w:t>
      </w:r>
      <w:hyperlink r:id="rId10">
        <w:r w:rsidRPr="7417CC87">
          <w:rPr>
            <w:rStyle w:val="Hyperlink"/>
            <w:rFonts w:ascii="Times New Roman" w:eastAsia="Times New Roman" w:hAnsi="Times New Roman" w:cs="Times New Roman"/>
          </w:rPr>
          <w:t>https://www.sportengland.org</w:t>
        </w:r>
      </w:hyperlink>
      <w:r w:rsidRPr="7417CC87">
        <w:rPr>
          <w:rFonts w:ascii="Times New Roman" w:eastAsia="Times New Roman" w:hAnsi="Times New Roman" w:cs="Times New Roman"/>
        </w:rPr>
        <w:t xml:space="preserve"> (Accessed: 1 May 2026).</w:t>
      </w:r>
    </w:p>
    <w:p w14:paraId="0293BCB8" w14:textId="4CC79AC7" w:rsidR="7A576C08" w:rsidRDefault="7A576C08" w:rsidP="7417CC87">
      <w:pPr>
        <w:spacing w:before="240" w:after="240"/>
      </w:pPr>
      <w:r w:rsidRPr="7417CC87">
        <w:rPr>
          <w:rFonts w:ascii="Times New Roman" w:eastAsia="Times New Roman" w:hAnsi="Times New Roman" w:cs="Times New Roman"/>
        </w:rPr>
        <w:t xml:space="preserve">Sport England (2023) </w:t>
      </w:r>
      <w:r w:rsidRPr="7417CC87">
        <w:rPr>
          <w:rFonts w:ascii="Times New Roman" w:eastAsia="Times New Roman" w:hAnsi="Times New Roman" w:cs="Times New Roman"/>
          <w:i/>
          <w:iCs/>
        </w:rPr>
        <w:t>Future of public sector leisure</w:t>
      </w:r>
      <w:r w:rsidRPr="7417CC87">
        <w:rPr>
          <w:rFonts w:ascii="Times New Roman" w:eastAsia="Times New Roman" w:hAnsi="Times New Roman" w:cs="Times New Roman"/>
        </w:rPr>
        <w:t>. London: Sport England.</w:t>
      </w:r>
    </w:p>
    <w:p w14:paraId="463F9931" w14:textId="3B83FDDE" w:rsidR="7A576C08" w:rsidRDefault="7A576C08" w:rsidP="7417CC87">
      <w:pPr>
        <w:spacing w:before="240" w:after="240"/>
      </w:pPr>
      <w:r w:rsidRPr="7417CC87">
        <w:rPr>
          <w:rFonts w:ascii="Times New Roman" w:eastAsia="Times New Roman" w:hAnsi="Times New Roman" w:cs="Times New Roman"/>
        </w:rPr>
        <w:t xml:space="preserve">Sport England (2025) </w:t>
      </w:r>
      <w:r w:rsidRPr="7417CC87">
        <w:rPr>
          <w:rFonts w:ascii="Times New Roman" w:eastAsia="Times New Roman" w:hAnsi="Times New Roman" w:cs="Times New Roman"/>
          <w:i/>
          <w:iCs/>
        </w:rPr>
        <w:t>Active Lives adult survey 2023–24</w:t>
      </w:r>
      <w:r w:rsidRPr="7417CC87">
        <w:rPr>
          <w:rFonts w:ascii="Times New Roman" w:eastAsia="Times New Roman" w:hAnsi="Times New Roman" w:cs="Times New Roman"/>
        </w:rPr>
        <w:t>. London: Sport England.</w:t>
      </w:r>
    </w:p>
    <w:p w14:paraId="07AE1A77" w14:textId="424B39EF" w:rsidR="7A576C08" w:rsidRDefault="7A576C08" w:rsidP="7417CC87">
      <w:pPr>
        <w:spacing w:before="240" w:after="240"/>
      </w:pPr>
      <w:r w:rsidRPr="7417CC87">
        <w:rPr>
          <w:rFonts w:ascii="Times New Roman" w:eastAsia="Times New Roman" w:hAnsi="Times New Roman" w:cs="Times New Roman"/>
        </w:rPr>
        <w:t xml:space="preserve">Taylor, P. et al. (2019) </w:t>
      </w:r>
      <w:r w:rsidRPr="7417CC87">
        <w:rPr>
          <w:rFonts w:ascii="Times New Roman" w:eastAsia="Times New Roman" w:hAnsi="Times New Roman" w:cs="Times New Roman"/>
          <w:i/>
          <w:iCs/>
        </w:rPr>
        <w:t>The social and economic value of community sport and physical activity</w:t>
      </w:r>
      <w:r w:rsidRPr="7417CC87">
        <w:rPr>
          <w:rFonts w:ascii="Times New Roman" w:eastAsia="Times New Roman" w:hAnsi="Times New Roman" w:cs="Times New Roman"/>
        </w:rPr>
        <w:t>. Sheffield: Sheffield Hallam University.</w:t>
      </w:r>
    </w:p>
    <w:p w14:paraId="512D721D" w14:textId="5A25929C" w:rsidR="7A576C08" w:rsidRDefault="7A576C08" w:rsidP="7417CC87">
      <w:pPr>
        <w:spacing w:before="240" w:after="240"/>
      </w:pPr>
      <w:r w:rsidRPr="7417CC87">
        <w:rPr>
          <w:rFonts w:ascii="Times New Roman" w:eastAsia="Times New Roman" w:hAnsi="Times New Roman" w:cs="Times New Roman"/>
        </w:rPr>
        <w:t xml:space="preserve">The Football Association (2020) </w:t>
      </w:r>
      <w:r w:rsidRPr="7417CC87">
        <w:rPr>
          <w:rFonts w:ascii="Times New Roman" w:eastAsia="Times New Roman" w:hAnsi="Times New Roman" w:cs="Times New Roman"/>
          <w:i/>
          <w:iCs/>
        </w:rPr>
        <w:t>Grassroots football strategy</w:t>
      </w:r>
      <w:r w:rsidRPr="7417CC87">
        <w:rPr>
          <w:rFonts w:ascii="Times New Roman" w:eastAsia="Times New Roman" w:hAnsi="Times New Roman" w:cs="Times New Roman"/>
        </w:rPr>
        <w:t>. London: The FA.</w:t>
      </w:r>
    </w:p>
    <w:p w14:paraId="04ECDC41" w14:textId="32A918EC" w:rsidR="7A576C08" w:rsidRDefault="7A576C08" w:rsidP="7417CC87">
      <w:pPr>
        <w:spacing w:before="240" w:after="240"/>
      </w:pPr>
      <w:r w:rsidRPr="7417CC87">
        <w:rPr>
          <w:rFonts w:ascii="Times New Roman" w:eastAsia="Times New Roman" w:hAnsi="Times New Roman" w:cs="Times New Roman"/>
        </w:rPr>
        <w:t xml:space="preserve">The Football Association (2021) </w:t>
      </w:r>
      <w:r w:rsidRPr="7417CC87">
        <w:rPr>
          <w:rFonts w:ascii="Times New Roman" w:eastAsia="Times New Roman" w:hAnsi="Times New Roman" w:cs="Times New Roman"/>
          <w:i/>
          <w:iCs/>
        </w:rPr>
        <w:t>Safeguarding children policy and procedures</w:t>
      </w:r>
      <w:r w:rsidRPr="7417CC87">
        <w:rPr>
          <w:rFonts w:ascii="Times New Roman" w:eastAsia="Times New Roman" w:hAnsi="Times New Roman" w:cs="Times New Roman"/>
        </w:rPr>
        <w:t xml:space="preserve">. Available at: </w:t>
      </w:r>
      <w:hyperlink r:id="rId11">
        <w:r w:rsidRPr="7417CC87">
          <w:rPr>
            <w:rStyle w:val="Hyperlink"/>
            <w:rFonts w:ascii="Times New Roman" w:eastAsia="Times New Roman" w:hAnsi="Times New Roman" w:cs="Times New Roman"/>
          </w:rPr>
          <w:t>https://www.thefa.com/football-rules-governance/safeguarding</w:t>
        </w:r>
      </w:hyperlink>
      <w:r w:rsidRPr="7417CC87">
        <w:rPr>
          <w:rFonts w:ascii="Times New Roman" w:eastAsia="Times New Roman" w:hAnsi="Times New Roman" w:cs="Times New Roman"/>
        </w:rPr>
        <w:t xml:space="preserve"> (Accessed: 1 May 2026).</w:t>
      </w:r>
    </w:p>
    <w:p w14:paraId="20574FAD" w14:textId="046F0DB6" w:rsidR="7A576C08" w:rsidRDefault="7A576C08" w:rsidP="7417CC87">
      <w:pPr>
        <w:spacing w:before="240" w:after="240"/>
      </w:pPr>
      <w:r w:rsidRPr="7417CC87">
        <w:rPr>
          <w:rFonts w:ascii="Times New Roman" w:eastAsia="Times New Roman" w:hAnsi="Times New Roman" w:cs="Times New Roman"/>
        </w:rPr>
        <w:t xml:space="preserve">The Football Association (2024) </w:t>
      </w:r>
      <w:r w:rsidRPr="7417CC87">
        <w:rPr>
          <w:rFonts w:ascii="Times New Roman" w:eastAsia="Times New Roman" w:hAnsi="Times New Roman" w:cs="Times New Roman"/>
          <w:i/>
          <w:iCs/>
        </w:rPr>
        <w:t>A thriving grassroots game: grassroots strategy 2024–2028</w:t>
      </w:r>
      <w:r w:rsidRPr="7417CC87">
        <w:rPr>
          <w:rFonts w:ascii="Times New Roman" w:eastAsia="Times New Roman" w:hAnsi="Times New Roman" w:cs="Times New Roman"/>
        </w:rPr>
        <w:t>. London: The Football Association.</w:t>
      </w:r>
    </w:p>
    <w:p w14:paraId="35EBC402" w14:textId="538D0C87" w:rsidR="7A576C08" w:rsidRDefault="7A576C08" w:rsidP="7417CC87">
      <w:pPr>
        <w:spacing w:before="240" w:after="240"/>
      </w:pPr>
      <w:r w:rsidRPr="7417CC87">
        <w:rPr>
          <w:rFonts w:ascii="Times New Roman" w:eastAsia="Times New Roman" w:hAnsi="Times New Roman" w:cs="Times New Roman"/>
        </w:rPr>
        <w:t xml:space="preserve">Toohey, L.A. et al. (2021) ‘An updated subsequent injury categorisation model’, </w:t>
      </w:r>
      <w:r w:rsidRPr="7417CC87">
        <w:rPr>
          <w:rFonts w:ascii="Times New Roman" w:eastAsia="Times New Roman" w:hAnsi="Times New Roman" w:cs="Times New Roman"/>
          <w:i/>
          <w:iCs/>
        </w:rPr>
        <w:t>Journal of Science and Medicine in Sport</w:t>
      </w:r>
      <w:r w:rsidRPr="7417CC87">
        <w:rPr>
          <w:rFonts w:ascii="Times New Roman" w:eastAsia="Times New Roman" w:hAnsi="Times New Roman" w:cs="Times New Roman"/>
        </w:rPr>
        <w:t>, 24(8), pp. 749–755.</w:t>
      </w:r>
    </w:p>
    <w:p w14:paraId="35178E64" w14:textId="04CBD510" w:rsidR="7A576C08" w:rsidRDefault="7A576C08" w:rsidP="7417CC87">
      <w:pPr>
        <w:spacing w:before="240" w:after="240"/>
      </w:pPr>
      <w:r w:rsidRPr="7417CC87">
        <w:rPr>
          <w:rFonts w:ascii="Times New Roman" w:eastAsia="Times New Roman" w:hAnsi="Times New Roman" w:cs="Times New Roman"/>
        </w:rPr>
        <w:t xml:space="preserve">Watson, E.E. and Minns Lowe, C.J. (2023) ‘Exploring the business skills, experiences and preparedness of UK-based private physiotherapists when establishing and developing a physiotherapy business’, </w:t>
      </w:r>
      <w:r w:rsidRPr="7417CC87">
        <w:rPr>
          <w:rFonts w:ascii="Times New Roman" w:eastAsia="Times New Roman" w:hAnsi="Times New Roman" w:cs="Times New Roman"/>
          <w:i/>
          <w:iCs/>
        </w:rPr>
        <w:t>Musculoskeletal Science and Practice</w:t>
      </w:r>
      <w:r w:rsidRPr="7417CC87">
        <w:rPr>
          <w:rFonts w:ascii="Times New Roman" w:eastAsia="Times New Roman" w:hAnsi="Times New Roman" w:cs="Times New Roman"/>
        </w:rPr>
        <w:t>, 63.</w:t>
      </w:r>
    </w:p>
    <w:p w14:paraId="232BBC4F" w14:textId="1AA78E07" w:rsidR="7A576C08" w:rsidRDefault="7A576C08" w:rsidP="7417CC87">
      <w:pPr>
        <w:spacing w:before="240" w:after="240"/>
      </w:pPr>
      <w:r w:rsidRPr="7417CC87">
        <w:rPr>
          <w:rFonts w:ascii="Times New Roman" w:eastAsia="Times New Roman" w:hAnsi="Times New Roman" w:cs="Times New Roman"/>
        </w:rPr>
        <w:t xml:space="preserve">Wicker, P. and Breuer, C. (2014) ‘Exploring the organizational capacity of community sport clubs’, </w:t>
      </w:r>
      <w:r w:rsidRPr="7417CC87">
        <w:rPr>
          <w:rFonts w:ascii="Times New Roman" w:eastAsia="Times New Roman" w:hAnsi="Times New Roman" w:cs="Times New Roman"/>
          <w:i/>
          <w:iCs/>
        </w:rPr>
        <w:t>Sport Management Review</w:t>
      </w:r>
      <w:r w:rsidRPr="7417CC87">
        <w:rPr>
          <w:rFonts w:ascii="Times New Roman" w:eastAsia="Times New Roman" w:hAnsi="Times New Roman" w:cs="Times New Roman"/>
        </w:rPr>
        <w:t>, 17(3), pp. 276–290.</w:t>
      </w:r>
    </w:p>
    <w:p w14:paraId="6AC0F1AC" w14:textId="162670F5" w:rsidR="7A576C08" w:rsidRDefault="7A576C08" w:rsidP="7417CC87">
      <w:pPr>
        <w:spacing w:before="240" w:after="240"/>
      </w:pPr>
      <w:r w:rsidRPr="7417CC87">
        <w:rPr>
          <w:rFonts w:ascii="Times New Roman" w:eastAsia="Times New Roman" w:hAnsi="Times New Roman" w:cs="Times New Roman"/>
        </w:rPr>
        <w:t xml:space="preserve">Zeithaml, V.A., Bitner, M.J. and Gremler, D.D. (2018) </w:t>
      </w:r>
      <w:r w:rsidRPr="7417CC87">
        <w:rPr>
          <w:rFonts w:ascii="Times New Roman" w:eastAsia="Times New Roman" w:hAnsi="Times New Roman" w:cs="Times New Roman"/>
          <w:i/>
          <w:iCs/>
        </w:rPr>
        <w:t>Services marketing: integrating customer focus across the firm</w:t>
      </w:r>
      <w:r w:rsidRPr="7417CC87">
        <w:rPr>
          <w:rFonts w:ascii="Times New Roman" w:eastAsia="Times New Roman" w:hAnsi="Times New Roman" w:cs="Times New Roman"/>
        </w:rPr>
        <w:t>. 7th edn. New York: McGraw-Hill.</w:t>
      </w:r>
    </w:p>
    <w:p w14:paraId="4D80B4FF" w14:textId="3B7BB7D5" w:rsidR="7417CC87" w:rsidRDefault="7417CC87" w:rsidP="7417CC87">
      <w:pPr>
        <w:spacing w:before="240" w:after="240" w:line="480" w:lineRule="auto"/>
        <w:rPr>
          <w:rFonts w:ascii="Times New Roman" w:eastAsia="Times New Roman" w:hAnsi="Times New Roman" w:cs="Times New Roman"/>
          <w:b/>
          <w:bCs/>
          <w:u w:val="single"/>
        </w:rPr>
      </w:pPr>
    </w:p>
    <w:p w14:paraId="31B4415A" w14:textId="37F7D72F" w:rsidR="7417CC87" w:rsidRDefault="7417CC87" w:rsidP="7417CC87">
      <w:pPr>
        <w:spacing w:before="240" w:after="240" w:line="480" w:lineRule="auto"/>
        <w:rPr>
          <w:rFonts w:ascii="Times New Roman" w:eastAsia="Times New Roman" w:hAnsi="Times New Roman" w:cs="Times New Roman"/>
        </w:rPr>
      </w:pPr>
    </w:p>
    <w:sectPr w:rsidR="7417CC8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411006"/>
    <w:rsid w:val="001D1F77"/>
    <w:rsid w:val="00586561"/>
    <w:rsid w:val="00691C1F"/>
    <w:rsid w:val="00762AE9"/>
    <w:rsid w:val="0093213E"/>
    <w:rsid w:val="00FC32D4"/>
    <w:rsid w:val="0152D2F7"/>
    <w:rsid w:val="02047092"/>
    <w:rsid w:val="0211F7B1"/>
    <w:rsid w:val="02CEEAA3"/>
    <w:rsid w:val="036B43C3"/>
    <w:rsid w:val="03EAC0E8"/>
    <w:rsid w:val="044A9DE9"/>
    <w:rsid w:val="0487958E"/>
    <w:rsid w:val="05A30051"/>
    <w:rsid w:val="06885DF1"/>
    <w:rsid w:val="069A1EF7"/>
    <w:rsid w:val="071C0FB7"/>
    <w:rsid w:val="073C7EDB"/>
    <w:rsid w:val="0936038C"/>
    <w:rsid w:val="094E2A30"/>
    <w:rsid w:val="0BD33146"/>
    <w:rsid w:val="0BF6B9CD"/>
    <w:rsid w:val="0C2E2053"/>
    <w:rsid w:val="0D3EBF15"/>
    <w:rsid w:val="0E6B4F22"/>
    <w:rsid w:val="0EB0C632"/>
    <w:rsid w:val="0F58773F"/>
    <w:rsid w:val="100D9B3A"/>
    <w:rsid w:val="10AE9AB1"/>
    <w:rsid w:val="10D7D379"/>
    <w:rsid w:val="11878430"/>
    <w:rsid w:val="11978E96"/>
    <w:rsid w:val="1282EDC7"/>
    <w:rsid w:val="12C3EA8B"/>
    <w:rsid w:val="144349FF"/>
    <w:rsid w:val="1470C405"/>
    <w:rsid w:val="14E35E19"/>
    <w:rsid w:val="158BED72"/>
    <w:rsid w:val="169F48B4"/>
    <w:rsid w:val="17920068"/>
    <w:rsid w:val="18796B24"/>
    <w:rsid w:val="19422B45"/>
    <w:rsid w:val="19E5B1E9"/>
    <w:rsid w:val="1CE3AE69"/>
    <w:rsid w:val="1D582B6C"/>
    <w:rsid w:val="1DE6DB72"/>
    <w:rsid w:val="1E85DAC4"/>
    <w:rsid w:val="1EFF23C1"/>
    <w:rsid w:val="20290A00"/>
    <w:rsid w:val="20EFF8F8"/>
    <w:rsid w:val="2691E9CB"/>
    <w:rsid w:val="27997D5C"/>
    <w:rsid w:val="27BA9EA4"/>
    <w:rsid w:val="28212D4F"/>
    <w:rsid w:val="283FDE8F"/>
    <w:rsid w:val="2909627C"/>
    <w:rsid w:val="2A144DD7"/>
    <w:rsid w:val="2A7903E6"/>
    <w:rsid w:val="2C41FF91"/>
    <w:rsid w:val="2CF0ED20"/>
    <w:rsid w:val="2D060901"/>
    <w:rsid w:val="32008BA3"/>
    <w:rsid w:val="338F0099"/>
    <w:rsid w:val="33E5B241"/>
    <w:rsid w:val="3697E92E"/>
    <w:rsid w:val="39039D8C"/>
    <w:rsid w:val="3A3FEA86"/>
    <w:rsid w:val="3A6CFCD8"/>
    <w:rsid w:val="3A74EB67"/>
    <w:rsid w:val="3B646658"/>
    <w:rsid w:val="3DB2A4F8"/>
    <w:rsid w:val="3E0DE4E5"/>
    <w:rsid w:val="3FD49D65"/>
    <w:rsid w:val="4144A99A"/>
    <w:rsid w:val="41D2FC2B"/>
    <w:rsid w:val="42411006"/>
    <w:rsid w:val="428406DD"/>
    <w:rsid w:val="43927112"/>
    <w:rsid w:val="44FC4AE0"/>
    <w:rsid w:val="458585F5"/>
    <w:rsid w:val="45AFDA62"/>
    <w:rsid w:val="4775794A"/>
    <w:rsid w:val="47C08542"/>
    <w:rsid w:val="49E16F56"/>
    <w:rsid w:val="4A1F9D2E"/>
    <w:rsid w:val="4D6B76D9"/>
    <w:rsid w:val="4DB4FAB0"/>
    <w:rsid w:val="4E489926"/>
    <w:rsid w:val="4F539C55"/>
    <w:rsid w:val="50A910AD"/>
    <w:rsid w:val="510B5060"/>
    <w:rsid w:val="517649C6"/>
    <w:rsid w:val="52257B09"/>
    <w:rsid w:val="52C47F69"/>
    <w:rsid w:val="54631C17"/>
    <w:rsid w:val="546D8CFB"/>
    <w:rsid w:val="54794C82"/>
    <w:rsid w:val="5586386A"/>
    <w:rsid w:val="55E6E46E"/>
    <w:rsid w:val="5752D6C8"/>
    <w:rsid w:val="580DED92"/>
    <w:rsid w:val="594786C6"/>
    <w:rsid w:val="5985B53B"/>
    <w:rsid w:val="5A79A6F6"/>
    <w:rsid w:val="5A94C96D"/>
    <w:rsid w:val="5DD4484F"/>
    <w:rsid w:val="5E2EA0DD"/>
    <w:rsid w:val="5FAC5103"/>
    <w:rsid w:val="5FE9C656"/>
    <w:rsid w:val="5FFB5AB5"/>
    <w:rsid w:val="601115B1"/>
    <w:rsid w:val="61B26563"/>
    <w:rsid w:val="62D8A774"/>
    <w:rsid w:val="6392A642"/>
    <w:rsid w:val="63C4EB13"/>
    <w:rsid w:val="63E1B749"/>
    <w:rsid w:val="6443DB68"/>
    <w:rsid w:val="65615D5E"/>
    <w:rsid w:val="65D1AD71"/>
    <w:rsid w:val="665D4033"/>
    <w:rsid w:val="66812BDB"/>
    <w:rsid w:val="66A13AC6"/>
    <w:rsid w:val="671E5B41"/>
    <w:rsid w:val="672224FA"/>
    <w:rsid w:val="679FE253"/>
    <w:rsid w:val="6811E395"/>
    <w:rsid w:val="68DE5B99"/>
    <w:rsid w:val="6912443C"/>
    <w:rsid w:val="69F3902C"/>
    <w:rsid w:val="69FF4B3B"/>
    <w:rsid w:val="6A3AE887"/>
    <w:rsid w:val="6A3E81EF"/>
    <w:rsid w:val="6AC254F3"/>
    <w:rsid w:val="6ACF73B3"/>
    <w:rsid w:val="6B0A7222"/>
    <w:rsid w:val="6B9E16DE"/>
    <w:rsid w:val="6C37573A"/>
    <w:rsid w:val="6C925189"/>
    <w:rsid w:val="6CC3992B"/>
    <w:rsid w:val="6CCBA32C"/>
    <w:rsid w:val="6D540789"/>
    <w:rsid w:val="6DBB11AF"/>
    <w:rsid w:val="6DEE9852"/>
    <w:rsid w:val="701AF219"/>
    <w:rsid w:val="703F71A8"/>
    <w:rsid w:val="706CA0E7"/>
    <w:rsid w:val="70A44E01"/>
    <w:rsid w:val="721688F5"/>
    <w:rsid w:val="7254DCA3"/>
    <w:rsid w:val="72FB6592"/>
    <w:rsid w:val="7417CC87"/>
    <w:rsid w:val="761C32AF"/>
    <w:rsid w:val="7809F9F4"/>
    <w:rsid w:val="78345A78"/>
    <w:rsid w:val="78AEC2E7"/>
    <w:rsid w:val="78C7BAAB"/>
    <w:rsid w:val="7A576C08"/>
    <w:rsid w:val="7CA2D171"/>
    <w:rsid w:val="7D5ABF93"/>
    <w:rsid w:val="7E49783F"/>
    <w:rsid w:val="7E4A1C7A"/>
    <w:rsid w:val="7F343C8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D4F8D93"/>
  <w15:chartTrackingRefBased/>
  <w15:docId w15:val="{DFC32CA2-F338-4975-BEEC-E1E1ED102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7417CC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7417CC87"/>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7417CC8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orking-together-to-safeguard-children"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www.ama.org/marketing-news/the-four-ps-of-marketing/" TargetMode="Externa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fa.com/football-rules-governance/safeguarding" TargetMode="External"/><Relationship Id="rId5" Type="http://schemas.openxmlformats.org/officeDocument/2006/relationships/settings" Target="settings.xml"/><Relationship Id="rId10" Type="http://schemas.openxmlformats.org/officeDocument/2006/relationships/hyperlink" Target="https://www.sportengland.org/" TargetMode="External"/><Relationship Id="rId4" Type="http://schemas.openxmlformats.org/officeDocument/2006/relationships/styles" Target="styles.xml"/><Relationship Id="rId9" Type="http://schemas.openxmlformats.org/officeDocument/2006/relationships/hyperlink" Target="https://www.hcpc-uk.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2" ma:contentTypeDescription="Create a new document." ma:contentTypeScope="" ma:versionID="9682267bd9decfbe227a66d3facae721">
  <xsd:schema xmlns:xsd="http://www.w3.org/2001/XMLSchema" xmlns:xs="http://www.w3.org/2001/XMLSchema" xmlns:p="http://schemas.microsoft.com/office/2006/metadata/properties" xmlns:ns3="0ebdf10f-b5a3-45b6-acdb-7dc1eb398785" targetNamespace="http://schemas.microsoft.com/office/2006/metadata/properties" ma:root="true" ma:fieldsID="881ac145b21f336767ade46e97d4f034"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_activity"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7F0E079-223E-40D8-BFD2-7066E6BFF66A}">
  <ds:schemaRefs>
    <ds:schemaRef ds:uri="http://schemas.microsoft.com/sharepoint/v3/contenttype/forms"/>
  </ds:schemaRefs>
</ds:datastoreItem>
</file>

<file path=customXml/itemProps2.xml><?xml version="1.0" encoding="utf-8"?>
<ds:datastoreItem xmlns:ds="http://schemas.openxmlformats.org/officeDocument/2006/customXml" ds:itemID="{6D15EAE9-5439-4D97-B400-F2AA1257BCF3}">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5BA92E60-FEDD-4EE8-9FB3-3EB36DDEA9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M Barker (2307670)</dc:creator>
  <cp:keywords/>
  <dc:description/>
  <cp:lastModifiedBy>Joe Wade (2318273)</cp:lastModifiedBy>
  <cp:revision>2</cp:revision>
  <dcterms:created xsi:type="dcterms:W3CDTF">2026-05-04T21:51:00Z</dcterms:created>
  <dcterms:modified xsi:type="dcterms:W3CDTF">2026-05-04T21:53:00Z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