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1. Critically outline the main themes presented in 1 and 2 Maccabees. In your answer, please also refer to the differences between 1 and 2 Maccabees. - James Barrow [1702562]</w:t>
      </w:r>
    </w:p>
    <w:p w:rsidR="00000000" w:rsidDel="00000000" w:rsidP="00000000" w:rsidRDefault="00000000" w:rsidRPr="00000000" w14:paraId="00000002">
      <w:pPr>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and 2 Maccabees are both ‘deuterocanonical books’, which means that they are defined as being part of a secondary canon of the Bible. Books that are considered to be deuterocanonical are books that are seen as being part of the Bible by some Christian sects, but with that not being necessarily universal, meaning that only a certain amount of Judaeo-Christian believing people trust in the validity of these books.</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Thus, the two books of Maccabees are only found in what is called the Apocrypha – a collection of literature occasionally included in the Bible between the Old (Hebrew Bible) and the New Testament (Christian) scriptures. Both books are attempts to serve as a factual depiction of a revolt against the Seleucid Empire and the restoration of the Jewish way of life after the fact, serving as a purely historical tale designed to teach the readers about the oppression suffered by the Jewish people at the mercy of King Antiochus IV, and both how the Seleucid Empire was defeated and the significance that this has on the faith, as celebrations about the Maccabean Revolt take place even today.</w:t>
      </w:r>
    </w:p>
    <w:p w:rsidR="00000000" w:rsidDel="00000000" w:rsidP="00000000" w:rsidRDefault="00000000" w:rsidRPr="00000000" w14:paraId="0000000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themes that are contained within 1 and 2 Maccabees helped shape some of the most important facets of Jewish beliefs, as, for example, 1 Maccabees is significant in the fact that it tells the story behind the Jewish holiday of </w:t>
      </w:r>
      <w:r w:rsidDel="00000000" w:rsidR="00000000" w:rsidRPr="00000000">
        <w:rPr>
          <w:rFonts w:ascii="Times New Roman" w:cs="Times New Roman" w:eastAsia="Times New Roman" w:hAnsi="Times New Roman"/>
          <w:i w:val="1"/>
          <w:sz w:val="24"/>
          <w:szCs w:val="24"/>
          <w:rtl w:val="0"/>
        </w:rPr>
        <w:t xml:space="preserve">Hanukkah</w:t>
      </w:r>
      <w:r w:rsidDel="00000000" w:rsidR="00000000" w:rsidRPr="00000000">
        <w:rPr>
          <w:rFonts w:ascii="Times New Roman" w:cs="Times New Roman" w:eastAsia="Times New Roman" w:hAnsi="Times New Roman"/>
          <w:sz w:val="24"/>
          <w:szCs w:val="24"/>
          <w:rtl w:val="0"/>
        </w:rPr>
        <w:t xml:space="preserve">, as it tells the history behind it and the specific instructions for when it should be celebrated and for how long it should be celebrated for. The passage in question reads, “Then Judas and his brothers and all the assembly of Israel determined that every year at that season the days of dedication of the altar should be observed with joy and gladness for eight days, beginning with the twenty-fifth day of the month of Chislev.” (1 Macc. 4:59 [NRSV]) In this passage, not only is there a clear understanding of a feast that is still celebrated today, that being Hanukkah, but also of how the victory of the Maccabean Revolt for the Maccabeans is a cause for great joy and relief, and should therefore be treated as such. Even in the direct aftermath of the battle that decided their victory, Judas and his brothers told everyone to clean and dedicate the sanctuary, which implies a happy occasion as it is being prepared for a victory feast. 1 Maccabees retells this event by reading:</w:t>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276"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Then both sides attacked, and there fell of the army of Lysias five thousand men; they fell in action. When Lysias saw the rout of his troops and observed the boldness that inspired those of Judas, and how ready they were either to live or to die nobly, he withdrew to Antioch and enlisted mercenaries in order to invade Judea again with an even larger army. Then Judas and his brothers said, “See, our enemies are crushed; let us go up to cleanse the sanctuary and dedicate it.” (1 Macc. 4:34-36 [NRSV])</w:t>
      </w:r>
    </w:p>
    <w:p w:rsidR="00000000" w:rsidDel="00000000" w:rsidP="00000000" w:rsidRDefault="00000000" w:rsidRPr="00000000" w14:paraId="00000008">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Maccabees, however, presents an issue with the telling of how the beginnings of Hanukkah truly began, as timings in 1 Maccabees are vague when pertaining to Lysia’s campaign against the Seleucid Empire, with the campaign not being mentioned at all at the respective point in history. These inconsistencies are brought up in more detail by James C. VanderKam, who states that:</w:t>
      </w:r>
    </w:p>
    <w:p w:rsidR="00000000" w:rsidDel="00000000" w:rsidP="00000000" w:rsidRDefault="00000000" w:rsidRPr="00000000" w14:paraId="0000000A">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276"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arrangement of the events in the Maccabean Revolt as told by 1 Maccabees] seems unobjectionable, but when one examines the narratives more closely and compares this scheme with data from 2 Maccabees, problems do arise. The dating of Lysias's campaign is problematic because the expression 'in the next year' (1 Mac. 4.28) is not precise and 2 Maccabees 8 fails to mention a campaign led by Lysias at this historical juncture.</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tl w:val="0"/>
        </w:rPr>
      </w:r>
    </w:p>
    <w:p w:rsidR="00000000" w:rsidDel="00000000" w:rsidP="00000000" w:rsidRDefault="00000000" w:rsidRPr="00000000" w14:paraId="0000000C">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it comes to retelling the story of the Maccabean Revolt against the Seleucid Empire, Joseph P. Schultz makes the point that the account of the Hebrew texts may not be the same as what actually historically occurred. Schultz’s view is presented as such:</w:t>
      </w:r>
    </w:p>
    <w:p w:rsidR="00000000" w:rsidDel="00000000" w:rsidP="00000000" w:rsidRDefault="00000000" w:rsidRPr="00000000" w14:paraId="0000000E">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276"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Jewish tradition, following the books of the Maccabees, has ascribed the subsequent revolt against Antiochus Epiphanes to a despotic king's policy of religious persecution. Modern scholarship, on the other hand, considers the Maccabean revolt</w:t>
      </w:r>
      <w:r w:rsidDel="00000000" w:rsidR="00000000" w:rsidRPr="00000000">
        <w:rPr>
          <w:rFonts w:ascii="Times New Roman" w:cs="Times New Roman" w:eastAsia="Times New Roman" w:hAnsi="Times New Roman"/>
          <w:sz w:val="12"/>
          <w:szCs w:val="12"/>
          <w:rtl w:val="0"/>
        </w:rPr>
        <w:t xml:space="preserve">[sic]</w:t>
      </w:r>
      <w:r w:rsidDel="00000000" w:rsidR="00000000" w:rsidRPr="00000000">
        <w:rPr>
          <w:rFonts w:ascii="Times New Roman" w:cs="Times New Roman" w:eastAsia="Times New Roman" w:hAnsi="Times New Roman"/>
          <w:sz w:val="24"/>
          <w:szCs w:val="24"/>
          <w:rtl w:val="0"/>
        </w:rPr>
        <w:t xml:space="preserve"> less as an uprising against foreign oppression than as a civil war between the orthodox and reformist parties in the Jewish camp.</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tl w:val="0"/>
        </w:rPr>
      </w:r>
    </w:p>
    <w:p w:rsidR="00000000" w:rsidDel="00000000" w:rsidP="00000000" w:rsidRDefault="00000000" w:rsidRPr="00000000" w14:paraId="00000010">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events that can therefore be ascertained from the texts may not be historically </w:t>
      </w:r>
      <w:r w:rsidDel="00000000" w:rsidR="00000000" w:rsidRPr="00000000">
        <w:rPr>
          <w:rFonts w:ascii="Times New Roman" w:cs="Times New Roman" w:eastAsia="Times New Roman" w:hAnsi="Times New Roman"/>
          <w:i w:val="1"/>
          <w:sz w:val="24"/>
          <w:szCs w:val="24"/>
          <w:rtl w:val="0"/>
        </w:rPr>
        <w:t xml:space="preserve">accurate</w:t>
      </w:r>
      <w:r w:rsidDel="00000000" w:rsidR="00000000" w:rsidRPr="00000000">
        <w:rPr>
          <w:rFonts w:ascii="Times New Roman" w:cs="Times New Roman" w:eastAsia="Times New Roman" w:hAnsi="Times New Roman"/>
          <w:sz w:val="24"/>
          <w:szCs w:val="24"/>
          <w:rtl w:val="0"/>
        </w:rPr>
        <w:t xml:space="preserve">, but are still important when learning what is valued in Jewish tradition, that being the overcoming of a powerful and authoritative evil for the sake of upholding religious customs and the freedom to practise those customs. The themes can also be found in the Book of Exodus when Moses frees the Jewish populace from the Pharoah.</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Fonts w:ascii="Times New Roman" w:cs="Times New Roman" w:eastAsia="Times New Roman" w:hAnsi="Times New Roman"/>
          <w:sz w:val="24"/>
          <w:szCs w:val="24"/>
          <w:rtl w:val="0"/>
        </w:rPr>
        <w:t xml:space="preserve"> This underdog story of the Maccabeans revolting against the corrupt system shows a theme of </w:t>
      </w:r>
      <w:r w:rsidDel="00000000" w:rsidR="00000000" w:rsidRPr="00000000">
        <w:rPr>
          <w:rFonts w:ascii="Times New Roman" w:cs="Times New Roman" w:eastAsia="Times New Roman" w:hAnsi="Times New Roman"/>
          <w:i w:val="1"/>
          <w:sz w:val="24"/>
          <w:szCs w:val="24"/>
          <w:rtl w:val="0"/>
        </w:rPr>
        <w:t xml:space="preserve">heroism</w:t>
      </w:r>
      <w:r w:rsidDel="00000000" w:rsidR="00000000" w:rsidRPr="00000000">
        <w:rPr>
          <w:rFonts w:ascii="Times New Roman" w:cs="Times New Roman" w:eastAsia="Times New Roman" w:hAnsi="Times New Roman"/>
          <w:sz w:val="24"/>
          <w:szCs w:val="24"/>
          <w:rtl w:val="0"/>
        </w:rPr>
        <w:t xml:space="preserve">, perpetuating the stories of </w:t>
      </w:r>
      <w:r w:rsidDel="00000000" w:rsidR="00000000" w:rsidRPr="00000000">
        <w:rPr>
          <w:rFonts w:ascii="Times New Roman" w:cs="Times New Roman" w:eastAsia="Times New Roman" w:hAnsi="Times New Roman"/>
          <w:i w:val="1"/>
          <w:sz w:val="24"/>
          <w:szCs w:val="24"/>
          <w:rtl w:val="0"/>
        </w:rPr>
        <w:t xml:space="preserve">heroes </w:t>
      </w:r>
      <w:r w:rsidDel="00000000" w:rsidR="00000000" w:rsidRPr="00000000">
        <w:rPr>
          <w:rFonts w:ascii="Times New Roman" w:cs="Times New Roman" w:eastAsia="Times New Roman" w:hAnsi="Times New Roman"/>
          <w:sz w:val="24"/>
          <w:szCs w:val="24"/>
          <w:rtl w:val="0"/>
        </w:rPr>
        <w:t xml:space="preserve">that helped end the subjugation of the Maccabeans. Roger Tomes presents an idea of heroism in both Maccabees texts with the seven brothers, writing, “The seven brothers are heroic because they not only choose to suffer torture and die excruciating deaths rather than eat pork but also courageously tell the king the reasons for their choice and their belief that he will have to answer for his arrogance and cruelty.”</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 Here it is shown again how heroism is seen to be performed when the hero is in a time of strife against an assailant. The themes therefore of both Maccabees can be interpreted to be that of an underdog tale, teaching the readers that even in times of strong persecution, a good person of faith will maintain their faith until the bitter end.</w:t>
      </w:r>
    </w:p>
    <w:p w:rsidR="00000000" w:rsidDel="00000000" w:rsidP="00000000" w:rsidRDefault="00000000" w:rsidRPr="00000000" w14:paraId="00000012">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Circling back to differences between the two books, what must also be noted about 1 and 2 Maccabees is that the differences between both texts can be seen in the language in how they are written, as 1 Maccabees was written by an unknown Jewish author in the Hebrew language (the original Hebrew text of 1 Maccabees is missing and therefore the author can not be truly verified), and 2 Maccabees (written originally not in Hebrew but Greek) itself attributes the author as being Jason of Cyrene, as it reads “The story of Judas Maccabeus and his brothers, and the purification of the great temple, and the dedication of the altar, [...] all this, which has been set forth by Jason of Cyrene in five volumes, we shall attempt to condense into a single book.” (2 Macc. 2:19, 23 [NRSV]) What is a key fact about Jason of Cyrene is that he was a </w:t>
      </w:r>
      <w:r w:rsidDel="00000000" w:rsidR="00000000" w:rsidRPr="00000000">
        <w:rPr>
          <w:rFonts w:ascii="Times New Roman" w:cs="Times New Roman" w:eastAsia="Times New Roman" w:hAnsi="Times New Roman"/>
          <w:i w:val="1"/>
          <w:sz w:val="24"/>
          <w:szCs w:val="24"/>
          <w:rtl w:val="0"/>
        </w:rPr>
        <w:t xml:space="preserve">Hellenistic </w:t>
      </w:r>
      <w:r w:rsidDel="00000000" w:rsidR="00000000" w:rsidRPr="00000000">
        <w:rPr>
          <w:rFonts w:ascii="Times New Roman" w:cs="Times New Roman" w:eastAsia="Times New Roman" w:hAnsi="Times New Roman"/>
          <w:sz w:val="24"/>
          <w:szCs w:val="24"/>
          <w:rtl w:val="0"/>
        </w:rPr>
        <w:t xml:space="preserve">Jew, meaning that whilst he was still ostensibly a man of the Jewish faith, his culture and customs are heavily influenced by that of Hellenistic values, which in turn permeates throughout his text and provides a different context to the way that it presents the history of the Maccabean Revolt. Guy Darshan writes of the linguistic differences between the two Maccabees books by saying:</w:t>
      </w:r>
    </w:p>
    <w:p w:rsidR="00000000" w:rsidDel="00000000" w:rsidP="00000000" w:rsidRDefault="00000000" w:rsidRPr="00000000" w14:paraId="00000014">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276"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obverse of the previous section is the absence of typical linguistic features of the Greek language. The most prominent example is the absence of μέν and δέ sentences: the particle μέν does not occur at all in 1 Maccabees, while in 2 Maccabees, which represents the literary </w:t>
      </w:r>
      <w:r w:rsidDel="00000000" w:rsidR="00000000" w:rsidRPr="00000000">
        <w:rPr>
          <w:rFonts w:ascii="Times New Roman" w:cs="Times New Roman" w:eastAsia="Times New Roman" w:hAnsi="Times New Roman"/>
          <w:i w:val="1"/>
          <w:sz w:val="24"/>
          <w:szCs w:val="24"/>
          <w:rtl w:val="0"/>
        </w:rPr>
        <w:t xml:space="preserve">koine </w:t>
      </w:r>
      <w:r w:rsidDel="00000000" w:rsidR="00000000" w:rsidRPr="00000000">
        <w:rPr>
          <w:rFonts w:ascii="Times New Roman" w:cs="Times New Roman" w:eastAsia="Times New Roman" w:hAnsi="Times New Roman"/>
          <w:sz w:val="24"/>
          <w:szCs w:val="24"/>
          <w:rtl w:val="0"/>
        </w:rPr>
        <w:t xml:space="preserve">style of the same period, it appears 57 times.</w:t>
      </w:r>
      <w:r w:rsidDel="00000000" w:rsidR="00000000" w:rsidRPr="00000000">
        <w:rPr>
          <w:rFonts w:ascii="Times New Roman" w:cs="Times New Roman" w:eastAsia="Times New Roman" w:hAnsi="Times New Roman"/>
          <w:sz w:val="24"/>
          <w:szCs w:val="24"/>
          <w:vertAlign w:val="superscript"/>
        </w:rPr>
        <w:footnoteReference w:customMarkFollows="0" w:id="5"/>
      </w:r>
      <w:r w:rsidDel="00000000" w:rsidR="00000000" w:rsidRPr="00000000">
        <w:rPr>
          <w:rtl w:val="0"/>
        </w:rPr>
      </w:r>
    </w:p>
    <w:p w:rsidR="00000000" w:rsidDel="00000000" w:rsidP="00000000" w:rsidRDefault="00000000" w:rsidRPr="00000000" w14:paraId="00000016">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idea of Greek language being prominent in 2 Maccabees but not 1 Maccabees is not a fact that is only noted by Darshan, as Martha Himmelfarb also writes of the Hellenistic influences that is prominent within the text, as she writes:</w:t>
      </w:r>
    </w:p>
    <w:p w:rsidR="00000000" w:rsidDel="00000000" w:rsidP="00000000" w:rsidRDefault="00000000" w:rsidRPr="00000000" w14:paraId="00000018">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276"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Maccabees itself combines these antithetical categories: It is at once Jewish in its piety and Greek in its mode of expression. Thus Elias Bickerman, who inaugurated a new era in the study of the Maccabean revolt, refers to 2 Maccabees' 'synthesis of narrowly orthodox theology with the most powerful hellenistic rhetoric'.</w:t>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tl w:val="0"/>
        </w:rPr>
      </w:r>
    </w:p>
    <w:p w:rsidR="00000000" w:rsidDel="00000000" w:rsidP="00000000" w:rsidRDefault="00000000" w:rsidRPr="00000000" w14:paraId="0000001A">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it can be seen that a core difference in the presentation is in the linguistics of either text, which leads to differences in the historical accounts and creating doubt as to when certain events, such as the the aforementioned discrepancy between the two texts regarding Lysias’s campaign against the forces of King Antiochus IV. 2 Maccabees is therefore deemed by Himmelfarb to be Hellenistic in its approach to telling the historical ‘facts’ of the revolt against the Seleucid Empire. This is due to the presentation as well as a noted increase in frequency of a </w:t>
      </w:r>
      <w:r w:rsidDel="00000000" w:rsidR="00000000" w:rsidRPr="00000000">
        <w:rPr>
          <w:rFonts w:ascii="Times New Roman" w:cs="Times New Roman" w:eastAsia="Times New Roman" w:hAnsi="Times New Roman"/>
          <w:i w:val="1"/>
          <w:sz w:val="24"/>
          <w:szCs w:val="24"/>
          <w:rtl w:val="0"/>
        </w:rPr>
        <w:t xml:space="preserve">rejection</w:t>
      </w:r>
      <w:r w:rsidDel="00000000" w:rsidR="00000000" w:rsidRPr="00000000">
        <w:rPr>
          <w:rFonts w:ascii="Times New Roman" w:cs="Times New Roman" w:eastAsia="Times New Roman" w:hAnsi="Times New Roman"/>
          <w:sz w:val="24"/>
          <w:szCs w:val="24"/>
          <w:rtl w:val="0"/>
        </w:rPr>
        <w:t xml:space="preserve"> of Hellenism, despite being written by a Hellenistic Jew and containing language consistent to that of someone of Hellenistic views. Himmelfarb continues, “For 2 Maccabees, then, Hellenism is a threat to traditional values. It is hard to imagine the prophets coining terms like </w:t>
      </w:r>
      <w:r w:rsidDel="00000000" w:rsidR="00000000" w:rsidRPr="00000000">
        <w:rPr>
          <w:rFonts w:ascii="Times New Roman" w:cs="Times New Roman" w:eastAsia="Times New Roman" w:hAnsi="Times New Roman"/>
          <w:sz w:val="24"/>
          <w:szCs w:val="24"/>
          <w:rtl w:val="0"/>
        </w:rPr>
        <w:t xml:space="preserve">Assyrianism</w:t>
      </w:r>
      <w:r w:rsidDel="00000000" w:rsidR="00000000" w:rsidRPr="00000000">
        <w:rPr>
          <w:rFonts w:ascii="Times New Roman" w:cs="Times New Roman" w:eastAsia="Times New Roman" w:hAnsi="Times New Roman"/>
          <w:sz w:val="24"/>
          <w:szCs w:val="24"/>
          <w:rtl w:val="0"/>
        </w:rPr>
        <w:t xml:space="preserve"> or </w:t>
      </w:r>
      <w:r w:rsidDel="00000000" w:rsidR="00000000" w:rsidRPr="00000000">
        <w:rPr>
          <w:rFonts w:ascii="Times New Roman" w:cs="Times New Roman" w:eastAsia="Times New Roman" w:hAnsi="Times New Roman"/>
          <w:sz w:val="24"/>
          <w:szCs w:val="24"/>
          <w:rtl w:val="0"/>
        </w:rPr>
        <w:t xml:space="preserve">Babylonianism</w:t>
      </w:r>
      <w:r w:rsidDel="00000000" w:rsidR="00000000" w:rsidRPr="00000000">
        <w:rPr>
          <w:rFonts w:ascii="Times New Roman" w:cs="Times New Roman" w:eastAsia="Times New Roman" w:hAnsi="Times New Roman"/>
          <w:sz w:val="24"/>
          <w:szCs w:val="24"/>
          <w:rtl w:val="0"/>
        </w:rPr>
        <w:t xml:space="preserve">. For Isaiah of Jerusalem there was no Assyrian culture apart from Assyrian might and Assyrian gods.”</w:t>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Fonts w:ascii="Times New Roman" w:cs="Times New Roman" w:eastAsia="Times New Roman" w:hAnsi="Times New Roman"/>
          <w:sz w:val="24"/>
          <w:szCs w:val="24"/>
          <w:rtl w:val="0"/>
        </w:rPr>
        <w:t xml:space="preserve"> The same cannot be said for 1 Maccabees on account that the original, unknown author does not share the same origins as Jason of Cyrene. Therefore the themes of Hellenisation in 2 Maccabees is fundamentally different to that of 1 Maccabees because 1 Maccabees simply does not have the content in order for it to share the same themes and values.</w:t>
      </w:r>
    </w:p>
    <w:p w:rsidR="00000000" w:rsidDel="00000000" w:rsidP="00000000" w:rsidRDefault="00000000" w:rsidRPr="00000000" w14:paraId="0000001C">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theme shared in both 1 and 2 Maccabees is the idea of circumcision being performed as a religious ritual. The custom of circumcision in the Jewish faith goes as far back as the Book of Genesis, with the important passage reading, “Both the slave born in your house and the one bought with your money must be circumcised. So shall my covenant be in your flesh an everlasting covenant.” (Gen. 17:12 [NRSV]) Whilst this is the first reference of circumcision in the Bible, it became enshrined as a </w:t>
      </w:r>
      <w:r w:rsidDel="00000000" w:rsidR="00000000" w:rsidRPr="00000000">
        <w:rPr>
          <w:rFonts w:ascii="Times New Roman" w:cs="Times New Roman" w:eastAsia="Times New Roman" w:hAnsi="Times New Roman"/>
          <w:i w:val="1"/>
          <w:sz w:val="24"/>
          <w:szCs w:val="24"/>
          <w:rtl w:val="0"/>
        </w:rPr>
        <w:t xml:space="preserve">commandment </w:t>
      </w:r>
      <w:r w:rsidDel="00000000" w:rsidR="00000000" w:rsidRPr="00000000">
        <w:rPr>
          <w:rFonts w:ascii="Times New Roman" w:cs="Times New Roman" w:eastAsia="Times New Roman" w:hAnsi="Times New Roman"/>
          <w:sz w:val="24"/>
          <w:szCs w:val="24"/>
          <w:rtl w:val="0"/>
        </w:rPr>
        <w:t xml:space="preserve">by Moses in Leviticus when he says unto the Israelites, “The Lord said to Moses, "Say to the Israelites: ‘A woman who becomes pregnant and gives birth to a son will be ceremonially unclean for seven days, just as she is unclean during her monthly period. On the eighth day the boy is to be circumcised.” (Lev. 12:1-3 [NRSV]) J.M. Glass writes: </w:t>
      </w:r>
    </w:p>
    <w:p w:rsidR="00000000" w:rsidDel="00000000" w:rsidP="00000000" w:rsidRDefault="00000000" w:rsidRPr="00000000" w14:paraId="0000001E">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24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therefore no debate within Judaism about the necessity for circumcision in Jewish law. There is no reason to seek justification based on health or other grounds, circumcision is a commandment (a mitzvah) from God and as such no intervention would persuade religious Jews to stop performing this ritual.</w:t>
      </w:r>
      <w:r w:rsidDel="00000000" w:rsidR="00000000" w:rsidRPr="00000000">
        <w:rPr>
          <w:rFonts w:ascii="Times New Roman" w:cs="Times New Roman" w:eastAsia="Times New Roman" w:hAnsi="Times New Roman"/>
          <w:sz w:val="24"/>
          <w:szCs w:val="24"/>
          <w:vertAlign w:val="superscript"/>
        </w:rPr>
        <w:footnoteReference w:customMarkFollows="0" w:id="8"/>
      </w:r>
      <w:r w:rsidDel="00000000" w:rsidR="00000000" w:rsidRPr="00000000">
        <w:rPr>
          <w:rtl w:val="0"/>
        </w:rPr>
      </w:r>
    </w:p>
    <w:p w:rsidR="00000000" w:rsidDel="00000000" w:rsidP="00000000" w:rsidRDefault="00000000" w:rsidRPr="00000000" w14:paraId="00000020">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in 1 and 2 Maccabees, references to circumcision instead depict how circumcision was demonised by King Antiochus IV’s regime and the punishments that ensued for the Maccabeans. The relevant sections read:</w:t>
      </w:r>
    </w:p>
    <w:p w:rsidR="00000000" w:rsidDel="00000000" w:rsidP="00000000" w:rsidRDefault="00000000" w:rsidRPr="00000000" w14:paraId="00000022">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276"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 Mattathias and his friends went around and tore down the altars; they forcibly circumcised all the uncircumcised boys that they found within the borders of Israel.” (1 Macc 2:45-46 [NRSV]) </w:t>
      </w:r>
    </w:p>
    <w:p w:rsidR="00000000" w:rsidDel="00000000" w:rsidP="00000000" w:rsidRDefault="00000000" w:rsidRPr="00000000" w14:paraId="00000024">
      <w:pPr>
        <w:spacing w:line="276"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line="276"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example, two women were brought in for having circumcised their children. They publicly paraded them around the city, with their babies hanging at their breasts, and then hurled them down headlong from the wall.” (2 Macc. 6:10 [NRSV])</w:t>
      </w:r>
    </w:p>
    <w:p w:rsidR="00000000" w:rsidDel="00000000" w:rsidP="00000000" w:rsidRDefault="00000000" w:rsidRPr="00000000" w14:paraId="00000026">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these two quotes emphasise is a further oppression experienced by the Jewish people of Maccabees, presenting the theme of oppression and overcoming it for the sake of freedom not only in the flesh and the real world, but also the soul so that they may be free spiritually to perform the customs that were deemed to be </w:t>
      </w:r>
      <w:r w:rsidDel="00000000" w:rsidR="00000000" w:rsidRPr="00000000">
        <w:rPr>
          <w:rFonts w:ascii="Times New Roman" w:cs="Times New Roman" w:eastAsia="Times New Roman" w:hAnsi="Times New Roman"/>
          <w:i w:val="1"/>
          <w:sz w:val="24"/>
          <w:szCs w:val="24"/>
          <w:rtl w:val="0"/>
        </w:rPr>
        <w:t xml:space="preserve">essential </w:t>
      </w:r>
      <w:r w:rsidDel="00000000" w:rsidR="00000000" w:rsidRPr="00000000">
        <w:rPr>
          <w:rFonts w:ascii="Times New Roman" w:cs="Times New Roman" w:eastAsia="Times New Roman" w:hAnsi="Times New Roman"/>
          <w:sz w:val="24"/>
          <w:szCs w:val="24"/>
          <w:rtl w:val="0"/>
        </w:rPr>
        <w:t xml:space="preserve">to perform if one were to be a practising Jewish person. There are differences between the two quotes though, as Joseph Hellerman compares them by writing, “Although the epitomizer who penned 2 Maccabees does not specifically describe the prohibition of circumcision as a part of Antiochus's decree, he provides more details than 1 Maccabees regarding the fate of those who refused to obey the edict.”</w:t>
      </w:r>
      <w:r w:rsidDel="00000000" w:rsidR="00000000" w:rsidRPr="00000000">
        <w:rPr>
          <w:rFonts w:ascii="Times New Roman" w:cs="Times New Roman" w:eastAsia="Times New Roman" w:hAnsi="Times New Roman"/>
          <w:sz w:val="24"/>
          <w:szCs w:val="24"/>
          <w:vertAlign w:val="superscript"/>
        </w:rPr>
        <w:footnoteReference w:customMarkFollows="0" w:id="9"/>
      </w:r>
      <w:r w:rsidDel="00000000" w:rsidR="00000000" w:rsidRPr="00000000">
        <w:rPr>
          <w:rtl w:val="0"/>
        </w:rPr>
      </w:r>
    </w:p>
    <w:p w:rsidR="00000000" w:rsidDel="00000000" w:rsidP="00000000" w:rsidRDefault="00000000" w:rsidRPr="00000000" w14:paraId="00000028">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Isaac T Soon, the excerpts from Maccabees that show these </w:t>
      </w:r>
      <w:r w:rsidDel="00000000" w:rsidR="00000000" w:rsidRPr="00000000">
        <w:rPr>
          <w:rFonts w:ascii="Times New Roman" w:cs="Times New Roman" w:eastAsia="Times New Roman" w:hAnsi="Times New Roman"/>
          <w:i w:val="1"/>
          <w:sz w:val="24"/>
          <w:szCs w:val="24"/>
          <w:rtl w:val="0"/>
        </w:rPr>
        <w:t xml:space="preserve">violent </w:t>
      </w:r>
      <w:r w:rsidDel="00000000" w:rsidR="00000000" w:rsidRPr="00000000">
        <w:rPr>
          <w:rFonts w:ascii="Times New Roman" w:cs="Times New Roman" w:eastAsia="Times New Roman" w:hAnsi="Times New Roman"/>
          <w:sz w:val="24"/>
          <w:szCs w:val="24"/>
          <w:rtl w:val="0"/>
        </w:rPr>
        <w:t xml:space="preserve">depictions of what circumcision could actually be a fictional account instead of historical, as he writes about how “The ‘forceful circumcision’ in 1 Macc 2:46 is therefore understood as a literary creation, taken by some as explanatory propaganda for the rationale behind the alleged conversion of the Idumaeans through circumcision in the time of John Hyrcanus I.”</w:t>
      </w:r>
      <w:r w:rsidDel="00000000" w:rsidR="00000000" w:rsidRPr="00000000">
        <w:rPr>
          <w:rFonts w:ascii="Times New Roman" w:cs="Times New Roman" w:eastAsia="Times New Roman" w:hAnsi="Times New Roman"/>
          <w:sz w:val="24"/>
          <w:szCs w:val="24"/>
          <w:vertAlign w:val="superscript"/>
        </w:rPr>
        <w:footnoteReference w:customMarkFollows="0" w:id="10"/>
      </w:r>
      <w:r w:rsidDel="00000000" w:rsidR="00000000" w:rsidRPr="00000000">
        <w:rPr>
          <w:rFonts w:ascii="Times New Roman" w:cs="Times New Roman" w:eastAsia="Times New Roman" w:hAnsi="Times New Roman"/>
          <w:sz w:val="24"/>
          <w:szCs w:val="24"/>
          <w:rtl w:val="0"/>
        </w:rPr>
        <w:t xml:space="preserve"> Soon’s interpretation that this is propaganda written to stir the readers into believing that there is oppression that needs to be fixed is consistent with the core themes of 1 Maccabees, as it continues to propagate the notion of corruption within the Seleucid Empire, and the need for people to act against it. What this therefore does is culminate many of the prior themes into a whole and consolidate them to one overarching theme of </w:t>
      </w:r>
      <w:r w:rsidDel="00000000" w:rsidR="00000000" w:rsidRPr="00000000">
        <w:rPr>
          <w:rFonts w:ascii="Times New Roman" w:cs="Times New Roman" w:eastAsia="Times New Roman" w:hAnsi="Times New Roman"/>
          <w:i w:val="1"/>
          <w:sz w:val="24"/>
          <w:szCs w:val="24"/>
          <w:rtl w:val="0"/>
        </w:rPr>
        <w:t xml:space="preserve">revenge</w:t>
      </w:r>
      <w:r w:rsidDel="00000000" w:rsidR="00000000" w:rsidRPr="00000000">
        <w:rPr>
          <w:rFonts w:ascii="Times New Roman" w:cs="Times New Roman" w:eastAsia="Times New Roman" w:hAnsi="Times New Roman"/>
          <w:sz w:val="24"/>
          <w:szCs w:val="24"/>
          <w:rtl w:val="0"/>
        </w:rPr>
        <w:t xml:space="preserve"> against those who committed crimes against God in the eyes of the Jewish faith. Pierre J. Jordaan writes, “In 2 Maccabees there is temple corruption, temple robbery and temple prostitution. All of this adds up to temple defilement, as the temple and its service have been contaminated. This constituted sin before the God of the Jews.”</w:t>
      </w:r>
      <w:r w:rsidDel="00000000" w:rsidR="00000000" w:rsidRPr="00000000">
        <w:rPr>
          <w:rFonts w:ascii="Times New Roman" w:cs="Times New Roman" w:eastAsia="Times New Roman" w:hAnsi="Times New Roman"/>
          <w:sz w:val="24"/>
          <w:szCs w:val="24"/>
          <w:vertAlign w:val="superscript"/>
        </w:rPr>
        <w:footnoteReference w:customMarkFollows="0" w:id="11"/>
      </w:r>
      <w:r w:rsidDel="00000000" w:rsidR="00000000" w:rsidRPr="00000000">
        <w:rPr>
          <w:rFonts w:ascii="Times New Roman" w:cs="Times New Roman" w:eastAsia="Times New Roman" w:hAnsi="Times New Roman"/>
          <w:sz w:val="24"/>
          <w:szCs w:val="24"/>
          <w:rtl w:val="0"/>
        </w:rPr>
        <w:t xml:space="preserve"> What 2 Maccabees does with its depiction of circumcision, alongside showing the other crimes as noted by Jordaan, is </w:t>
      </w:r>
      <w:r w:rsidDel="00000000" w:rsidR="00000000" w:rsidRPr="00000000">
        <w:rPr>
          <w:rFonts w:ascii="Times New Roman" w:cs="Times New Roman" w:eastAsia="Times New Roman" w:hAnsi="Times New Roman"/>
          <w:i w:val="1"/>
          <w:sz w:val="24"/>
          <w:szCs w:val="24"/>
          <w:rtl w:val="0"/>
        </w:rPr>
        <w:t xml:space="preserve">rally </w:t>
      </w:r>
      <w:r w:rsidDel="00000000" w:rsidR="00000000" w:rsidRPr="00000000">
        <w:rPr>
          <w:rFonts w:ascii="Times New Roman" w:cs="Times New Roman" w:eastAsia="Times New Roman" w:hAnsi="Times New Roman"/>
          <w:sz w:val="24"/>
          <w:szCs w:val="24"/>
          <w:rtl w:val="0"/>
        </w:rPr>
        <w:t xml:space="preserve">people against King Antiochus’ regime in an attempt to stir faith and to help galvanise people to believing in the tradition Jewish custom on account that they are the ones in the right and are being treated with disdain despite that. </w:t>
      </w:r>
    </w:p>
    <w:p w:rsidR="00000000" w:rsidDel="00000000" w:rsidP="00000000" w:rsidRDefault="00000000" w:rsidRPr="00000000" w14:paraId="0000002A">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Maccabees is similar, as it reads:</w:t>
      </w:r>
    </w:p>
    <w:p w:rsidR="00000000" w:rsidDel="00000000" w:rsidP="00000000" w:rsidRDefault="00000000" w:rsidRPr="00000000" w14:paraId="0000002C">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276"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Simon said to him in reply: “We have neither taken foreign land nor seized foreign property, but only the inheritance of our ancestors, which at one time had been unjustly taken by our enemies. Now that we have the opportunity, we are firmly holding the inheritance of our ancestors.” (1 Macc. 15:33-34 [NRSV])</w:t>
      </w:r>
    </w:p>
    <w:p w:rsidR="00000000" w:rsidDel="00000000" w:rsidP="00000000" w:rsidRDefault="00000000" w:rsidRPr="00000000" w14:paraId="0000002E">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Jonathan Goldstein says in his commentary on this passage, “Seleucid kings had insisted on that principle [the right to retake one's ancestral heritage] as well as on the right of possession by conquest [...] The Jews' claims based on divine promises to their ancestors and on previous conquest should have had at least equal validity.”</w:t>
      </w:r>
      <w:r w:rsidDel="00000000" w:rsidR="00000000" w:rsidRPr="00000000">
        <w:rPr>
          <w:rFonts w:ascii="Times New Roman" w:cs="Times New Roman" w:eastAsia="Times New Roman" w:hAnsi="Times New Roman"/>
          <w:sz w:val="24"/>
          <w:szCs w:val="24"/>
          <w:vertAlign w:val="superscript"/>
        </w:rPr>
        <w:footnoteReference w:customMarkFollows="0" w:id="12"/>
      </w:r>
      <w:r w:rsidDel="00000000" w:rsidR="00000000" w:rsidRPr="00000000">
        <w:rPr>
          <w:rFonts w:ascii="Times New Roman" w:cs="Times New Roman" w:eastAsia="Times New Roman" w:hAnsi="Times New Roman"/>
          <w:sz w:val="24"/>
          <w:szCs w:val="24"/>
          <w:rtl w:val="0"/>
        </w:rPr>
        <w:t xml:space="preserve"> The idea of retaking land that is believed to belong to Jewish people is prominent in religious texts, and it is a core tenet of the Book of Exodus. With this, 1 and 2 Maccabees are calling, in some way, for Jewishs people to reclaim and maintain their lost land. The two Maccabees texts continue the same message that Exodus started, of how the Jewish populace is an oppressed one, and that something must be done so that they may act in their faith freely. Albeit, in Maccabees, the way that this is presented is different between the two texts. 1 Maccabees notes the wants of the ‘enemy’, that being the Seleucid Empire, whilst 2 Maccabees lists the sins that were committed by the empire and why that needs to be rectified. Both remain the same in message but are different in the actual content of the text and the presentation of said message.</w:t>
      </w:r>
    </w:p>
    <w:p w:rsidR="00000000" w:rsidDel="00000000" w:rsidP="00000000" w:rsidRDefault="00000000" w:rsidRPr="00000000" w14:paraId="00000030">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35.99999999999994"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both 1 and 2 Maccabees share a similar overarching message, with rituals and customs, such as Hanukkah and the rite of circumcision, being shown in disarray because of a sinful and oppressive Seleucid Empire, coalescing into a singular message telling the Jewish people to rise against any oppressors in the same way that in shown in these texts. Some parts may not be strictly historical, but the themes are bolstered by this, as it acts as a propaganda tool rather than a historical tale. The differences lie in the structure of the text, which is inherent due to 1 Maccabees being written by an unknown Jewish writer and 2 Maccabees being written by the Hellenistic Jew Jason of Cyrene. As a result, each of the two texts presents two different histories, especially concerning the discrepancy of Lysias’ campaign. Overall, 1 and 2 Maccabees diverge in their methodology to present their core themes, but end up with a similar conclusion.</w:t>
      </w:r>
      <w:r w:rsidDel="00000000" w:rsidR="00000000" w:rsidRPr="00000000">
        <w:br w:type="page"/>
      </w:r>
      <w:r w:rsidDel="00000000" w:rsidR="00000000" w:rsidRPr="00000000">
        <w:rPr>
          <w:rtl w:val="0"/>
        </w:rPr>
      </w:r>
    </w:p>
    <w:p w:rsidR="00000000" w:rsidDel="00000000" w:rsidP="00000000" w:rsidRDefault="00000000" w:rsidRPr="00000000" w14:paraId="00000032">
      <w:pPr>
        <w:keepNext w:val="0"/>
        <w:keepLines w:val="0"/>
        <w:spacing w:after="80" w:before="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33">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Berthelot, Katell, "The Biblical Conquest Of The Promised Land And The Hasmonaean Wars According To 1 And 2 Maccabees", </w:t>
      </w:r>
      <w:r w:rsidDel="00000000" w:rsidR="00000000" w:rsidRPr="00000000">
        <w:rPr>
          <w:rFonts w:ascii="Times New Roman" w:cs="Times New Roman" w:eastAsia="Times New Roman" w:hAnsi="Times New Roman"/>
          <w:i w:val="1"/>
          <w:sz w:val="24"/>
          <w:szCs w:val="24"/>
          <w:rtl w:val="0"/>
        </w:rPr>
        <w:t xml:space="preserve">The Books Of The Maccabees: History, Theology, Ideology</w:t>
      </w:r>
      <w:r w:rsidDel="00000000" w:rsidR="00000000" w:rsidRPr="00000000">
        <w:rPr>
          <w:rFonts w:ascii="Times New Roman" w:cs="Times New Roman" w:eastAsia="Times New Roman" w:hAnsi="Times New Roman"/>
          <w:sz w:val="24"/>
          <w:szCs w:val="24"/>
          <w:rtl w:val="0"/>
        </w:rPr>
        <w:t xml:space="preserve">, 2007, 45-60 &lt;https://doi.org/10.1163/9789047418931_005&gt;</w:t>
      </w:r>
    </w:p>
    <w:p w:rsidR="00000000" w:rsidDel="00000000" w:rsidP="00000000" w:rsidRDefault="00000000" w:rsidRPr="00000000" w14:paraId="00000034">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Darshan, Guy, "The Original Language Of 1 Maccabees: A Reexamination", </w:t>
      </w:r>
      <w:r w:rsidDel="00000000" w:rsidR="00000000" w:rsidRPr="00000000">
        <w:rPr>
          <w:rFonts w:ascii="Times New Roman" w:cs="Times New Roman" w:eastAsia="Times New Roman" w:hAnsi="Times New Roman"/>
          <w:i w:val="1"/>
          <w:sz w:val="24"/>
          <w:szCs w:val="24"/>
          <w:rtl w:val="0"/>
        </w:rPr>
        <w:t xml:space="preserve">Biblische Notizen</w:t>
      </w:r>
      <w:r w:rsidDel="00000000" w:rsidR="00000000" w:rsidRPr="00000000">
        <w:rPr>
          <w:rFonts w:ascii="Times New Roman" w:cs="Times New Roman" w:eastAsia="Times New Roman" w:hAnsi="Times New Roman"/>
          <w:sz w:val="24"/>
          <w:szCs w:val="24"/>
          <w:rtl w:val="0"/>
        </w:rPr>
        <w:t xml:space="preserve">, 182 (2019), 91-110</w:t>
      </w:r>
    </w:p>
    <w:p w:rsidR="00000000" w:rsidDel="00000000" w:rsidP="00000000" w:rsidRDefault="00000000" w:rsidRPr="00000000" w14:paraId="00000035">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Glass, J.M., "Religious Circumcision: A Jewish View", </w:t>
      </w:r>
      <w:r w:rsidDel="00000000" w:rsidR="00000000" w:rsidRPr="00000000">
        <w:rPr>
          <w:rFonts w:ascii="Times New Roman" w:cs="Times New Roman" w:eastAsia="Times New Roman" w:hAnsi="Times New Roman"/>
          <w:i w:val="1"/>
          <w:sz w:val="24"/>
          <w:szCs w:val="24"/>
          <w:rtl w:val="0"/>
        </w:rPr>
        <w:t xml:space="preserve">BJU International</w:t>
      </w:r>
      <w:r w:rsidDel="00000000" w:rsidR="00000000" w:rsidRPr="00000000">
        <w:rPr>
          <w:rFonts w:ascii="Times New Roman" w:cs="Times New Roman" w:eastAsia="Times New Roman" w:hAnsi="Times New Roman"/>
          <w:sz w:val="24"/>
          <w:szCs w:val="24"/>
          <w:rtl w:val="0"/>
        </w:rPr>
        <w:t xml:space="preserve">, 83 (2002), 17-21 &lt;https://doi.org/10.1046/j.1464-410x.1999.0830s1017.x&gt;</w:t>
      </w:r>
    </w:p>
    <w:p w:rsidR="00000000" w:rsidDel="00000000" w:rsidP="00000000" w:rsidRDefault="00000000" w:rsidRPr="00000000" w14:paraId="00000036">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Goldstein, Jonathan A, </w:t>
      </w:r>
      <w:r w:rsidDel="00000000" w:rsidR="00000000" w:rsidRPr="00000000">
        <w:rPr>
          <w:rFonts w:ascii="Times New Roman" w:cs="Times New Roman" w:eastAsia="Times New Roman" w:hAnsi="Times New Roman"/>
          <w:i w:val="1"/>
          <w:sz w:val="24"/>
          <w:szCs w:val="24"/>
          <w:rtl w:val="0"/>
        </w:rPr>
        <w:t xml:space="preserve">I Maccabees</w:t>
      </w:r>
      <w:r w:rsidDel="00000000" w:rsidR="00000000" w:rsidRPr="00000000">
        <w:rPr>
          <w:rFonts w:ascii="Times New Roman" w:cs="Times New Roman" w:eastAsia="Times New Roman" w:hAnsi="Times New Roman"/>
          <w:sz w:val="24"/>
          <w:szCs w:val="24"/>
          <w:rtl w:val="0"/>
        </w:rPr>
        <w:t xml:space="preserve"> (Garden City: Doubleday, 1984), p. 516</w:t>
      </w:r>
    </w:p>
    <w:p w:rsidR="00000000" w:rsidDel="00000000" w:rsidP="00000000" w:rsidRDefault="00000000" w:rsidRPr="00000000" w14:paraId="00000037">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Hellerman, Joseph, "Purity And Nationalism In Second Temple Literature: 1-2 Maccabees And Jubilees", </w:t>
      </w:r>
      <w:r w:rsidDel="00000000" w:rsidR="00000000" w:rsidRPr="00000000">
        <w:rPr>
          <w:rFonts w:ascii="Times New Roman" w:cs="Times New Roman" w:eastAsia="Times New Roman" w:hAnsi="Times New Roman"/>
          <w:i w:val="1"/>
          <w:sz w:val="24"/>
          <w:szCs w:val="24"/>
          <w:rtl w:val="0"/>
        </w:rPr>
        <w:t xml:space="preserve">Journal Of The Evangelical Theological Society;</w:t>
      </w:r>
      <w:r w:rsidDel="00000000" w:rsidR="00000000" w:rsidRPr="00000000">
        <w:rPr>
          <w:rFonts w:ascii="Times New Roman" w:cs="Times New Roman" w:eastAsia="Times New Roman" w:hAnsi="Times New Roman"/>
          <w:sz w:val="24"/>
          <w:szCs w:val="24"/>
          <w:rtl w:val="0"/>
        </w:rPr>
        <w:t xml:space="preserve">, 46 (2003), 401-421</w:t>
      </w:r>
    </w:p>
    <w:p w:rsidR="00000000" w:rsidDel="00000000" w:rsidP="00000000" w:rsidRDefault="00000000" w:rsidRPr="00000000" w14:paraId="00000038">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Himmelfarb, Martha, "Judaism And Hellenism In 2 Maccabees", </w:t>
      </w:r>
      <w:r w:rsidDel="00000000" w:rsidR="00000000" w:rsidRPr="00000000">
        <w:rPr>
          <w:rFonts w:ascii="Times New Roman" w:cs="Times New Roman" w:eastAsia="Times New Roman" w:hAnsi="Times New Roman"/>
          <w:i w:val="1"/>
          <w:sz w:val="24"/>
          <w:szCs w:val="24"/>
          <w:rtl w:val="0"/>
        </w:rPr>
        <w:t xml:space="preserve">Poetics Today</w:t>
      </w:r>
      <w:r w:rsidDel="00000000" w:rsidR="00000000" w:rsidRPr="00000000">
        <w:rPr>
          <w:rFonts w:ascii="Times New Roman" w:cs="Times New Roman" w:eastAsia="Times New Roman" w:hAnsi="Times New Roman"/>
          <w:sz w:val="24"/>
          <w:szCs w:val="24"/>
          <w:rtl w:val="0"/>
        </w:rPr>
        <w:t xml:space="preserve">, 19 (1998), 19-40 &lt;https://doi.org/10.2307/1773110&gt;</w:t>
      </w:r>
    </w:p>
    <w:p w:rsidR="00000000" w:rsidDel="00000000" w:rsidP="00000000" w:rsidRDefault="00000000" w:rsidRPr="00000000" w14:paraId="00000039">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Jordaan, Pierre J., "Ritual, Rage And Revenge In 2 Maccabees 6 And 7", </w:t>
      </w:r>
      <w:r w:rsidDel="00000000" w:rsidR="00000000" w:rsidRPr="00000000">
        <w:rPr>
          <w:rFonts w:ascii="Times New Roman" w:cs="Times New Roman" w:eastAsia="Times New Roman" w:hAnsi="Times New Roman"/>
          <w:i w:val="1"/>
          <w:sz w:val="24"/>
          <w:szCs w:val="24"/>
          <w:rtl w:val="0"/>
        </w:rPr>
        <w:t xml:space="preserve">HTS Teologiese Studies / Theological Studies</w:t>
      </w:r>
      <w:r w:rsidDel="00000000" w:rsidR="00000000" w:rsidRPr="00000000">
        <w:rPr>
          <w:rFonts w:ascii="Times New Roman" w:cs="Times New Roman" w:eastAsia="Times New Roman" w:hAnsi="Times New Roman"/>
          <w:sz w:val="24"/>
          <w:szCs w:val="24"/>
          <w:rtl w:val="0"/>
        </w:rPr>
        <w:t xml:space="preserve">, 68 (2012), 1-5 &lt;https://doi.org/10.4102/hts.v68i1.1271&gt;</w:t>
      </w:r>
    </w:p>
    <w:p w:rsidR="00000000" w:rsidDel="00000000" w:rsidP="00000000" w:rsidRDefault="00000000" w:rsidRPr="00000000" w14:paraId="0000003A">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Kelly, John Norman Davidson, </w:t>
      </w:r>
      <w:r w:rsidDel="00000000" w:rsidR="00000000" w:rsidRPr="00000000">
        <w:rPr>
          <w:rFonts w:ascii="Times New Roman" w:cs="Times New Roman" w:eastAsia="Times New Roman" w:hAnsi="Times New Roman"/>
          <w:i w:val="1"/>
          <w:sz w:val="24"/>
          <w:szCs w:val="24"/>
          <w:rtl w:val="0"/>
        </w:rPr>
        <w:t xml:space="preserve">Early Christian Doctrines</w:t>
      </w:r>
      <w:r w:rsidDel="00000000" w:rsidR="00000000" w:rsidRPr="00000000">
        <w:rPr>
          <w:rFonts w:ascii="Times New Roman" w:cs="Times New Roman" w:eastAsia="Times New Roman" w:hAnsi="Times New Roman"/>
          <w:sz w:val="24"/>
          <w:szCs w:val="24"/>
          <w:rtl w:val="0"/>
        </w:rPr>
        <w:t xml:space="preserve"> (London: A. &amp; C. Black, 1980), p. 57</w:t>
      </w:r>
    </w:p>
    <w:p w:rsidR="00000000" w:rsidDel="00000000" w:rsidP="00000000" w:rsidRDefault="00000000" w:rsidRPr="00000000" w14:paraId="0000003B">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Schultz, Joseph P, </w:t>
      </w:r>
      <w:r w:rsidDel="00000000" w:rsidR="00000000" w:rsidRPr="00000000">
        <w:rPr>
          <w:rFonts w:ascii="Times New Roman" w:cs="Times New Roman" w:eastAsia="Times New Roman" w:hAnsi="Times New Roman"/>
          <w:i w:val="1"/>
          <w:sz w:val="24"/>
          <w:szCs w:val="24"/>
          <w:rtl w:val="0"/>
        </w:rPr>
        <w:t xml:space="preserve">Judaism And The Gentile Faiths</w:t>
      </w:r>
      <w:r w:rsidDel="00000000" w:rsidR="00000000" w:rsidRPr="00000000">
        <w:rPr>
          <w:rFonts w:ascii="Times New Roman" w:cs="Times New Roman" w:eastAsia="Times New Roman" w:hAnsi="Times New Roman"/>
          <w:sz w:val="24"/>
          <w:szCs w:val="24"/>
          <w:rtl w:val="0"/>
        </w:rPr>
        <w:t xml:space="preserve"> (Rutherford: Fairleigh Dickinson University Press, 1981), p. 155</w:t>
      </w:r>
    </w:p>
    <w:p w:rsidR="00000000" w:rsidDel="00000000" w:rsidP="00000000" w:rsidRDefault="00000000" w:rsidRPr="00000000" w14:paraId="0000003C">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Soon, Isaac T, "“In Strength” Not “By Force”: Re-Reading The Circumcision Of The Uncircumcised Ἐν Ἰσχύι In 1 Macc 2:46", </w:t>
      </w:r>
      <w:r w:rsidDel="00000000" w:rsidR="00000000" w:rsidRPr="00000000">
        <w:rPr>
          <w:rFonts w:ascii="Times New Roman" w:cs="Times New Roman" w:eastAsia="Times New Roman" w:hAnsi="Times New Roman"/>
          <w:i w:val="1"/>
          <w:sz w:val="24"/>
          <w:szCs w:val="24"/>
          <w:rtl w:val="0"/>
        </w:rPr>
        <w:t xml:space="preserve">Journal For The Study Of The Pseudepigrapha</w:t>
      </w:r>
      <w:r w:rsidDel="00000000" w:rsidR="00000000" w:rsidRPr="00000000">
        <w:rPr>
          <w:rFonts w:ascii="Times New Roman" w:cs="Times New Roman" w:eastAsia="Times New Roman" w:hAnsi="Times New Roman"/>
          <w:sz w:val="24"/>
          <w:szCs w:val="24"/>
          <w:rtl w:val="0"/>
        </w:rPr>
        <w:t xml:space="preserve">, 29 (2020), 149-167 &lt;https://doi.org/10.1177/0951820720902086&gt;</w:t>
      </w:r>
    </w:p>
    <w:p w:rsidR="00000000" w:rsidDel="00000000" w:rsidP="00000000" w:rsidRDefault="00000000" w:rsidRPr="00000000" w14:paraId="0000003D">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Tomes, Roger, "Heroism In 1 And 2 Maccabees", </w:t>
      </w:r>
      <w:r w:rsidDel="00000000" w:rsidR="00000000" w:rsidRPr="00000000">
        <w:rPr>
          <w:rFonts w:ascii="Times New Roman" w:cs="Times New Roman" w:eastAsia="Times New Roman" w:hAnsi="Times New Roman"/>
          <w:i w:val="1"/>
          <w:sz w:val="24"/>
          <w:szCs w:val="24"/>
          <w:rtl w:val="0"/>
        </w:rPr>
        <w:t xml:space="preserve">Biblical Interpretation</w:t>
      </w:r>
      <w:r w:rsidDel="00000000" w:rsidR="00000000" w:rsidRPr="00000000">
        <w:rPr>
          <w:rFonts w:ascii="Times New Roman" w:cs="Times New Roman" w:eastAsia="Times New Roman" w:hAnsi="Times New Roman"/>
          <w:sz w:val="24"/>
          <w:szCs w:val="24"/>
          <w:rtl w:val="0"/>
        </w:rPr>
        <w:t xml:space="preserve">, 15 (2007), 171-199 &lt;https://doi.org/10.1163/156851507x181147&gt;</w:t>
      </w:r>
    </w:p>
    <w:p w:rsidR="00000000" w:rsidDel="00000000" w:rsidP="00000000" w:rsidRDefault="00000000" w:rsidRPr="00000000" w14:paraId="0000003E">
      <w:pP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VanderKam, James C., "Hanukkah: Its Timing And Significance According To 1 And 2 Maccabees", </w:t>
      </w:r>
      <w:r w:rsidDel="00000000" w:rsidR="00000000" w:rsidRPr="00000000">
        <w:rPr>
          <w:rFonts w:ascii="Times New Roman" w:cs="Times New Roman" w:eastAsia="Times New Roman" w:hAnsi="Times New Roman"/>
          <w:i w:val="1"/>
          <w:sz w:val="24"/>
          <w:szCs w:val="24"/>
          <w:rtl w:val="0"/>
        </w:rPr>
        <w:t xml:space="preserve">Journal For The Study Of The Pseudepigrapha</w:t>
      </w:r>
      <w:r w:rsidDel="00000000" w:rsidR="00000000" w:rsidRPr="00000000">
        <w:rPr>
          <w:rFonts w:ascii="Times New Roman" w:cs="Times New Roman" w:eastAsia="Times New Roman" w:hAnsi="Times New Roman"/>
          <w:sz w:val="24"/>
          <w:szCs w:val="24"/>
          <w:rtl w:val="0"/>
        </w:rPr>
        <w:t xml:space="preserve">, 1 (1987), 23-40 &lt;https://doi.org/10.1177/095182078700000103&gt;</w:t>
      </w:r>
    </w:p>
    <w:p w:rsidR="00000000" w:rsidDel="00000000" w:rsidP="00000000" w:rsidRDefault="00000000" w:rsidRPr="00000000" w14:paraId="0000003F">
      <w:pPr>
        <w:ind w:left="0" w:firstLine="0"/>
        <w:jc w:val="both"/>
        <w:rPr>
          <w:rFonts w:ascii="Times New Roman" w:cs="Times New Roman" w:eastAsia="Times New Roman" w:hAnsi="Times New Roman"/>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John Norman Davidson Kelly, </w:t>
      </w:r>
      <w:r w:rsidDel="00000000" w:rsidR="00000000" w:rsidRPr="00000000">
        <w:rPr>
          <w:i w:val="1"/>
          <w:sz w:val="20"/>
          <w:szCs w:val="20"/>
          <w:rtl w:val="0"/>
        </w:rPr>
        <w:t xml:space="preserve">Early Christian Doctrines </w:t>
      </w:r>
      <w:r w:rsidDel="00000000" w:rsidR="00000000" w:rsidRPr="00000000">
        <w:rPr>
          <w:sz w:val="20"/>
          <w:szCs w:val="20"/>
          <w:rtl w:val="0"/>
        </w:rPr>
        <w:t xml:space="preserve">(London: A. &amp; C. Black, 1980), p. 57.</w:t>
      </w:r>
    </w:p>
  </w:footnote>
  <w:footnote w:id="1">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James C. VanderKam, "Hanukkah: Its Timing And Significance According To 1 And 2 Maccabees", </w:t>
      </w:r>
      <w:r w:rsidDel="00000000" w:rsidR="00000000" w:rsidRPr="00000000">
        <w:rPr>
          <w:i w:val="1"/>
          <w:sz w:val="20"/>
          <w:szCs w:val="20"/>
          <w:highlight w:val="white"/>
          <w:rtl w:val="0"/>
        </w:rPr>
        <w:t xml:space="preserve">Journal For The Study Of The Pseudepigrapha</w:t>
      </w:r>
      <w:r w:rsidDel="00000000" w:rsidR="00000000" w:rsidRPr="00000000">
        <w:rPr>
          <w:sz w:val="20"/>
          <w:szCs w:val="20"/>
          <w:highlight w:val="white"/>
          <w:rtl w:val="0"/>
        </w:rPr>
        <w:t xml:space="preserve">, 1.1 (1987), 23-40 &lt;https://doi.org/10.1177/095182078700000103&gt;.</w:t>
      </w:r>
      <w:r w:rsidDel="00000000" w:rsidR="00000000" w:rsidRPr="00000000">
        <w:rPr>
          <w:rtl w:val="0"/>
        </w:rPr>
      </w:r>
    </w:p>
  </w:footnote>
  <w:footnote w:id="5">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Guy Darshan, "The Original Language Of 1 Maccabees: A Reexamination", </w:t>
      </w:r>
      <w:r w:rsidDel="00000000" w:rsidR="00000000" w:rsidRPr="00000000">
        <w:rPr>
          <w:i w:val="1"/>
          <w:sz w:val="20"/>
          <w:szCs w:val="20"/>
          <w:highlight w:val="white"/>
          <w:rtl w:val="0"/>
        </w:rPr>
        <w:t xml:space="preserve">Biblische Notizen</w:t>
      </w:r>
      <w:r w:rsidDel="00000000" w:rsidR="00000000" w:rsidRPr="00000000">
        <w:rPr>
          <w:sz w:val="20"/>
          <w:szCs w:val="20"/>
          <w:highlight w:val="white"/>
          <w:rtl w:val="0"/>
        </w:rPr>
        <w:t xml:space="preserve">, 182 (2019), 91-110.</w:t>
      </w:r>
      <w:r w:rsidDel="00000000" w:rsidR="00000000" w:rsidRPr="00000000">
        <w:rPr>
          <w:rtl w:val="0"/>
        </w:rPr>
      </w:r>
    </w:p>
  </w:footnote>
  <w:footnote w:id="6">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Martha Himmelfarb, "Judaism And Hellenism In 2 Maccabees", </w:t>
      </w:r>
      <w:r w:rsidDel="00000000" w:rsidR="00000000" w:rsidRPr="00000000">
        <w:rPr>
          <w:i w:val="1"/>
          <w:sz w:val="20"/>
          <w:szCs w:val="20"/>
          <w:highlight w:val="white"/>
          <w:rtl w:val="0"/>
        </w:rPr>
        <w:t xml:space="preserve">Poetics Today</w:t>
      </w:r>
      <w:r w:rsidDel="00000000" w:rsidR="00000000" w:rsidRPr="00000000">
        <w:rPr>
          <w:sz w:val="20"/>
          <w:szCs w:val="20"/>
          <w:highlight w:val="white"/>
          <w:rtl w:val="0"/>
        </w:rPr>
        <w:t xml:space="preserve">, 19.1 (1998), 19-40 &lt;https://doi.org/10.2307/1773110&gt;.</w:t>
      </w:r>
      <w:r w:rsidDel="00000000" w:rsidR="00000000" w:rsidRPr="00000000">
        <w:rPr>
          <w:rtl w:val="0"/>
        </w:rPr>
      </w:r>
    </w:p>
  </w:footnote>
  <w:footnote w:id="2">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Joseph P Schultz, </w:t>
      </w:r>
      <w:r w:rsidDel="00000000" w:rsidR="00000000" w:rsidRPr="00000000">
        <w:rPr>
          <w:i w:val="1"/>
          <w:sz w:val="20"/>
          <w:szCs w:val="20"/>
          <w:highlight w:val="white"/>
          <w:rtl w:val="0"/>
        </w:rPr>
        <w:t xml:space="preserve">Judaism And The Gentile Faiths</w:t>
      </w:r>
      <w:r w:rsidDel="00000000" w:rsidR="00000000" w:rsidRPr="00000000">
        <w:rPr>
          <w:sz w:val="20"/>
          <w:szCs w:val="20"/>
          <w:highlight w:val="white"/>
          <w:rtl w:val="0"/>
        </w:rPr>
        <w:t xml:space="preserve"> (Rutherford: Fairleigh Dickinson University Press, 1981), p. 155.</w:t>
      </w:r>
      <w:r w:rsidDel="00000000" w:rsidR="00000000" w:rsidRPr="00000000">
        <w:rPr>
          <w:rtl w:val="0"/>
        </w:rPr>
      </w:r>
    </w:p>
  </w:footnote>
  <w:footnote w:id="3">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For further reading read the first nineteen chapters of the Book of Exodus</w:t>
      </w:r>
    </w:p>
  </w:footnote>
  <w:footnote w:id="4">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Roger Tomes, "Heroism In 1 And 2 Maccabees", </w:t>
      </w:r>
      <w:r w:rsidDel="00000000" w:rsidR="00000000" w:rsidRPr="00000000">
        <w:rPr>
          <w:i w:val="1"/>
          <w:sz w:val="20"/>
          <w:szCs w:val="20"/>
          <w:highlight w:val="white"/>
          <w:rtl w:val="0"/>
        </w:rPr>
        <w:t xml:space="preserve">Biblical Interpretation</w:t>
      </w:r>
      <w:r w:rsidDel="00000000" w:rsidR="00000000" w:rsidRPr="00000000">
        <w:rPr>
          <w:sz w:val="20"/>
          <w:szCs w:val="20"/>
          <w:highlight w:val="white"/>
          <w:rtl w:val="0"/>
        </w:rPr>
        <w:t xml:space="preserve">, 15.2 (2007), 171-199 &lt;https://doi.org/10.1163/156851507x181147&gt;.</w:t>
      </w:r>
      <w:r w:rsidDel="00000000" w:rsidR="00000000" w:rsidRPr="00000000">
        <w:rPr>
          <w:rtl w:val="0"/>
        </w:rPr>
      </w:r>
    </w:p>
  </w:footnote>
  <w:footnote w:id="7">
    <w:p w:rsidR="00000000" w:rsidDel="00000000" w:rsidP="00000000" w:rsidRDefault="00000000" w:rsidRPr="00000000" w14:paraId="00000047">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p>
  </w:footnote>
  <w:footnote w:id="8">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J.M. Glass, "Religious Circumcision: A Jewish View", </w:t>
      </w:r>
      <w:r w:rsidDel="00000000" w:rsidR="00000000" w:rsidRPr="00000000">
        <w:rPr>
          <w:i w:val="1"/>
          <w:sz w:val="20"/>
          <w:szCs w:val="20"/>
          <w:highlight w:val="white"/>
          <w:rtl w:val="0"/>
        </w:rPr>
        <w:t xml:space="preserve">BJU International</w:t>
      </w:r>
      <w:r w:rsidDel="00000000" w:rsidR="00000000" w:rsidRPr="00000000">
        <w:rPr>
          <w:sz w:val="20"/>
          <w:szCs w:val="20"/>
          <w:highlight w:val="white"/>
          <w:rtl w:val="0"/>
        </w:rPr>
        <w:t xml:space="preserve">, 83.S1 (2002), 17-21 &lt;https://doi.org/10.1046/j.1464-410x.1999.0830s1017.x&gt;.</w:t>
      </w:r>
      <w:r w:rsidDel="00000000" w:rsidR="00000000" w:rsidRPr="00000000">
        <w:rPr>
          <w:rtl w:val="0"/>
        </w:rPr>
      </w:r>
    </w:p>
  </w:footnote>
  <w:footnote w:id="10">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Isaac T Soon, "“In Strength” Not “By Force”: Re-Reading The Circumcision Of The Uncircumcised Ἐν Ἰσχύι In 1 Macc 2:46", </w:t>
      </w:r>
      <w:r w:rsidDel="00000000" w:rsidR="00000000" w:rsidRPr="00000000">
        <w:rPr>
          <w:i w:val="1"/>
          <w:sz w:val="20"/>
          <w:szCs w:val="20"/>
          <w:highlight w:val="white"/>
          <w:rtl w:val="0"/>
        </w:rPr>
        <w:t xml:space="preserve">Journal For The Study Of The Pseudepigrapha</w:t>
      </w:r>
      <w:r w:rsidDel="00000000" w:rsidR="00000000" w:rsidRPr="00000000">
        <w:rPr>
          <w:sz w:val="20"/>
          <w:szCs w:val="20"/>
          <w:highlight w:val="white"/>
          <w:rtl w:val="0"/>
        </w:rPr>
        <w:t xml:space="preserve">, 29.3 (2020), 149-167 &lt;https://doi.org/10.1177/0951820720902086&gt;.</w:t>
      </w:r>
      <w:r w:rsidDel="00000000" w:rsidR="00000000" w:rsidRPr="00000000">
        <w:rPr>
          <w:rtl w:val="0"/>
        </w:rPr>
      </w:r>
    </w:p>
  </w:footnote>
  <w:footnote w:id="9">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Joseph Hellerman, "Purity And Nationalism In Second Temple Literature: 1-2 Maccabees And Jubilees", </w:t>
      </w:r>
      <w:r w:rsidDel="00000000" w:rsidR="00000000" w:rsidRPr="00000000">
        <w:rPr>
          <w:i w:val="1"/>
          <w:sz w:val="20"/>
          <w:szCs w:val="20"/>
          <w:highlight w:val="white"/>
          <w:rtl w:val="0"/>
        </w:rPr>
        <w:t xml:space="preserve">Journal Of The Evangelical Theological Society;</w:t>
      </w:r>
      <w:r w:rsidDel="00000000" w:rsidR="00000000" w:rsidRPr="00000000">
        <w:rPr>
          <w:sz w:val="20"/>
          <w:szCs w:val="20"/>
          <w:highlight w:val="white"/>
          <w:rtl w:val="0"/>
        </w:rPr>
        <w:t xml:space="preserve">, 46.3 (2003), 401-421.</w:t>
      </w:r>
      <w:r w:rsidDel="00000000" w:rsidR="00000000" w:rsidRPr="00000000">
        <w:rPr>
          <w:rtl w:val="0"/>
        </w:rPr>
      </w:r>
    </w:p>
  </w:footnote>
  <w:footnote w:id="11">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Pierre J. Jordaan, "Ritual, Rage And Revenge In 2 Maccabees 6 And 7", </w:t>
      </w:r>
      <w:r w:rsidDel="00000000" w:rsidR="00000000" w:rsidRPr="00000000">
        <w:rPr>
          <w:i w:val="1"/>
          <w:sz w:val="20"/>
          <w:szCs w:val="20"/>
          <w:highlight w:val="white"/>
          <w:rtl w:val="0"/>
        </w:rPr>
        <w:t xml:space="preserve">HTS Teologiese Studies / Theological Studies</w:t>
      </w:r>
      <w:r w:rsidDel="00000000" w:rsidR="00000000" w:rsidRPr="00000000">
        <w:rPr>
          <w:sz w:val="20"/>
          <w:szCs w:val="20"/>
          <w:highlight w:val="white"/>
          <w:rtl w:val="0"/>
        </w:rPr>
        <w:t xml:space="preserve">, 68.1 (2012), 1-5 &lt;https://doi.org/10.4102/hts.v68i1.1271&gt;.</w:t>
      </w:r>
      <w:r w:rsidDel="00000000" w:rsidR="00000000" w:rsidRPr="00000000">
        <w:rPr>
          <w:rtl w:val="0"/>
        </w:rPr>
      </w:r>
    </w:p>
  </w:footnote>
  <w:footnote w:id="12">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Jonathan A Goldstein, </w:t>
      </w:r>
      <w:r w:rsidDel="00000000" w:rsidR="00000000" w:rsidRPr="00000000">
        <w:rPr>
          <w:i w:val="1"/>
          <w:sz w:val="20"/>
          <w:szCs w:val="20"/>
          <w:highlight w:val="white"/>
          <w:rtl w:val="0"/>
        </w:rPr>
        <w:t xml:space="preserve">I Maccabees</w:t>
      </w:r>
      <w:r w:rsidDel="00000000" w:rsidR="00000000" w:rsidRPr="00000000">
        <w:rPr>
          <w:sz w:val="20"/>
          <w:szCs w:val="20"/>
          <w:highlight w:val="white"/>
          <w:rtl w:val="0"/>
        </w:rPr>
        <w:t xml:space="preserve"> (Garden City: Doubleday, 1984), p. 516.</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