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BD712" w14:textId="77777777" w:rsidR="00D61377" w:rsidRDefault="00000000">
      <w:pPr>
        <w:pStyle w:val="Title"/>
      </w:pPr>
      <w:r>
        <w:t>BuyShop Individual Reflective Journal</w:t>
      </w:r>
    </w:p>
    <w:p w14:paraId="3D669A6A" w14:textId="67433D8C" w:rsidR="00D61377" w:rsidRDefault="003228DA">
      <w:r>
        <w:br/>
      </w:r>
      <w:r>
        <w:br/>
      </w:r>
      <w:r w:rsidR="00000000">
        <w:t>Guilherme | UI/UX Designer</w:t>
      </w:r>
    </w:p>
    <w:p w14:paraId="243EBC49" w14:textId="3542CDDE" w:rsidR="00D61377" w:rsidRDefault="003228DA">
      <w:pPr>
        <w:pStyle w:val="Heading1"/>
      </w:pPr>
      <w:r>
        <w:br/>
      </w:r>
      <w:r>
        <w:br/>
      </w:r>
      <w:r w:rsidR="00000000">
        <w:t>My contribution</w:t>
      </w:r>
    </w:p>
    <w:p w14:paraId="15CA05F4" w14:textId="77777777" w:rsidR="00D61377" w:rsidRDefault="00000000">
      <w:r>
        <w:t>Working on BuyShop taught me that user experience depends on how reliably a system behaves, as well as how clearly its screens communicate. As the UI/UX designer, I focused on a shopping journey in which customers describe their needs, compare products and retain access to human support. My contribution concerned interface decisions, prototype requirements and practical checks; it did not encompass every team deliverable.</w:t>
      </w:r>
    </w:p>
    <w:p w14:paraId="0253156C" w14:textId="77777777" w:rsidR="00D61377" w:rsidRDefault="00000000">
      <w:r>
        <w:t>I developed the design direction through desktop and mobile wireframes, readable product information, labelled forms and accessibility options. I prioritised these using the impact–effort matrix, placing multilingual responses, voice search and a native application beyond the immediate scope. I also requested database-backed customer registration and functioning human chat. I used AI assistance when developing project materials and implementation changes, so my responsibility is to explain and evaluate the resulting behaviour, rather than claim that I independently authored every component.</w:t>
      </w:r>
    </w:p>
    <w:p w14:paraId="4869710E" w14:textId="26283E83" w:rsidR="00D61377" w:rsidRDefault="003228DA">
      <w:pPr>
        <w:pStyle w:val="Heading1"/>
      </w:pPr>
      <w:r>
        <w:br/>
      </w:r>
      <w:r>
        <w:br/>
      </w:r>
      <w:r w:rsidR="00000000">
        <w:t>Teamwork and individual evaluation</w:t>
      </w:r>
    </w:p>
    <w:p w14:paraId="1022EEFF" w14:textId="77777777" w:rsidR="00D61377" w:rsidRDefault="00000000">
      <w:r>
        <w:t>The role allocation identified Danu as project manager, Oyebamiji as research leader, Eden as testing leader and me as UI/UX designer. I found that these responsibilities still required coordination: research affects design priorities, while testing determines whether those decisions work. Difficulties giving colleagues access to the prototype showed me that sharing an interface also requires a dependable setup. Salas, Sims and Burke (2005) emphasise mutual monitoring, adaptability and communication. I would apply this through short demonstrations, named task owners and a shared record of decisions, rather than relying on role titles alone.</w:t>
      </w:r>
    </w:p>
    <w:p w14:paraId="1DA4128A" w14:textId="4F87CB82" w:rsidR="00F423FF" w:rsidRDefault="00000000" w:rsidP="00F423FF">
      <w:r>
        <w:t>My ratings consider completed work, reliability, communication and support for others, where 1 means poor and 5 means excellent</w:t>
      </w:r>
    </w:p>
    <w:p w14:paraId="2089C9AA" w14:textId="7196ECD6" w:rsidR="00F423FF" w:rsidRDefault="00F423FF">
      <w:pPr>
        <w:pStyle w:val="Heading1"/>
      </w:pPr>
      <w:r>
        <w:br/>
      </w:r>
      <w:r>
        <w:br/>
      </w:r>
      <w:r>
        <w:br/>
      </w:r>
      <w:r>
        <w:br/>
      </w:r>
      <w:r>
        <w:br/>
      </w:r>
    </w:p>
    <w:p w14:paraId="588FC894" w14:textId="77777777" w:rsidR="00F423FF" w:rsidRDefault="00F423FF" w:rsidP="00F423FF"/>
    <w:p w14:paraId="14C95893" w14:textId="77777777" w:rsidR="00F423FF" w:rsidRDefault="00F423FF" w:rsidP="00F423FF"/>
    <w:p w14:paraId="3EF1CDD9" w14:textId="77777777" w:rsidR="00F423FF" w:rsidRDefault="00F423FF" w:rsidP="00F423FF"/>
    <w:p w14:paraId="1BE7FAB7" w14:textId="77777777" w:rsidR="00F423FF" w:rsidRDefault="00F423FF" w:rsidP="00F423FF"/>
    <w:p w14:paraId="24050849" w14:textId="77777777" w:rsidR="00F423FF" w:rsidRDefault="00F423FF" w:rsidP="00F423FF"/>
    <w:p w14:paraId="6D77548E" w14:textId="77777777" w:rsidR="00F423FF" w:rsidRDefault="00F423FF" w:rsidP="00F423FF"/>
    <w:p w14:paraId="417F7CED" w14:textId="77777777" w:rsidR="00F423FF" w:rsidRDefault="00F423FF" w:rsidP="00F423FF"/>
    <w:p w14:paraId="3B7C739B" w14:textId="77777777" w:rsidR="00F423FF" w:rsidRDefault="00F423FF" w:rsidP="00F423FF"/>
    <w:p w14:paraId="35CE6673" w14:textId="77777777" w:rsidR="00F423FF" w:rsidRPr="00F423FF" w:rsidRDefault="00F423FF" w:rsidP="00F423FF"/>
    <w:tbl>
      <w:tblPr>
        <w:tblStyle w:val="TableGrid"/>
        <w:tblpPr w:leftFromText="180" w:rightFromText="180" w:vertAnchor="text" w:horzAnchor="margin" w:tblpY="292"/>
        <w:tblW w:w="0" w:type="auto"/>
        <w:tblLook w:val="04A0" w:firstRow="1" w:lastRow="0" w:firstColumn="1" w:lastColumn="0" w:noHBand="0" w:noVBand="1"/>
      </w:tblPr>
      <w:tblGrid>
        <w:gridCol w:w="3225"/>
        <w:gridCol w:w="3226"/>
        <w:gridCol w:w="3226"/>
      </w:tblGrid>
      <w:tr w:rsidR="00F423FF" w14:paraId="40EF3926" w14:textId="77777777" w:rsidTr="00F423FF">
        <w:tc>
          <w:tcPr>
            <w:tcW w:w="3225" w:type="dxa"/>
          </w:tcPr>
          <w:p w14:paraId="13A701B4" w14:textId="77777777" w:rsidR="00F423FF" w:rsidRDefault="00F423FF" w:rsidP="00F423FF">
            <w:pPr>
              <w:pStyle w:val="Heading1"/>
            </w:pPr>
            <w:r>
              <w:rPr>
                <w:sz w:val="20"/>
              </w:rPr>
              <w:t>Team member</w:t>
            </w:r>
          </w:p>
        </w:tc>
        <w:tc>
          <w:tcPr>
            <w:tcW w:w="3226" w:type="dxa"/>
          </w:tcPr>
          <w:p w14:paraId="08F90D51" w14:textId="77777777" w:rsidR="00F423FF" w:rsidRDefault="00F423FF" w:rsidP="00F423FF">
            <w:pPr>
              <w:pStyle w:val="Heading1"/>
            </w:pPr>
            <w:r>
              <w:rPr>
                <w:sz w:val="20"/>
              </w:rPr>
              <w:t>Rating</w:t>
            </w:r>
          </w:p>
        </w:tc>
        <w:tc>
          <w:tcPr>
            <w:tcW w:w="3226" w:type="dxa"/>
          </w:tcPr>
          <w:p w14:paraId="5580955F" w14:textId="77777777" w:rsidR="00F423FF" w:rsidRDefault="00F423FF" w:rsidP="00F423FF">
            <w:pPr>
              <w:pStyle w:val="Heading1"/>
            </w:pPr>
            <w:r>
              <w:rPr>
                <w:sz w:val="20"/>
              </w:rPr>
              <w:t>My evidence and judgement</w:t>
            </w:r>
          </w:p>
        </w:tc>
      </w:tr>
      <w:tr w:rsidR="00F423FF" w14:paraId="0A39E609" w14:textId="77777777" w:rsidTr="00F423FF">
        <w:tc>
          <w:tcPr>
            <w:tcW w:w="3225" w:type="dxa"/>
          </w:tcPr>
          <w:p w14:paraId="34704644" w14:textId="77777777" w:rsidR="00F423FF" w:rsidRDefault="00F423FF" w:rsidP="00F423FF">
            <w:pPr>
              <w:pStyle w:val="Heading1"/>
            </w:pPr>
            <w:r>
              <w:rPr>
                <w:b w:val="0"/>
                <w:sz w:val="20"/>
              </w:rPr>
              <w:t>Danu</w:t>
            </w:r>
          </w:p>
        </w:tc>
        <w:tc>
          <w:tcPr>
            <w:tcW w:w="3226" w:type="dxa"/>
          </w:tcPr>
          <w:p w14:paraId="524461EA" w14:textId="77777777" w:rsidR="00F423FF" w:rsidRDefault="00F423FF" w:rsidP="00F423FF">
            <w:pPr>
              <w:pStyle w:val="Heading1"/>
            </w:pPr>
            <w:r>
              <w:t>2</w:t>
            </w:r>
          </w:p>
        </w:tc>
        <w:tc>
          <w:tcPr>
            <w:tcW w:w="3226" w:type="dxa"/>
          </w:tcPr>
          <w:p w14:paraId="246D253A" w14:textId="77777777" w:rsidR="00F423FF" w:rsidRPr="00F423FF" w:rsidRDefault="00F423FF" w:rsidP="00F423FF">
            <w:pPr>
              <w:pStyle w:val="Heading1"/>
              <w:rPr>
                <w:b w:val="0"/>
                <w:bCs w:val="0"/>
                <w:sz w:val="20"/>
                <w:szCs w:val="20"/>
              </w:rPr>
            </w:pPr>
            <w:r w:rsidRPr="00F423FF">
              <w:rPr>
                <w:b w:val="0"/>
                <w:bCs w:val="0"/>
                <w:sz w:val="20"/>
                <w:szCs w:val="20"/>
              </w:rPr>
              <w:t>Danu’s participation in the group work was limited. In my view, he needed to contribute more consistently to fulfil his role as project manager.</w:t>
            </w:r>
          </w:p>
        </w:tc>
      </w:tr>
      <w:tr w:rsidR="00F423FF" w14:paraId="08300F2D" w14:textId="77777777" w:rsidTr="00F423FF">
        <w:tc>
          <w:tcPr>
            <w:tcW w:w="3225" w:type="dxa"/>
          </w:tcPr>
          <w:p w14:paraId="6A3A9114" w14:textId="77777777" w:rsidR="00F423FF" w:rsidRDefault="00F423FF" w:rsidP="00F423FF">
            <w:pPr>
              <w:pStyle w:val="Heading1"/>
            </w:pPr>
            <w:r>
              <w:rPr>
                <w:b w:val="0"/>
                <w:sz w:val="20"/>
              </w:rPr>
              <w:t>Oyebamiji</w:t>
            </w:r>
          </w:p>
        </w:tc>
        <w:tc>
          <w:tcPr>
            <w:tcW w:w="3226" w:type="dxa"/>
          </w:tcPr>
          <w:p w14:paraId="63DC93BD" w14:textId="77777777" w:rsidR="00F423FF" w:rsidRDefault="00F423FF" w:rsidP="00F423FF">
            <w:pPr>
              <w:pStyle w:val="Heading1"/>
            </w:pPr>
            <w:r>
              <w:t>5</w:t>
            </w:r>
          </w:p>
        </w:tc>
        <w:tc>
          <w:tcPr>
            <w:tcW w:w="3226" w:type="dxa"/>
          </w:tcPr>
          <w:p w14:paraId="201CB3F2" w14:textId="77777777" w:rsidR="00F423FF" w:rsidRPr="00F423FF" w:rsidRDefault="00F423FF" w:rsidP="00F423FF">
            <w:pPr>
              <w:pStyle w:val="Heading1"/>
              <w:rPr>
                <w:b w:val="0"/>
                <w:bCs w:val="0"/>
                <w:sz w:val="20"/>
                <w:szCs w:val="20"/>
              </w:rPr>
            </w:pPr>
            <w:r w:rsidRPr="00F423FF">
              <w:rPr>
                <w:b w:val="0"/>
                <w:bCs w:val="0"/>
                <w:sz w:val="20"/>
                <w:szCs w:val="20"/>
              </w:rPr>
              <w:t>Oyebamiji was present and actively participated in the group work. I appreciated his willingness to contribute and his consistently positive attitude.</w:t>
            </w:r>
          </w:p>
        </w:tc>
      </w:tr>
      <w:tr w:rsidR="00F423FF" w14:paraId="4A19ACFE" w14:textId="77777777" w:rsidTr="00F423FF">
        <w:tc>
          <w:tcPr>
            <w:tcW w:w="3225" w:type="dxa"/>
          </w:tcPr>
          <w:p w14:paraId="36C2F708" w14:textId="77777777" w:rsidR="00F423FF" w:rsidRDefault="00F423FF" w:rsidP="00F423FF">
            <w:pPr>
              <w:pStyle w:val="Heading1"/>
            </w:pPr>
            <w:r>
              <w:rPr>
                <w:b w:val="0"/>
                <w:sz w:val="20"/>
              </w:rPr>
              <w:t>Eden</w:t>
            </w:r>
          </w:p>
        </w:tc>
        <w:tc>
          <w:tcPr>
            <w:tcW w:w="3226" w:type="dxa"/>
          </w:tcPr>
          <w:p w14:paraId="708BC4E5" w14:textId="77777777" w:rsidR="00F423FF" w:rsidRDefault="00F423FF" w:rsidP="00F423FF">
            <w:pPr>
              <w:pStyle w:val="Heading1"/>
            </w:pPr>
            <w:r>
              <w:t>5</w:t>
            </w:r>
          </w:p>
        </w:tc>
        <w:tc>
          <w:tcPr>
            <w:tcW w:w="3226" w:type="dxa"/>
          </w:tcPr>
          <w:p w14:paraId="3D0D80F9" w14:textId="77777777" w:rsidR="00F423FF" w:rsidRPr="00F423FF" w:rsidRDefault="00F423FF" w:rsidP="00F423FF">
            <w:pPr>
              <w:pStyle w:val="Heading1"/>
              <w:rPr>
                <w:b w:val="0"/>
                <w:bCs w:val="0"/>
                <w:sz w:val="20"/>
                <w:szCs w:val="20"/>
              </w:rPr>
            </w:pPr>
            <w:r w:rsidRPr="00F423FF">
              <w:rPr>
                <w:b w:val="0"/>
                <w:bCs w:val="0"/>
                <w:sz w:val="20"/>
                <w:szCs w:val="20"/>
              </w:rPr>
              <w:t>Eden was present and engaged throughout the group work. I valued his cooperative attitude and willingness to support the team, and I had no concerns about his participation.</w:t>
            </w:r>
          </w:p>
        </w:tc>
      </w:tr>
      <w:tr w:rsidR="00F423FF" w14:paraId="70EB3407" w14:textId="77777777" w:rsidTr="00F423FF">
        <w:tc>
          <w:tcPr>
            <w:tcW w:w="3225" w:type="dxa"/>
          </w:tcPr>
          <w:p w14:paraId="560E72A0" w14:textId="77777777" w:rsidR="00F423FF" w:rsidRDefault="00F423FF" w:rsidP="00F423FF">
            <w:pPr>
              <w:pStyle w:val="Heading1"/>
            </w:pPr>
            <w:r>
              <w:rPr>
                <w:b w:val="0"/>
                <w:sz w:val="20"/>
              </w:rPr>
              <w:t>Guilherme (myself)</w:t>
            </w:r>
          </w:p>
        </w:tc>
        <w:tc>
          <w:tcPr>
            <w:tcW w:w="3226" w:type="dxa"/>
          </w:tcPr>
          <w:p w14:paraId="0350429D" w14:textId="77777777" w:rsidR="00F423FF" w:rsidRDefault="00F423FF" w:rsidP="00F423FF">
            <w:pPr>
              <w:pStyle w:val="Heading1"/>
            </w:pPr>
            <w:r>
              <w:t>5</w:t>
            </w:r>
          </w:p>
        </w:tc>
        <w:tc>
          <w:tcPr>
            <w:tcW w:w="3226" w:type="dxa"/>
          </w:tcPr>
          <w:p w14:paraId="39183663" w14:textId="029D73D8" w:rsidR="00F423FF" w:rsidRPr="003228DA" w:rsidRDefault="003228DA" w:rsidP="00F423FF">
            <w:pPr>
              <w:pStyle w:val="Heading1"/>
              <w:rPr>
                <w:b w:val="0"/>
                <w:bCs w:val="0"/>
                <w:sz w:val="20"/>
                <w:szCs w:val="20"/>
              </w:rPr>
            </w:pPr>
            <w:r w:rsidRPr="003228DA">
              <w:rPr>
                <w:b w:val="0"/>
                <w:bCs w:val="0"/>
                <w:sz w:val="20"/>
                <w:szCs w:val="20"/>
              </w:rPr>
              <w:t>I played a central role in developing the project’s ideas and building the prototype, including implementing the human support chat and the backend. I consider my contribution substantial because I helped turn the proposed concept into a working solution</w:t>
            </w:r>
            <w:r w:rsidRPr="003228DA">
              <w:rPr>
                <w:b w:val="0"/>
                <w:bCs w:val="0"/>
                <w:sz w:val="20"/>
                <w:szCs w:val="20"/>
              </w:rPr>
              <w:t>.</w:t>
            </w:r>
          </w:p>
        </w:tc>
      </w:tr>
    </w:tbl>
    <w:p w14:paraId="6C7855B6" w14:textId="7FC415EB" w:rsidR="00D61377" w:rsidRDefault="00F423FF">
      <w:pPr>
        <w:pStyle w:val="Heading1"/>
      </w:pPr>
      <w:r>
        <w:br/>
      </w:r>
      <w:r>
        <w:br/>
      </w:r>
      <w:r>
        <w:br/>
      </w:r>
      <w:r>
        <w:br/>
      </w:r>
      <w:r w:rsidR="00000000">
        <w:t>Related research and technical reflection</w:t>
      </w:r>
    </w:p>
    <w:p w14:paraId="5F7D27B1" w14:textId="77777777" w:rsidR="00D61377" w:rsidRDefault="00000000">
      <w:proofErr w:type="spellStart"/>
      <w:r>
        <w:t>Jannach</w:t>
      </w:r>
      <w:proofErr w:type="spellEnd"/>
      <w:r>
        <w:t xml:space="preserve"> et al. (2021) describe conversational recommendation as an interactive process involving preferences and feedback. BuyShop follows that direction through questions about budget and intended use. However, its current matching is rule-based and uses a sample catalogue; it has no connected AI model. Its contribution is therefore a demonstrable interaction concept, not evidence of advanced language understanding.</w:t>
      </w:r>
    </w:p>
    <w:p w14:paraId="5F68A5D0" w14:textId="77777777" w:rsidR="00D61377" w:rsidRDefault="00000000">
      <w:r>
        <w:t xml:space="preserve">Luger and Sellen (2016) found a gap between users’ expectations and conversational agents’ capabilities. This helps me recognise the risk of promising intelligent assistance prematurely. </w:t>
      </w:r>
      <w:r>
        <w:lastRenderedPageBreak/>
        <w:t>Amershi et al. (2019) recommend communicating capabilities and enabling correction. Applied to BuyShop, this means displaying interpreted requirements, allowing changes and explaining unsuccessful searches.</w:t>
      </w:r>
    </w:p>
    <w:p w14:paraId="4CAE07B6" w14:textId="77777777" w:rsidR="00D61377" w:rsidRDefault="00000000">
      <w:pPr>
        <w:pStyle w:val="Heading1"/>
      </w:pPr>
      <w:r>
        <w:t>Limitations and risks</w:t>
      </w:r>
    </w:p>
    <w:p w14:paraId="4B6AA137" w14:textId="77777777" w:rsidR="00D61377" w:rsidRDefault="00000000">
      <w:r>
        <w:t>My budget check returned laptops below £500, but the recorded brand-preference test showed that an Apple request could become “No preference”. This matters because a plausible result can still contradict the customer’s intention. I would prioritise preserving explicit constraints and asking for clarification. The no-match message avoids inventing products, although offering only budget increases or changed answers may feel unhelpful.</w:t>
      </w:r>
    </w:p>
    <w:p w14:paraId="54B79B7D" w14:textId="77777777" w:rsidR="00D61377" w:rsidRDefault="00000000">
      <w:r>
        <w:t>The prepared human-chat version allows manual replies through the administrator panel and stores messages in SQLite. However, it requires an available person, and two-second polling introduces delay. Its visitor cookie is independent of customer login, creating a privacy risk on shared browsers. Stored transcripts also lack automatic deletion. I would address these through clearer session boundaries, separate staff permissions and a defined retention process.</w:t>
      </w:r>
    </w:p>
    <w:p w14:paraId="22D4E274" w14:textId="77777777" w:rsidR="00D61377" w:rsidRDefault="00000000">
      <w:r>
        <w:t>Temporary hosting depends on the local computer, server and tunnel remaining available. This creates a presentation risk and limits independent team access. A startup checklist and advance rehearsal would help. Financial constraints also favour a small prototype: dependable hosting, AI usage and staffed support would require an explicit budget before expansion.</w:t>
      </w:r>
    </w:p>
    <w:p w14:paraId="5C004006" w14:textId="77777777" w:rsidR="00D61377" w:rsidRDefault="00000000">
      <w:r>
        <w:t>The supplied verification record reports 18 passing server tests, but these do not establish usability, accessibility or capacity. I cannot yet demonstrate improved trust or checkout completion. Payments remain simulated, and there is no validated end-to-end purchasing service.</w:t>
      </w:r>
    </w:p>
    <w:p w14:paraId="10A515C0" w14:textId="77777777" w:rsidR="00D61377" w:rsidRDefault="00000000">
      <w:pPr>
        <w:pStyle w:val="Heading1"/>
      </w:pPr>
      <w:r>
        <w:t>Future work and personal learning</w:t>
      </w:r>
    </w:p>
    <w:p w14:paraId="28402BFC" w14:textId="77777777" w:rsidR="00D61377" w:rsidRDefault="00000000">
      <w:r>
        <w:t>My next iteration would fix preference handling before adding features. I would then test representative shopping tasks with users, including keyboard and screen-reader users, recording completion, errors and confidence. Comparing the assistant with ordinary search would help determine whether conversation adds value. Any future AI integration should retrieve verified catalogue information and undergo cost and reliability evaluation.</w:t>
      </w:r>
    </w:p>
    <w:p w14:paraId="40E43618" w14:textId="77777777" w:rsidR="00D61377" w:rsidRDefault="00000000">
      <w:r>
        <w:t>I should have defined acceptance criteria and evaluation evidence earlier. I now understand that visual consistency is only part of my responsibility: I must make limitations visible, connect design decisions to testing and ensure teammates can reproduce the experience. This is the approach I would carry into my next group project.</w:t>
      </w:r>
    </w:p>
    <w:p w14:paraId="0DFBFE81" w14:textId="77777777" w:rsidR="00D61377" w:rsidRDefault="00000000">
      <w:r>
        <w:br w:type="page"/>
      </w:r>
    </w:p>
    <w:p w14:paraId="175F4ECB" w14:textId="77777777" w:rsidR="00D61377" w:rsidRDefault="00000000">
      <w:pPr>
        <w:pStyle w:val="Heading1"/>
      </w:pPr>
      <w:r>
        <w:lastRenderedPageBreak/>
        <w:t>References</w:t>
      </w:r>
    </w:p>
    <w:p w14:paraId="3E5E7080" w14:textId="77777777" w:rsidR="00D61377" w:rsidRDefault="00000000">
      <w:r>
        <w:t xml:space="preserve">Amershi, S., Weld, D., Vorvoreanu, M., Fourney, A., Nushi, B., Collisson, P., Suh, J., Iqbal, S., Bennett, P.N., Inkpen, K., Teevan, J., Kikin-Gil, R. and Horvitz, E. (2019) ‘Guidelines for human–AI interaction’, Proceedings of CHI 2019, pp. 1–13. </w:t>
      </w:r>
      <w:hyperlink r:id="rId8">
        <w:r>
          <w:rPr>
            <w:color w:val="245687"/>
          </w:rPr>
          <w:t>https://doi.org/10.1145/</w:t>
        </w:r>
        <w:r>
          <w:rPr>
            <w:color w:val="245687"/>
          </w:rPr>
          <w:t>3</w:t>
        </w:r>
        <w:r>
          <w:rPr>
            <w:color w:val="245687"/>
          </w:rPr>
          <w:t>290605.3300233</w:t>
        </w:r>
      </w:hyperlink>
    </w:p>
    <w:p w14:paraId="79BC9C83" w14:textId="77777777" w:rsidR="00D61377" w:rsidRDefault="00000000">
      <w:proofErr w:type="spellStart"/>
      <w:r>
        <w:t>Jannach</w:t>
      </w:r>
      <w:proofErr w:type="spellEnd"/>
      <w:r>
        <w:t xml:space="preserve">, D., Manzoor, A., Cai, W. and Chen, L. (2021) ‘A survey on conversational recommender systems’, ACM Computing Surveys, 54(5), article 105, pp. 1–36. </w:t>
      </w:r>
      <w:hyperlink r:id="rId9">
        <w:r>
          <w:rPr>
            <w:color w:val="245687"/>
          </w:rPr>
          <w:t>https://doi.org/10.1145/3453154</w:t>
        </w:r>
      </w:hyperlink>
    </w:p>
    <w:p w14:paraId="06A6F111" w14:textId="77777777" w:rsidR="00D61377" w:rsidRDefault="00000000">
      <w:r>
        <w:t xml:space="preserve">Luger, E. and Sellen, A. (2016) ‘“Like having a </w:t>
      </w:r>
      <w:proofErr w:type="gramStart"/>
      <w:r>
        <w:t>really bad</w:t>
      </w:r>
      <w:proofErr w:type="gramEnd"/>
      <w:r>
        <w:t xml:space="preserve"> PA”: The gulf between user expectation and experience of conversational agents’, Proceedings of CHI 2016, pp. 5286–5297. </w:t>
      </w:r>
      <w:hyperlink r:id="rId10">
        <w:r>
          <w:rPr>
            <w:color w:val="245687"/>
          </w:rPr>
          <w:t>https://doi.org/10.1145/2858036.2858288</w:t>
        </w:r>
      </w:hyperlink>
    </w:p>
    <w:p w14:paraId="7912EAF8" w14:textId="77777777" w:rsidR="00D61377" w:rsidRDefault="00000000">
      <w:r>
        <w:t xml:space="preserve">Salas, E., Sims, D.E. and Burke, C.S. (2005) ‘Is there a “Big Five” in teamwork?’, Small Group Research, 36(5), pp. 555–599. </w:t>
      </w:r>
      <w:hyperlink r:id="rId11">
        <w:r>
          <w:rPr>
            <w:color w:val="245687"/>
          </w:rPr>
          <w:t>https://doi.org/10.1177/1046496405277134</w:t>
        </w:r>
      </w:hyperlink>
    </w:p>
    <w:p w14:paraId="65CD2420" w14:textId="416D1016" w:rsidR="00D61377" w:rsidRDefault="00D61377">
      <w:pPr>
        <w:spacing w:after="240"/>
      </w:pPr>
    </w:p>
    <w:sectPr w:rsidR="00D61377" w:rsidSect="00034616">
      <w:footerReference w:type="default" r:id="rId12"/>
      <w:pgSz w:w="11909" w:h="16834"/>
      <w:pgMar w:top="1080" w:right="1224" w:bottom="1080" w:left="122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CFE2EB" w14:textId="77777777" w:rsidR="00C746C2" w:rsidRDefault="00C746C2">
      <w:pPr>
        <w:spacing w:after="0" w:line="240" w:lineRule="auto"/>
      </w:pPr>
      <w:r>
        <w:separator/>
      </w:r>
    </w:p>
  </w:endnote>
  <w:endnote w:type="continuationSeparator" w:id="0">
    <w:p w14:paraId="1403BE48" w14:textId="77777777" w:rsidR="00C746C2" w:rsidRDefault="00C746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01E3B" w14:textId="77777777" w:rsidR="00D61377" w:rsidRDefault="00000000">
    <w:pPr>
      <w:pStyle w:val="Footer"/>
      <w:jc w:val="right"/>
    </w:pPr>
    <w:r>
      <w:fldChar w:fldCharType="begin"/>
    </w:r>
    <w:r>
      <w:instrText>PAGE</w:instrText>
    </w:r>
    <w:r>
      <w:fldChar w:fldCharType="separate"/>
    </w:r>
    <w:r w:rsidR="00F423F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3A4AEC" w14:textId="77777777" w:rsidR="00C746C2" w:rsidRDefault="00C746C2">
      <w:pPr>
        <w:spacing w:after="0" w:line="240" w:lineRule="auto"/>
      </w:pPr>
      <w:r>
        <w:separator/>
      </w:r>
    </w:p>
  </w:footnote>
  <w:footnote w:type="continuationSeparator" w:id="0">
    <w:p w14:paraId="1AD78FD1" w14:textId="77777777" w:rsidR="00C746C2" w:rsidRDefault="00C746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03332777">
    <w:abstractNumId w:val="8"/>
  </w:num>
  <w:num w:numId="2" w16cid:durableId="12609509">
    <w:abstractNumId w:val="6"/>
  </w:num>
  <w:num w:numId="3" w16cid:durableId="1448350620">
    <w:abstractNumId w:val="5"/>
  </w:num>
  <w:num w:numId="4" w16cid:durableId="1971592312">
    <w:abstractNumId w:val="4"/>
  </w:num>
  <w:num w:numId="5" w16cid:durableId="635140169">
    <w:abstractNumId w:val="7"/>
  </w:num>
  <w:num w:numId="6" w16cid:durableId="93404242">
    <w:abstractNumId w:val="3"/>
  </w:num>
  <w:num w:numId="7" w16cid:durableId="149060905">
    <w:abstractNumId w:val="2"/>
  </w:num>
  <w:num w:numId="8" w16cid:durableId="2065516571">
    <w:abstractNumId w:val="1"/>
  </w:num>
  <w:num w:numId="9" w16cid:durableId="3615217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D3627"/>
    <w:rsid w:val="0029639D"/>
    <w:rsid w:val="003228DA"/>
    <w:rsid w:val="00326F90"/>
    <w:rsid w:val="00AA1D8D"/>
    <w:rsid w:val="00B47730"/>
    <w:rsid w:val="00C746C2"/>
    <w:rsid w:val="00CB0664"/>
    <w:rsid w:val="00D61377"/>
    <w:rsid w:val="00F423F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18A69AA"/>
  <w14:defaultImageDpi w14:val="300"/>
  <w15:docId w15:val="{E04B1E03-6919-4F46-861C-7E68D5FE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line="269" w:lineRule="auto"/>
    </w:pPr>
    <w:rPr>
      <w:rFonts w:ascii="Arial" w:hAnsi="Arial"/>
      <w:color w:val="000000"/>
    </w:rPr>
  </w:style>
  <w:style w:type="paragraph" w:styleId="Heading1">
    <w:name w:val="heading 1"/>
    <w:basedOn w:val="Normal"/>
    <w:next w:val="Normal"/>
    <w:link w:val="Heading1Char"/>
    <w:uiPriority w:val="9"/>
    <w:qFormat/>
    <w:rsid w:val="00FC693F"/>
    <w:pPr>
      <w:keepNext/>
      <w:keepLines/>
      <w:spacing w:before="200" w:after="100"/>
      <w:outlineLvl w:val="0"/>
    </w:pPr>
    <w:rPr>
      <w:rFonts w:asciiTheme="majorHAnsi" w:eastAsiaTheme="majorEastAsia" w:hAnsiTheme="majorHAnsi" w:cstheme="majorBidi"/>
      <w:b/>
      <w:bCs/>
      <w:sz w:val="24"/>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line="240" w:lineRule="auto"/>
      <w:contextualSpacing/>
    </w:pPr>
    <w:rPr>
      <w:rFonts w:asciiTheme="majorHAnsi" w:eastAsiaTheme="majorEastAsia" w:hAnsiTheme="majorHAnsi" w:cstheme="majorBidi"/>
      <w:spacing w:val="5"/>
      <w:kern w:val="28"/>
      <w:sz w:val="3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F423FF"/>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45/3290605.3300233"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1046496405277134" TargetMode="External"/><Relationship Id="rId5" Type="http://schemas.openxmlformats.org/officeDocument/2006/relationships/webSettings" Target="webSettings.xml"/><Relationship Id="rId10" Type="http://schemas.openxmlformats.org/officeDocument/2006/relationships/hyperlink" Target="https://doi.org/10.1145/2858036.2858288" TargetMode="External"/><Relationship Id="rId4" Type="http://schemas.openxmlformats.org/officeDocument/2006/relationships/settings" Target="settings.xml"/><Relationship Id="rId9" Type="http://schemas.openxmlformats.org/officeDocument/2006/relationships/hyperlink" Target="https://doi.org/10.1145/3453154"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4</Pages>
  <Words>1059</Words>
  <Characters>6038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BuyShop Individual Reflective Journal</vt:lpstr>
    </vt:vector>
  </TitlesOfParts>
  <Manager/>
  <Company/>
  <LinksUpToDate>false</LinksUpToDate>
  <CharactersWithSpaces>7083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BuyShop Individual Reflective Journal</dc:title>
  <dc:subject/>
  <dc:creator>Guilherme</dc:creator>
  <cp:keywords/>
  <dc:description>generated by python-docx</dc:description>
  <cp:lastModifiedBy>Guilherme Gutuzzo</cp:lastModifiedBy>
  <cp:revision>2</cp:revision>
  <dcterms:created xsi:type="dcterms:W3CDTF">2013-12-23T23:15:00Z</dcterms:created>
  <dcterms:modified xsi:type="dcterms:W3CDTF">2026-10-23T14:35:00Z</dcterms:modified>
  <cp:category/>
</cp:coreProperties>
</file>