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hAnsi="Arial" w:cs="Arial"/>
          <w:sz w:val="24"/>
          <w:szCs w:val="24"/>
        </w:rPr>
        <w:id w:val="371809928"/>
        <w:docPartObj>
          <w:docPartGallery w:val="Table of Contents"/>
          <w:docPartUnique/>
        </w:docPartObj>
      </w:sdtPr>
      <w:sdtEndPr>
        <w:rPr>
          <w:rFonts w:eastAsia="Times New Roman"/>
          <w:b/>
          <w:bCs/>
          <w:color w:val="auto"/>
        </w:rPr>
      </w:sdtEndPr>
      <w:sdtContent>
        <w:p w14:paraId="010DB5C4" w14:textId="00F32665" w:rsidR="00B96B0F" w:rsidRPr="00EC4EF8" w:rsidRDefault="00B96B0F">
          <w:pPr>
            <w:pStyle w:val="TOCHeading"/>
            <w:rPr>
              <w:rFonts w:ascii="Arial" w:hAnsi="Arial" w:cs="Arial"/>
              <w:sz w:val="24"/>
              <w:szCs w:val="24"/>
            </w:rPr>
          </w:pPr>
          <w:r w:rsidRPr="00EC4EF8">
            <w:rPr>
              <w:rFonts w:ascii="Arial" w:hAnsi="Arial" w:cs="Arial"/>
              <w:sz w:val="24"/>
              <w:szCs w:val="24"/>
            </w:rPr>
            <w:t>Table of Contents</w:t>
          </w:r>
        </w:p>
        <w:p w14:paraId="421FB762" w14:textId="4805403D" w:rsidR="00EC4EF8" w:rsidRPr="00EC4EF8" w:rsidRDefault="00B96B0F">
          <w:pPr>
            <w:pStyle w:val="TOC1"/>
            <w:tabs>
              <w:tab w:val="left" w:pos="440"/>
              <w:tab w:val="right" w:leader="dot" w:pos="9016"/>
            </w:tabs>
            <w:rPr>
              <w:rFonts w:ascii="Arial" w:eastAsiaTheme="minorEastAsia" w:hAnsi="Arial" w:cs="Arial"/>
              <w:noProof/>
              <w:kern w:val="2"/>
              <w14:ligatures w14:val="standardContextual"/>
            </w:rPr>
          </w:pPr>
          <w:r w:rsidRPr="00EC4EF8">
            <w:rPr>
              <w:rFonts w:ascii="Arial" w:hAnsi="Arial" w:cs="Arial"/>
            </w:rPr>
            <w:fldChar w:fldCharType="begin"/>
          </w:r>
          <w:r w:rsidRPr="00EC4EF8">
            <w:rPr>
              <w:rFonts w:ascii="Arial" w:hAnsi="Arial" w:cs="Arial"/>
            </w:rPr>
            <w:instrText xml:space="preserve"> TOC \o "1-3" \h \z \u </w:instrText>
          </w:r>
          <w:r w:rsidRPr="00EC4EF8">
            <w:rPr>
              <w:rFonts w:ascii="Arial" w:hAnsi="Arial" w:cs="Arial"/>
            </w:rPr>
            <w:fldChar w:fldCharType="separate"/>
          </w:r>
          <w:hyperlink w:anchor="_Toc144020487" w:history="1">
            <w:r w:rsidR="00EC4EF8" w:rsidRPr="00EC4EF8">
              <w:rPr>
                <w:rStyle w:val="Hyperlink"/>
                <w:rFonts w:ascii="Arial" w:hAnsi="Arial" w:cs="Arial"/>
                <w:noProof/>
              </w:rPr>
              <w:t>1.</w:t>
            </w:r>
            <w:r w:rsidR="00EC4EF8" w:rsidRPr="00EC4EF8">
              <w:rPr>
                <w:rFonts w:ascii="Arial" w:eastAsiaTheme="minorEastAsia" w:hAnsi="Arial" w:cs="Arial"/>
                <w:noProof/>
                <w:kern w:val="2"/>
                <w14:ligatures w14:val="standardContextual"/>
              </w:rPr>
              <w:tab/>
            </w:r>
            <w:r w:rsidR="00EC4EF8" w:rsidRPr="00EC4EF8">
              <w:rPr>
                <w:rStyle w:val="Hyperlink"/>
                <w:rFonts w:ascii="Arial" w:hAnsi="Arial" w:cs="Arial"/>
                <w:noProof/>
              </w:rPr>
              <w:t>Introduction</w:t>
            </w:r>
            <w:r w:rsidR="00EC4EF8" w:rsidRPr="00EC4EF8">
              <w:rPr>
                <w:rFonts w:ascii="Arial" w:hAnsi="Arial" w:cs="Arial"/>
                <w:noProof/>
                <w:webHidden/>
              </w:rPr>
              <w:tab/>
            </w:r>
            <w:r w:rsidR="00EC4EF8" w:rsidRPr="00EC4EF8">
              <w:rPr>
                <w:rFonts w:ascii="Arial" w:hAnsi="Arial" w:cs="Arial"/>
                <w:noProof/>
                <w:webHidden/>
              </w:rPr>
              <w:fldChar w:fldCharType="begin"/>
            </w:r>
            <w:r w:rsidR="00EC4EF8" w:rsidRPr="00EC4EF8">
              <w:rPr>
                <w:rFonts w:ascii="Arial" w:hAnsi="Arial" w:cs="Arial"/>
                <w:noProof/>
                <w:webHidden/>
              </w:rPr>
              <w:instrText xml:space="preserve"> PAGEREF _Toc144020487 \h </w:instrText>
            </w:r>
            <w:r w:rsidR="00EC4EF8" w:rsidRPr="00EC4EF8">
              <w:rPr>
                <w:rFonts w:ascii="Arial" w:hAnsi="Arial" w:cs="Arial"/>
                <w:noProof/>
                <w:webHidden/>
              </w:rPr>
            </w:r>
            <w:r w:rsidR="00EC4EF8" w:rsidRPr="00EC4EF8">
              <w:rPr>
                <w:rFonts w:ascii="Arial" w:hAnsi="Arial" w:cs="Arial"/>
                <w:noProof/>
                <w:webHidden/>
              </w:rPr>
              <w:fldChar w:fldCharType="separate"/>
            </w:r>
            <w:r w:rsidR="00EC4EF8" w:rsidRPr="00EC4EF8">
              <w:rPr>
                <w:rFonts w:ascii="Arial" w:hAnsi="Arial" w:cs="Arial"/>
                <w:noProof/>
                <w:webHidden/>
              </w:rPr>
              <w:t>1</w:t>
            </w:r>
            <w:r w:rsidR="00EC4EF8" w:rsidRPr="00EC4EF8">
              <w:rPr>
                <w:rFonts w:ascii="Arial" w:hAnsi="Arial" w:cs="Arial"/>
                <w:noProof/>
                <w:webHidden/>
              </w:rPr>
              <w:fldChar w:fldCharType="end"/>
            </w:r>
          </w:hyperlink>
        </w:p>
        <w:p w14:paraId="55CAF0E2" w14:textId="39E22A8A" w:rsidR="00EC4EF8" w:rsidRPr="00EC4EF8" w:rsidRDefault="00EC4EF8">
          <w:pPr>
            <w:pStyle w:val="TOC1"/>
            <w:tabs>
              <w:tab w:val="left" w:pos="440"/>
              <w:tab w:val="right" w:leader="dot" w:pos="9016"/>
            </w:tabs>
            <w:rPr>
              <w:rFonts w:ascii="Arial" w:eastAsiaTheme="minorEastAsia" w:hAnsi="Arial" w:cs="Arial"/>
              <w:noProof/>
              <w:kern w:val="2"/>
              <w14:ligatures w14:val="standardContextual"/>
            </w:rPr>
          </w:pPr>
          <w:hyperlink w:anchor="_Toc144020488" w:history="1">
            <w:r w:rsidRPr="00EC4EF8">
              <w:rPr>
                <w:rStyle w:val="Hyperlink"/>
                <w:rFonts w:ascii="Arial" w:hAnsi="Arial" w:cs="Arial"/>
                <w:noProof/>
              </w:rPr>
              <w:t>2.</w:t>
            </w:r>
            <w:r w:rsidRPr="00EC4EF8">
              <w:rPr>
                <w:rFonts w:ascii="Arial" w:eastAsiaTheme="minorEastAsia" w:hAnsi="Arial" w:cs="Arial"/>
                <w:noProof/>
                <w:kern w:val="2"/>
                <w14:ligatures w14:val="standardContextual"/>
              </w:rPr>
              <w:tab/>
            </w:r>
            <w:r w:rsidRPr="00EC4EF8">
              <w:rPr>
                <w:rStyle w:val="Hyperlink"/>
                <w:rFonts w:ascii="Arial" w:hAnsi="Arial" w:cs="Arial"/>
                <w:noProof/>
              </w:rPr>
              <w:t>Relationship between Organizational Structure, Culture, and Performance</w:t>
            </w:r>
            <w:r w:rsidRPr="00EC4EF8">
              <w:rPr>
                <w:rFonts w:ascii="Arial" w:hAnsi="Arial" w:cs="Arial"/>
                <w:noProof/>
                <w:webHidden/>
              </w:rPr>
              <w:tab/>
            </w:r>
            <w:r w:rsidRPr="00EC4EF8">
              <w:rPr>
                <w:rFonts w:ascii="Arial" w:hAnsi="Arial" w:cs="Arial"/>
                <w:noProof/>
                <w:webHidden/>
              </w:rPr>
              <w:fldChar w:fldCharType="begin"/>
            </w:r>
            <w:r w:rsidRPr="00EC4EF8">
              <w:rPr>
                <w:rFonts w:ascii="Arial" w:hAnsi="Arial" w:cs="Arial"/>
                <w:noProof/>
                <w:webHidden/>
              </w:rPr>
              <w:instrText xml:space="preserve"> PAGEREF _Toc144020488 \h </w:instrText>
            </w:r>
            <w:r w:rsidRPr="00EC4EF8">
              <w:rPr>
                <w:rFonts w:ascii="Arial" w:hAnsi="Arial" w:cs="Arial"/>
                <w:noProof/>
                <w:webHidden/>
              </w:rPr>
            </w:r>
            <w:r w:rsidRPr="00EC4EF8">
              <w:rPr>
                <w:rFonts w:ascii="Arial" w:hAnsi="Arial" w:cs="Arial"/>
                <w:noProof/>
                <w:webHidden/>
              </w:rPr>
              <w:fldChar w:fldCharType="separate"/>
            </w:r>
            <w:r w:rsidRPr="00EC4EF8">
              <w:rPr>
                <w:rFonts w:ascii="Arial" w:hAnsi="Arial" w:cs="Arial"/>
                <w:noProof/>
                <w:webHidden/>
              </w:rPr>
              <w:t>1</w:t>
            </w:r>
            <w:r w:rsidRPr="00EC4EF8">
              <w:rPr>
                <w:rFonts w:ascii="Arial" w:hAnsi="Arial" w:cs="Arial"/>
                <w:noProof/>
                <w:webHidden/>
              </w:rPr>
              <w:fldChar w:fldCharType="end"/>
            </w:r>
          </w:hyperlink>
        </w:p>
        <w:p w14:paraId="6587F67A" w14:textId="620FF79A" w:rsidR="00EC4EF8" w:rsidRPr="00EC4EF8" w:rsidRDefault="00EC4EF8">
          <w:pPr>
            <w:pStyle w:val="TOC1"/>
            <w:tabs>
              <w:tab w:val="left" w:pos="660"/>
              <w:tab w:val="right" w:leader="dot" w:pos="9016"/>
            </w:tabs>
            <w:rPr>
              <w:rFonts w:ascii="Arial" w:eastAsiaTheme="minorEastAsia" w:hAnsi="Arial" w:cs="Arial"/>
              <w:noProof/>
              <w:kern w:val="2"/>
              <w14:ligatures w14:val="standardContextual"/>
            </w:rPr>
          </w:pPr>
          <w:hyperlink w:anchor="_Toc144020489" w:history="1">
            <w:r w:rsidRPr="00EC4EF8">
              <w:rPr>
                <w:rStyle w:val="Hyperlink"/>
                <w:rFonts w:ascii="Arial" w:hAnsi="Arial" w:cs="Arial"/>
                <w:noProof/>
              </w:rPr>
              <w:t>2.1.</w:t>
            </w:r>
            <w:r w:rsidRPr="00EC4EF8">
              <w:rPr>
                <w:rFonts w:ascii="Arial" w:eastAsiaTheme="minorEastAsia" w:hAnsi="Arial" w:cs="Arial"/>
                <w:noProof/>
                <w:kern w:val="2"/>
                <w14:ligatures w14:val="standardContextual"/>
              </w:rPr>
              <w:tab/>
            </w:r>
            <w:r w:rsidRPr="00EC4EF8">
              <w:rPr>
                <w:rStyle w:val="Hyperlink"/>
                <w:rFonts w:ascii="Arial" w:hAnsi="Arial" w:cs="Arial"/>
                <w:noProof/>
              </w:rPr>
              <w:t>Analysis of Aviva PLC's Organizational Structure</w:t>
            </w:r>
            <w:r w:rsidRPr="00EC4EF8">
              <w:rPr>
                <w:rFonts w:ascii="Arial" w:hAnsi="Arial" w:cs="Arial"/>
                <w:noProof/>
                <w:webHidden/>
              </w:rPr>
              <w:tab/>
            </w:r>
            <w:r w:rsidRPr="00EC4EF8">
              <w:rPr>
                <w:rFonts w:ascii="Arial" w:hAnsi="Arial" w:cs="Arial"/>
                <w:noProof/>
                <w:webHidden/>
              </w:rPr>
              <w:fldChar w:fldCharType="begin"/>
            </w:r>
            <w:r w:rsidRPr="00EC4EF8">
              <w:rPr>
                <w:rFonts w:ascii="Arial" w:hAnsi="Arial" w:cs="Arial"/>
                <w:noProof/>
                <w:webHidden/>
              </w:rPr>
              <w:instrText xml:space="preserve"> PAGEREF _Toc144020489 \h </w:instrText>
            </w:r>
            <w:r w:rsidRPr="00EC4EF8">
              <w:rPr>
                <w:rFonts w:ascii="Arial" w:hAnsi="Arial" w:cs="Arial"/>
                <w:noProof/>
                <w:webHidden/>
              </w:rPr>
            </w:r>
            <w:r w:rsidRPr="00EC4EF8">
              <w:rPr>
                <w:rFonts w:ascii="Arial" w:hAnsi="Arial" w:cs="Arial"/>
                <w:noProof/>
                <w:webHidden/>
              </w:rPr>
              <w:fldChar w:fldCharType="separate"/>
            </w:r>
            <w:r w:rsidRPr="00EC4EF8">
              <w:rPr>
                <w:rFonts w:ascii="Arial" w:hAnsi="Arial" w:cs="Arial"/>
                <w:noProof/>
                <w:webHidden/>
              </w:rPr>
              <w:t>2</w:t>
            </w:r>
            <w:r w:rsidRPr="00EC4EF8">
              <w:rPr>
                <w:rFonts w:ascii="Arial" w:hAnsi="Arial" w:cs="Arial"/>
                <w:noProof/>
                <w:webHidden/>
              </w:rPr>
              <w:fldChar w:fldCharType="end"/>
            </w:r>
          </w:hyperlink>
        </w:p>
        <w:p w14:paraId="2C078123" w14:textId="0F3EB8D3" w:rsidR="00EC4EF8" w:rsidRPr="00EC4EF8" w:rsidRDefault="00EC4EF8">
          <w:pPr>
            <w:pStyle w:val="TOC1"/>
            <w:tabs>
              <w:tab w:val="left" w:pos="660"/>
              <w:tab w:val="right" w:leader="dot" w:pos="9016"/>
            </w:tabs>
            <w:rPr>
              <w:rFonts w:ascii="Arial" w:eastAsiaTheme="minorEastAsia" w:hAnsi="Arial" w:cs="Arial"/>
              <w:noProof/>
              <w:kern w:val="2"/>
              <w14:ligatures w14:val="standardContextual"/>
            </w:rPr>
          </w:pPr>
          <w:hyperlink w:anchor="_Toc144020490" w:history="1">
            <w:r w:rsidRPr="00EC4EF8">
              <w:rPr>
                <w:rStyle w:val="Hyperlink"/>
                <w:rFonts w:ascii="Arial" w:hAnsi="Arial" w:cs="Arial"/>
                <w:noProof/>
              </w:rPr>
              <w:t>2.2.</w:t>
            </w:r>
            <w:r w:rsidRPr="00EC4EF8">
              <w:rPr>
                <w:rFonts w:ascii="Arial" w:eastAsiaTheme="minorEastAsia" w:hAnsi="Arial" w:cs="Arial"/>
                <w:noProof/>
                <w:kern w:val="2"/>
                <w14:ligatures w14:val="standardContextual"/>
              </w:rPr>
              <w:tab/>
            </w:r>
            <w:r w:rsidRPr="00EC4EF8">
              <w:rPr>
                <w:rStyle w:val="Hyperlink"/>
                <w:rFonts w:ascii="Arial" w:hAnsi="Arial" w:cs="Arial"/>
                <w:noProof/>
              </w:rPr>
              <w:t>Examination of How the Organizational Structure Influences Performance</w:t>
            </w:r>
            <w:r w:rsidRPr="00EC4EF8">
              <w:rPr>
                <w:rFonts w:ascii="Arial" w:hAnsi="Arial" w:cs="Arial"/>
                <w:noProof/>
                <w:webHidden/>
              </w:rPr>
              <w:tab/>
            </w:r>
            <w:r w:rsidRPr="00EC4EF8">
              <w:rPr>
                <w:rFonts w:ascii="Arial" w:hAnsi="Arial" w:cs="Arial"/>
                <w:noProof/>
                <w:webHidden/>
              </w:rPr>
              <w:fldChar w:fldCharType="begin"/>
            </w:r>
            <w:r w:rsidRPr="00EC4EF8">
              <w:rPr>
                <w:rFonts w:ascii="Arial" w:hAnsi="Arial" w:cs="Arial"/>
                <w:noProof/>
                <w:webHidden/>
              </w:rPr>
              <w:instrText xml:space="preserve"> PAGEREF _Toc144020490 \h </w:instrText>
            </w:r>
            <w:r w:rsidRPr="00EC4EF8">
              <w:rPr>
                <w:rFonts w:ascii="Arial" w:hAnsi="Arial" w:cs="Arial"/>
                <w:noProof/>
                <w:webHidden/>
              </w:rPr>
            </w:r>
            <w:r w:rsidRPr="00EC4EF8">
              <w:rPr>
                <w:rFonts w:ascii="Arial" w:hAnsi="Arial" w:cs="Arial"/>
                <w:noProof/>
                <w:webHidden/>
              </w:rPr>
              <w:fldChar w:fldCharType="separate"/>
            </w:r>
            <w:r w:rsidRPr="00EC4EF8">
              <w:rPr>
                <w:rFonts w:ascii="Arial" w:hAnsi="Arial" w:cs="Arial"/>
                <w:noProof/>
                <w:webHidden/>
              </w:rPr>
              <w:t>2</w:t>
            </w:r>
            <w:r w:rsidRPr="00EC4EF8">
              <w:rPr>
                <w:rFonts w:ascii="Arial" w:hAnsi="Arial" w:cs="Arial"/>
                <w:noProof/>
                <w:webHidden/>
              </w:rPr>
              <w:fldChar w:fldCharType="end"/>
            </w:r>
          </w:hyperlink>
        </w:p>
        <w:p w14:paraId="36F1D4E3" w14:textId="5D6F5E70" w:rsidR="00EC4EF8" w:rsidRPr="00EC4EF8" w:rsidRDefault="00EC4EF8">
          <w:pPr>
            <w:pStyle w:val="TOC1"/>
            <w:tabs>
              <w:tab w:val="left" w:pos="660"/>
              <w:tab w:val="right" w:leader="dot" w:pos="9016"/>
            </w:tabs>
            <w:rPr>
              <w:rFonts w:ascii="Arial" w:eastAsiaTheme="minorEastAsia" w:hAnsi="Arial" w:cs="Arial"/>
              <w:noProof/>
              <w:kern w:val="2"/>
              <w14:ligatures w14:val="standardContextual"/>
            </w:rPr>
          </w:pPr>
          <w:hyperlink w:anchor="_Toc144020491" w:history="1">
            <w:r w:rsidRPr="00EC4EF8">
              <w:rPr>
                <w:rStyle w:val="Hyperlink"/>
                <w:rFonts w:ascii="Arial" w:hAnsi="Arial" w:cs="Arial"/>
                <w:noProof/>
              </w:rPr>
              <w:t>2.3.</w:t>
            </w:r>
            <w:r w:rsidRPr="00EC4EF8">
              <w:rPr>
                <w:rFonts w:ascii="Arial" w:eastAsiaTheme="minorEastAsia" w:hAnsi="Arial" w:cs="Arial"/>
                <w:noProof/>
                <w:kern w:val="2"/>
                <w14:ligatures w14:val="standardContextual"/>
              </w:rPr>
              <w:tab/>
            </w:r>
            <w:r w:rsidRPr="00EC4EF8">
              <w:rPr>
                <w:rStyle w:val="Hyperlink"/>
                <w:rFonts w:ascii="Arial" w:hAnsi="Arial" w:cs="Arial"/>
                <w:noProof/>
                <w:shd w:val="clear" w:color="auto" w:fill="FFFFFF"/>
              </w:rPr>
              <w:t>Discussion of Relevant Theories and Frameworks</w:t>
            </w:r>
            <w:r w:rsidRPr="00EC4EF8">
              <w:rPr>
                <w:rFonts w:ascii="Arial" w:hAnsi="Arial" w:cs="Arial"/>
                <w:noProof/>
                <w:webHidden/>
              </w:rPr>
              <w:tab/>
            </w:r>
            <w:r w:rsidRPr="00EC4EF8">
              <w:rPr>
                <w:rFonts w:ascii="Arial" w:hAnsi="Arial" w:cs="Arial"/>
                <w:noProof/>
                <w:webHidden/>
              </w:rPr>
              <w:fldChar w:fldCharType="begin"/>
            </w:r>
            <w:r w:rsidRPr="00EC4EF8">
              <w:rPr>
                <w:rFonts w:ascii="Arial" w:hAnsi="Arial" w:cs="Arial"/>
                <w:noProof/>
                <w:webHidden/>
              </w:rPr>
              <w:instrText xml:space="preserve"> PAGEREF _Toc144020491 \h </w:instrText>
            </w:r>
            <w:r w:rsidRPr="00EC4EF8">
              <w:rPr>
                <w:rFonts w:ascii="Arial" w:hAnsi="Arial" w:cs="Arial"/>
                <w:noProof/>
                <w:webHidden/>
              </w:rPr>
            </w:r>
            <w:r w:rsidRPr="00EC4EF8">
              <w:rPr>
                <w:rFonts w:ascii="Arial" w:hAnsi="Arial" w:cs="Arial"/>
                <w:noProof/>
                <w:webHidden/>
              </w:rPr>
              <w:fldChar w:fldCharType="separate"/>
            </w:r>
            <w:r w:rsidRPr="00EC4EF8">
              <w:rPr>
                <w:rFonts w:ascii="Arial" w:hAnsi="Arial" w:cs="Arial"/>
                <w:noProof/>
                <w:webHidden/>
              </w:rPr>
              <w:t>3</w:t>
            </w:r>
            <w:r w:rsidRPr="00EC4EF8">
              <w:rPr>
                <w:rFonts w:ascii="Arial" w:hAnsi="Arial" w:cs="Arial"/>
                <w:noProof/>
                <w:webHidden/>
              </w:rPr>
              <w:fldChar w:fldCharType="end"/>
            </w:r>
          </w:hyperlink>
        </w:p>
        <w:p w14:paraId="7680D2A4" w14:textId="003FE78C" w:rsidR="00EC4EF8" w:rsidRPr="00EC4EF8" w:rsidRDefault="00EC4EF8">
          <w:pPr>
            <w:pStyle w:val="TOC1"/>
            <w:tabs>
              <w:tab w:val="left" w:pos="660"/>
              <w:tab w:val="right" w:leader="dot" w:pos="9016"/>
            </w:tabs>
            <w:rPr>
              <w:rFonts w:ascii="Arial" w:eastAsiaTheme="minorEastAsia" w:hAnsi="Arial" w:cs="Arial"/>
              <w:noProof/>
              <w:kern w:val="2"/>
              <w14:ligatures w14:val="standardContextual"/>
            </w:rPr>
          </w:pPr>
          <w:hyperlink w:anchor="_Toc144020492" w:history="1">
            <w:r w:rsidRPr="00EC4EF8">
              <w:rPr>
                <w:rStyle w:val="Hyperlink"/>
                <w:rFonts w:ascii="Arial" w:hAnsi="Arial" w:cs="Arial"/>
                <w:noProof/>
              </w:rPr>
              <w:t>2.4.</w:t>
            </w:r>
            <w:r w:rsidRPr="00EC4EF8">
              <w:rPr>
                <w:rFonts w:ascii="Arial" w:eastAsiaTheme="minorEastAsia" w:hAnsi="Arial" w:cs="Arial"/>
                <w:noProof/>
                <w:kern w:val="2"/>
                <w14:ligatures w14:val="standardContextual"/>
              </w:rPr>
              <w:tab/>
            </w:r>
            <w:r w:rsidRPr="00EC4EF8">
              <w:rPr>
                <w:rStyle w:val="Hyperlink"/>
                <w:rFonts w:ascii="Arial" w:hAnsi="Arial" w:cs="Arial"/>
                <w:noProof/>
              </w:rPr>
              <w:t>Impact of Organisational Culture on Performance</w:t>
            </w:r>
            <w:r w:rsidRPr="00EC4EF8">
              <w:rPr>
                <w:rFonts w:ascii="Arial" w:hAnsi="Arial" w:cs="Arial"/>
                <w:noProof/>
                <w:webHidden/>
              </w:rPr>
              <w:tab/>
            </w:r>
            <w:r w:rsidRPr="00EC4EF8">
              <w:rPr>
                <w:rFonts w:ascii="Arial" w:hAnsi="Arial" w:cs="Arial"/>
                <w:noProof/>
                <w:webHidden/>
              </w:rPr>
              <w:fldChar w:fldCharType="begin"/>
            </w:r>
            <w:r w:rsidRPr="00EC4EF8">
              <w:rPr>
                <w:rFonts w:ascii="Arial" w:hAnsi="Arial" w:cs="Arial"/>
                <w:noProof/>
                <w:webHidden/>
              </w:rPr>
              <w:instrText xml:space="preserve"> PAGEREF _Toc144020492 \h </w:instrText>
            </w:r>
            <w:r w:rsidRPr="00EC4EF8">
              <w:rPr>
                <w:rFonts w:ascii="Arial" w:hAnsi="Arial" w:cs="Arial"/>
                <w:noProof/>
                <w:webHidden/>
              </w:rPr>
            </w:r>
            <w:r w:rsidRPr="00EC4EF8">
              <w:rPr>
                <w:rFonts w:ascii="Arial" w:hAnsi="Arial" w:cs="Arial"/>
                <w:noProof/>
                <w:webHidden/>
              </w:rPr>
              <w:fldChar w:fldCharType="separate"/>
            </w:r>
            <w:r w:rsidRPr="00EC4EF8">
              <w:rPr>
                <w:rFonts w:ascii="Arial" w:hAnsi="Arial" w:cs="Arial"/>
                <w:noProof/>
                <w:webHidden/>
              </w:rPr>
              <w:t>3</w:t>
            </w:r>
            <w:r w:rsidRPr="00EC4EF8">
              <w:rPr>
                <w:rFonts w:ascii="Arial" w:hAnsi="Arial" w:cs="Arial"/>
                <w:noProof/>
                <w:webHidden/>
              </w:rPr>
              <w:fldChar w:fldCharType="end"/>
            </w:r>
          </w:hyperlink>
        </w:p>
        <w:p w14:paraId="471DD709" w14:textId="455B9517" w:rsidR="00EC4EF8" w:rsidRPr="00EC4EF8" w:rsidRDefault="00EC4EF8">
          <w:pPr>
            <w:pStyle w:val="TOC1"/>
            <w:tabs>
              <w:tab w:val="left" w:pos="440"/>
              <w:tab w:val="right" w:leader="dot" w:pos="9016"/>
            </w:tabs>
            <w:rPr>
              <w:rFonts w:ascii="Arial" w:eastAsiaTheme="minorEastAsia" w:hAnsi="Arial" w:cs="Arial"/>
              <w:noProof/>
              <w:kern w:val="2"/>
              <w14:ligatures w14:val="standardContextual"/>
            </w:rPr>
          </w:pPr>
          <w:hyperlink w:anchor="_Toc144020493" w:history="1">
            <w:r w:rsidRPr="00EC4EF8">
              <w:rPr>
                <w:rStyle w:val="Hyperlink"/>
                <w:rFonts w:ascii="Arial" w:hAnsi="Arial" w:cs="Arial"/>
                <w:noProof/>
              </w:rPr>
              <w:t>3.</w:t>
            </w:r>
            <w:r w:rsidRPr="00EC4EF8">
              <w:rPr>
                <w:rFonts w:ascii="Arial" w:eastAsiaTheme="minorEastAsia" w:hAnsi="Arial" w:cs="Arial"/>
                <w:noProof/>
                <w:kern w:val="2"/>
                <w14:ligatures w14:val="standardContextual"/>
              </w:rPr>
              <w:tab/>
            </w:r>
            <w:r w:rsidRPr="00EC4EF8">
              <w:rPr>
                <w:rStyle w:val="Hyperlink"/>
                <w:rFonts w:ascii="Arial" w:hAnsi="Arial" w:cs="Arial"/>
                <w:noProof/>
              </w:rPr>
              <w:t>Employee Motivation at Aviva PLC</w:t>
            </w:r>
            <w:r w:rsidRPr="00EC4EF8">
              <w:rPr>
                <w:rFonts w:ascii="Arial" w:hAnsi="Arial" w:cs="Arial"/>
                <w:noProof/>
                <w:webHidden/>
              </w:rPr>
              <w:tab/>
            </w:r>
            <w:r w:rsidRPr="00EC4EF8">
              <w:rPr>
                <w:rFonts w:ascii="Arial" w:hAnsi="Arial" w:cs="Arial"/>
                <w:noProof/>
                <w:webHidden/>
              </w:rPr>
              <w:fldChar w:fldCharType="begin"/>
            </w:r>
            <w:r w:rsidRPr="00EC4EF8">
              <w:rPr>
                <w:rFonts w:ascii="Arial" w:hAnsi="Arial" w:cs="Arial"/>
                <w:noProof/>
                <w:webHidden/>
              </w:rPr>
              <w:instrText xml:space="preserve"> PAGEREF _Toc144020493 \h </w:instrText>
            </w:r>
            <w:r w:rsidRPr="00EC4EF8">
              <w:rPr>
                <w:rFonts w:ascii="Arial" w:hAnsi="Arial" w:cs="Arial"/>
                <w:noProof/>
                <w:webHidden/>
              </w:rPr>
            </w:r>
            <w:r w:rsidRPr="00EC4EF8">
              <w:rPr>
                <w:rFonts w:ascii="Arial" w:hAnsi="Arial" w:cs="Arial"/>
                <w:noProof/>
                <w:webHidden/>
              </w:rPr>
              <w:fldChar w:fldCharType="separate"/>
            </w:r>
            <w:r w:rsidRPr="00EC4EF8">
              <w:rPr>
                <w:rFonts w:ascii="Arial" w:hAnsi="Arial" w:cs="Arial"/>
                <w:noProof/>
                <w:webHidden/>
              </w:rPr>
              <w:t>4</w:t>
            </w:r>
            <w:r w:rsidRPr="00EC4EF8">
              <w:rPr>
                <w:rFonts w:ascii="Arial" w:hAnsi="Arial" w:cs="Arial"/>
                <w:noProof/>
                <w:webHidden/>
              </w:rPr>
              <w:fldChar w:fldCharType="end"/>
            </w:r>
          </w:hyperlink>
        </w:p>
        <w:p w14:paraId="5ECF5F0A" w14:textId="6242A1A6" w:rsidR="00EC4EF8" w:rsidRPr="00EC4EF8" w:rsidRDefault="00EC4EF8">
          <w:pPr>
            <w:pStyle w:val="TOC1"/>
            <w:tabs>
              <w:tab w:val="left" w:pos="440"/>
              <w:tab w:val="right" w:leader="dot" w:pos="9016"/>
            </w:tabs>
            <w:rPr>
              <w:rFonts w:ascii="Arial" w:eastAsiaTheme="minorEastAsia" w:hAnsi="Arial" w:cs="Arial"/>
              <w:noProof/>
              <w:kern w:val="2"/>
              <w14:ligatures w14:val="standardContextual"/>
            </w:rPr>
          </w:pPr>
          <w:hyperlink w:anchor="_Toc144020494" w:history="1">
            <w:r w:rsidRPr="00EC4EF8">
              <w:rPr>
                <w:rStyle w:val="Hyperlink"/>
                <w:rFonts w:ascii="Arial" w:hAnsi="Arial" w:cs="Arial"/>
                <w:noProof/>
              </w:rPr>
              <w:t>4.</w:t>
            </w:r>
            <w:r w:rsidRPr="00EC4EF8">
              <w:rPr>
                <w:rFonts w:ascii="Arial" w:eastAsiaTheme="minorEastAsia" w:hAnsi="Arial" w:cs="Arial"/>
                <w:noProof/>
                <w:kern w:val="2"/>
                <w14:ligatures w14:val="standardContextual"/>
              </w:rPr>
              <w:tab/>
            </w:r>
            <w:r w:rsidRPr="00EC4EF8">
              <w:rPr>
                <w:rStyle w:val="Hyperlink"/>
                <w:rFonts w:ascii="Arial" w:hAnsi="Arial" w:cs="Arial"/>
                <w:noProof/>
                <w:shd w:val="clear" w:color="auto" w:fill="FFFFFF"/>
              </w:rPr>
              <w:t>Essential Nature of Managerial Work and Leadership</w:t>
            </w:r>
            <w:r w:rsidRPr="00EC4EF8">
              <w:rPr>
                <w:rFonts w:ascii="Arial" w:hAnsi="Arial" w:cs="Arial"/>
                <w:noProof/>
                <w:webHidden/>
              </w:rPr>
              <w:tab/>
            </w:r>
            <w:r w:rsidRPr="00EC4EF8">
              <w:rPr>
                <w:rFonts w:ascii="Arial" w:hAnsi="Arial" w:cs="Arial"/>
                <w:noProof/>
                <w:webHidden/>
              </w:rPr>
              <w:fldChar w:fldCharType="begin"/>
            </w:r>
            <w:r w:rsidRPr="00EC4EF8">
              <w:rPr>
                <w:rFonts w:ascii="Arial" w:hAnsi="Arial" w:cs="Arial"/>
                <w:noProof/>
                <w:webHidden/>
              </w:rPr>
              <w:instrText xml:space="preserve"> PAGEREF _Toc144020494 \h </w:instrText>
            </w:r>
            <w:r w:rsidRPr="00EC4EF8">
              <w:rPr>
                <w:rFonts w:ascii="Arial" w:hAnsi="Arial" w:cs="Arial"/>
                <w:noProof/>
                <w:webHidden/>
              </w:rPr>
            </w:r>
            <w:r w:rsidRPr="00EC4EF8">
              <w:rPr>
                <w:rFonts w:ascii="Arial" w:hAnsi="Arial" w:cs="Arial"/>
                <w:noProof/>
                <w:webHidden/>
              </w:rPr>
              <w:fldChar w:fldCharType="separate"/>
            </w:r>
            <w:r w:rsidRPr="00EC4EF8">
              <w:rPr>
                <w:rFonts w:ascii="Arial" w:hAnsi="Arial" w:cs="Arial"/>
                <w:noProof/>
                <w:webHidden/>
              </w:rPr>
              <w:t>5</w:t>
            </w:r>
            <w:r w:rsidRPr="00EC4EF8">
              <w:rPr>
                <w:rFonts w:ascii="Arial" w:hAnsi="Arial" w:cs="Arial"/>
                <w:noProof/>
                <w:webHidden/>
              </w:rPr>
              <w:fldChar w:fldCharType="end"/>
            </w:r>
          </w:hyperlink>
        </w:p>
        <w:p w14:paraId="547DFC9D" w14:textId="29563579" w:rsidR="00EC4EF8" w:rsidRPr="00EC4EF8" w:rsidRDefault="00EC4EF8">
          <w:pPr>
            <w:pStyle w:val="TOC1"/>
            <w:tabs>
              <w:tab w:val="left" w:pos="440"/>
              <w:tab w:val="right" w:leader="dot" w:pos="9016"/>
            </w:tabs>
            <w:rPr>
              <w:rFonts w:ascii="Arial" w:eastAsiaTheme="minorEastAsia" w:hAnsi="Arial" w:cs="Arial"/>
              <w:noProof/>
              <w:kern w:val="2"/>
              <w14:ligatures w14:val="standardContextual"/>
            </w:rPr>
          </w:pPr>
          <w:hyperlink w:anchor="_Toc144020495" w:history="1">
            <w:r w:rsidRPr="00EC4EF8">
              <w:rPr>
                <w:rStyle w:val="Hyperlink"/>
                <w:rFonts w:ascii="Arial" w:hAnsi="Arial" w:cs="Arial"/>
                <w:noProof/>
              </w:rPr>
              <w:t>5.</w:t>
            </w:r>
            <w:r w:rsidRPr="00EC4EF8">
              <w:rPr>
                <w:rFonts w:ascii="Arial" w:eastAsiaTheme="minorEastAsia" w:hAnsi="Arial" w:cs="Arial"/>
                <w:noProof/>
                <w:kern w:val="2"/>
                <w14:ligatures w14:val="standardContextual"/>
              </w:rPr>
              <w:tab/>
            </w:r>
            <w:r w:rsidRPr="00EC4EF8">
              <w:rPr>
                <w:rStyle w:val="Hyperlink"/>
                <w:rFonts w:ascii="Arial" w:hAnsi="Arial" w:cs="Arial"/>
                <w:noProof/>
              </w:rPr>
              <w:t>Conclusion</w:t>
            </w:r>
            <w:r w:rsidRPr="00EC4EF8">
              <w:rPr>
                <w:rFonts w:ascii="Arial" w:hAnsi="Arial" w:cs="Arial"/>
                <w:noProof/>
                <w:webHidden/>
              </w:rPr>
              <w:tab/>
            </w:r>
            <w:r w:rsidRPr="00EC4EF8">
              <w:rPr>
                <w:rFonts w:ascii="Arial" w:hAnsi="Arial" w:cs="Arial"/>
                <w:noProof/>
                <w:webHidden/>
              </w:rPr>
              <w:fldChar w:fldCharType="begin"/>
            </w:r>
            <w:r w:rsidRPr="00EC4EF8">
              <w:rPr>
                <w:rFonts w:ascii="Arial" w:hAnsi="Arial" w:cs="Arial"/>
                <w:noProof/>
                <w:webHidden/>
              </w:rPr>
              <w:instrText xml:space="preserve"> PAGEREF _Toc144020495 \h </w:instrText>
            </w:r>
            <w:r w:rsidRPr="00EC4EF8">
              <w:rPr>
                <w:rFonts w:ascii="Arial" w:hAnsi="Arial" w:cs="Arial"/>
                <w:noProof/>
                <w:webHidden/>
              </w:rPr>
            </w:r>
            <w:r w:rsidRPr="00EC4EF8">
              <w:rPr>
                <w:rFonts w:ascii="Arial" w:hAnsi="Arial" w:cs="Arial"/>
                <w:noProof/>
                <w:webHidden/>
              </w:rPr>
              <w:fldChar w:fldCharType="separate"/>
            </w:r>
            <w:r w:rsidRPr="00EC4EF8">
              <w:rPr>
                <w:rFonts w:ascii="Arial" w:hAnsi="Arial" w:cs="Arial"/>
                <w:noProof/>
                <w:webHidden/>
              </w:rPr>
              <w:t>6</w:t>
            </w:r>
            <w:r w:rsidRPr="00EC4EF8">
              <w:rPr>
                <w:rFonts w:ascii="Arial" w:hAnsi="Arial" w:cs="Arial"/>
                <w:noProof/>
                <w:webHidden/>
              </w:rPr>
              <w:fldChar w:fldCharType="end"/>
            </w:r>
          </w:hyperlink>
        </w:p>
        <w:p w14:paraId="00510827" w14:textId="2240E1B8" w:rsidR="00EC4EF8" w:rsidRPr="00EC4EF8" w:rsidRDefault="00EC4EF8">
          <w:pPr>
            <w:pStyle w:val="TOC1"/>
            <w:tabs>
              <w:tab w:val="left" w:pos="440"/>
              <w:tab w:val="right" w:leader="dot" w:pos="9016"/>
            </w:tabs>
            <w:rPr>
              <w:rFonts w:ascii="Arial" w:eastAsiaTheme="minorEastAsia" w:hAnsi="Arial" w:cs="Arial"/>
              <w:noProof/>
              <w:kern w:val="2"/>
              <w14:ligatures w14:val="standardContextual"/>
            </w:rPr>
          </w:pPr>
          <w:hyperlink w:anchor="_Toc144020496" w:history="1">
            <w:r w:rsidRPr="00EC4EF8">
              <w:rPr>
                <w:rStyle w:val="Hyperlink"/>
                <w:rFonts w:ascii="Arial" w:hAnsi="Arial" w:cs="Arial"/>
                <w:noProof/>
              </w:rPr>
              <w:t>6.</w:t>
            </w:r>
            <w:r w:rsidRPr="00EC4EF8">
              <w:rPr>
                <w:rFonts w:ascii="Arial" w:eastAsiaTheme="minorEastAsia" w:hAnsi="Arial" w:cs="Arial"/>
                <w:noProof/>
                <w:kern w:val="2"/>
                <w14:ligatures w14:val="standardContextual"/>
              </w:rPr>
              <w:tab/>
            </w:r>
            <w:r w:rsidRPr="00EC4EF8">
              <w:rPr>
                <w:rStyle w:val="Hyperlink"/>
                <w:rFonts w:ascii="Arial" w:hAnsi="Arial" w:cs="Arial"/>
                <w:noProof/>
              </w:rPr>
              <w:t>References</w:t>
            </w:r>
            <w:r w:rsidRPr="00EC4EF8">
              <w:rPr>
                <w:rFonts w:ascii="Arial" w:hAnsi="Arial" w:cs="Arial"/>
                <w:noProof/>
                <w:webHidden/>
              </w:rPr>
              <w:tab/>
            </w:r>
            <w:r w:rsidRPr="00EC4EF8">
              <w:rPr>
                <w:rFonts w:ascii="Arial" w:hAnsi="Arial" w:cs="Arial"/>
                <w:noProof/>
                <w:webHidden/>
              </w:rPr>
              <w:fldChar w:fldCharType="begin"/>
            </w:r>
            <w:r w:rsidRPr="00EC4EF8">
              <w:rPr>
                <w:rFonts w:ascii="Arial" w:hAnsi="Arial" w:cs="Arial"/>
                <w:noProof/>
                <w:webHidden/>
              </w:rPr>
              <w:instrText xml:space="preserve"> PAGEREF _Toc144020496 \h </w:instrText>
            </w:r>
            <w:r w:rsidRPr="00EC4EF8">
              <w:rPr>
                <w:rFonts w:ascii="Arial" w:hAnsi="Arial" w:cs="Arial"/>
                <w:noProof/>
                <w:webHidden/>
              </w:rPr>
            </w:r>
            <w:r w:rsidRPr="00EC4EF8">
              <w:rPr>
                <w:rFonts w:ascii="Arial" w:hAnsi="Arial" w:cs="Arial"/>
                <w:noProof/>
                <w:webHidden/>
              </w:rPr>
              <w:fldChar w:fldCharType="separate"/>
            </w:r>
            <w:r w:rsidRPr="00EC4EF8">
              <w:rPr>
                <w:rFonts w:ascii="Arial" w:hAnsi="Arial" w:cs="Arial"/>
                <w:noProof/>
                <w:webHidden/>
              </w:rPr>
              <w:t>6</w:t>
            </w:r>
            <w:r w:rsidRPr="00EC4EF8">
              <w:rPr>
                <w:rFonts w:ascii="Arial" w:hAnsi="Arial" w:cs="Arial"/>
                <w:noProof/>
                <w:webHidden/>
              </w:rPr>
              <w:fldChar w:fldCharType="end"/>
            </w:r>
          </w:hyperlink>
        </w:p>
        <w:p w14:paraId="0602BF74" w14:textId="3FB26FF9" w:rsidR="00B96B0F" w:rsidRPr="00EC4EF8" w:rsidRDefault="00B96B0F">
          <w:pPr>
            <w:rPr>
              <w:rFonts w:ascii="Arial" w:hAnsi="Arial" w:cs="Arial"/>
            </w:rPr>
          </w:pPr>
          <w:r w:rsidRPr="00EC4EF8">
            <w:rPr>
              <w:rFonts w:ascii="Arial" w:hAnsi="Arial" w:cs="Arial"/>
              <w:b/>
              <w:bCs/>
            </w:rPr>
            <w:fldChar w:fldCharType="end"/>
          </w:r>
        </w:p>
      </w:sdtContent>
    </w:sdt>
    <w:p w14:paraId="3D67B72E" w14:textId="77777777" w:rsidR="00B96B0F" w:rsidRPr="00EC4EF8" w:rsidRDefault="00B96B0F" w:rsidP="00B96B0F">
      <w:pPr>
        <w:pStyle w:val="Heading1"/>
        <w:spacing w:line="360" w:lineRule="auto"/>
        <w:ind w:left="360"/>
        <w:rPr>
          <w:rFonts w:ascii="Arial" w:hAnsi="Arial" w:cs="Arial"/>
          <w:sz w:val="24"/>
          <w:szCs w:val="24"/>
        </w:rPr>
      </w:pPr>
    </w:p>
    <w:p w14:paraId="0B099875" w14:textId="48765195" w:rsidR="0096662B" w:rsidRPr="00EC4EF8" w:rsidRDefault="0096662B" w:rsidP="00B96B0F">
      <w:pPr>
        <w:pStyle w:val="Heading1"/>
        <w:numPr>
          <w:ilvl w:val="0"/>
          <w:numId w:val="3"/>
        </w:numPr>
        <w:spacing w:line="360" w:lineRule="auto"/>
        <w:rPr>
          <w:rFonts w:ascii="Arial" w:hAnsi="Arial" w:cs="Arial"/>
          <w:sz w:val="24"/>
          <w:szCs w:val="24"/>
        </w:rPr>
      </w:pPr>
      <w:bookmarkStart w:id="0" w:name="_Toc144020487"/>
      <w:r w:rsidRPr="00EC4EF8">
        <w:rPr>
          <w:rFonts w:ascii="Arial" w:hAnsi="Arial" w:cs="Arial"/>
          <w:sz w:val="24"/>
          <w:szCs w:val="24"/>
        </w:rPr>
        <w:t>Introduction</w:t>
      </w:r>
      <w:bookmarkEnd w:id="0"/>
    </w:p>
    <w:p w14:paraId="7A375F8A" w14:textId="1A6EC1B1" w:rsidR="0096662B" w:rsidRPr="00EC4EF8" w:rsidRDefault="0096662B" w:rsidP="0096662B">
      <w:pPr>
        <w:spacing w:line="360" w:lineRule="auto"/>
        <w:rPr>
          <w:rFonts w:ascii="Arial" w:hAnsi="Arial" w:cs="Arial"/>
          <w:color w:val="222222"/>
          <w:shd w:val="clear" w:color="auto" w:fill="FFFFFF"/>
        </w:rPr>
      </w:pPr>
      <w:r w:rsidRPr="00EC4EF8">
        <w:rPr>
          <w:rFonts w:ascii="Arial" w:hAnsi="Arial" w:cs="Arial"/>
          <w:color w:val="222222"/>
          <w:shd w:val="clear" w:color="auto" w:fill="FFFFFF"/>
        </w:rPr>
        <w:t xml:space="preserve">Aviva PLC, a UK-based company, adeptly manages its structure, culture, and individual drive to accomplish its objectives. The company's structure outlines responsibilities and facilitates decision-making, which greatly contributes to its success. Aviva's culture encourages collaboration, fosters innovation, and cultivates a sense of unity among employees, which propels growth. The motivation of </w:t>
      </w:r>
      <w:proofErr w:type="gramStart"/>
      <w:r w:rsidRPr="00EC4EF8">
        <w:rPr>
          <w:rFonts w:ascii="Arial" w:hAnsi="Arial" w:cs="Arial"/>
          <w:color w:val="222222"/>
          <w:shd w:val="clear" w:color="auto" w:fill="FFFFFF"/>
        </w:rPr>
        <w:t>each individual</w:t>
      </w:r>
      <w:proofErr w:type="gramEnd"/>
      <w:r w:rsidRPr="00EC4EF8">
        <w:rPr>
          <w:rFonts w:ascii="Arial" w:hAnsi="Arial" w:cs="Arial"/>
          <w:color w:val="222222"/>
          <w:shd w:val="clear" w:color="auto" w:fill="FFFFFF"/>
        </w:rPr>
        <w:t xml:space="preserve"> plays a role in propelling the workforce towards their goals. This comprehensive examines how these factors impact Aviva's performance by drawing on concepts and theories to provide insights into the company's accomplishments in today's modern workplace.</w:t>
      </w:r>
    </w:p>
    <w:p w14:paraId="54BDB76D" w14:textId="016C5909" w:rsidR="0096662B" w:rsidRPr="00EC4EF8" w:rsidRDefault="0096662B" w:rsidP="00B96B0F">
      <w:pPr>
        <w:pStyle w:val="Heading1"/>
        <w:numPr>
          <w:ilvl w:val="0"/>
          <w:numId w:val="3"/>
        </w:numPr>
        <w:rPr>
          <w:rFonts w:ascii="Arial" w:hAnsi="Arial" w:cs="Arial"/>
          <w:sz w:val="24"/>
          <w:szCs w:val="24"/>
        </w:rPr>
      </w:pPr>
      <w:bookmarkStart w:id="1" w:name="_Toc144020488"/>
      <w:r w:rsidRPr="00EC4EF8">
        <w:rPr>
          <w:rFonts w:ascii="Arial" w:hAnsi="Arial" w:cs="Arial"/>
          <w:sz w:val="24"/>
          <w:szCs w:val="24"/>
        </w:rPr>
        <w:t>Relationship between Organizational Structure, Culture, and Performance</w:t>
      </w:r>
      <w:bookmarkEnd w:id="1"/>
    </w:p>
    <w:p w14:paraId="6B5674C4" w14:textId="26D508BC" w:rsidR="0096662B" w:rsidRPr="00EC4EF8" w:rsidRDefault="0096662B" w:rsidP="0096662B">
      <w:pPr>
        <w:rPr>
          <w:rFonts w:ascii="Arial" w:hAnsi="Arial" w:cs="Arial"/>
          <w:color w:val="222222"/>
          <w:shd w:val="clear" w:color="auto" w:fill="FFFFFF"/>
        </w:rPr>
      </w:pPr>
      <w:r w:rsidRPr="00EC4EF8">
        <w:rPr>
          <w:rFonts w:ascii="Arial" w:hAnsi="Arial" w:cs="Arial"/>
          <w:color w:val="222222"/>
          <w:shd w:val="clear" w:color="auto" w:fill="FFFFFF"/>
        </w:rPr>
        <w:t xml:space="preserve">Extensive research has delved into the connection between the structure of organizations, their culture, and how they perform. The organizational structure encompasses roles, relationships, and hierarchies that guide how tasks are divided and coordinated (Buchanan &amp; Huczynski 2019, p. 123). It plays a role in shaping communication, decision-making processes, and resource allocation. Walsh et al. (2019, p. 45) state that the structure of a company can </w:t>
      </w:r>
      <w:proofErr w:type="gramStart"/>
      <w:r w:rsidRPr="00EC4EF8">
        <w:rPr>
          <w:rFonts w:ascii="Arial" w:hAnsi="Arial" w:cs="Arial"/>
          <w:color w:val="222222"/>
          <w:shd w:val="clear" w:color="auto" w:fill="FFFFFF"/>
        </w:rPr>
        <w:t>impact</w:t>
      </w:r>
      <w:proofErr w:type="gramEnd"/>
      <w:r w:rsidRPr="00EC4EF8">
        <w:rPr>
          <w:rFonts w:ascii="Arial" w:hAnsi="Arial" w:cs="Arial"/>
          <w:color w:val="222222"/>
          <w:shd w:val="clear" w:color="auto" w:fill="FFFFFF"/>
        </w:rPr>
        <w:t xml:space="preserve"> its performance positively or negatively. A designed and flexible structure promotes communication and collaboration among team members leading to increased efficiency and productivity (Walsh et al., 2019, p. 45). Moreover, a rigid hierarchical setup can hinder communication channels, and impede innovation ultimately affecting performance negatively.</w:t>
      </w:r>
    </w:p>
    <w:p w14:paraId="14097C9C" w14:textId="77777777" w:rsidR="0096662B" w:rsidRPr="00EC4EF8" w:rsidRDefault="0096662B" w:rsidP="0096662B">
      <w:pPr>
        <w:rPr>
          <w:rFonts w:ascii="Arial" w:hAnsi="Arial" w:cs="Arial"/>
          <w:color w:val="222222"/>
          <w:shd w:val="clear" w:color="auto" w:fill="FFFFFF"/>
        </w:rPr>
      </w:pPr>
    </w:p>
    <w:p w14:paraId="12692060" w14:textId="5A9BD71F" w:rsidR="0096662B" w:rsidRPr="00EC4EF8" w:rsidRDefault="0096662B" w:rsidP="0096662B">
      <w:pPr>
        <w:rPr>
          <w:rFonts w:ascii="Arial" w:hAnsi="Arial" w:cs="Arial"/>
          <w:color w:val="222222"/>
          <w:shd w:val="clear" w:color="auto" w:fill="FFFFFF"/>
        </w:rPr>
      </w:pPr>
      <w:r w:rsidRPr="00EC4EF8">
        <w:rPr>
          <w:rFonts w:ascii="Arial" w:hAnsi="Arial" w:cs="Arial"/>
          <w:color w:val="222222"/>
          <w:shd w:val="clear" w:color="auto" w:fill="FFFFFF"/>
        </w:rPr>
        <w:t xml:space="preserve">The significance of culture cannot be overstated when it comes to achieving outcomes in performance. A culture that promotes teamwork, trustworthiness, and a sense of purpose can greatly enhance the levels of team members and their commitment, to achieving goals (González-Rodríguez et al., 2019, p. 400). On the </w:t>
      </w:r>
      <w:r w:rsidRPr="00EC4EF8">
        <w:rPr>
          <w:rFonts w:ascii="Arial" w:hAnsi="Arial" w:cs="Arial"/>
          <w:color w:val="222222"/>
          <w:shd w:val="clear" w:color="auto" w:fill="FFFFFF"/>
        </w:rPr>
        <w:t xml:space="preserve">other </w:t>
      </w:r>
      <w:r w:rsidRPr="00EC4EF8">
        <w:rPr>
          <w:rFonts w:ascii="Arial" w:hAnsi="Arial" w:cs="Arial"/>
          <w:color w:val="222222"/>
          <w:shd w:val="clear" w:color="auto" w:fill="FFFFFF"/>
        </w:rPr>
        <w:t xml:space="preserve">hand, a toxic culture characterized by mistrust and conflicts can hinder motivation levels and overall organizational performance. It is important to note that there is a connection between structure and culture (Schmiedel et al., 2018, p.945). The structure has the potential to shape or influence the prevailing culture. For instance, decentralized structures tend to encourage employee autonomy and foster innovation within the organization while centralized structures prioritize adherence to </w:t>
      </w:r>
      <w:r w:rsidRPr="00EC4EF8">
        <w:rPr>
          <w:rFonts w:ascii="Arial" w:hAnsi="Arial" w:cs="Arial"/>
          <w:color w:val="222222"/>
          <w:shd w:val="clear" w:color="auto" w:fill="FFFFFF"/>
        </w:rPr>
        <w:lastRenderedPageBreak/>
        <w:t>rules as drivers of success. Additionally, a company's operations can be influenced by its culture, for example, when there is an emphasis on collaboration and inclusivity it often leads to structures where employees feel empowered (Al-</w:t>
      </w:r>
      <w:proofErr w:type="spellStart"/>
      <w:r w:rsidRPr="00EC4EF8">
        <w:rPr>
          <w:rFonts w:ascii="Arial" w:hAnsi="Arial" w:cs="Arial"/>
          <w:color w:val="222222"/>
          <w:shd w:val="clear" w:color="auto" w:fill="FFFFFF"/>
        </w:rPr>
        <w:t>Swidi</w:t>
      </w:r>
      <w:proofErr w:type="spellEnd"/>
      <w:r w:rsidRPr="00EC4EF8">
        <w:rPr>
          <w:rFonts w:ascii="Arial" w:hAnsi="Arial" w:cs="Arial"/>
          <w:color w:val="222222"/>
          <w:shd w:val="clear" w:color="auto" w:fill="FFFFFF"/>
        </w:rPr>
        <w:t xml:space="preserve">, </w:t>
      </w:r>
      <w:proofErr w:type="spellStart"/>
      <w:r w:rsidRPr="00EC4EF8">
        <w:rPr>
          <w:rFonts w:ascii="Arial" w:hAnsi="Arial" w:cs="Arial"/>
          <w:color w:val="222222"/>
          <w:shd w:val="clear" w:color="auto" w:fill="FFFFFF"/>
        </w:rPr>
        <w:t>Gelaidan</w:t>
      </w:r>
      <w:proofErr w:type="spellEnd"/>
      <w:r w:rsidRPr="00EC4EF8">
        <w:rPr>
          <w:rFonts w:ascii="Arial" w:hAnsi="Arial" w:cs="Arial"/>
          <w:color w:val="222222"/>
          <w:shd w:val="clear" w:color="auto" w:fill="FFFFFF"/>
        </w:rPr>
        <w:t xml:space="preserve"> and Saleh, 2021, p. 128112). Recognizing this relationship and aligning an organization's structure with its culture is crucial, for maximizing performance.</w:t>
      </w:r>
    </w:p>
    <w:p w14:paraId="516989E9" w14:textId="77777777" w:rsidR="0096662B" w:rsidRPr="00EC4EF8" w:rsidRDefault="0096662B" w:rsidP="0096662B">
      <w:pPr>
        <w:rPr>
          <w:rFonts w:ascii="Arial" w:hAnsi="Arial" w:cs="Arial"/>
          <w:color w:val="222222"/>
          <w:shd w:val="clear" w:color="auto" w:fill="FFFFFF"/>
        </w:rPr>
      </w:pPr>
    </w:p>
    <w:p w14:paraId="1F9EAB34" w14:textId="6A465558" w:rsidR="0096662B" w:rsidRPr="00EC4EF8" w:rsidRDefault="0096662B" w:rsidP="00B96B0F">
      <w:pPr>
        <w:pStyle w:val="Heading1"/>
        <w:numPr>
          <w:ilvl w:val="1"/>
          <w:numId w:val="3"/>
        </w:numPr>
        <w:rPr>
          <w:rFonts w:ascii="Arial" w:hAnsi="Arial" w:cs="Arial"/>
          <w:sz w:val="24"/>
          <w:szCs w:val="24"/>
        </w:rPr>
      </w:pPr>
      <w:bookmarkStart w:id="2" w:name="_Toc144020489"/>
      <w:r w:rsidRPr="00EC4EF8">
        <w:rPr>
          <w:rFonts w:ascii="Arial" w:hAnsi="Arial" w:cs="Arial"/>
          <w:sz w:val="24"/>
          <w:szCs w:val="24"/>
        </w:rPr>
        <w:t>Analysis of Aviva PLC's Organizational Structure</w:t>
      </w:r>
      <w:bookmarkEnd w:id="2"/>
    </w:p>
    <w:p w14:paraId="08F6798D" w14:textId="77777777" w:rsidR="0096662B" w:rsidRPr="00EC4EF8" w:rsidRDefault="0096662B" w:rsidP="0096662B">
      <w:pPr>
        <w:rPr>
          <w:rFonts w:ascii="Arial" w:hAnsi="Arial" w:cs="Arial"/>
        </w:rPr>
      </w:pPr>
    </w:p>
    <w:p w14:paraId="43EBE7E4" w14:textId="2CBBAF8B" w:rsidR="0096662B" w:rsidRPr="00EC4EF8" w:rsidRDefault="0096662B" w:rsidP="0096662B">
      <w:pPr>
        <w:rPr>
          <w:rFonts w:ascii="Arial" w:hAnsi="Arial" w:cs="Arial"/>
          <w:color w:val="222222"/>
          <w:shd w:val="clear" w:color="auto" w:fill="FFFFFF"/>
        </w:rPr>
      </w:pPr>
      <w:r w:rsidRPr="00EC4EF8">
        <w:rPr>
          <w:rFonts w:ascii="Arial" w:hAnsi="Arial" w:cs="Arial"/>
          <w:color w:val="222222"/>
          <w:shd w:val="clear" w:color="auto" w:fill="FFFFFF"/>
        </w:rPr>
        <w:t xml:space="preserve"> Aviva PLC, a well-known </w:t>
      </w:r>
      <w:proofErr w:type="gramStart"/>
      <w:r w:rsidRPr="00EC4EF8">
        <w:rPr>
          <w:rFonts w:ascii="Arial" w:hAnsi="Arial" w:cs="Arial"/>
          <w:color w:val="222222"/>
          <w:shd w:val="clear" w:color="auto" w:fill="FFFFFF"/>
        </w:rPr>
        <w:t>insurance</w:t>
      </w:r>
      <w:proofErr w:type="gramEnd"/>
      <w:r w:rsidRPr="00EC4EF8">
        <w:rPr>
          <w:rFonts w:ascii="Arial" w:hAnsi="Arial" w:cs="Arial"/>
          <w:color w:val="222222"/>
          <w:shd w:val="clear" w:color="auto" w:fill="FFFFFF"/>
        </w:rPr>
        <w:t xml:space="preserve"> and financial services company headquartered in the United Kingdom, operates within a highly competitive industry (Aviva, n.d.). Due to its extensive range of services and global presence, Aviva PLC has adopted a diverse organizational structure. The company follows a hierarchical approach, enabling clear delineation of roles and responsibilities for effective coordination and communication across various management levels (Aviva, n.d.). Within this structure, different departments and business units operate with a certain level of autonomy while collectively working towards common goals. To maintain consistency and ensure alignment with objectives, Aviva PLC employs a centralized decision-making process (Aviva, n.d.). This centralized approach allows the company to swiftly respond to challenges and capitalize on market opportunities, making it well-suited for the fast-paced industry. By striking a balance between centralized control and decentralized decision-making processes, Aviva PLC remains adaptable to market changes. Considering its vast reach, Aviva PLC utilizes a matrix organizational structure that combines divisions with geographical units (Aviva, n.d.). This matrix structure facilitates resource optimization, knowledge sharing, and collaboration across different regions, while still maintaining a unified strategy tailored to specific markets.</w:t>
      </w:r>
    </w:p>
    <w:p w14:paraId="1BC87231" w14:textId="6A227430" w:rsidR="0096662B" w:rsidRPr="00EC4EF8" w:rsidRDefault="0096662B" w:rsidP="0096662B">
      <w:pPr>
        <w:rPr>
          <w:rFonts w:ascii="Arial" w:hAnsi="Arial" w:cs="Arial"/>
          <w:color w:val="222222"/>
          <w:shd w:val="clear" w:color="auto" w:fill="FFFFFF"/>
        </w:rPr>
      </w:pPr>
    </w:p>
    <w:p w14:paraId="412A697C" w14:textId="60456858" w:rsidR="00B96B0F" w:rsidRPr="00EC4EF8" w:rsidRDefault="00B96B0F" w:rsidP="00B96B0F">
      <w:pPr>
        <w:pStyle w:val="Heading1"/>
        <w:numPr>
          <w:ilvl w:val="1"/>
          <w:numId w:val="3"/>
        </w:numPr>
        <w:rPr>
          <w:rFonts w:ascii="Arial" w:hAnsi="Arial" w:cs="Arial"/>
          <w:sz w:val="24"/>
          <w:szCs w:val="24"/>
        </w:rPr>
      </w:pPr>
      <w:bookmarkStart w:id="3" w:name="_Toc144020490"/>
      <w:r w:rsidRPr="00EC4EF8">
        <w:rPr>
          <w:rFonts w:ascii="Arial" w:hAnsi="Arial" w:cs="Arial"/>
          <w:sz w:val="24"/>
          <w:szCs w:val="24"/>
        </w:rPr>
        <w:t>Examination of How the Organizational Structure Influences Performance</w:t>
      </w:r>
      <w:bookmarkEnd w:id="3"/>
    </w:p>
    <w:p w14:paraId="46AC6988" w14:textId="376D65F4" w:rsidR="0096662B" w:rsidRPr="00EC4EF8" w:rsidRDefault="0096662B" w:rsidP="0096662B">
      <w:pPr>
        <w:rPr>
          <w:rFonts w:ascii="Arial" w:hAnsi="Arial" w:cs="Arial"/>
          <w:color w:val="222222"/>
          <w:shd w:val="clear" w:color="auto" w:fill="FFFFFF"/>
        </w:rPr>
      </w:pPr>
    </w:p>
    <w:p w14:paraId="7BFD3EE2" w14:textId="77777777" w:rsidR="00B96B0F" w:rsidRPr="00EC4EF8" w:rsidRDefault="00B96B0F" w:rsidP="00B96B0F">
      <w:pPr>
        <w:shd w:val="clear" w:color="auto" w:fill="FFFFFF"/>
        <w:rPr>
          <w:rFonts w:ascii="Arial" w:hAnsi="Arial" w:cs="Arial"/>
          <w:color w:val="222222"/>
        </w:rPr>
      </w:pPr>
      <w:r w:rsidRPr="00EC4EF8">
        <w:rPr>
          <w:rFonts w:ascii="Arial" w:hAnsi="Arial" w:cs="Arial"/>
          <w:color w:val="222222"/>
        </w:rPr>
        <w:t>The organizational structure of Aviva PLC plays a crucial role in shaping its performance in the highly competitive industry. As a global player, Aviva PLC has a complex organizational structure that establishes lines of authority and communication to facilitate the smooth flow of strategic objectives across teams (George, Walker, &amp; Monster, 2019, p. 814). This alignment of efforts and efficient allocation of resources significantly contribute to Aviva PLC's success in the industry. One evident influence of the organizational structure on performance is the adoption of a centralized decision-making process, which allows the company to respond swiftly to market changes and capitalize on emerging opportunities, giving them a competitive edge (George et al., 2019, p. 814). This approach enhances overall performance by enabling effective coordination and quick decision-making.</w:t>
      </w:r>
    </w:p>
    <w:p w14:paraId="3D626235" w14:textId="77777777" w:rsidR="00B96B0F" w:rsidRPr="00EC4EF8" w:rsidRDefault="00B96B0F" w:rsidP="00B96B0F">
      <w:pPr>
        <w:shd w:val="clear" w:color="auto" w:fill="FFFFFF"/>
        <w:rPr>
          <w:rFonts w:ascii="Arial" w:hAnsi="Arial" w:cs="Arial"/>
          <w:color w:val="222222"/>
        </w:rPr>
      </w:pPr>
      <w:r w:rsidRPr="00EC4EF8">
        <w:rPr>
          <w:rFonts w:ascii="Arial" w:hAnsi="Arial" w:cs="Arial"/>
          <w:color w:val="222222"/>
        </w:rPr>
        <w:t xml:space="preserve"> Regarding corporate social responsibility (CSR) initiatives, the organizational structure also plays a vital role. Aviva PLC empowers its local divisions to engage in community-based CSR activities and has been successful over the years due to the company’s well-established structure (Singh &amp; Misra, 2021, p. 100139). Moreover, the centralized framework ensures that CSR strategies align with Aviva PLC's vision </w:t>
      </w:r>
      <w:r w:rsidRPr="00EC4EF8">
        <w:rPr>
          <w:rFonts w:ascii="Arial" w:hAnsi="Arial" w:cs="Arial"/>
          <w:color w:val="222222"/>
        </w:rPr>
        <w:lastRenderedPageBreak/>
        <w:t>and values, ultimately strengthening the company's reputation as an organization committed to responsibility and positively impacting its overall performance.</w:t>
      </w:r>
    </w:p>
    <w:p w14:paraId="78A654BC" w14:textId="77777777" w:rsidR="00B96B0F" w:rsidRPr="00EC4EF8" w:rsidRDefault="00B96B0F" w:rsidP="00B96B0F">
      <w:pPr>
        <w:shd w:val="clear" w:color="auto" w:fill="FFFFFF"/>
        <w:rPr>
          <w:rFonts w:ascii="Arial" w:hAnsi="Arial" w:cs="Arial"/>
          <w:color w:val="222222"/>
        </w:rPr>
      </w:pPr>
    </w:p>
    <w:p w14:paraId="443F5E07" w14:textId="73C36E2E" w:rsidR="00B96B0F" w:rsidRPr="00EC4EF8" w:rsidRDefault="00B96B0F" w:rsidP="00B96B0F">
      <w:pPr>
        <w:pStyle w:val="Heading1"/>
        <w:numPr>
          <w:ilvl w:val="1"/>
          <w:numId w:val="3"/>
        </w:numPr>
        <w:rPr>
          <w:rFonts w:ascii="Arial" w:hAnsi="Arial" w:cs="Arial"/>
          <w:sz w:val="24"/>
          <w:szCs w:val="24"/>
          <w:shd w:val="clear" w:color="auto" w:fill="FFFFFF"/>
        </w:rPr>
      </w:pPr>
      <w:bookmarkStart w:id="4" w:name="_Toc144020491"/>
      <w:r w:rsidRPr="00EC4EF8">
        <w:rPr>
          <w:rFonts w:ascii="Arial" w:hAnsi="Arial" w:cs="Arial"/>
          <w:sz w:val="24"/>
          <w:szCs w:val="24"/>
          <w:shd w:val="clear" w:color="auto" w:fill="FFFFFF"/>
        </w:rPr>
        <w:t>Discussion of Relevant Theories and Frameworks</w:t>
      </w:r>
      <w:bookmarkEnd w:id="4"/>
    </w:p>
    <w:p w14:paraId="12185034" w14:textId="0FDDB6D9" w:rsidR="00B96B0F" w:rsidRPr="00EC4EF8" w:rsidRDefault="00B96B0F" w:rsidP="00B96B0F">
      <w:pPr>
        <w:shd w:val="clear" w:color="auto" w:fill="FFFFFF"/>
        <w:rPr>
          <w:rFonts w:ascii="Arial" w:hAnsi="Arial" w:cs="Arial"/>
          <w:color w:val="222222"/>
        </w:rPr>
      </w:pPr>
      <w:r w:rsidRPr="00EC4EF8">
        <w:rPr>
          <w:rFonts w:ascii="Arial" w:hAnsi="Arial" w:cs="Arial"/>
          <w:color w:val="222222"/>
        </w:rPr>
        <w:t xml:space="preserve">When exploring the connection between structure and performance, it is important to consider theories and frameworks. In the case of Aviva PLC, an insurance and financial services company, the Contingency Theory can be applied. This theory suggests that there is no </w:t>
      </w:r>
      <w:r w:rsidRPr="00EC4EF8">
        <w:rPr>
          <w:rFonts w:ascii="Arial" w:hAnsi="Arial" w:cs="Arial"/>
          <w:color w:val="222222"/>
        </w:rPr>
        <w:t>one-size-fits-all</w:t>
      </w:r>
      <w:r w:rsidRPr="00EC4EF8">
        <w:rPr>
          <w:rFonts w:ascii="Arial" w:hAnsi="Arial" w:cs="Arial"/>
          <w:color w:val="222222"/>
        </w:rPr>
        <w:t xml:space="preserve"> structure that works universally. Instead, the effective structure depends on situational factors (George, Walker, &amp; Monster, 2019, p. 814). For Aviva PLC specifically, this means they need to have a structure that aligns with their goals and adapts to the ever-changing external environment. As Aviva PLC continues its expansion both in terms of products and global operations, it must have a structure that can accommodate these changes.</w:t>
      </w:r>
    </w:p>
    <w:p w14:paraId="04343DCB" w14:textId="77777777" w:rsidR="00B96B0F" w:rsidRPr="00EC4EF8" w:rsidRDefault="00B96B0F" w:rsidP="00B96B0F">
      <w:pPr>
        <w:shd w:val="clear" w:color="auto" w:fill="FFFFFF"/>
        <w:rPr>
          <w:rFonts w:ascii="Arial" w:hAnsi="Arial" w:cs="Arial"/>
          <w:color w:val="222222"/>
        </w:rPr>
      </w:pPr>
    </w:p>
    <w:p w14:paraId="49C9A538" w14:textId="430FF13D" w:rsidR="00B96B0F" w:rsidRPr="00EC4EF8" w:rsidRDefault="00B96B0F" w:rsidP="00B96B0F">
      <w:pPr>
        <w:shd w:val="clear" w:color="auto" w:fill="FFFFFF"/>
        <w:rPr>
          <w:rFonts w:ascii="Arial" w:hAnsi="Arial" w:cs="Arial"/>
          <w:color w:val="222222"/>
        </w:rPr>
      </w:pPr>
      <w:r w:rsidRPr="00EC4EF8">
        <w:rPr>
          <w:rFonts w:ascii="Arial" w:hAnsi="Arial" w:cs="Arial"/>
          <w:color w:val="222222"/>
        </w:rPr>
        <w:t xml:space="preserve"> Another aspect worth mentioning is Aviva PLC’s commitment to corporate social responsibility (CSR) which aligns well with the Institutional Theory. The company actively engages in CSR initiatives such as investment practices and community engagement programs. These efforts not only enhance Aviva PLC’s reputation as a conscious enterprise but also contribute to improved organizational performance by fostering positive relationships with various stakeholders (Aviva, n.d.). After examining Aviva PLC as a case </w:t>
      </w:r>
      <w:proofErr w:type="gramStart"/>
      <w:r w:rsidRPr="00EC4EF8">
        <w:rPr>
          <w:rFonts w:ascii="Arial" w:hAnsi="Arial" w:cs="Arial"/>
          <w:color w:val="222222"/>
        </w:rPr>
        <w:t>study</w:t>
      </w:r>
      <w:proofErr w:type="gramEnd"/>
      <w:r w:rsidRPr="00EC4EF8">
        <w:rPr>
          <w:rFonts w:ascii="Arial" w:hAnsi="Arial" w:cs="Arial"/>
          <w:color w:val="222222"/>
        </w:rPr>
        <w:t xml:space="preserve"> it is clear that the Contingency Theory and Institutional Theory offer perspectives on its structure and how it impacts performance. To enhance its competitiveness, Aviva PLC should adopt a structure that effectively manages resources aligns, with industry standards, and embraces responsibility.</w:t>
      </w:r>
    </w:p>
    <w:p w14:paraId="6839DA2E" w14:textId="1933840B" w:rsidR="00B96B0F" w:rsidRPr="00EC4EF8" w:rsidRDefault="00B96B0F" w:rsidP="00B96B0F">
      <w:pPr>
        <w:rPr>
          <w:rFonts w:ascii="Arial" w:hAnsi="Arial" w:cs="Arial"/>
        </w:rPr>
      </w:pPr>
    </w:p>
    <w:p w14:paraId="1DEB9A1F" w14:textId="77777777" w:rsidR="00253880" w:rsidRPr="00EC4EF8" w:rsidRDefault="00253880" w:rsidP="00253880">
      <w:pPr>
        <w:pStyle w:val="Heading1"/>
        <w:numPr>
          <w:ilvl w:val="1"/>
          <w:numId w:val="3"/>
        </w:numPr>
        <w:rPr>
          <w:rFonts w:ascii="Arial" w:hAnsi="Arial" w:cs="Arial"/>
          <w:sz w:val="24"/>
          <w:szCs w:val="24"/>
        </w:rPr>
      </w:pPr>
      <w:bookmarkStart w:id="5" w:name="_Toc144020492"/>
      <w:r w:rsidRPr="00EC4EF8">
        <w:rPr>
          <w:rFonts w:ascii="Arial" w:hAnsi="Arial" w:cs="Arial"/>
          <w:sz w:val="24"/>
          <w:szCs w:val="24"/>
        </w:rPr>
        <w:t>Impact of Organisational Culture on Performance</w:t>
      </w:r>
      <w:bookmarkEnd w:id="5"/>
    </w:p>
    <w:p w14:paraId="443AA0CF" w14:textId="77777777" w:rsidR="00253880" w:rsidRPr="00EC4EF8" w:rsidRDefault="00253880" w:rsidP="00253880">
      <w:pPr>
        <w:shd w:val="clear" w:color="auto" w:fill="FFFFFF"/>
        <w:rPr>
          <w:rFonts w:ascii="Arial" w:hAnsi="Arial" w:cs="Arial"/>
          <w:color w:val="222222"/>
        </w:rPr>
      </w:pPr>
    </w:p>
    <w:p w14:paraId="58DF2595" w14:textId="77777777" w:rsidR="00253880" w:rsidRPr="00EC4EF8" w:rsidRDefault="00253880" w:rsidP="00253880">
      <w:pPr>
        <w:shd w:val="clear" w:color="auto" w:fill="FFFFFF"/>
        <w:rPr>
          <w:rFonts w:ascii="Arial" w:hAnsi="Arial" w:cs="Arial"/>
          <w:color w:val="222222"/>
        </w:rPr>
      </w:pPr>
      <w:r w:rsidRPr="00EC4EF8">
        <w:rPr>
          <w:rFonts w:ascii="Arial" w:hAnsi="Arial" w:cs="Arial"/>
          <w:color w:val="222222"/>
        </w:rPr>
        <w:t>Organizational culture plays a crucial role in Aviva’s operations and growth.</w:t>
      </w:r>
    </w:p>
    <w:p w14:paraId="4131B389" w14:textId="77777777" w:rsidR="00253880" w:rsidRPr="00EC4EF8" w:rsidRDefault="00253880" w:rsidP="00253880">
      <w:pPr>
        <w:shd w:val="clear" w:color="auto" w:fill="FFFFFF"/>
        <w:rPr>
          <w:rFonts w:ascii="Arial" w:hAnsi="Arial" w:cs="Arial"/>
          <w:color w:val="222222"/>
        </w:rPr>
      </w:pPr>
    </w:p>
    <w:p w14:paraId="5639387A" w14:textId="77777777" w:rsidR="00253880" w:rsidRPr="00EC4EF8" w:rsidRDefault="00253880" w:rsidP="00253880">
      <w:pPr>
        <w:shd w:val="clear" w:color="auto" w:fill="FFFFFF"/>
        <w:rPr>
          <w:rFonts w:ascii="Arial" w:hAnsi="Arial" w:cs="Arial"/>
          <w:color w:val="222222"/>
        </w:rPr>
      </w:pPr>
      <w:r w:rsidRPr="00EC4EF8">
        <w:rPr>
          <w:rFonts w:ascii="Arial" w:hAnsi="Arial" w:cs="Arial"/>
          <w:color w:val="222222"/>
        </w:rPr>
        <w:t xml:space="preserve">Organizational culture refers to the shared values, attitudes, and </w:t>
      </w:r>
      <w:proofErr w:type="spellStart"/>
      <w:r w:rsidRPr="00EC4EF8">
        <w:rPr>
          <w:rFonts w:ascii="Arial" w:hAnsi="Arial" w:cs="Arial"/>
          <w:color w:val="222222"/>
        </w:rPr>
        <w:t>behaviors</w:t>
      </w:r>
      <w:proofErr w:type="spellEnd"/>
      <w:r w:rsidRPr="00EC4EF8">
        <w:rPr>
          <w:rFonts w:ascii="Arial" w:hAnsi="Arial" w:cs="Arial"/>
          <w:color w:val="222222"/>
        </w:rPr>
        <w:t xml:space="preserve"> within the company. </w:t>
      </w:r>
    </w:p>
    <w:p w14:paraId="78FF1AD1" w14:textId="526D7528" w:rsidR="00253880" w:rsidRPr="00EC4EF8" w:rsidRDefault="00253880" w:rsidP="00253880">
      <w:pPr>
        <w:shd w:val="clear" w:color="auto" w:fill="FFFFFF"/>
        <w:rPr>
          <w:rFonts w:ascii="Arial" w:hAnsi="Arial" w:cs="Arial"/>
          <w:color w:val="222222"/>
        </w:rPr>
      </w:pPr>
      <w:r w:rsidRPr="00EC4EF8">
        <w:rPr>
          <w:rFonts w:ascii="Arial" w:hAnsi="Arial" w:cs="Arial"/>
          <w:color w:val="222222"/>
        </w:rPr>
        <w:t>It plays an important role in achieving the organization's goals (Meng &amp; Berger 2019, p. 64). A positive and supportive culture promotes employee engagement, satisfaction and commitment ultimately leading to improved performance. While specific details concerning the company’s culture are not disclosed, it is evident that collaboration, innovation, and a customer-centric approach are highly utilized thus being able to excel in the market.</w:t>
      </w:r>
    </w:p>
    <w:p w14:paraId="6D8D596B" w14:textId="77777777" w:rsidR="00253880" w:rsidRPr="00EC4EF8" w:rsidRDefault="00253880" w:rsidP="00253880">
      <w:pPr>
        <w:shd w:val="clear" w:color="auto" w:fill="FFFFFF"/>
        <w:rPr>
          <w:rFonts w:ascii="Arial" w:hAnsi="Arial" w:cs="Arial"/>
          <w:color w:val="222222"/>
        </w:rPr>
      </w:pPr>
    </w:p>
    <w:p w14:paraId="6DB4C3AD" w14:textId="62AC5A7A" w:rsidR="00253880" w:rsidRPr="00EC4EF8" w:rsidRDefault="00253880" w:rsidP="00253880">
      <w:pPr>
        <w:shd w:val="clear" w:color="auto" w:fill="FFFFFF"/>
        <w:rPr>
          <w:rFonts w:ascii="Arial" w:hAnsi="Arial" w:cs="Arial"/>
          <w:color w:val="222222"/>
        </w:rPr>
      </w:pPr>
      <w:r w:rsidRPr="00EC4EF8">
        <w:rPr>
          <w:rFonts w:ascii="Arial" w:hAnsi="Arial" w:cs="Arial"/>
          <w:color w:val="222222"/>
        </w:rPr>
        <w:t xml:space="preserve">The performance of Aviva PLC is significantly influenced by its organizational culture, which fosters teamwork, trust, and adaptability. Research conducted by Meng and Berger (2019) highlights the connection between employee engagement, trust, job satisfaction, and overall performance (Meng &amp; Berger, 2019, p. 67). High levels of engagement lead to increased commitment and productivity, while trust empowers employees to contribute positively to the organization (Al </w:t>
      </w:r>
      <w:proofErr w:type="spellStart"/>
      <w:r w:rsidRPr="00EC4EF8">
        <w:rPr>
          <w:rFonts w:ascii="Arial" w:hAnsi="Arial" w:cs="Arial"/>
          <w:color w:val="222222"/>
        </w:rPr>
        <w:t>Swidi</w:t>
      </w:r>
      <w:proofErr w:type="spellEnd"/>
      <w:r w:rsidRPr="00EC4EF8">
        <w:rPr>
          <w:rFonts w:ascii="Arial" w:hAnsi="Arial" w:cs="Arial"/>
          <w:color w:val="222222"/>
        </w:rPr>
        <w:t xml:space="preserve"> et al., 2021, p. 128112). Aviva PLC's strong emphasis on a sustainability-driven culture not only enhances its reputation but also contributes to positive environmental outcomes. The organization demonstrates its commitment to this culture through CSR initiatives that have a beneficial impact on both society and the environment. By aligning actions with core values, Aviva reinforces its image as a socially responsible organization, ultimately enhancing its overall performance.</w:t>
      </w:r>
    </w:p>
    <w:p w14:paraId="071DD354" w14:textId="77777777" w:rsidR="00253880" w:rsidRPr="00EC4EF8" w:rsidRDefault="00253880" w:rsidP="00253880">
      <w:pPr>
        <w:shd w:val="clear" w:color="auto" w:fill="FFFFFF"/>
        <w:rPr>
          <w:rFonts w:ascii="Arial" w:hAnsi="Arial" w:cs="Arial"/>
          <w:color w:val="222222"/>
        </w:rPr>
      </w:pPr>
    </w:p>
    <w:p w14:paraId="39B830FC" w14:textId="18A8F5BF" w:rsidR="00253880" w:rsidRPr="00EC4EF8" w:rsidRDefault="00253880" w:rsidP="00253880">
      <w:pPr>
        <w:pStyle w:val="Heading1"/>
        <w:numPr>
          <w:ilvl w:val="0"/>
          <w:numId w:val="3"/>
        </w:numPr>
        <w:rPr>
          <w:rFonts w:ascii="Arial" w:hAnsi="Arial" w:cs="Arial"/>
          <w:sz w:val="24"/>
          <w:szCs w:val="24"/>
        </w:rPr>
      </w:pPr>
      <w:bookmarkStart w:id="6" w:name="_Toc144020493"/>
      <w:r w:rsidRPr="00EC4EF8">
        <w:rPr>
          <w:rFonts w:ascii="Arial" w:hAnsi="Arial" w:cs="Arial"/>
          <w:sz w:val="24"/>
          <w:szCs w:val="24"/>
        </w:rPr>
        <w:t>Employee Motivation at Aviva PLC</w:t>
      </w:r>
      <w:bookmarkEnd w:id="6"/>
    </w:p>
    <w:p w14:paraId="7F873B39" w14:textId="77CC0A81" w:rsidR="00253880" w:rsidRPr="00EC4EF8" w:rsidRDefault="00253880" w:rsidP="00253880">
      <w:pPr>
        <w:rPr>
          <w:rFonts w:ascii="Arial" w:hAnsi="Arial" w:cs="Arial"/>
          <w:color w:val="222222"/>
          <w:shd w:val="clear" w:color="auto" w:fill="FFFFFF"/>
        </w:rPr>
      </w:pPr>
      <w:r w:rsidRPr="00EC4EF8">
        <w:rPr>
          <w:rFonts w:ascii="Arial" w:hAnsi="Arial" w:cs="Arial"/>
          <w:color w:val="222222"/>
          <w:shd w:val="clear" w:color="auto" w:fill="FFFFFF"/>
        </w:rPr>
        <w:t xml:space="preserve">At Aviva PLC, employee motivation is a critical factor in achieving organizational goals and overall success. The company employs various techniques to cultivate a motivated and dedicated workforce, which positively impacts performance. Aviva places a strong emphasis on extrinsic motivation by providing employees with competitive compensation packages, bonuses, and recognition for their efforts (Meng &amp; Berger, 2019, p. 66). Furthermore, Aviva values career growth opportunities </w:t>
      </w:r>
      <w:proofErr w:type="gramStart"/>
      <w:r w:rsidRPr="00EC4EF8">
        <w:rPr>
          <w:rFonts w:ascii="Arial" w:hAnsi="Arial" w:cs="Arial"/>
          <w:color w:val="222222"/>
          <w:shd w:val="clear" w:color="auto" w:fill="FFFFFF"/>
        </w:rPr>
        <w:t>as a means to</w:t>
      </w:r>
      <w:proofErr w:type="gramEnd"/>
      <w:r w:rsidRPr="00EC4EF8">
        <w:rPr>
          <w:rFonts w:ascii="Arial" w:hAnsi="Arial" w:cs="Arial"/>
          <w:color w:val="222222"/>
          <w:shd w:val="clear" w:color="auto" w:fill="FFFFFF"/>
        </w:rPr>
        <w:t xml:space="preserve"> motivate its employees. The company also recognizes the significance of work-life balance as an additional source of motivation (Meng &amp; Berger, 2019, p. 66). To empower its workforce, Aviva effectively utilizes the goal-setting theory by setting challenging yet achievable objectives that align with the company's vision (Meng &amp; Berger, 2019, p. 69). These approaches and strategies aimed at fostering motivation have contributed to Aviva PLC's consistent growth and remarkable achievements over time.</w:t>
      </w:r>
    </w:p>
    <w:p w14:paraId="45819370" w14:textId="77777777" w:rsidR="00253880" w:rsidRPr="00EC4EF8" w:rsidRDefault="00253880" w:rsidP="00253880">
      <w:pPr>
        <w:rPr>
          <w:rFonts w:ascii="Arial" w:hAnsi="Arial" w:cs="Arial"/>
          <w:color w:val="222222"/>
          <w:shd w:val="clear" w:color="auto" w:fill="FFFFFF"/>
        </w:rPr>
      </w:pPr>
    </w:p>
    <w:p w14:paraId="21593ECB" w14:textId="5C7C916F" w:rsidR="00253880" w:rsidRPr="00EC4EF8" w:rsidRDefault="00F01CEB" w:rsidP="00253880">
      <w:pPr>
        <w:rPr>
          <w:rFonts w:ascii="Arial" w:hAnsi="Arial" w:cs="Arial"/>
          <w:color w:val="222222"/>
          <w:shd w:val="clear" w:color="auto" w:fill="FFFFFF"/>
        </w:rPr>
      </w:pPr>
      <w:r w:rsidRPr="00EC4EF8">
        <w:rPr>
          <w:rFonts w:ascii="Arial" w:hAnsi="Arial" w:cs="Arial"/>
          <w:color w:val="222222"/>
          <w:shd w:val="clear" w:color="auto" w:fill="FFFFFF"/>
        </w:rPr>
        <w:t xml:space="preserve">Aviva's leadership style can be characterized as transformational as it inspires trust among employees through visionary guidance and purposeful direction. Leaders at Aviva encourage communication channels and foster collaboration among team members to promote thinking within the organization. The Job Characteristics Model (JCM) is utilized effectively at Aviva to enhance employee motivation through designed job roles that offer enrichment opportunities for skill development alongside autonomy in decision-making processes; regular feedback mechanisms also contribute to creating a sense of accomplishment and personal growth among employees (Meng &amp; Berger 2019, p.69). As an example of this culture in action within the company itself, </w:t>
      </w:r>
      <w:r w:rsidR="00EC4EF8" w:rsidRPr="00EC4EF8">
        <w:rPr>
          <w:rFonts w:ascii="Arial" w:hAnsi="Arial" w:cs="Arial"/>
          <w:color w:val="222222"/>
          <w:shd w:val="clear" w:color="auto" w:fill="FFFFFF"/>
        </w:rPr>
        <w:t>Aviva's</w:t>
      </w:r>
      <w:r w:rsidRPr="00EC4EF8">
        <w:rPr>
          <w:rFonts w:ascii="Arial" w:hAnsi="Arial" w:cs="Arial"/>
          <w:color w:val="222222"/>
          <w:shd w:val="clear" w:color="auto" w:fill="FFFFFF"/>
        </w:rPr>
        <w:t xml:space="preserve"> "Employee of the Quarter" recognition program stands out prominently (</w:t>
      </w:r>
      <w:proofErr w:type="spellStart"/>
      <w:proofErr w:type="gramStart"/>
      <w:r w:rsidRPr="00EC4EF8">
        <w:rPr>
          <w:rFonts w:ascii="Arial" w:hAnsi="Arial" w:cs="Arial"/>
          <w:color w:val="222222"/>
          <w:shd w:val="clear" w:color="auto" w:fill="FFFFFF"/>
        </w:rPr>
        <w:t>Aviva,n.d</w:t>
      </w:r>
      <w:proofErr w:type="spellEnd"/>
      <w:r w:rsidRPr="00EC4EF8">
        <w:rPr>
          <w:rFonts w:ascii="Arial" w:hAnsi="Arial" w:cs="Arial"/>
          <w:color w:val="222222"/>
          <w:shd w:val="clear" w:color="auto" w:fill="FFFFFF"/>
        </w:rPr>
        <w:t>.</w:t>
      </w:r>
      <w:proofErr w:type="gramEnd"/>
      <w:r w:rsidRPr="00EC4EF8">
        <w:rPr>
          <w:rFonts w:ascii="Arial" w:hAnsi="Arial" w:cs="Arial"/>
          <w:color w:val="222222"/>
          <w:shd w:val="clear" w:color="auto" w:fill="FFFFFF"/>
        </w:rPr>
        <w:t>). This program serves as a case where exceptional contributions, by individuals are acknowledged publicly</w:t>
      </w:r>
      <w:r w:rsidRPr="00EC4EF8">
        <w:rPr>
          <w:rFonts w:ascii="Arial" w:hAnsi="Arial" w:cs="Arial"/>
          <w:color w:val="222222"/>
          <w:shd w:val="clear" w:color="auto" w:fill="FFFFFF"/>
        </w:rPr>
        <w:t>, resulting in a culture of recognition that significantly motivates all workforce members</w:t>
      </w:r>
      <w:r w:rsidRPr="00EC4EF8">
        <w:rPr>
          <w:rFonts w:ascii="Arial" w:hAnsi="Arial" w:cs="Arial"/>
          <w:color w:val="222222"/>
          <w:shd w:val="clear" w:color="auto" w:fill="FFFFFF"/>
        </w:rPr>
        <w:t>.</w:t>
      </w:r>
    </w:p>
    <w:p w14:paraId="1917816A" w14:textId="77777777" w:rsidR="00EC4EF8" w:rsidRPr="00EC4EF8" w:rsidRDefault="00EC4EF8" w:rsidP="00253880">
      <w:pPr>
        <w:rPr>
          <w:rFonts w:ascii="Arial" w:hAnsi="Arial" w:cs="Arial"/>
          <w:color w:val="222222"/>
          <w:shd w:val="clear" w:color="auto" w:fill="FFFFFF"/>
        </w:rPr>
      </w:pPr>
    </w:p>
    <w:p w14:paraId="029A1A3C" w14:textId="2702DF3B" w:rsidR="00EC4EF8" w:rsidRPr="00EC4EF8" w:rsidRDefault="00EC4EF8" w:rsidP="00253880">
      <w:pPr>
        <w:rPr>
          <w:rFonts w:ascii="Arial" w:hAnsi="Arial" w:cs="Arial"/>
          <w:color w:val="222222"/>
          <w:shd w:val="clear" w:color="auto" w:fill="FFFFFF"/>
        </w:rPr>
      </w:pPr>
      <w:r w:rsidRPr="00EC4EF8">
        <w:rPr>
          <w:rFonts w:ascii="Arial" w:hAnsi="Arial" w:cs="Arial"/>
          <w:color w:val="222222"/>
          <w:shd w:val="clear" w:color="auto" w:fill="FFFFFF"/>
        </w:rPr>
        <w:t xml:space="preserve">Aviva's leadership style can be characterized as transformational as it inspires trust among employees through visionary guidance and purposeful direction. Leaders at Aviva encourage communication channels and foster collaboration among team members to promote thinking within the organization. The Job Characteristics Model (JCM) is utilized effectively at Aviva to enhance employee motivation through designed job roles that offer enrichment opportunities for skill development alongside autonomy in decision-making processes; regular feedback mechanisms also contribute to creating a sense of accomplishment and personal growth among employees (Meng &amp; Berger 2019, p.69). As an example of this culture in action within the company itself, </w:t>
      </w:r>
      <w:r w:rsidRPr="00EC4EF8">
        <w:rPr>
          <w:rFonts w:ascii="Arial" w:hAnsi="Arial" w:cs="Arial"/>
          <w:color w:val="222222"/>
          <w:shd w:val="clear" w:color="auto" w:fill="FFFFFF"/>
        </w:rPr>
        <w:t>Aviva’s</w:t>
      </w:r>
      <w:r w:rsidRPr="00EC4EF8">
        <w:rPr>
          <w:rFonts w:ascii="Arial" w:hAnsi="Arial" w:cs="Arial"/>
          <w:color w:val="222222"/>
          <w:shd w:val="clear" w:color="auto" w:fill="FFFFFF"/>
        </w:rPr>
        <w:t xml:space="preserve"> "Employee of the Quarter" recognition program stands out prominently (</w:t>
      </w:r>
      <w:proofErr w:type="spellStart"/>
      <w:proofErr w:type="gramStart"/>
      <w:r w:rsidRPr="00EC4EF8">
        <w:rPr>
          <w:rFonts w:ascii="Arial" w:hAnsi="Arial" w:cs="Arial"/>
          <w:color w:val="222222"/>
          <w:shd w:val="clear" w:color="auto" w:fill="FFFFFF"/>
        </w:rPr>
        <w:t>Aviva,n.d</w:t>
      </w:r>
      <w:proofErr w:type="spellEnd"/>
      <w:r w:rsidRPr="00EC4EF8">
        <w:rPr>
          <w:rFonts w:ascii="Arial" w:hAnsi="Arial" w:cs="Arial"/>
          <w:color w:val="222222"/>
          <w:shd w:val="clear" w:color="auto" w:fill="FFFFFF"/>
        </w:rPr>
        <w:t>.</w:t>
      </w:r>
      <w:proofErr w:type="gramEnd"/>
      <w:r w:rsidRPr="00EC4EF8">
        <w:rPr>
          <w:rFonts w:ascii="Arial" w:hAnsi="Arial" w:cs="Arial"/>
          <w:color w:val="222222"/>
          <w:shd w:val="clear" w:color="auto" w:fill="FFFFFF"/>
        </w:rPr>
        <w:t>). This program serves as a case where exceptional contributions, by individuals are acknowledged publicly</w:t>
      </w:r>
      <w:r w:rsidRPr="00EC4EF8">
        <w:rPr>
          <w:rFonts w:ascii="Arial" w:hAnsi="Arial" w:cs="Arial"/>
          <w:color w:val="222222"/>
          <w:shd w:val="clear" w:color="auto" w:fill="FFFFFF"/>
        </w:rPr>
        <w:t>, resulting in a culture of recognition that significantly motivates all workforce members</w:t>
      </w:r>
      <w:r w:rsidRPr="00EC4EF8">
        <w:rPr>
          <w:rFonts w:ascii="Arial" w:hAnsi="Arial" w:cs="Arial"/>
          <w:color w:val="222222"/>
          <w:shd w:val="clear" w:color="auto" w:fill="FFFFFF"/>
        </w:rPr>
        <w:t>.</w:t>
      </w:r>
    </w:p>
    <w:p w14:paraId="34875551" w14:textId="77777777" w:rsidR="00EC4EF8" w:rsidRPr="00EC4EF8" w:rsidRDefault="00EC4EF8" w:rsidP="00253880">
      <w:pPr>
        <w:rPr>
          <w:rFonts w:ascii="Arial" w:hAnsi="Arial" w:cs="Arial"/>
          <w:color w:val="222222"/>
          <w:shd w:val="clear" w:color="auto" w:fill="FFFFFF"/>
        </w:rPr>
      </w:pPr>
    </w:p>
    <w:p w14:paraId="47C459E6" w14:textId="38546F3C" w:rsidR="00EC4EF8" w:rsidRPr="00EC4EF8" w:rsidRDefault="00EC4EF8" w:rsidP="00EC4EF8">
      <w:pPr>
        <w:pStyle w:val="Heading1"/>
        <w:numPr>
          <w:ilvl w:val="0"/>
          <w:numId w:val="3"/>
        </w:numPr>
        <w:rPr>
          <w:rFonts w:ascii="Arial" w:hAnsi="Arial" w:cs="Arial"/>
          <w:sz w:val="24"/>
          <w:szCs w:val="24"/>
          <w:shd w:val="clear" w:color="auto" w:fill="FFFFFF"/>
        </w:rPr>
      </w:pPr>
      <w:bookmarkStart w:id="7" w:name="_Toc144020494"/>
      <w:r w:rsidRPr="00EC4EF8">
        <w:rPr>
          <w:rFonts w:ascii="Arial" w:hAnsi="Arial" w:cs="Arial"/>
          <w:sz w:val="24"/>
          <w:szCs w:val="24"/>
          <w:shd w:val="clear" w:color="auto" w:fill="FFFFFF"/>
        </w:rPr>
        <w:t>Essential Nature of Managerial Work and Leadership</w:t>
      </w:r>
      <w:bookmarkEnd w:id="7"/>
    </w:p>
    <w:p w14:paraId="1DCCBD97" w14:textId="77777777" w:rsidR="00EC4EF8" w:rsidRPr="00EC4EF8" w:rsidRDefault="00EC4EF8" w:rsidP="00EC4EF8">
      <w:pPr>
        <w:rPr>
          <w:rFonts w:ascii="Arial" w:hAnsi="Arial" w:cs="Arial"/>
        </w:rPr>
      </w:pPr>
    </w:p>
    <w:p w14:paraId="650A87DA" w14:textId="77777777" w:rsidR="00EC4EF8" w:rsidRPr="00EC4EF8" w:rsidRDefault="00EC4EF8" w:rsidP="00EC4EF8">
      <w:pPr>
        <w:rPr>
          <w:rFonts w:ascii="Arial" w:hAnsi="Arial" w:cs="Arial"/>
          <w:color w:val="222222"/>
          <w:shd w:val="clear" w:color="auto" w:fill="FFFFFF"/>
        </w:rPr>
      </w:pPr>
      <w:r w:rsidRPr="00EC4EF8">
        <w:rPr>
          <w:rFonts w:ascii="Arial" w:hAnsi="Arial" w:cs="Arial"/>
          <w:color w:val="222222"/>
          <w:shd w:val="clear" w:color="auto" w:fill="FFFFFF"/>
        </w:rPr>
        <w:t xml:space="preserve">Within the context of Aviva PLC, effective management, and leadership play a role in accomplishing objectives. In Aviva, managers undertake tasks such, as planning organizing, leading, and controlling to ensure operations (Buchanan &amp; Huczynski 2019, p. 45). Leadership holds importance in driving change and motivating employees at Aviva with a focus on leadership (Meng &amp; Berger, 2019). Leaders create a vision and foster trust among employees. Encourage innovation while effectively adapting to market conditions. Multiple factors influence the effectiveness of management and leadership at Aviva PLC. For instance, research conducted by Weiskopf et al. (2020) emphasizes the impact of climate change on natural resource management which could potentially influence decision-making at Aviva. Additionally given Aviva's presence it becomes imperative to navigate diversity and </w:t>
      </w:r>
    </w:p>
    <w:p w14:paraId="4742E572" w14:textId="12370D6B" w:rsidR="00EC4EF8" w:rsidRPr="00EC4EF8" w:rsidRDefault="00EC4EF8" w:rsidP="00EC4EF8">
      <w:pPr>
        <w:rPr>
          <w:rFonts w:ascii="Arial" w:hAnsi="Arial" w:cs="Arial"/>
          <w:color w:val="222222"/>
          <w:shd w:val="clear" w:color="auto" w:fill="FFFFFF"/>
        </w:rPr>
      </w:pPr>
      <w:r w:rsidRPr="00EC4EF8">
        <w:rPr>
          <w:rFonts w:ascii="Arial" w:hAnsi="Arial" w:cs="Arial"/>
          <w:color w:val="222222"/>
          <w:shd w:val="clear" w:color="auto" w:fill="FFFFFF"/>
        </w:rPr>
        <w:t>communication styles.</w:t>
      </w:r>
    </w:p>
    <w:p w14:paraId="2D0E37F0" w14:textId="77777777" w:rsidR="00EC4EF8" w:rsidRPr="00EC4EF8" w:rsidRDefault="00EC4EF8" w:rsidP="00EC4EF8">
      <w:pPr>
        <w:shd w:val="clear" w:color="auto" w:fill="FFFFFF"/>
        <w:rPr>
          <w:rFonts w:ascii="Arial" w:hAnsi="Arial" w:cs="Arial"/>
          <w:color w:val="222222"/>
        </w:rPr>
      </w:pPr>
    </w:p>
    <w:p w14:paraId="54BDE06F" w14:textId="32D19357" w:rsidR="00EC4EF8" w:rsidRPr="00EC4EF8" w:rsidRDefault="00EC4EF8" w:rsidP="00EC4EF8">
      <w:pPr>
        <w:shd w:val="clear" w:color="auto" w:fill="FFFFFF"/>
        <w:rPr>
          <w:rFonts w:ascii="Arial" w:hAnsi="Arial" w:cs="Arial"/>
          <w:color w:val="222222"/>
        </w:rPr>
      </w:pPr>
      <w:r w:rsidRPr="00EC4EF8">
        <w:rPr>
          <w:rFonts w:ascii="Arial" w:hAnsi="Arial" w:cs="Arial"/>
          <w:color w:val="222222"/>
        </w:rPr>
        <w:t>Different theories and frameworks provide insights into the work and leadership practices at Aviva. The Contingency Theory suggests tailoring approaches based on situations (Buchanan &amp; Huczynski 2019, p. 45). This allows leaders at Aviva to adjust their strategies accordingly to address challenges that may arise. The Situational Leadership Model highlights the importance of adapting leadership styles according to employees' developmental levels (Northouse, 2019, p.88) enabling Aviva to optimize team contributions. A relevant example from Aviva PLC is their response, to the COVID-19 pandemic which required action and adaptability.</w:t>
      </w:r>
    </w:p>
    <w:p w14:paraId="1357E17C" w14:textId="77777777" w:rsidR="00EC4EF8" w:rsidRPr="00EC4EF8" w:rsidRDefault="00EC4EF8" w:rsidP="00EC4EF8">
      <w:pPr>
        <w:shd w:val="clear" w:color="auto" w:fill="FFFFFF"/>
        <w:rPr>
          <w:rFonts w:ascii="Arial" w:hAnsi="Arial" w:cs="Arial"/>
          <w:color w:val="222222"/>
        </w:rPr>
      </w:pPr>
      <w:r w:rsidRPr="00EC4EF8">
        <w:rPr>
          <w:rFonts w:ascii="Arial" w:hAnsi="Arial" w:cs="Arial"/>
          <w:color w:val="222222"/>
        </w:rPr>
        <w:t xml:space="preserve">Aviva's effective implementation of work and support, for employees demonstrates leadership and a genuine concern for their workforce (Aviva, </w:t>
      </w:r>
      <w:proofErr w:type="spellStart"/>
      <w:r w:rsidRPr="00EC4EF8">
        <w:rPr>
          <w:rFonts w:ascii="Arial" w:hAnsi="Arial" w:cs="Arial"/>
          <w:color w:val="222222"/>
        </w:rPr>
        <w:t>n.d</w:t>
      </w:r>
      <w:proofErr w:type="spellEnd"/>
      <w:r w:rsidRPr="00EC4EF8">
        <w:rPr>
          <w:rFonts w:ascii="Arial" w:hAnsi="Arial" w:cs="Arial"/>
          <w:color w:val="222222"/>
        </w:rPr>
        <w:t>). The managerial work and leadership at Aviva are vital for achieving success. By adapting to factors and applying theories Aviva fosters a motivated workforce and accomplishes organizational goals.</w:t>
      </w:r>
    </w:p>
    <w:p w14:paraId="66F25DBE" w14:textId="77777777" w:rsidR="00EC4EF8" w:rsidRPr="00EC4EF8" w:rsidRDefault="00EC4EF8" w:rsidP="00EC4EF8">
      <w:pPr>
        <w:shd w:val="clear" w:color="auto" w:fill="FFFFFF"/>
        <w:rPr>
          <w:rFonts w:ascii="Arial" w:hAnsi="Arial" w:cs="Arial"/>
          <w:color w:val="222222"/>
        </w:rPr>
      </w:pPr>
    </w:p>
    <w:p w14:paraId="2D721FC0" w14:textId="2220FF64" w:rsidR="00EC4EF8" w:rsidRPr="00EC4EF8" w:rsidRDefault="00EC4EF8" w:rsidP="00EC4EF8">
      <w:pPr>
        <w:shd w:val="clear" w:color="auto" w:fill="FFFFFF"/>
        <w:rPr>
          <w:rFonts w:ascii="Arial" w:hAnsi="Arial" w:cs="Arial"/>
          <w:color w:val="222222"/>
        </w:rPr>
      </w:pPr>
      <w:r w:rsidRPr="00EC4EF8">
        <w:rPr>
          <w:rFonts w:ascii="Arial" w:hAnsi="Arial" w:cs="Arial"/>
          <w:color w:val="222222"/>
        </w:rPr>
        <w:t xml:space="preserve">Aviva's approach, to managing </w:t>
      </w:r>
      <w:proofErr w:type="spellStart"/>
      <w:r w:rsidRPr="00EC4EF8">
        <w:rPr>
          <w:rFonts w:ascii="Arial" w:hAnsi="Arial" w:cs="Arial"/>
          <w:color w:val="222222"/>
        </w:rPr>
        <w:t>behavior</w:t>
      </w:r>
      <w:proofErr w:type="spellEnd"/>
      <w:r w:rsidRPr="00EC4EF8">
        <w:rPr>
          <w:rFonts w:ascii="Arial" w:hAnsi="Arial" w:cs="Arial"/>
          <w:color w:val="222222"/>
        </w:rPr>
        <w:t xml:space="preserve"> aligns with the Expectancy Theory where employees are motivated when they believe their efforts will lead to desired outcomes and rewards (Buchanan &amp; Huczynski 2019, p. 267). The company reinforces this belief through reward and recognition programs. Moreover, Aviva's approach also relates to the Social Learning Theory (Buchanan &amp; Huczynski 2019, p. 294). Employees acquire knowledge and skills by interacting with their colleagues and superiors which has an impact, on their actions. Aviva promotes a work environment that encourages collaboration thereby improving employees' abilities and understanding. An illustration of this is the company's emphasis on employee development, which includes a range of training initiatives and workshops (Aviva, n.d.). This approach empowers employees to excel in their roles and aligns, with the principles of management.</w:t>
      </w:r>
    </w:p>
    <w:p w14:paraId="3846BD2F" w14:textId="77777777" w:rsidR="00EC4EF8" w:rsidRPr="00EC4EF8" w:rsidRDefault="00EC4EF8" w:rsidP="00EC4EF8">
      <w:pPr>
        <w:rPr>
          <w:rFonts w:ascii="Arial" w:hAnsi="Arial" w:cs="Arial"/>
          <w:color w:val="222222"/>
          <w:shd w:val="clear" w:color="auto" w:fill="FFFFFF"/>
        </w:rPr>
      </w:pPr>
    </w:p>
    <w:p w14:paraId="5032C8BE" w14:textId="5D6F4F03" w:rsidR="00EC4EF8" w:rsidRPr="00EC4EF8" w:rsidRDefault="00EC4EF8" w:rsidP="00EC4EF8">
      <w:pPr>
        <w:pStyle w:val="Heading1"/>
        <w:numPr>
          <w:ilvl w:val="0"/>
          <w:numId w:val="3"/>
        </w:numPr>
        <w:rPr>
          <w:rFonts w:ascii="Arial" w:hAnsi="Arial" w:cs="Arial"/>
          <w:sz w:val="24"/>
          <w:szCs w:val="24"/>
        </w:rPr>
      </w:pPr>
      <w:bookmarkStart w:id="8" w:name="_Toc144020495"/>
      <w:r w:rsidRPr="00EC4EF8">
        <w:rPr>
          <w:rFonts w:ascii="Arial" w:hAnsi="Arial" w:cs="Arial"/>
          <w:sz w:val="24"/>
          <w:szCs w:val="24"/>
        </w:rPr>
        <w:t>Conclusion</w:t>
      </w:r>
      <w:bookmarkEnd w:id="8"/>
    </w:p>
    <w:p w14:paraId="43140AA7" w14:textId="77777777" w:rsidR="00EC4EF8" w:rsidRPr="00EC4EF8" w:rsidRDefault="00EC4EF8" w:rsidP="00EC4EF8">
      <w:pPr>
        <w:rPr>
          <w:rFonts w:ascii="Arial" w:hAnsi="Arial" w:cs="Arial"/>
        </w:rPr>
      </w:pPr>
    </w:p>
    <w:p w14:paraId="03F87EA0" w14:textId="32F4CB42" w:rsidR="00EC4EF8" w:rsidRPr="00EC4EF8" w:rsidRDefault="00EC4EF8" w:rsidP="00EC4EF8">
      <w:pPr>
        <w:rPr>
          <w:rFonts w:ascii="Arial" w:hAnsi="Arial" w:cs="Arial"/>
          <w:color w:val="222222"/>
          <w:shd w:val="clear" w:color="auto" w:fill="FFFFFF"/>
        </w:rPr>
      </w:pPr>
      <w:r w:rsidRPr="00EC4EF8">
        <w:rPr>
          <w:rFonts w:ascii="Arial" w:hAnsi="Arial" w:cs="Arial"/>
          <w:color w:val="222222"/>
          <w:shd w:val="clear" w:color="auto" w:fill="FFFFFF"/>
        </w:rPr>
        <w:t>Aviva PLC's analysis emphasizes the importance of its structure, supportive culture, and effective strategies, in achieving success. To enhance performance and motivate employees further Aviva should prioritize improving communication empowering employees in decision-making processes strengthening employee development initiatives and aligning social responsibility (CSR) efforts with its overall vision. By embracing these recommendations Aviva can maintain its agility and competitiveness in the workplace while fostering an engaged and productive workforce that sustains its accomplishments. Aviva's dedication to these actions will solidify its position as a leader, in the insurance and financial services industry.</w:t>
      </w:r>
    </w:p>
    <w:p w14:paraId="21E48EC6" w14:textId="77777777" w:rsidR="00EC4EF8" w:rsidRPr="00EC4EF8" w:rsidRDefault="00EC4EF8" w:rsidP="00EC4EF8">
      <w:pPr>
        <w:rPr>
          <w:rFonts w:ascii="Arial" w:hAnsi="Arial" w:cs="Arial"/>
          <w:color w:val="222222"/>
          <w:shd w:val="clear" w:color="auto" w:fill="FFFFFF"/>
        </w:rPr>
      </w:pPr>
    </w:p>
    <w:p w14:paraId="104318AE" w14:textId="5FAEB43D" w:rsidR="00EC4EF8" w:rsidRPr="00EC4EF8" w:rsidRDefault="00EC4EF8" w:rsidP="00EC4EF8">
      <w:pPr>
        <w:pStyle w:val="Heading1"/>
        <w:numPr>
          <w:ilvl w:val="0"/>
          <w:numId w:val="3"/>
        </w:numPr>
        <w:rPr>
          <w:rFonts w:ascii="Arial" w:hAnsi="Arial" w:cs="Arial"/>
          <w:sz w:val="24"/>
          <w:szCs w:val="24"/>
        </w:rPr>
      </w:pPr>
      <w:bookmarkStart w:id="9" w:name="_Toc144020496"/>
      <w:r w:rsidRPr="00EC4EF8">
        <w:rPr>
          <w:rFonts w:ascii="Arial" w:hAnsi="Arial" w:cs="Arial"/>
          <w:sz w:val="24"/>
          <w:szCs w:val="24"/>
        </w:rPr>
        <w:t>References</w:t>
      </w:r>
      <w:bookmarkEnd w:id="9"/>
    </w:p>
    <w:p w14:paraId="6DD700CB" w14:textId="77777777" w:rsidR="00EC4EF8" w:rsidRPr="00EC4EF8" w:rsidRDefault="00EC4EF8" w:rsidP="00EC4EF8">
      <w:pPr>
        <w:rPr>
          <w:rFonts w:ascii="Arial" w:hAnsi="Arial" w:cs="Arial"/>
        </w:rPr>
      </w:pPr>
    </w:p>
    <w:p w14:paraId="401C23A8" w14:textId="77777777" w:rsidR="00EC4EF8" w:rsidRPr="00EC4EF8" w:rsidRDefault="00EC4EF8" w:rsidP="00EC4EF8">
      <w:pPr>
        <w:rPr>
          <w:rFonts w:ascii="Arial" w:hAnsi="Arial" w:cs="Arial"/>
        </w:rPr>
      </w:pPr>
      <w:r w:rsidRPr="00EC4EF8">
        <w:rPr>
          <w:rFonts w:ascii="Arial" w:hAnsi="Arial" w:cs="Arial"/>
        </w:rPr>
        <w:t>Al-</w:t>
      </w:r>
      <w:proofErr w:type="spellStart"/>
      <w:r w:rsidRPr="00EC4EF8">
        <w:rPr>
          <w:rFonts w:ascii="Arial" w:hAnsi="Arial" w:cs="Arial"/>
        </w:rPr>
        <w:t>Swidi</w:t>
      </w:r>
      <w:proofErr w:type="spellEnd"/>
      <w:r w:rsidRPr="00EC4EF8">
        <w:rPr>
          <w:rFonts w:ascii="Arial" w:hAnsi="Arial" w:cs="Arial"/>
        </w:rPr>
        <w:t xml:space="preserve">, A.K., </w:t>
      </w:r>
      <w:proofErr w:type="spellStart"/>
      <w:r w:rsidRPr="00EC4EF8">
        <w:rPr>
          <w:rFonts w:ascii="Arial" w:hAnsi="Arial" w:cs="Arial"/>
        </w:rPr>
        <w:t>Gelaidan</w:t>
      </w:r>
      <w:proofErr w:type="spellEnd"/>
      <w:r w:rsidRPr="00EC4EF8">
        <w:rPr>
          <w:rFonts w:ascii="Arial" w:hAnsi="Arial" w:cs="Arial"/>
        </w:rPr>
        <w:t xml:space="preserve">, H.M. and Saleh, R.M. (2021) 'The joint impact of Green Human Resource Management, leadership, and organizational culture on employees' green </w:t>
      </w:r>
      <w:proofErr w:type="spellStart"/>
      <w:r w:rsidRPr="00EC4EF8">
        <w:rPr>
          <w:rFonts w:ascii="Arial" w:hAnsi="Arial" w:cs="Arial"/>
        </w:rPr>
        <w:t>behavior</w:t>
      </w:r>
      <w:proofErr w:type="spellEnd"/>
      <w:r w:rsidRPr="00EC4EF8">
        <w:rPr>
          <w:rFonts w:ascii="Arial" w:hAnsi="Arial" w:cs="Arial"/>
        </w:rPr>
        <w:t xml:space="preserve"> and organizational environmental performance', Journal of Cleaner Production, 316, p. 128112. </w:t>
      </w:r>
      <w:proofErr w:type="gramStart"/>
      <w:r w:rsidRPr="00EC4EF8">
        <w:rPr>
          <w:rFonts w:ascii="Arial" w:hAnsi="Arial" w:cs="Arial"/>
        </w:rPr>
        <w:t>doi:10.1016/j.jclepro</w:t>
      </w:r>
      <w:proofErr w:type="gramEnd"/>
      <w:r w:rsidRPr="00EC4EF8">
        <w:rPr>
          <w:rFonts w:ascii="Arial" w:hAnsi="Arial" w:cs="Arial"/>
        </w:rPr>
        <w:t>.2021.128112.</w:t>
      </w:r>
    </w:p>
    <w:p w14:paraId="1290C238" w14:textId="77777777" w:rsidR="00EC4EF8" w:rsidRPr="00EC4EF8" w:rsidRDefault="00EC4EF8" w:rsidP="00EC4EF8">
      <w:pPr>
        <w:rPr>
          <w:rFonts w:ascii="Arial" w:hAnsi="Arial" w:cs="Arial"/>
        </w:rPr>
      </w:pPr>
      <w:r w:rsidRPr="00EC4EF8">
        <w:rPr>
          <w:rFonts w:ascii="Arial" w:hAnsi="Arial" w:cs="Arial"/>
        </w:rPr>
        <w:t>Aviva (</w:t>
      </w:r>
      <w:proofErr w:type="spellStart"/>
      <w:r w:rsidRPr="00EC4EF8">
        <w:rPr>
          <w:rFonts w:ascii="Arial" w:hAnsi="Arial" w:cs="Arial"/>
        </w:rPr>
        <w:t>n.d</w:t>
      </w:r>
      <w:proofErr w:type="spellEnd"/>
      <w:r w:rsidRPr="00EC4EF8">
        <w:rPr>
          <w:rFonts w:ascii="Arial" w:hAnsi="Arial" w:cs="Arial"/>
        </w:rPr>
        <w:t xml:space="preserve">) </w:t>
      </w:r>
      <w:proofErr w:type="spellStart"/>
      <w:r w:rsidRPr="00EC4EF8">
        <w:rPr>
          <w:rFonts w:ascii="Arial" w:hAnsi="Arial" w:cs="Arial"/>
        </w:rPr>
        <w:t>MyAviva</w:t>
      </w:r>
      <w:proofErr w:type="spellEnd"/>
      <w:r w:rsidRPr="00EC4EF8">
        <w:rPr>
          <w:rFonts w:ascii="Arial" w:hAnsi="Arial" w:cs="Arial"/>
        </w:rPr>
        <w:t xml:space="preserve">: Manage your money, pension, and policies on the move with </w:t>
      </w:r>
      <w:proofErr w:type="spellStart"/>
      <w:r w:rsidRPr="00EC4EF8">
        <w:rPr>
          <w:rFonts w:ascii="Arial" w:hAnsi="Arial" w:cs="Arial"/>
        </w:rPr>
        <w:t>MyAviva</w:t>
      </w:r>
      <w:proofErr w:type="spellEnd"/>
      <w:r w:rsidRPr="00EC4EF8">
        <w:rPr>
          <w:rFonts w:ascii="Arial" w:hAnsi="Arial" w:cs="Arial"/>
        </w:rPr>
        <w:t>, Aviva. Available at: </w:t>
      </w:r>
      <w:hyperlink r:id="rId8" w:tgtFrame="_blank" w:history="1">
        <w:r w:rsidRPr="00EC4EF8">
          <w:rPr>
            <w:rStyle w:val="Hyperlink"/>
            <w:rFonts w:ascii="Arial" w:eastAsiaTheme="majorEastAsia" w:hAnsi="Arial" w:cs="Arial"/>
            <w:color w:val="1155CC"/>
          </w:rPr>
          <w:t>https://www.aviva.co.uk/</w:t>
        </w:r>
      </w:hyperlink>
      <w:r w:rsidRPr="00EC4EF8">
        <w:rPr>
          <w:rFonts w:ascii="Arial" w:hAnsi="Arial" w:cs="Arial"/>
        </w:rPr>
        <w:t> (Accessed: 21 July 2023).</w:t>
      </w:r>
    </w:p>
    <w:p w14:paraId="56779E2E" w14:textId="77777777" w:rsidR="00EC4EF8" w:rsidRPr="00EC4EF8" w:rsidRDefault="00EC4EF8" w:rsidP="00EC4EF8">
      <w:pPr>
        <w:rPr>
          <w:rFonts w:ascii="Arial" w:hAnsi="Arial" w:cs="Arial"/>
        </w:rPr>
      </w:pPr>
      <w:r w:rsidRPr="00EC4EF8">
        <w:rPr>
          <w:rFonts w:ascii="Arial" w:hAnsi="Arial" w:cs="Arial"/>
        </w:rPr>
        <w:t xml:space="preserve">Buchanan, D.A. and Huczynski, A. (2019) Organizational </w:t>
      </w:r>
      <w:proofErr w:type="spellStart"/>
      <w:r w:rsidRPr="00EC4EF8">
        <w:rPr>
          <w:rFonts w:ascii="Arial" w:hAnsi="Arial" w:cs="Arial"/>
        </w:rPr>
        <w:t>behavior</w:t>
      </w:r>
      <w:proofErr w:type="spellEnd"/>
      <w:r w:rsidRPr="00EC4EF8">
        <w:rPr>
          <w:rFonts w:ascii="Arial" w:hAnsi="Arial" w:cs="Arial"/>
        </w:rPr>
        <w:t xml:space="preserve"> Vol 1. 2nd ed. Upper Saddle River: Pearson.</w:t>
      </w:r>
    </w:p>
    <w:p w14:paraId="45FC419F" w14:textId="77777777" w:rsidR="00EC4EF8" w:rsidRPr="00EC4EF8" w:rsidRDefault="00EC4EF8" w:rsidP="00EC4EF8">
      <w:pPr>
        <w:rPr>
          <w:rFonts w:ascii="Arial" w:hAnsi="Arial" w:cs="Arial"/>
        </w:rPr>
      </w:pPr>
      <w:r w:rsidRPr="00EC4EF8">
        <w:rPr>
          <w:rFonts w:ascii="Arial" w:hAnsi="Arial" w:cs="Arial"/>
        </w:rPr>
        <w:t>George, B., Walker, R.M. and Monster, J. (2019) 'Does strategic planning improve organizational performance? A meta</w:t>
      </w:r>
      <w:r w:rsidRPr="00EC4EF8">
        <w:rPr>
          <w:rFonts w:ascii="Cambria Math" w:hAnsi="Cambria Math" w:cs="Cambria Math"/>
        </w:rPr>
        <w:t>‐</w:t>
      </w:r>
      <w:r w:rsidRPr="00EC4EF8">
        <w:rPr>
          <w:rFonts w:ascii="Arial" w:hAnsi="Arial" w:cs="Arial"/>
        </w:rPr>
        <w:t>analysis', Public Administration Review, 79(6), pp. 810–819. doi:10.1111/puar.13104.</w:t>
      </w:r>
    </w:p>
    <w:p w14:paraId="796E54B6" w14:textId="77777777" w:rsidR="00EC4EF8" w:rsidRPr="00EC4EF8" w:rsidRDefault="00EC4EF8" w:rsidP="00EC4EF8">
      <w:pPr>
        <w:rPr>
          <w:rFonts w:ascii="Arial" w:hAnsi="Arial" w:cs="Arial"/>
        </w:rPr>
      </w:pPr>
      <w:r w:rsidRPr="00EC4EF8">
        <w:rPr>
          <w:rFonts w:ascii="Arial" w:hAnsi="Arial" w:cs="Arial"/>
        </w:rPr>
        <w:t>González-Rodríguez, M.R. et al. (2019) 'Hotels' corporate social responsibility practices, organizational culture, firm reputation, and performance,' Journal of Sustainable Tourism, 27(3), pp. 398–419. doi:10.1080/09669582.2019.1585441.</w:t>
      </w:r>
    </w:p>
    <w:p w14:paraId="18B4D629" w14:textId="77777777" w:rsidR="00EC4EF8" w:rsidRPr="00EC4EF8" w:rsidRDefault="00EC4EF8" w:rsidP="00EC4EF8">
      <w:pPr>
        <w:rPr>
          <w:rFonts w:ascii="Arial" w:hAnsi="Arial" w:cs="Arial"/>
        </w:rPr>
      </w:pPr>
      <w:r w:rsidRPr="00EC4EF8">
        <w:rPr>
          <w:rFonts w:ascii="Arial" w:hAnsi="Arial" w:cs="Arial"/>
        </w:rPr>
        <w:t xml:space="preserve">Meng, </w:t>
      </w:r>
      <w:proofErr w:type="gramStart"/>
      <w:r w:rsidRPr="00EC4EF8">
        <w:rPr>
          <w:rFonts w:ascii="Arial" w:hAnsi="Arial" w:cs="Arial"/>
        </w:rPr>
        <w:t>J.</w:t>
      </w:r>
      <w:proofErr w:type="gramEnd"/>
      <w:r w:rsidRPr="00EC4EF8">
        <w:rPr>
          <w:rFonts w:ascii="Arial" w:hAnsi="Arial" w:cs="Arial"/>
        </w:rPr>
        <w:t xml:space="preserve"> and Berger, B.K. (2019) 'The impact of organizational culture and leadership performance on PR professionals' job satisfaction: Testing the joint mediating effects of engagement and Trust', Public Relations Review, 45(1), pp. 64–75. </w:t>
      </w:r>
      <w:proofErr w:type="gramStart"/>
      <w:r w:rsidRPr="00EC4EF8">
        <w:rPr>
          <w:rFonts w:ascii="Arial" w:hAnsi="Arial" w:cs="Arial"/>
        </w:rPr>
        <w:t>doi:10.1016/j.pubrev</w:t>
      </w:r>
      <w:proofErr w:type="gramEnd"/>
      <w:r w:rsidRPr="00EC4EF8">
        <w:rPr>
          <w:rFonts w:ascii="Arial" w:hAnsi="Arial" w:cs="Arial"/>
        </w:rPr>
        <w:t>.2018.11.002.</w:t>
      </w:r>
    </w:p>
    <w:p w14:paraId="6C88A91A" w14:textId="77777777" w:rsidR="00EC4EF8" w:rsidRPr="00EC4EF8" w:rsidRDefault="00EC4EF8" w:rsidP="00EC4EF8">
      <w:pPr>
        <w:rPr>
          <w:rFonts w:ascii="Arial" w:hAnsi="Arial" w:cs="Arial"/>
        </w:rPr>
      </w:pPr>
      <w:r w:rsidRPr="00EC4EF8">
        <w:rPr>
          <w:rFonts w:ascii="Arial" w:hAnsi="Arial" w:cs="Arial"/>
        </w:rPr>
        <w:t xml:space="preserve">Schmiedel, T., Müller, O. and </w:t>
      </w:r>
      <w:proofErr w:type="spellStart"/>
      <w:r w:rsidRPr="00EC4EF8">
        <w:rPr>
          <w:rFonts w:ascii="Arial" w:hAnsi="Arial" w:cs="Arial"/>
        </w:rPr>
        <w:t>vom</w:t>
      </w:r>
      <w:proofErr w:type="spellEnd"/>
      <w:r w:rsidRPr="00EC4EF8">
        <w:rPr>
          <w:rFonts w:ascii="Arial" w:hAnsi="Arial" w:cs="Arial"/>
        </w:rPr>
        <w:t xml:space="preserve"> Brocke, J. (2018) 'Topic </w:t>
      </w:r>
      <w:proofErr w:type="spellStart"/>
      <w:r w:rsidRPr="00EC4EF8">
        <w:rPr>
          <w:rFonts w:ascii="Arial" w:hAnsi="Arial" w:cs="Arial"/>
        </w:rPr>
        <w:t>modeling</w:t>
      </w:r>
      <w:proofErr w:type="spellEnd"/>
      <w:r w:rsidRPr="00EC4EF8">
        <w:rPr>
          <w:rFonts w:ascii="Arial" w:hAnsi="Arial" w:cs="Arial"/>
        </w:rPr>
        <w:t xml:space="preserve"> as a strategy of inquiry in Organizational Research: A tutorial with an application example on organizational culture', Organizational Research Methods, 22(4), pp. 941–968. doi:10.1177/1094428118773858.</w:t>
      </w:r>
    </w:p>
    <w:p w14:paraId="51CC2BDA" w14:textId="77777777" w:rsidR="00EC4EF8" w:rsidRPr="00EC4EF8" w:rsidRDefault="00EC4EF8" w:rsidP="00EC4EF8">
      <w:pPr>
        <w:rPr>
          <w:rFonts w:ascii="Arial" w:hAnsi="Arial" w:cs="Arial"/>
        </w:rPr>
      </w:pPr>
      <w:r w:rsidRPr="00EC4EF8">
        <w:rPr>
          <w:rFonts w:ascii="Arial" w:hAnsi="Arial" w:cs="Arial"/>
        </w:rPr>
        <w:t xml:space="preserve">Singh, K. and Misra, M. (2021) 'Linking corporate social responsibility (CSR) and organizational performance: The moderating effect of corporate reputation', European Research on Management and Business Economics, 27(1), p. 100139. </w:t>
      </w:r>
      <w:proofErr w:type="gramStart"/>
      <w:r w:rsidRPr="00EC4EF8">
        <w:rPr>
          <w:rFonts w:ascii="Arial" w:hAnsi="Arial" w:cs="Arial"/>
        </w:rPr>
        <w:t>doi:10.1016/j.iedeen</w:t>
      </w:r>
      <w:proofErr w:type="gramEnd"/>
      <w:r w:rsidRPr="00EC4EF8">
        <w:rPr>
          <w:rFonts w:ascii="Arial" w:hAnsi="Arial" w:cs="Arial"/>
        </w:rPr>
        <w:t>.2020.100139.</w:t>
      </w:r>
    </w:p>
    <w:p w14:paraId="20BB2922" w14:textId="77777777" w:rsidR="00EC4EF8" w:rsidRPr="00EC4EF8" w:rsidRDefault="00EC4EF8" w:rsidP="00EC4EF8">
      <w:pPr>
        <w:rPr>
          <w:rFonts w:ascii="Arial" w:hAnsi="Arial" w:cs="Arial"/>
        </w:rPr>
      </w:pPr>
      <w:r w:rsidRPr="00EC4EF8">
        <w:rPr>
          <w:rFonts w:ascii="Arial" w:hAnsi="Arial" w:cs="Arial"/>
        </w:rPr>
        <w:t xml:space="preserve">Walsh, J.C. et al. (2019) 'A typology of barriers and enablers of scientific evidence use in conservation practice', Journal of Environmental Management, 250, p. 109481. </w:t>
      </w:r>
      <w:proofErr w:type="gramStart"/>
      <w:r w:rsidRPr="00EC4EF8">
        <w:rPr>
          <w:rFonts w:ascii="Arial" w:hAnsi="Arial" w:cs="Arial"/>
        </w:rPr>
        <w:t>doi:10.1016/j.jenvman</w:t>
      </w:r>
      <w:proofErr w:type="gramEnd"/>
      <w:r w:rsidRPr="00EC4EF8">
        <w:rPr>
          <w:rFonts w:ascii="Arial" w:hAnsi="Arial" w:cs="Arial"/>
        </w:rPr>
        <w:t>.2019.109481.</w:t>
      </w:r>
    </w:p>
    <w:p w14:paraId="4725B626" w14:textId="77777777" w:rsidR="00EC4EF8" w:rsidRPr="00EC4EF8" w:rsidRDefault="00EC4EF8" w:rsidP="00EC4EF8">
      <w:pPr>
        <w:rPr>
          <w:rFonts w:ascii="Arial" w:hAnsi="Arial" w:cs="Arial"/>
        </w:rPr>
      </w:pPr>
      <w:r w:rsidRPr="00EC4EF8">
        <w:rPr>
          <w:rFonts w:ascii="Arial" w:hAnsi="Arial" w:cs="Arial"/>
        </w:rPr>
        <w:t xml:space="preserve">Weiskopf, S.R. et al. (2020) 'Climate change effects on biodiversity, ecosystems, ecosystem services, and Natural Resource Management in the United States', Science of The Total Environment, 733, p. 137782. </w:t>
      </w:r>
      <w:proofErr w:type="gramStart"/>
      <w:r w:rsidRPr="00EC4EF8">
        <w:rPr>
          <w:rFonts w:ascii="Arial" w:hAnsi="Arial" w:cs="Arial"/>
        </w:rPr>
        <w:t>doi:10.1016/j.scitotenv</w:t>
      </w:r>
      <w:proofErr w:type="gramEnd"/>
      <w:r w:rsidRPr="00EC4EF8">
        <w:rPr>
          <w:rFonts w:ascii="Arial" w:hAnsi="Arial" w:cs="Arial"/>
        </w:rPr>
        <w:t>.2020.137782.</w:t>
      </w:r>
    </w:p>
    <w:p w14:paraId="2B99CA8E" w14:textId="77777777" w:rsidR="00253880" w:rsidRPr="00EC4EF8" w:rsidRDefault="00253880" w:rsidP="00253880">
      <w:pPr>
        <w:rPr>
          <w:rFonts w:ascii="Arial" w:hAnsi="Arial" w:cs="Arial"/>
          <w:color w:val="222222"/>
          <w:shd w:val="clear" w:color="auto" w:fill="FFFFFF"/>
        </w:rPr>
      </w:pPr>
    </w:p>
    <w:p w14:paraId="60EA66B7" w14:textId="77777777" w:rsidR="00F01CEB" w:rsidRPr="00EC4EF8" w:rsidRDefault="00F01CEB" w:rsidP="00253880">
      <w:pPr>
        <w:rPr>
          <w:rFonts w:ascii="Arial" w:hAnsi="Arial" w:cs="Arial"/>
          <w:color w:val="222222"/>
          <w:shd w:val="clear" w:color="auto" w:fill="FFFFFF"/>
        </w:rPr>
      </w:pPr>
    </w:p>
    <w:p w14:paraId="1CAF8911" w14:textId="77777777" w:rsidR="00253880" w:rsidRPr="00EC4EF8" w:rsidRDefault="00253880" w:rsidP="00253880">
      <w:pPr>
        <w:rPr>
          <w:rFonts w:ascii="Arial" w:hAnsi="Arial" w:cs="Arial"/>
        </w:rPr>
      </w:pPr>
    </w:p>
    <w:p w14:paraId="5FD65C97" w14:textId="5E3477FA" w:rsidR="00253880" w:rsidRPr="00EC4EF8" w:rsidRDefault="00253880" w:rsidP="00253880">
      <w:pPr>
        <w:pStyle w:val="Heading1"/>
        <w:rPr>
          <w:rFonts w:ascii="Arial" w:hAnsi="Arial" w:cs="Arial"/>
          <w:sz w:val="24"/>
          <w:szCs w:val="24"/>
        </w:rPr>
      </w:pPr>
      <w:r w:rsidRPr="00EC4EF8">
        <w:rPr>
          <w:rFonts w:ascii="Arial" w:hAnsi="Arial" w:cs="Arial"/>
          <w:sz w:val="24"/>
          <w:szCs w:val="24"/>
        </w:rPr>
        <w:t xml:space="preserve"> </w:t>
      </w:r>
    </w:p>
    <w:p w14:paraId="71C199CC" w14:textId="77777777" w:rsidR="00B96B0F" w:rsidRPr="00EC4EF8" w:rsidRDefault="00B96B0F" w:rsidP="0096662B">
      <w:pPr>
        <w:rPr>
          <w:rFonts w:ascii="Arial" w:hAnsi="Arial" w:cs="Arial"/>
          <w:color w:val="222222"/>
          <w:shd w:val="clear" w:color="auto" w:fill="FFFFFF"/>
        </w:rPr>
      </w:pPr>
    </w:p>
    <w:p w14:paraId="33A4F8B4" w14:textId="77777777" w:rsidR="00B96B0F" w:rsidRPr="00EC4EF8" w:rsidRDefault="00B96B0F" w:rsidP="0096662B">
      <w:pPr>
        <w:rPr>
          <w:rFonts w:ascii="Arial" w:hAnsi="Arial" w:cs="Arial"/>
          <w:color w:val="222222"/>
          <w:shd w:val="clear" w:color="auto" w:fill="FFFFFF"/>
        </w:rPr>
      </w:pPr>
    </w:p>
    <w:p w14:paraId="45FF3300" w14:textId="77777777" w:rsidR="0096662B" w:rsidRPr="00EC4EF8" w:rsidRDefault="0096662B" w:rsidP="0096662B">
      <w:pPr>
        <w:rPr>
          <w:rFonts w:ascii="Arial" w:hAnsi="Arial" w:cs="Arial"/>
          <w:color w:val="222222"/>
          <w:shd w:val="clear" w:color="auto" w:fill="FFFFFF"/>
        </w:rPr>
      </w:pPr>
    </w:p>
    <w:p w14:paraId="3F596934" w14:textId="77777777" w:rsidR="0096662B" w:rsidRPr="00EC4EF8" w:rsidRDefault="0096662B" w:rsidP="0096662B">
      <w:pPr>
        <w:rPr>
          <w:rFonts w:ascii="Arial" w:hAnsi="Arial" w:cs="Arial"/>
        </w:rPr>
      </w:pPr>
    </w:p>
    <w:p w14:paraId="6AC80B7B" w14:textId="77777777" w:rsidR="0096662B" w:rsidRPr="00EC4EF8" w:rsidRDefault="0096662B" w:rsidP="0096662B">
      <w:pPr>
        <w:rPr>
          <w:rFonts w:ascii="Arial" w:hAnsi="Arial" w:cs="Arial"/>
          <w:color w:val="222222"/>
          <w:shd w:val="clear" w:color="auto" w:fill="FFFFFF"/>
        </w:rPr>
      </w:pPr>
    </w:p>
    <w:p w14:paraId="590CC985" w14:textId="77777777" w:rsidR="0096662B" w:rsidRPr="00EC4EF8" w:rsidRDefault="0096662B" w:rsidP="0096662B">
      <w:pPr>
        <w:rPr>
          <w:rFonts w:ascii="Arial" w:hAnsi="Arial" w:cs="Arial"/>
        </w:rPr>
      </w:pPr>
    </w:p>
    <w:sectPr w:rsidR="0096662B" w:rsidRPr="00EC4EF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77669B" w14:textId="77777777" w:rsidR="0096662B" w:rsidRDefault="0096662B" w:rsidP="0096662B">
      <w:r>
        <w:separator/>
      </w:r>
    </w:p>
  </w:endnote>
  <w:endnote w:type="continuationSeparator" w:id="0">
    <w:p w14:paraId="79333D7E" w14:textId="77777777" w:rsidR="0096662B" w:rsidRDefault="0096662B" w:rsidP="009666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59915474"/>
      <w:docPartObj>
        <w:docPartGallery w:val="Page Numbers (Bottom of Page)"/>
        <w:docPartUnique/>
      </w:docPartObj>
    </w:sdtPr>
    <w:sdtContent>
      <w:p w14:paraId="26619BC4" w14:textId="707A262B" w:rsidR="0096662B" w:rsidRDefault="0096662B">
        <w:pPr>
          <w:pStyle w:val="Footer"/>
          <w:jc w:val="right"/>
        </w:pPr>
        <w:r>
          <w:fldChar w:fldCharType="begin"/>
        </w:r>
        <w:r>
          <w:instrText>PAGE   \* MERGEFORMAT</w:instrText>
        </w:r>
        <w:r>
          <w:fldChar w:fldCharType="separate"/>
        </w:r>
        <w:r>
          <w:t>2</w:t>
        </w:r>
        <w:r>
          <w:fldChar w:fldCharType="end"/>
        </w:r>
      </w:p>
    </w:sdtContent>
  </w:sdt>
  <w:p w14:paraId="025A3C2B" w14:textId="77777777" w:rsidR="0096662B" w:rsidRDefault="009666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625495" w14:textId="77777777" w:rsidR="0096662B" w:rsidRDefault="0096662B" w:rsidP="0096662B">
      <w:r>
        <w:separator/>
      </w:r>
    </w:p>
  </w:footnote>
  <w:footnote w:type="continuationSeparator" w:id="0">
    <w:p w14:paraId="5E5F0E75" w14:textId="77777777" w:rsidR="0096662B" w:rsidRDefault="0096662B" w:rsidP="0096662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FE65C9"/>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6BBE375C"/>
    <w:multiLevelType w:val="multilevel"/>
    <w:tmpl w:val="D1D47222"/>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400" w:hanging="2160"/>
      </w:pPr>
      <w:rPr>
        <w:rFonts w:hint="default"/>
      </w:rPr>
    </w:lvl>
  </w:abstractNum>
  <w:abstractNum w:abstractNumId="2" w15:restartNumberingAfterBreak="0">
    <w:nsid w:val="7AD9211F"/>
    <w:multiLevelType w:val="hybridMultilevel"/>
    <w:tmpl w:val="31F855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008329">
    <w:abstractNumId w:val="1"/>
  </w:num>
  <w:num w:numId="2" w16cid:durableId="2023433021">
    <w:abstractNumId w:val="2"/>
  </w:num>
  <w:num w:numId="3" w16cid:durableId="18324766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55E0"/>
    <w:rsid w:val="00253880"/>
    <w:rsid w:val="003255E0"/>
    <w:rsid w:val="004B6F25"/>
    <w:rsid w:val="005D6C17"/>
    <w:rsid w:val="00627720"/>
    <w:rsid w:val="0096662B"/>
    <w:rsid w:val="00AD1E22"/>
    <w:rsid w:val="00B96B0F"/>
    <w:rsid w:val="00EC4EF8"/>
    <w:rsid w:val="00F01C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C87065"/>
  <w15:chartTrackingRefBased/>
  <w15:docId w15:val="{F81BD640-5667-4429-ADA5-343BE1CE48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55E0"/>
    <w:pPr>
      <w:spacing w:after="0" w:line="240" w:lineRule="auto"/>
    </w:pPr>
    <w:rPr>
      <w:rFonts w:ascii="Times New Roman" w:eastAsia="Times New Roman" w:hAnsi="Times New Roman" w:cs="Times New Roman"/>
      <w:kern w:val="0"/>
      <w:sz w:val="24"/>
      <w:szCs w:val="24"/>
      <w:lang w:eastAsia="en-GB"/>
      <w14:ligatures w14:val="none"/>
    </w:rPr>
  </w:style>
  <w:style w:type="paragraph" w:styleId="Heading1">
    <w:name w:val="heading 1"/>
    <w:basedOn w:val="Normal"/>
    <w:next w:val="Normal"/>
    <w:link w:val="Heading1Char"/>
    <w:uiPriority w:val="9"/>
    <w:qFormat/>
    <w:rsid w:val="0096662B"/>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D6C17"/>
    <w:rPr>
      <w:color w:val="0000FF"/>
      <w:u w:val="single"/>
    </w:rPr>
  </w:style>
  <w:style w:type="character" w:customStyle="1" w:styleId="Heading1Char">
    <w:name w:val="Heading 1 Char"/>
    <w:basedOn w:val="DefaultParagraphFont"/>
    <w:link w:val="Heading1"/>
    <w:uiPriority w:val="9"/>
    <w:rsid w:val="0096662B"/>
    <w:rPr>
      <w:rFonts w:asciiTheme="majorHAnsi" w:eastAsiaTheme="majorEastAsia" w:hAnsiTheme="majorHAnsi" w:cstheme="majorBidi"/>
      <w:color w:val="2F5496" w:themeColor="accent1" w:themeShade="BF"/>
      <w:kern w:val="0"/>
      <w:sz w:val="32"/>
      <w:szCs w:val="32"/>
      <w:lang w:eastAsia="en-GB"/>
      <w14:ligatures w14:val="none"/>
    </w:rPr>
  </w:style>
  <w:style w:type="paragraph" w:styleId="Header">
    <w:name w:val="header"/>
    <w:basedOn w:val="Normal"/>
    <w:link w:val="HeaderChar"/>
    <w:uiPriority w:val="99"/>
    <w:unhideWhenUsed/>
    <w:rsid w:val="0096662B"/>
    <w:pPr>
      <w:tabs>
        <w:tab w:val="center" w:pos="4513"/>
        <w:tab w:val="right" w:pos="9026"/>
      </w:tabs>
    </w:pPr>
  </w:style>
  <w:style w:type="character" w:customStyle="1" w:styleId="HeaderChar">
    <w:name w:val="Header Char"/>
    <w:basedOn w:val="DefaultParagraphFont"/>
    <w:link w:val="Header"/>
    <w:uiPriority w:val="99"/>
    <w:rsid w:val="0096662B"/>
    <w:rPr>
      <w:rFonts w:ascii="Times New Roman" w:eastAsia="Times New Roman" w:hAnsi="Times New Roman" w:cs="Times New Roman"/>
      <w:kern w:val="0"/>
      <w:sz w:val="24"/>
      <w:szCs w:val="24"/>
      <w:lang w:eastAsia="en-GB"/>
      <w14:ligatures w14:val="none"/>
    </w:rPr>
  </w:style>
  <w:style w:type="paragraph" w:styleId="Footer">
    <w:name w:val="footer"/>
    <w:basedOn w:val="Normal"/>
    <w:link w:val="FooterChar"/>
    <w:uiPriority w:val="99"/>
    <w:unhideWhenUsed/>
    <w:rsid w:val="0096662B"/>
    <w:pPr>
      <w:tabs>
        <w:tab w:val="center" w:pos="4513"/>
        <w:tab w:val="right" w:pos="9026"/>
      </w:tabs>
    </w:pPr>
  </w:style>
  <w:style w:type="character" w:customStyle="1" w:styleId="FooterChar">
    <w:name w:val="Footer Char"/>
    <w:basedOn w:val="DefaultParagraphFont"/>
    <w:link w:val="Footer"/>
    <w:uiPriority w:val="99"/>
    <w:rsid w:val="0096662B"/>
    <w:rPr>
      <w:rFonts w:ascii="Times New Roman" w:eastAsia="Times New Roman" w:hAnsi="Times New Roman" w:cs="Times New Roman"/>
      <w:kern w:val="0"/>
      <w:sz w:val="24"/>
      <w:szCs w:val="24"/>
      <w:lang w:eastAsia="en-GB"/>
      <w14:ligatures w14:val="none"/>
    </w:rPr>
  </w:style>
  <w:style w:type="paragraph" w:styleId="ListParagraph">
    <w:name w:val="List Paragraph"/>
    <w:basedOn w:val="Normal"/>
    <w:uiPriority w:val="34"/>
    <w:qFormat/>
    <w:rsid w:val="00B96B0F"/>
    <w:pPr>
      <w:ind w:left="720"/>
      <w:contextualSpacing/>
    </w:pPr>
  </w:style>
  <w:style w:type="paragraph" w:styleId="TOCHeading">
    <w:name w:val="TOC Heading"/>
    <w:basedOn w:val="Heading1"/>
    <w:next w:val="Normal"/>
    <w:uiPriority w:val="39"/>
    <w:unhideWhenUsed/>
    <w:qFormat/>
    <w:rsid w:val="00B96B0F"/>
    <w:pPr>
      <w:spacing w:line="259" w:lineRule="auto"/>
      <w:outlineLvl w:val="9"/>
    </w:pPr>
  </w:style>
  <w:style w:type="paragraph" w:styleId="TOC1">
    <w:name w:val="toc 1"/>
    <w:basedOn w:val="Normal"/>
    <w:next w:val="Normal"/>
    <w:autoRedefine/>
    <w:uiPriority w:val="39"/>
    <w:unhideWhenUsed/>
    <w:rsid w:val="00B96B0F"/>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1404210">
      <w:bodyDiv w:val="1"/>
      <w:marLeft w:val="0"/>
      <w:marRight w:val="0"/>
      <w:marTop w:val="0"/>
      <w:marBottom w:val="0"/>
      <w:divBdr>
        <w:top w:val="none" w:sz="0" w:space="0" w:color="auto"/>
        <w:left w:val="none" w:sz="0" w:space="0" w:color="auto"/>
        <w:bottom w:val="none" w:sz="0" w:space="0" w:color="auto"/>
        <w:right w:val="none" w:sz="0" w:space="0" w:color="auto"/>
      </w:divBdr>
      <w:divsChild>
        <w:div w:id="1060323249">
          <w:marLeft w:val="0"/>
          <w:marRight w:val="0"/>
          <w:marTop w:val="0"/>
          <w:marBottom w:val="0"/>
          <w:divBdr>
            <w:top w:val="none" w:sz="0" w:space="0" w:color="auto"/>
            <w:left w:val="none" w:sz="0" w:space="0" w:color="auto"/>
            <w:bottom w:val="none" w:sz="0" w:space="0" w:color="auto"/>
            <w:right w:val="none" w:sz="0" w:space="0" w:color="auto"/>
          </w:divBdr>
        </w:div>
        <w:div w:id="2134012166">
          <w:marLeft w:val="0"/>
          <w:marRight w:val="0"/>
          <w:marTop w:val="0"/>
          <w:marBottom w:val="0"/>
          <w:divBdr>
            <w:top w:val="none" w:sz="0" w:space="0" w:color="auto"/>
            <w:left w:val="none" w:sz="0" w:space="0" w:color="auto"/>
            <w:bottom w:val="none" w:sz="0" w:space="0" w:color="auto"/>
            <w:right w:val="none" w:sz="0" w:space="0" w:color="auto"/>
          </w:divBdr>
        </w:div>
      </w:divsChild>
    </w:div>
    <w:div w:id="320820038">
      <w:bodyDiv w:val="1"/>
      <w:marLeft w:val="0"/>
      <w:marRight w:val="0"/>
      <w:marTop w:val="0"/>
      <w:marBottom w:val="0"/>
      <w:divBdr>
        <w:top w:val="none" w:sz="0" w:space="0" w:color="auto"/>
        <w:left w:val="none" w:sz="0" w:space="0" w:color="auto"/>
        <w:bottom w:val="none" w:sz="0" w:space="0" w:color="auto"/>
        <w:right w:val="none" w:sz="0" w:space="0" w:color="auto"/>
      </w:divBdr>
      <w:divsChild>
        <w:div w:id="1326934199">
          <w:marLeft w:val="0"/>
          <w:marRight w:val="0"/>
          <w:marTop w:val="0"/>
          <w:marBottom w:val="0"/>
          <w:divBdr>
            <w:top w:val="none" w:sz="0" w:space="0" w:color="auto"/>
            <w:left w:val="none" w:sz="0" w:space="0" w:color="auto"/>
            <w:bottom w:val="none" w:sz="0" w:space="0" w:color="auto"/>
            <w:right w:val="none" w:sz="0" w:space="0" w:color="auto"/>
          </w:divBdr>
        </w:div>
        <w:div w:id="1786148090">
          <w:marLeft w:val="0"/>
          <w:marRight w:val="0"/>
          <w:marTop w:val="0"/>
          <w:marBottom w:val="0"/>
          <w:divBdr>
            <w:top w:val="none" w:sz="0" w:space="0" w:color="auto"/>
            <w:left w:val="none" w:sz="0" w:space="0" w:color="auto"/>
            <w:bottom w:val="none" w:sz="0" w:space="0" w:color="auto"/>
            <w:right w:val="none" w:sz="0" w:space="0" w:color="auto"/>
          </w:divBdr>
        </w:div>
        <w:div w:id="1308441341">
          <w:marLeft w:val="0"/>
          <w:marRight w:val="0"/>
          <w:marTop w:val="0"/>
          <w:marBottom w:val="0"/>
          <w:divBdr>
            <w:top w:val="none" w:sz="0" w:space="0" w:color="auto"/>
            <w:left w:val="none" w:sz="0" w:space="0" w:color="auto"/>
            <w:bottom w:val="none" w:sz="0" w:space="0" w:color="auto"/>
            <w:right w:val="none" w:sz="0" w:space="0" w:color="auto"/>
          </w:divBdr>
        </w:div>
        <w:div w:id="512453254">
          <w:marLeft w:val="0"/>
          <w:marRight w:val="0"/>
          <w:marTop w:val="0"/>
          <w:marBottom w:val="0"/>
          <w:divBdr>
            <w:top w:val="none" w:sz="0" w:space="0" w:color="auto"/>
            <w:left w:val="none" w:sz="0" w:space="0" w:color="auto"/>
            <w:bottom w:val="none" w:sz="0" w:space="0" w:color="auto"/>
            <w:right w:val="none" w:sz="0" w:space="0" w:color="auto"/>
          </w:divBdr>
        </w:div>
        <w:div w:id="1244339071">
          <w:marLeft w:val="0"/>
          <w:marRight w:val="0"/>
          <w:marTop w:val="0"/>
          <w:marBottom w:val="0"/>
          <w:divBdr>
            <w:top w:val="none" w:sz="0" w:space="0" w:color="auto"/>
            <w:left w:val="none" w:sz="0" w:space="0" w:color="auto"/>
            <w:bottom w:val="none" w:sz="0" w:space="0" w:color="auto"/>
            <w:right w:val="none" w:sz="0" w:space="0" w:color="auto"/>
          </w:divBdr>
        </w:div>
        <w:div w:id="1686905030">
          <w:marLeft w:val="0"/>
          <w:marRight w:val="0"/>
          <w:marTop w:val="0"/>
          <w:marBottom w:val="0"/>
          <w:divBdr>
            <w:top w:val="none" w:sz="0" w:space="0" w:color="auto"/>
            <w:left w:val="none" w:sz="0" w:space="0" w:color="auto"/>
            <w:bottom w:val="none" w:sz="0" w:space="0" w:color="auto"/>
            <w:right w:val="none" w:sz="0" w:space="0" w:color="auto"/>
          </w:divBdr>
        </w:div>
        <w:div w:id="1692410153">
          <w:marLeft w:val="0"/>
          <w:marRight w:val="0"/>
          <w:marTop w:val="0"/>
          <w:marBottom w:val="0"/>
          <w:divBdr>
            <w:top w:val="none" w:sz="0" w:space="0" w:color="auto"/>
            <w:left w:val="none" w:sz="0" w:space="0" w:color="auto"/>
            <w:bottom w:val="none" w:sz="0" w:space="0" w:color="auto"/>
            <w:right w:val="none" w:sz="0" w:space="0" w:color="auto"/>
          </w:divBdr>
        </w:div>
        <w:div w:id="910887992">
          <w:marLeft w:val="0"/>
          <w:marRight w:val="0"/>
          <w:marTop w:val="0"/>
          <w:marBottom w:val="0"/>
          <w:divBdr>
            <w:top w:val="none" w:sz="0" w:space="0" w:color="auto"/>
            <w:left w:val="none" w:sz="0" w:space="0" w:color="auto"/>
            <w:bottom w:val="none" w:sz="0" w:space="0" w:color="auto"/>
            <w:right w:val="none" w:sz="0" w:space="0" w:color="auto"/>
          </w:divBdr>
        </w:div>
        <w:div w:id="968051970">
          <w:marLeft w:val="0"/>
          <w:marRight w:val="0"/>
          <w:marTop w:val="0"/>
          <w:marBottom w:val="0"/>
          <w:divBdr>
            <w:top w:val="none" w:sz="0" w:space="0" w:color="auto"/>
            <w:left w:val="none" w:sz="0" w:space="0" w:color="auto"/>
            <w:bottom w:val="none" w:sz="0" w:space="0" w:color="auto"/>
            <w:right w:val="none" w:sz="0" w:space="0" w:color="auto"/>
          </w:divBdr>
        </w:div>
        <w:div w:id="1647398567">
          <w:marLeft w:val="0"/>
          <w:marRight w:val="0"/>
          <w:marTop w:val="0"/>
          <w:marBottom w:val="0"/>
          <w:divBdr>
            <w:top w:val="none" w:sz="0" w:space="0" w:color="auto"/>
            <w:left w:val="none" w:sz="0" w:space="0" w:color="auto"/>
            <w:bottom w:val="none" w:sz="0" w:space="0" w:color="auto"/>
            <w:right w:val="none" w:sz="0" w:space="0" w:color="auto"/>
          </w:divBdr>
        </w:div>
        <w:div w:id="161698718">
          <w:marLeft w:val="0"/>
          <w:marRight w:val="0"/>
          <w:marTop w:val="0"/>
          <w:marBottom w:val="0"/>
          <w:divBdr>
            <w:top w:val="none" w:sz="0" w:space="0" w:color="auto"/>
            <w:left w:val="none" w:sz="0" w:space="0" w:color="auto"/>
            <w:bottom w:val="none" w:sz="0" w:space="0" w:color="auto"/>
            <w:right w:val="none" w:sz="0" w:space="0" w:color="auto"/>
          </w:divBdr>
        </w:div>
        <w:div w:id="83694303">
          <w:marLeft w:val="0"/>
          <w:marRight w:val="0"/>
          <w:marTop w:val="0"/>
          <w:marBottom w:val="0"/>
          <w:divBdr>
            <w:top w:val="none" w:sz="0" w:space="0" w:color="auto"/>
            <w:left w:val="none" w:sz="0" w:space="0" w:color="auto"/>
            <w:bottom w:val="none" w:sz="0" w:space="0" w:color="auto"/>
            <w:right w:val="none" w:sz="0" w:space="0" w:color="auto"/>
          </w:divBdr>
        </w:div>
        <w:div w:id="2052683198">
          <w:marLeft w:val="0"/>
          <w:marRight w:val="0"/>
          <w:marTop w:val="0"/>
          <w:marBottom w:val="0"/>
          <w:divBdr>
            <w:top w:val="none" w:sz="0" w:space="0" w:color="auto"/>
            <w:left w:val="none" w:sz="0" w:space="0" w:color="auto"/>
            <w:bottom w:val="none" w:sz="0" w:space="0" w:color="auto"/>
            <w:right w:val="none" w:sz="0" w:space="0" w:color="auto"/>
          </w:divBdr>
        </w:div>
        <w:div w:id="372928926">
          <w:marLeft w:val="0"/>
          <w:marRight w:val="0"/>
          <w:marTop w:val="0"/>
          <w:marBottom w:val="0"/>
          <w:divBdr>
            <w:top w:val="none" w:sz="0" w:space="0" w:color="auto"/>
            <w:left w:val="none" w:sz="0" w:space="0" w:color="auto"/>
            <w:bottom w:val="none" w:sz="0" w:space="0" w:color="auto"/>
            <w:right w:val="none" w:sz="0" w:space="0" w:color="auto"/>
          </w:divBdr>
        </w:div>
        <w:div w:id="1541429642">
          <w:marLeft w:val="0"/>
          <w:marRight w:val="0"/>
          <w:marTop w:val="0"/>
          <w:marBottom w:val="0"/>
          <w:divBdr>
            <w:top w:val="none" w:sz="0" w:space="0" w:color="auto"/>
            <w:left w:val="none" w:sz="0" w:space="0" w:color="auto"/>
            <w:bottom w:val="none" w:sz="0" w:space="0" w:color="auto"/>
            <w:right w:val="none" w:sz="0" w:space="0" w:color="auto"/>
          </w:divBdr>
        </w:div>
        <w:div w:id="906190759">
          <w:marLeft w:val="0"/>
          <w:marRight w:val="0"/>
          <w:marTop w:val="0"/>
          <w:marBottom w:val="0"/>
          <w:divBdr>
            <w:top w:val="none" w:sz="0" w:space="0" w:color="auto"/>
            <w:left w:val="none" w:sz="0" w:space="0" w:color="auto"/>
            <w:bottom w:val="none" w:sz="0" w:space="0" w:color="auto"/>
            <w:right w:val="none" w:sz="0" w:space="0" w:color="auto"/>
          </w:divBdr>
        </w:div>
        <w:div w:id="518811399">
          <w:marLeft w:val="0"/>
          <w:marRight w:val="0"/>
          <w:marTop w:val="0"/>
          <w:marBottom w:val="0"/>
          <w:divBdr>
            <w:top w:val="none" w:sz="0" w:space="0" w:color="auto"/>
            <w:left w:val="none" w:sz="0" w:space="0" w:color="auto"/>
            <w:bottom w:val="none" w:sz="0" w:space="0" w:color="auto"/>
            <w:right w:val="none" w:sz="0" w:space="0" w:color="auto"/>
          </w:divBdr>
        </w:div>
        <w:div w:id="2143038282">
          <w:marLeft w:val="0"/>
          <w:marRight w:val="0"/>
          <w:marTop w:val="0"/>
          <w:marBottom w:val="0"/>
          <w:divBdr>
            <w:top w:val="none" w:sz="0" w:space="0" w:color="auto"/>
            <w:left w:val="none" w:sz="0" w:space="0" w:color="auto"/>
            <w:bottom w:val="none" w:sz="0" w:space="0" w:color="auto"/>
            <w:right w:val="none" w:sz="0" w:space="0" w:color="auto"/>
          </w:divBdr>
        </w:div>
        <w:div w:id="1297839246">
          <w:marLeft w:val="0"/>
          <w:marRight w:val="0"/>
          <w:marTop w:val="0"/>
          <w:marBottom w:val="0"/>
          <w:divBdr>
            <w:top w:val="none" w:sz="0" w:space="0" w:color="auto"/>
            <w:left w:val="none" w:sz="0" w:space="0" w:color="auto"/>
            <w:bottom w:val="none" w:sz="0" w:space="0" w:color="auto"/>
            <w:right w:val="none" w:sz="0" w:space="0" w:color="auto"/>
          </w:divBdr>
        </w:div>
        <w:div w:id="664821934">
          <w:marLeft w:val="0"/>
          <w:marRight w:val="0"/>
          <w:marTop w:val="0"/>
          <w:marBottom w:val="0"/>
          <w:divBdr>
            <w:top w:val="none" w:sz="0" w:space="0" w:color="auto"/>
            <w:left w:val="none" w:sz="0" w:space="0" w:color="auto"/>
            <w:bottom w:val="none" w:sz="0" w:space="0" w:color="auto"/>
            <w:right w:val="none" w:sz="0" w:space="0" w:color="auto"/>
          </w:divBdr>
        </w:div>
        <w:div w:id="155875836">
          <w:marLeft w:val="0"/>
          <w:marRight w:val="0"/>
          <w:marTop w:val="0"/>
          <w:marBottom w:val="0"/>
          <w:divBdr>
            <w:top w:val="none" w:sz="0" w:space="0" w:color="auto"/>
            <w:left w:val="none" w:sz="0" w:space="0" w:color="auto"/>
            <w:bottom w:val="none" w:sz="0" w:space="0" w:color="auto"/>
            <w:right w:val="none" w:sz="0" w:space="0" w:color="auto"/>
          </w:divBdr>
        </w:div>
        <w:div w:id="1751660814">
          <w:marLeft w:val="0"/>
          <w:marRight w:val="0"/>
          <w:marTop w:val="0"/>
          <w:marBottom w:val="0"/>
          <w:divBdr>
            <w:top w:val="none" w:sz="0" w:space="0" w:color="auto"/>
            <w:left w:val="none" w:sz="0" w:space="0" w:color="auto"/>
            <w:bottom w:val="none" w:sz="0" w:space="0" w:color="auto"/>
            <w:right w:val="none" w:sz="0" w:space="0" w:color="auto"/>
          </w:divBdr>
        </w:div>
        <w:div w:id="1745832866">
          <w:marLeft w:val="0"/>
          <w:marRight w:val="0"/>
          <w:marTop w:val="0"/>
          <w:marBottom w:val="0"/>
          <w:divBdr>
            <w:top w:val="none" w:sz="0" w:space="0" w:color="auto"/>
            <w:left w:val="none" w:sz="0" w:space="0" w:color="auto"/>
            <w:bottom w:val="none" w:sz="0" w:space="0" w:color="auto"/>
            <w:right w:val="none" w:sz="0" w:space="0" w:color="auto"/>
          </w:divBdr>
        </w:div>
        <w:div w:id="720593259">
          <w:marLeft w:val="0"/>
          <w:marRight w:val="0"/>
          <w:marTop w:val="0"/>
          <w:marBottom w:val="0"/>
          <w:divBdr>
            <w:top w:val="none" w:sz="0" w:space="0" w:color="auto"/>
            <w:left w:val="none" w:sz="0" w:space="0" w:color="auto"/>
            <w:bottom w:val="none" w:sz="0" w:space="0" w:color="auto"/>
            <w:right w:val="none" w:sz="0" w:space="0" w:color="auto"/>
          </w:divBdr>
        </w:div>
        <w:div w:id="1660813973">
          <w:marLeft w:val="0"/>
          <w:marRight w:val="0"/>
          <w:marTop w:val="0"/>
          <w:marBottom w:val="0"/>
          <w:divBdr>
            <w:top w:val="none" w:sz="0" w:space="0" w:color="auto"/>
            <w:left w:val="none" w:sz="0" w:space="0" w:color="auto"/>
            <w:bottom w:val="none" w:sz="0" w:space="0" w:color="auto"/>
            <w:right w:val="none" w:sz="0" w:space="0" w:color="auto"/>
          </w:divBdr>
        </w:div>
        <w:div w:id="500585739">
          <w:marLeft w:val="0"/>
          <w:marRight w:val="0"/>
          <w:marTop w:val="0"/>
          <w:marBottom w:val="0"/>
          <w:divBdr>
            <w:top w:val="none" w:sz="0" w:space="0" w:color="auto"/>
            <w:left w:val="none" w:sz="0" w:space="0" w:color="auto"/>
            <w:bottom w:val="none" w:sz="0" w:space="0" w:color="auto"/>
            <w:right w:val="none" w:sz="0" w:space="0" w:color="auto"/>
          </w:divBdr>
        </w:div>
        <w:div w:id="489056134">
          <w:marLeft w:val="0"/>
          <w:marRight w:val="0"/>
          <w:marTop w:val="0"/>
          <w:marBottom w:val="0"/>
          <w:divBdr>
            <w:top w:val="none" w:sz="0" w:space="0" w:color="auto"/>
            <w:left w:val="none" w:sz="0" w:space="0" w:color="auto"/>
            <w:bottom w:val="none" w:sz="0" w:space="0" w:color="auto"/>
            <w:right w:val="none" w:sz="0" w:space="0" w:color="auto"/>
          </w:divBdr>
        </w:div>
        <w:div w:id="426654256">
          <w:marLeft w:val="0"/>
          <w:marRight w:val="0"/>
          <w:marTop w:val="0"/>
          <w:marBottom w:val="0"/>
          <w:divBdr>
            <w:top w:val="none" w:sz="0" w:space="0" w:color="auto"/>
            <w:left w:val="none" w:sz="0" w:space="0" w:color="auto"/>
            <w:bottom w:val="none" w:sz="0" w:space="0" w:color="auto"/>
            <w:right w:val="none" w:sz="0" w:space="0" w:color="auto"/>
          </w:divBdr>
        </w:div>
        <w:div w:id="1734162203">
          <w:marLeft w:val="0"/>
          <w:marRight w:val="0"/>
          <w:marTop w:val="0"/>
          <w:marBottom w:val="0"/>
          <w:divBdr>
            <w:top w:val="none" w:sz="0" w:space="0" w:color="auto"/>
            <w:left w:val="none" w:sz="0" w:space="0" w:color="auto"/>
            <w:bottom w:val="none" w:sz="0" w:space="0" w:color="auto"/>
            <w:right w:val="none" w:sz="0" w:space="0" w:color="auto"/>
          </w:divBdr>
        </w:div>
        <w:div w:id="223761478">
          <w:marLeft w:val="0"/>
          <w:marRight w:val="0"/>
          <w:marTop w:val="0"/>
          <w:marBottom w:val="0"/>
          <w:divBdr>
            <w:top w:val="none" w:sz="0" w:space="0" w:color="auto"/>
            <w:left w:val="none" w:sz="0" w:space="0" w:color="auto"/>
            <w:bottom w:val="none" w:sz="0" w:space="0" w:color="auto"/>
            <w:right w:val="none" w:sz="0" w:space="0" w:color="auto"/>
          </w:divBdr>
        </w:div>
        <w:div w:id="277298621">
          <w:marLeft w:val="0"/>
          <w:marRight w:val="0"/>
          <w:marTop w:val="0"/>
          <w:marBottom w:val="0"/>
          <w:divBdr>
            <w:top w:val="none" w:sz="0" w:space="0" w:color="auto"/>
            <w:left w:val="none" w:sz="0" w:space="0" w:color="auto"/>
            <w:bottom w:val="none" w:sz="0" w:space="0" w:color="auto"/>
            <w:right w:val="none" w:sz="0" w:space="0" w:color="auto"/>
          </w:divBdr>
        </w:div>
        <w:div w:id="281114134">
          <w:marLeft w:val="0"/>
          <w:marRight w:val="0"/>
          <w:marTop w:val="0"/>
          <w:marBottom w:val="0"/>
          <w:divBdr>
            <w:top w:val="none" w:sz="0" w:space="0" w:color="auto"/>
            <w:left w:val="none" w:sz="0" w:space="0" w:color="auto"/>
            <w:bottom w:val="none" w:sz="0" w:space="0" w:color="auto"/>
            <w:right w:val="none" w:sz="0" w:space="0" w:color="auto"/>
          </w:divBdr>
        </w:div>
        <w:div w:id="1714650671">
          <w:marLeft w:val="0"/>
          <w:marRight w:val="0"/>
          <w:marTop w:val="0"/>
          <w:marBottom w:val="0"/>
          <w:divBdr>
            <w:top w:val="none" w:sz="0" w:space="0" w:color="auto"/>
            <w:left w:val="none" w:sz="0" w:space="0" w:color="auto"/>
            <w:bottom w:val="none" w:sz="0" w:space="0" w:color="auto"/>
            <w:right w:val="none" w:sz="0" w:space="0" w:color="auto"/>
          </w:divBdr>
        </w:div>
        <w:div w:id="2089493601">
          <w:marLeft w:val="0"/>
          <w:marRight w:val="0"/>
          <w:marTop w:val="0"/>
          <w:marBottom w:val="0"/>
          <w:divBdr>
            <w:top w:val="none" w:sz="0" w:space="0" w:color="auto"/>
            <w:left w:val="none" w:sz="0" w:space="0" w:color="auto"/>
            <w:bottom w:val="none" w:sz="0" w:space="0" w:color="auto"/>
            <w:right w:val="none" w:sz="0" w:space="0" w:color="auto"/>
          </w:divBdr>
        </w:div>
        <w:div w:id="810826292">
          <w:marLeft w:val="0"/>
          <w:marRight w:val="0"/>
          <w:marTop w:val="0"/>
          <w:marBottom w:val="0"/>
          <w:divBdr>
            <w:top w:val="none" w:sz="0" w:space="0" w:color="auto"/>
            <w:left w:val="none" w:sz="0" w:space="0" w:color="auto"/>
            <w:bottom w:val="none" w:sz="0" w:space="0" w:color="auto"/>
            <w:right w:val="none" w:sz="0" w:space="0" w:color="auto"/>
          </w:divBdr>
        </w:div>
        <w:div w:id="2065594524">
          <w:marLeft w:val="0"/>
          <w:marRight w:val="0"/>
          <w:marTop w:val="0"/>
          <w:marBottom w:val="0"/>
          <w:divBdr>
            <w:top w:val="none" w:sz="0" w:space="0" w:color="auto"/>
            <w:left w:val="none" w:sz="0" w:space="0" w:color="auto"/>
            <w:bottom w:val="none" w:sz="0" w:space="0" w:color="auto"/>
            <w:right w:val="none" w:sz="0" w:space="0" w:color="auto"/>
          </w:divBdr>
        </w:div>
      </w:divsChild>
    </w:div>
    <w:div w:id="506679942">
      <w:bodyDiv w:val="1"/>
      <w:marLeft w:val="0"/>
      <w:marRight w:val="0"/>
      <w:marTop w:val="0"/>
      <w:marBottom w:val="0"/>
      <w:divBdr>
        <w:top w:val="none" w:sz="0" w:space="0" w:color="auto"/>
        <w:left w:val="none" w:sz="0" w:space="0" w:color="auto"/>
        <w:bottom w:val="none" w:sz="0" w:space="0" w:color="auto"/>
        <w:right w:val="none" w:sz="0" w:space="0" w:color="auto"/>
      </w:divBdr>
      <w:divsChild>
        <w:div w:id="883713341">
          <w:marLeft w:val="0"/>
          <w:marRight w:val="0"/>
          <w:marTop w:val="0"/>
          <w:marBottom w:val="0"/>
          <w:divBdr>
            <w:top w:val="none" w:sz="0" w:space="0" w:color="auto"/>
            <w:left w:val="none" w:sz="0" w:space="0" w:color="auto"/>
            <w:bottom w:val="none" w:sz="0" w:space="0" w:color="auto"/>
            <w:right w:val="none" w:sz="0" w:space="0" w:color="auto"/>
          </w:divBdr>
        </w:div>
        <w:div w:id="1859931119">
          <w:marLeft w:val="0"/>
          <w:marRight w:val="0"/>
          <w:marTop w:val="0"/>
          <w:marBottom w:val="0"/>
          <w:divBdr>
            <w:top w:val="none" w:sz="0" w:space="0" w:color="auto"/>
            <w:left w:val="none" w:sz="0" w:space="0" w:color="auto"/>
            <w:bottom w:val="none" w:sz="0" w:space="0" w:color="auto"/>
            <w:right w:val="none" w:sz="0" w:space="0" w:color="auto"/>
          </w:divBdr>
        </w:div>
      </w:divsChild>
    </w:div>
    <w:div w:id="730425124">
      <w:bodyDiv w:val="1"/>
      <w:marLeft w:val="0"/>
      <w:marRight w:val="0"/>
      <w:marTop w:val="0"/>
      <w:marBottom w:val="0"/>
      <w:divBdr>
        <w:top w:val="none" w:sz="0" w:space="0" w:color="auto"/>
        <w:left w:val="none" w:sz="0" w:space="0" w:color="auto"/>
        <w:bottom w:val="none" w:sz="0" w:space="0" w:color="auto"/>
        <w:right w:val="none" w:sz="0" w:space="0" w:color="auto"/>
      </w:divBdr>
      <w:divsChild>
        <w:div w:id="182286463">
          <w:marLeft w:val="0"/>
          <w:marRight w:val="0"/>
          <w:marTop w:val="0"/>
          <w:marBottom w:val="0"/>
          <w:divBdr>
            <w:top w:val="none" w:sz="0" w:space="0" w:color="auto"/>
            <w:left w:val="none" w:sz="0" w:space="0" w:color="auto"/>
            <w:bottom w:val="none" w:sz="0" w:space="0" w:color="auto"/>
            <w:right w:val="none" w:sz="0" w:space="0" w:color="auto"/>
          </w:divBdr>
        </w:div>
        <w:div w:id="1312061553">
          <w:marLeft w:val="0"/>
          <w:marRight w:val="0"/>
          <w:marTop w:val="0"/>
          <w:marBottom w:val="0"/>
          <w:divBdr>
            <w:top w:val="none" w:sz="0" w:space="0" w:color="auto"/>
            <w:left w:val="none" w:sz="0" w:space="0" w:color="auto"/>
            <w:bottom w:val="none" w:sz="0" w:space="0" w:color="auto"/>
            <w:right w:val="none" w:sz="0" w:space="0" w:color="auto"/>
          </w:divBdr>
        </w:div>
      </w:divsChild>
    </w:div>
    <w:div w:id="831216052">
      <w:bodyDiv w:val="1"/>
      <w:marLeft w:val="0"/>
      <w:marRight w:val="0"/>
      <w:marTop w:val="0"/>
      <w:marBottom w:val="0"/>
      <w:divBdr>
        <w:top w:val="none" w:sz="0" w:space="0" w:color="auto"/>
        <w:left w:val="none" w:sz="0" w:space="0" w:color="auto"/>
        <w:bottom w:val="none" w:sz="0" w:space="0" w:color="auto"/>
        <w:right w:val="none" w:sz="0" w:space="0" w:color="auto"/>
      </w:divBdr>
      <w:divsChild>
        <w:div w:id="235628516">
          <w:marLeft w:val="0"/>
          <w:marRight w:val="0"/>
          <w:marTop w:val="0"/>
          <w:marBottom w:val="0"/>
          <w:divBdr>
            <w:top w:val="none" w:sz="0" w:space="0" w:color="auto"/>
            <w:left w:val="none" w:sz="0" w:space="0" w:color="auto"/>
            <w:bottom w:val="none" w:sz="0" w:space="0" w:color="auto"/>
            <w:right w:val="none" w:sz="0" w:space="0" w:color="auto"/>
          </w:divBdr>
        </w:div>
        <w:div w:id="1281305971">
          <w:marLeft w:val="0"/>
          <w:marRight w:val="0"/>
          <w:marTop w:val="0"/>
          <w:marBottom w:val="0"/>
          <w:divBdr>
            <w:top w:val="none" w:sz="0" w:space="0" w:color="auto"/>
            <w:left w:val="none" w:sz="0" w:space="0" w:color="auto"/>
            <w:bottom w:val="none" w:sz="0" w:space="0" w:color="auto"/>
            <w:right w:val="none" w:sz="0" w:space="0" w:color="auto"/>
          </w:divBdr>
        </w:div>
        <w:div w:id="933323060">
          <w:marLeft w:val="0"/>
          <w:marRight w:val="0"/>
          <w:marTop w:val="0"/>
          <w:marBottom w:val="0"/>
          <w:divBdr>
            <w:top w:val="none" w:sz="0" w:space="0" w:color="auto"/>
            <w:left w:val="none" w:sz="0" w:space="0" w:color="auto"/>
            <w:bottom w:val="none" w:sz="0" w:space="0" w:color="auto"/>
            <w:right w:val="none" w:sz="0" w:space="0" w:color="auto"/>
          </w:divBdr>
        </w:div>
      </w:divsChild>
    </w:div>
    <w:div w:id="1076975872">
      <w:bodyDiv w:val="1"/>
      <w:marLeft w:val="0"/>
      <w:marRight w:val="0"/>
      <w:marTop w:val="0"/>
      <w:marBottom w:val="0"/>
      <w:divBdr>
        <w:top w:val="none" w:sz="0" w:space="0" w:color="auto"/>
        <w:left w:val="none" w:sz="0" w:space="0" w:color="auto"/>
        <w:bottom w:val="none" w:sz="0" w:space="0" w:color="auto"/>
        <w:right w:val="none" w:sz="0" w:space="0" w:color="auto"/>
      </w:divBdr>
      <w:divsChild>
        <w:div w:id="286400085">
          <w:marLeft w:val="0"/>
          <w:marRight w:val="0"/>
          <w:marTop w:val="0"/>
          <w:marBottom w:val="0"/>
          <w:divBdr>
            <w:top w:val="none" w:sz="0" w:space="0" w:color="auto"/>
            <w:left w:val="none" w:sz="0" w:space="0" w:color="auto"/>
            <w:bottom w:val="none" w:sz="0" w:space="0" w:color="auto"/>
            <w:right w:val="none" w:sz="0" w:space="0" w:color="auto"/>
          </w:divBdr>
        </w:div>
        <w:div w:id="962543565">
          <w:marLeft w:val="0"/>
          <w:marRight w:val="0"/>
          <w:marTop w:val="0"/>
          <w:marBottom w:val="0"/>
          <w:divBdr>
            <w:top w:val="none" w:sz="0" w:space="0" w:color="auto"/>
            <w:left w:val="none" w:sz="0" w:space="0" w:color="auto"/>
            <w:bottom w:val="none" w:sz="0" w:space="0" w:color="auto"/>
            <w:right w:val="none" w:sz="0" w:space="0" w:color="auto"/>
          </w:divBdr>
        </w:div>
        <w:div w:id="943148799">
          <w:marLeft w:val="0"/>
          <w:marRight w:val="0"/>
          <w:marTop w:val="0"/>
          <w:marBottom w:val="0"/>
          <w:divBdr>
            <w:top w:val="none" w:sz="0" w:space="0" w:color="auto"/>
            <w:left w:val="none" w:sz="0" w:space="0" w:color="auto"/>
            <w:bottom w:val="none" w:sz="0" w:space="0" w:color="auto"/>
            <w:right w:val="none" w:sz="0" w:space="0" w:color="auto"/>
          </w:divBdr>
        </w:div>
        <w:div w:id="767969876">
          <w:marLeft w:val="0"/>
          <w:marRight w:val="0"/>
          <w:marTop w:val="0"/>
          <w:marBottom w:val="0"/>
          <w:divBdr>
            <w:top w:val="none" w:sz="0" w:space="0" w:color="auto"/>
            <w:left w:val="none" w:sz="0" w:space="0" w:color="auto"/>
            <w:bottom w:val="none" w:sz="0" w:space="0" w:color="auto"/>
            <w:right w:val="none" w:sz="0" w:space="0" w:color="auto"/>
          </w:divBdr>
        </w:div>
        <w:div w:id="75323864">
          <w:marLeft w:val="0"/>
          <w:marRight w:val="0"/>
          <w:marTop w:val="0"/>
          <w:marBottom w:val="0"/>
          <w:divBdr>
            <w:top w:val="none" w:sz="0" w:space="0" w:color="auto"/>
            <w:left w:val="none" w:sz="0" w:space="0" w:color="auto"/>
            <w:bottom w:val="none" w:sz="0" w:space="0" w:color="auto"/>
            <w:right w:val="none" w:sz="0" w:space="0" w:color="auto"/>
          </w:divBdr>
        </w:div>
        <w:div w:id="1325472420">
          <w:marLeft w:val="0"/>
          <w:marRight w:val="0"/>
          <w:marTop w:val="0"/>
          <w:marBottom w:val="0"/>
          <w:divBdr>
            <w:top w:val="none" w:sz="0" w:space="0" w:color="auto"/>
            <w:left w:val="none" w:sz="0" w:space="0" w:color="auto"/>
            <w:bottom w:val="none" w:sz="0" w:space="0" w:color="auto"/>
            <w:right w:val="none" w:sz="0" w:space="0" w:color="auto"/>
          </w:divBdr>
        </w:div>
        <w:div w:id="141772765">
          <w:marLeft w:val="0"/>
          <w:marRight w:val="0"/>
          <w:marTop w:val="0"/>
          <w:marBottom w:val="0"/>
          <w:divBdr>
            <w:top w:val="none" w:sz="0" w:space="0" w:color="auto"/>
            <w:left w:val="none" w:sz="0" w:space="0" w:color="auto"/>
            <w:bottom w:val="none" w:sz="0" w:space="0" w:color="auto"/>
            <w:right w:val="none" w:sz="0" w:space="0" w:color="auto"/>
          </w:divBdr>
        </w:div>
        <w:div w:id="309138097">
          <w:marLeft w:val="0"/>
          <w:marRight w:val="0"/>
          <w:marTop w:val="0"/>
          <w:marBottom w:val="0"/>
          <w:divBdr>
            <w:top w:val="none" w:sz="0" w:space="0" w:color="auto"/>
            <w:left w:val="none" w:sz="0" w:space="0" w:color="auto"/>
            <w:bottom w:val="none" w:sz="0" w:space="0" w:color="auto"/>
            <w:right w:val="none" w:sz="0" w:space="0" w:color="auto"/>
          </w:divBdr>
        </w:div>
        <w:div w:id="641082828">
          <w:marLeft w:val="0"/>
          <w:marRight w:val="0"/>
          <w:marTop w:val="0"/>
          <w:marBottom w:val="0"/>
          <w:divBdr>
            <w:top w:val="none" w:sz="0" w:space="0" w:color="auto"/>
            <w:left w:val="none" w:sz="0" w:space="0" w:color="auto"/>
            <w:bottom w:val="none" w:sz="0" w:space="0" w:color="auto"/>
            <w:right w:val="none" w:sz="0" w:space="0" w:color="auto"/>
          </w:divBdr>
        </w:div>
        <w:div w:id="571745113">
          <w:marLeft w:val="0"/>
          <w:marRight w:val="0"/>
          <w:marTop w:val="0"/>
          <w:marBottom w:val="0"/>
          <w:divBdr>
            <w:top w:val="none" w:sz="0" w:space="0" w:color="auto"/>
            <w:left w:val="none" w:sz="0" w:space="0" w:color="auto"/>
            <w:bottom w:val="none" w:sz="0" w:space="0" w:color="auto"/>
            <w:right w:val="none" w:sz="0" w:space="0" w:color="auto"/>
          </w:divBdr>
        </w:div>
      </w:divsChild>
    </w:div>
    <w:div w:id="1685939578">
      <w:bodyDiv w:val="1"/>
      <w:marLeft w:val="0"/>
      <w:marRight w:val="0"/>
      <w:marTop w:val="0"/>
      <w:marBottom w:val="0"/>
      <w:divBdr>
        <w:top w:val="none" w:sz="0" w:space="0" w:color="auto"/>
        <w:left w:val="none" w:sz="0" w:space="0" w:color="auto"/>
        <w:bottom w:val="none" w:sz="0" w:space="0" w:color="auto"/>
        <w:right w:val="none" w:sz="0" w:space="0" w:color="auto"/>
      </w:divBdr>
      <w:divsChild>
        <w:div w:id="1974825914">
          <w:marLeft w:val="0"/>
          <w:marRight w:val="0"/>
          <w:marTop w:val="0"/>
          <w:marBottom w:val="0"/>
          <w:divBdr>
            <w:top w:val="none" w:sz="0" w:space="0" w:color="auto"/>
            <w:left w:val="none" w:sz="0" w:space="0" w:color="auto"/>
            <w:bottom w:val="none" w:sz="0" w:space="0" w:color="auto"/>
            <w:right w:val="none" w:sz="0" w:space="0" w:color="auto"/>
          </w:divBdr>
        </w:div>
        <w:div w:id="138399062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viva.co.uk/"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2E0DD2-58B9-4A72-AB27-9059AEAFAC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963</TotalTime>
  <Pages>7</Pages>
  <Words>2861</Words>
  <Characters>16314</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Gabriela Malinova</dc:creator>
  <cp:keywords/>
  <dc:description/>
  <cp:lastModifiedBy>Gabriela Malinova</cp:lastModifiedBy>
  <cp:revision>1</cp:revision>
  <dcterms:created xsi:type="dcterms:W3CDTF">2023-08-26T12:05:00Z</dcterms:created>
  <dcterms:modified xsi:type="dcterms:W3CDTF">2023-08-27T08:22:00Z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dc5616ff-9ba2-4734-beec-42f72eb76348</vt:lpwstr>
  </property>
</Properties>
</file>