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CFF89" w14:textId="77777777" w:rsidR="008B78B6" w:rsidRPr="00D26538" w:rsidRDefault="008B78B6" w:rsidP="008B78B6">
      <w:pPr>
        <w:pStyle w:val="Header"/>
        <w:tabs>
          <w:tab w:val="left" w:pos="720"/>
        </w:tabs>
        <w:jc w:val="right"/>
        <w:rPr>
          <w:b/>
          <w:sz w:val="28"/>
          <w:szCs w:val="28"/>
        </w:rPr>
      </w:pPr>
      <w:r w:rsidRPr="00D26538">
        <w:rPr>
          <w:noProof/>
        </w:rPr>
        <w:drawing>
          <wp:anchor distT="0" distB="0" distL="114300" distR="114300" simplePos="0" relativeHeight="251659264" behindDoc="0" locked="0" layoutInCell="1" allowOverlap="1" wp14:anchorId="7334B1BD" wp14:editId="479386B0">
            <wp:simplePos x="0" y="0"/>
            <wp:positionH relativeFrom="column">
              <wp:posOffset>-228600</wp:posOffset>
            </wp:positionH>
            <wp:positionV relativeFrom="paragraph">
              <wp:posOffset>0</wp:posOffset>
            </wp:positionV>
            <wp:extent cx="1809750" cy="72390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D26538">
        <w:tab/>
      </w:r>
    </w:p>
    <w:p w14:paraId="3EA3D481" w14:textId="77777777" w:rsidR="008B78B6" w:rsidRPr="00D26538" w:rsidRDefault="008B78B6" w:rsidP="008B78B6">
      <w:pPr>
        <w:spacing w:after="120"/>
      </w:pPr>
    </w:p>
    <w:p w14:paraId="2E1C395F" w14:textId="77777777" w:rsidR="008B78B6" w:rsidRPr="00D26538" w:rsidRDefault="008B78B6" w:rsidP="008B78B6">
      <w:pPr>
        <w:spacing w:after="240"/>
        <w:rPr>
          <w:b/>
          <w:bCs/>
          <w:sz w:val="36"/>
          <w:szCs w:val="36"/>
        </w:rPr>
      </w:pPr>
    </w:p>
    <w:p w14:paraId="0BD1C98E" w14:textId="77777777" w:rsidR="008B78B6" w:rsidRPr="00D26538" w:rsidRDefault="008B78B6" w:rsidP="008B78B6">
      <w:pPr>
        <w:spacing w:after="240"/>
        <w:rPr>
          <w:b/>
          <w:bCs/>
          <w:sz w:val="36"/>
          <w:szCs w:val="36"/>
        </w:rPr>
      </w:pPr>
    </w:p>
    <w:p w14:paraId="0A2E1079" w14:textId="77777777" w:rsidR="008B78B6" w:rsidRPr="00D26538" w:rsidRDefault="008B78B6" w:rsidP="008B78B6">
      <w:pPr>
        <w:spacing w:after="240"/>
        <w:rPr>
          <w:b/>
          <w:bCs/>
          <w:sz w:val="36"/>
          <w:szCs w:val="36"/>
        </w:rPr>
      </w:pPr>
    </w:p>
    <w:p w14:paraId="243ABB2A" w14:textId="77777777" w:rsidR="008B78B6" w:rsidRPr="00D26538" w:rsidRDefault="008B78B6" w:rsidP="008B78B6">
      <w:pPr>
        <w:spacing w:after="240"/>
        <w:rPr>
          <w:b/>
          <w:bCs/>
          <w:sz w:val="36"/>
          <w:szCs w:val="36"/>
        </w:rPr>
      </w:pPr>
    </w:p>
    <w:p w14:paraId="0C962E98" w14:textId="77777777" w:rsidR="008B78B6" w:rsidRDefault="008B78B6" w:rsidP="008B78B6">
      <w:pPr>
        <w:spacing w:after="40"/>
        <w:jc w:val="center"/>
      </w:pPr>
      <w:r>
        <w:rPr>
          <w:b/>
          <w:bCs/>
          <w:sz w:val="32"/>
          <w:szCs w:val="32"/>
        </w:rPr>
        <w:t>Artificial Intelligence for Credit Risk Assessment</w:t>
      </w:r>
    </w:p>
    <w:p w14:paraId="7886303E" w14:textId="77777777" w:rsidR="008B78B6" w:rsidRPr="008B78B6" w:rsidRDefault="008B78B6" w:rsidP="008B78B6">
      <w:pPr>
        <w:spacing w:after="40"/>
        <w:jc w:val="center"/>
      </w:pPr>
      <w:r w:rsidRPr="008B78B6">
        <w:rPr>
          <w:sz w:val="24"/>
          <w:szCs w:val="24"/>
        </w:rPr>
        <w:t>Predicting Loan Default Risk with Logistic Regression and Random Forest: A Comparative and Interpretability Study</w:t>
      </w:r>
    </w:p>
    <w:p w14:paraId="18985852" w14:textId="77777777" w:rsidR="008B78B6" w:rsidRPr="00D26538" w:rsidRDefault="008B78B6" w:rsidP="008B78B6">
      <w:pPr>
        <w:spacing w:after="160"/>
        <w:rPr>
          <w:i/>
          <w:iCs/>
        </w:rPr>
      </w:pPr>
    </w:p>
    <w:p w14:paraId="278109A6" w14:textId="77777777" w:rsidR="008B78B6" w:rsidRPr="00D26538" w:rsidRDefault="008B78B6" w:rsidP="008B78B6">
      <w:pPr>
        <w:spacing w:after="160"/>
        <w:rPr>
          <w:i/>
          <w:iCs/>
        </w:rPr>
      </w:pPr>
    </w:p>
    <w:p w14:paraId="1C5BE033" w14:textId="77777777" w:rsidR="008B78B6" w:rsidRPr="00D26538" w:rsidRDefault="008B78B6" w:rsidP="008B78B6">
      <w:pPr>
        <w:spacing w:after="160"/>
        <w:rPr>
          <w:i/>
          <w:iCs/>
        </w:rPr>
      </w:pPr>
    </w:p>
    <w:p w14:paraId="0BB4D587" w14:textId="77777777" w:rsidR="008B78B6" w:rsidRPr="00D26538" w:rsidRDefault="008B78B6" w:rsidP="008B78B6">
      <w:pPr>
        <w:spacing w:after="160"/>
        <w:rPr>
          <w:i/>
          <w:iCs/>
        </w:rPr>
      </w:pPr>
    </w:p>
    <w:p w14:paraId="33705D15" w14:textId="77777777" w:rsidR="008B78B6" w:rsidRPr="00D26538" w:rsidRDefault="008B78B6" w:rsidP="008B78B6">
      <w:pPr>
        <w:spacing w:after="160"/>
        <w:rPr>
          <w:i/>
          <w:iCs/>
        </w:rPr>
      </w:pPr>
    </w:p>
    <w:p w14:paraId="78AFBB94" w14:textId="77777777" w:rsidR="008B78B6" w:rsidRPr="00D26538" w:rsidRDefault="008B78B6" w:rsidP="008B78B6">
      <w:pPr>
        <w:spacing w:after="160"/>
        <w:rPr>
          <w:i/>
          <w:iCs/>
        </w:rPr>
      </w:pPr>
    </w:p>
    <w:p w14:paraId="08BC0B83" w14:textId="77777777" w:rsidR="008B78B6" w:rsidRPr="00D26538" w:rsidRDefault="008B78B6" w:rsidP="008B78B6">
      <w:pPr>
        <w:spacing w:after="160"/>
        <w:rPr>
          <w:i/>
          <w:iCs/>
        </w:rPr>
      </w:pPr>
    </w:p>
    <w:p w14:paraId="3112660D" w14:textId="77777777" w:rsidR="008B78B6" w:rsidRPr="00D26538" w:rsidRDefault="008B78B6" w:rsidP="008B78B6">
      <w:pPr>
        <w:spacing w:after="160"/>
        <w:rPr>
          <w:i/>
          <w:iCs/>
        </w:rPr>
      </w:pPr>
    </w:p>
    <w:p w14:paraId="29E1C2D0" w14:textId="77777777" w:rsidR="008B78B6" w:rsidRPr="00D26538" w:rsidRDefault="008B78B6" w:rsidP="008B78B6">
      <w:pPr>
        <w:spacing w:after="160"/>
        <w:rPr>
          <w:i/>
          <w:iCs/>
        </w:rPr>
      </w:pPr>
    </w:p>
    <w:p w14:paraId="54FB60FB" w14:textId="77777777" w:rsidR="008B78B6" w:rsidRPr="00D26538" w:rsidRDefault="008B78B6" w:rsidP="008B78B6">
      <w:pPr>
        <w:spacing w:after="160"/>
      </w:pPr>
    </w:p>
    <w:p w14:paraId="4AC45899" w14:textId="77777777" w:rsidR="008B78B6" w:rsidRPr="00D26538" w:rsidRDefault="008B78B6" w:rsidP="008B78B6">
      <w:pPr>
        <w:spacing w:after="160"/>
      </w:pPr>
    </w:p>
    <w:p w14:paraId="6987B022" w14:textId="77777777" w:rsidR="008B78B6" w:rsidRPr="00D26538" w:rsidRDefault="008B78B6" w:rsidP="008B78B6">
      <w:pPr>
        <w:spacing w:after="160"/>
      </w:pPr>
    </w:p>
    <w:p w14:paraId="157CFE4B" w14:textId="77777777" w:rsidR="008B78B6" w:rsidRPr="00D26538" w:rsidRDefault="008B78B6" w:rsidP="008B78B6">
      <w:pPr>
        <w:spacing w:after="160"/>
        <w:ind w:left="1440" w:firstLine="720"/>
        <w:rPr>
          <w:b/>
        </w:rPr>
      </w:pPr>
      <w:r w:rsidRPr="00D26538">
        <w:rPr>
          <w:b/>
        </w:rPr>
        <w:t xml:space="preserve">Student name          </w:t>
      </w:r>
      <w:proofErr w:type="gramStart"/>
      <w:r w:rsidRPr="00D26538">
        <w:rPr>
          <w:b/>
        </w:rPr>
        <w:t xml:space="preserve">  :</w:t>
      </w:r>
      <w:proofErr w:type="gramEnd"/>
      <w:r w:rsidRPr="00D26538">
        <w:rPr>
          <w:b/>
        </w:rPr>
        <w:t xml:space="preserve"> Vamsi Bejjam</w:t>
      </w:r>
    </w:p>
    <w:p w14:paraId="773432F9" w14:textId="77777777" w:rsidR="008B78B6" w:rsidRPr="00D26538" w:rsidRDefault="008B78B6" w:rsidP="008B78B6">
      <w:pPr>
        <w:spacing w:before="120" w:after="120"/>
        <w:ind w:left="1440" w:firstLine="720"/>
        <w:rPr>
          <w:b/>
        </w:rPr>
      </w:pPr>
      <w:r w:rsidRPr="00D26538">
        <w:rPr>
          <w:b/>
        </w:rPr>
        <w:t xml:space="preserve">Student ID number </w:t>
      </w:r>
      <w:proofErr w:type="gramStart"/>
      <w:r w:rsidRPr="00D26538">
        <w:rPr>
          <w:b/>
        </w:rPr>
        <w:t xml:space="preserve">  :</w:t>
      </w:r>
      <w:proofErr w:type="gramEnd"/>
      <w:r w:rsidRPr="00D26538">
        <w:rPr>
          <w:b/>
        </w:rPr>
        <w:t xml:space="preserve">  2527053</w:t>
      </w:r>
    </w:p>
    <w:p w14:paraId="28946F59" w14:textId="77777777" w:rsidR="008B78B6" w:rsidRPr="00D26538" w:rsidRDefault="008B78B6" w:rsidP="008B78B6">
      <w:pPr>
        <w:spacing w:before="120" w:after="120"/>
        <w:ind w:left="2160"/>
        <w:rPr>
          <w:b/>
        </w:rPr>
      </w:pPr>
      <w:r w:rsidRPr="00D26538">
        <w:rPr>
          <w:b/>
        </w:rPr>
        <w:t xml:space="preserve">Programme             </w:t>
      </w:r>
      <w:proofErr w:type="gramStart"/>
      <w:r w:rsidRPr="00D26538">
        <w:rPr>
          <w:b/>
        </w:rPr>
        <w:t xml:space="preserve">  :</w:t>
      </w:r>
      <w:proofErr w:type="gramEnd"/>
      <w:r w:rsidRPr="00D26538">
        <w:rPr>
          <w:b/>
        </w:rPr>
        <w:t xml:space="preserve">  </w:t>
      </w:r>
      <w:r w:rsidRPr="00D26538">
        <w:rPr>
          <w:b/>
          <w:bCs/>
          <w:color w:val="000000" w:themeColor="text1"/>
        </w:rPr>
        <w:t>MSc Data and Artificial Intelligence</w:t>
      </w:r>
    </w:p>
    <w:p w14:paraId="61806A98" w14:textId="4962EBFF" w:rsidR="008B78B6" w:rsidRPr="00D26538" w:rsidRDefault="008B78B6" w:rsidP="008B78B6">
      <w:pPr>
        <w:spacing w:before="120" w:after="120"/>
        <w:ind w:left="1440" w:firstLine="720"/>
        <w:rPr>
          <w:b/>
        </w:rPr>
      </w:pPr>
      <w:r w:rsidRPr="00D26538">
        <w:rPr>
          <w:b/>
        </w:rPr>
        <w:t xml:space="preserve">Module                    </w:t>
      </w:r>
      <w:proofErr w:type="gramStart"/>
      <w:r w:rsidRPr="00D26538">
        <w:rPr>
          <w:b/>
        </w:rPr>
        <w:t xml:space="preserve">  :</w:t>
      </w:r>
      <w:proofErr w:type="gramEnd"/>
      <w:r w:rsidRPr="00D26538">
        <w:rPr>
          <w:b/>
        </w:rPr>
        <w:t xml:space="preserve">  </w:t>
      </w:r>
      <w:r w:rsidR="009B0CA1">
        <w:rPr>
          <w:b/>
        </w:rPr>
        <w:t xml:space="preserve">Artificial </w:t>
      </w:r>
      <w:proofErr w:type="spellStart"/>
      <w:r w:rsidR="009B0CA1">
        <w:rPr>
          <w:b/>
        </w:rPr>
        <w:t>Intellegence</w:t>
      </w:r>
      <w:proofErr w:type="spellEnd"/>
    </w:p>
    <w:p w14:paraId="16862B14" w14:textId="397E1E0D" w:rsidR="008B78B6" w:rsidRPr="00D26538" w:rsidRDefault="008B78B6" w:rsidP="008B78B6">
      <w:pPr>
        <w:pStyle w:val="TableParagraph"/>
        <w:spacing w:before="122" w:after="120"/>
        <w:ind w:left="1549" w:firstLine="611"/>
        <w:rPr>
          <w:rFonts w:ascii="Times New Roman" w:hAnsi="Times New Roman" w:cs="Times New Roman"/>
        </w:rPr>
      </w:pPr>
      <w:r w:rsidRPr="00D26538">
        <w:rPr>
          <w:rFonts w:ascii="Times New Roman" w:hAnsi="Times New Roman" w:cs="Times New Roman"/>
          <w:b/>
        </w:rPr>
        <w:t xml:space="preserve">Lecturer                  </w:t>
      </w:r>
      <w:proofErr w:type="gramStart"/>
      <w:r w:rsidRPr="00D26538">
        <w:rPr>
          <w:rFonts w:ascii="Times New Roman" w:hAnsi="Times New Roman" w:cs="Times New Roman"/>
          <w:b/>
        </w:rPr>
        <w:t xml:space="preserve">  :</w:t>
      </w:r>
      <w:proofErr w:type="gramEnd"/>
      <w:r w:rsidRPr="00D26538">
        <w:rPr>
          <w:rFonts w:ascii="Times New Roman" w:hAnsi="Times New Roman" w:cs="Times New Roman"/>
          <w:b/>
        </w:rPr>
        <w:t xml:space="preserve"> </w:t>
      </w:r>
      <w:r w:rsidRPr="00D26538">
        <w:rPr>
          <w:rFonts w:ascii="Times New Roman" w:eastAsia="Arial" w:hAnsi="Times New Roman" w:cs="Times New Roman"/>
          <w:b/>
          <w:bCs/>
          <w:color w:val="000000" w:themeColor="text1"/>
          <w:lang w:val="en-US"/>
        </w:rPr>
        <w:t xml:space="preserve"> </w:t>
      </w:r>
      <w:r w:rsidR="009B0CA1" w:rsidRPr="009B0CA1">
        <w:rPr>
          <w:rFonts w:ascii="Arial" w:hAnsi="Arial" w:cs="Arial"/>
          <w:b/>
        </w:rPr>
        <w:t xml:space="preserve">Malik </w:t>
      </w:r>
      <w:proofErr w:type="spellStart"/>
      <w:r w:rsidR="009B0CA1" w:rsidRPr="009B0CA1">
        <w:rPr>
          <w:rFonts w:ascii="Arial" w:hAnsi="Arial" w:cs="Arial"/>
          <w:b/>
        </w:rPr>
        <w:t>Mehmoud</w:t>
      </w:r>
      <w:proofErr w:type="spellEnd"/>
    </w:p>
    <w:p w14:paraId="342F5A49" w14:textId="77777777" w:rsidR="008B78B6" w:rsidRPr="00D26538" w:rsidRDefault="008B78B6" w:rsidP="008B78B6">
      <w:pPr>
        <w:spacing w:after="80"/>
      </w:pPr>
    </w:p>
    <w:p w14:paraId="17A768F4" w14:textId="77777777" w:rsidR="008B78B6" w:rsidRPr="00D26538" w:rsidRDefault="008B78B6" w:rsidP="008B78B6">
      <w:pPr>
        <w:spacing w:after="80"/>
      </w:pPr>
    </w:p>
    <w:p w14:paraId="0C722898" w14:textId="77777777" w:rsidR="008B78B6" w:rsidRPr="00D26538" w:rsidRDefault="008B78B6" w:rsidP="008B78B6">
      <w:pPr>
        <w:spacing w:after="80"/>
      </w:pPr>
    </w:p>
    <w:p w14:paraId="128BFB6E" w14:textId="77777777" w:rsidR="008B78B6" w:rsidRPr="00D26538" w:rsidRDefault="008B78B6" w:rsidP="008B78B6">
      <w:pPr>
        <w:spacing w:after="80"/>
      </w:pPr>
    </w:p>
    <w:p w14:paraId="7606854C" w14:textId="4EF5AF1C" w:rsidR="008B78B6" w:rsidRDefault="008B78B6" w:rsidP="008B78B6">
      <w:pPr>
        <w:spacing w:after="80"/>
      </w:pPr>
    </w:p>
    <w:p w14:paraId="424BB74A" w14:textId="6DC35DDC" w:rsidR="008B78B6" w:rsidRDefault="008B78B6" w:rsidP="008B78B6">
      <w:pPr>
        <w:spacing w:after="80"/>
      </w:pPr>
    </w:p>
    <w:p w14:paraId="7AF4A1CD" w14:textId="15F0306F" w:rsidR="008B78B6" w:rsidRDefault="008B78B6" w:rsidP="008B78B6">
      <w:pPr>
        <w:spacing w:after="80"/>
      </w:pPr>
    </w:p>
    <w:sdt>
      <w:sdtPr>
        <w:id w:val="1219471130"/>
        <w:docPartObj>
          <w:docPartGallery w:val="Table of Contents"/>
          <w:docPartUnique/>
        </w:docPartObj>
      </w:sdtPr>
      <w:sdtEndPr>
        <w:rPr>
          <w:rFonts w:ascii="Times New Roman" w:eastAsia="Times New Roman" w:hAnsi="Times New Roman" w:cs="Times New Roman"/>
          <w:b/>
          <w:bCs/>
          <w:noProof/>
          <w:color w:val="auto"/>
          <w:sz w:val="20"/>
          <w:szCs w:val="20"/>
          <w:lang w:val="en-IN" w:eastAsia="en-IN"/>
        </w:rPr>
      </w:sdtEndPr>
      <w:sdtContent>
        <w:p w14:paraId="6030D78C" w14:textId="768C49F4" w:rsidR="008B78B6" w:rsidRDefault="008B78B6">
          <w:pPr>
            <w:pStyle w:val="TOCHeading"/>
          </w:pPr>
          <w:r>
            <w:t>Contents</w:t>
          </w:r>
        </w:p>
        <w:p w14:paraId="1A45169D" w14:textId="01728461" w:rsidR="008B78B6" w:rsidRDefault="008B78B6">
          <w:pPr>
            <w:pStyle w:val="TOC1"/>
            <w:tabs>
              <w:tab w:val="right" w:leader="dot" w:pos="9350"/>
            </w:tabs>
            <w:rPr>
              <w:noProof/>
            </w:rPr>
          </w:pPr>
          <w:r>
            <w:fldChar w:fldCharType="begin"/>
          </w:r>
          <w:r>
            <w:instrText xml:space="preserve"> TOC \o "1-3" \h \z \u </w:instrText>
          </w:r>
          <w:r>
            <w:fldChar w:fldCharType="separate"/>
          </w:r>
          <w:hyperlink w:anchor="_Toc235972026" w:history="1">
            <w:r w:rsidRPr="00BF7A74">
              <w:rPr>
                <w:rStyle w:val="Hyperlink"/>
                <w:noProof/>
              </w:rPr>
              <w:t>Abstract</w:t>
            </w:r>
            <w:r>
              <w:rPr>
                <w:noProof/>
                <w:webHidden/>
              </w:rPr>
              <w:tab/>
            </w:r>
            <w:r>
              <w:rPr>
                <w:noProof/>
                <w:webHidden/>
              </w:rPr>
              <w:fldChar w:fldCharType="begin"/>
            </w:r>
            <w:r>
              <w:rPr>
                <w:noProof/>
                <w:webHidden/>
              </w:rPr>
              <w:instrText xml:space="preserve"> PAGEREF _Toc235972026 \h </w:instrText>
            </w:r>
            <w:r>
              <w:rPr>
                <w:noProof/>
                <w:webHidden/>
              </w:rPr>
            </w:r>
            <w:r>
              <w:rPr>
                <w:noProof/>
                <w:webHidden/>
              </w:rPr>
              <w:fldChar w:fldCharType="separate"/>
            </w:r>
            <w:r>
              <w:rPr>
                <w:noProof/>
                <w:webHidden/>
              </w:rPr>
              <w:t>2</w:t>
            </w:r>
            <w:r>
              <w:rPr>
                <w:noProof/>
                <w:webHidden/>
              </w:rPr>
              <w:fldChar w:fldCharType="end"/>
            </w:r>
          </w:hyperlink>
        </w:p>
        <w:p w14:paraId="67814FF6" w14:textId="547F9C05" w:rsidR="008B78B6" w:rsidRDefault="008B78B6">
          <w:pPr>
            <w:pStyle w:val="TOC1"/>
            <w:tabs>
              <w:tab w:val="right" w:leader="dot" w:pos="9350"/>
            </w:tabs>
            <w:rPr>
              <w:noProof/>
            </w:rPr>
          </w:pPr>
          <w:hyperlink w:anchor="_Toc235972027" w:history="1">
            <w:r w:rsidRPr="00BF7A74">
              <w:rPr>
                <w:rStyle w:val="Hyperlink"/>
                <w:noProof/>
              </w:rPr>
              <w:t>1. Introduction and Problem Statement</w:t>
            </w:r>
            <w:r>
              <w:rPr>
                <w:noProof/>
                <w:webHidden/>
              </w:rPr>
              <w:tab/>
            </w:r>
            <w:r>
              <w:rPr>
                <w:noProof/>
                <w:webHidden/>
              </w:rPr>
              <w:fldChar w:fldCharType="begin"/>
            </w:r>
            <w:r>
              <w:rPr>
                <w:noProof/>
                <w:webHidden/>
              </w:rPr>
              <w:instrText xml:space="preserve"> PAGEREF _Toc235972027 \h </w:instrText>
            </w:r>
            <w:r>
              <w:rPr>
                <w:noProof/>
                <w:webHidden/>
              </w:rPr>
            </w:r>
            <w:r>
              <w:rPr>
                <w:noProof/>
                <w:webHidden/>
              </w:rPr>
              <w:fldChar w:fldCharType="separate"/>
            </w:r>
            <w:r>
              <w:rPr>
                <w:noProof/>
                <w:webHidden/>
              </w:rPr>
              <w:t>2</w:t>
            </w:r>
            <w:r>
              <w:rPr>
                <w:noProof/>
                <w:webHidden/>
              </w:rPr>
              <w:fldChar w:fldCharType="end"/>
            </w:r>
          </w:hyperlink>
        </w:p>
        <w:p w14:paraId="66E582C8" w14:textId="0548165E" w:rsidR="008B78B6" w:rsidRDefault="008B78B6">
          <w:pPr>
            <w:pStyle w:val="TOC1"/>
            <w:tabs>
              <w:tab w:val="right" w:leader="dot" w:pos="9350"/>
            </w:tabs>
            <w:rPr>
              <w:noProof/>
            </w:rPr>
          </w:pPr>
          <w:hyperlink w:anchor="_Toc235972028" w:history="1">
            <w:r w:rsidRPr="00BF7A74">
              <w:rPr>
                <w:rStyle w:val="Hyperlink"/>
                <w:noProof/>
              </w:rPr>
              <w:t>2. Methodology</w:t>
            </w:r>
            <w:r>
              <w:rPr>
                <w:noProof/>
                <w:webHidden/>
              </w:rPr>
              <w:tab/>
            </w:r>
            <w:r>
              <w:rPr>
                <w:noProof/>
                <w:webHidden/>
              </w:rPr>
              <w:fldChar w:fldCharType="begin"/>
            </w:r>
            <w:r>
              <w:rPr>
                <w:noProof/>
                <w:webHidden/>
              </w:rPr>
              <w:instrText xml:space="preserve"> PAGEREF _Toc235972028 \h </w:instrText>
            </w:r>
            <w:r>
              <w:rPr>
                <w:noProof/>
                <w:webHidden/>
              </w:rPr>
            </w:r>
            <w:r>
              <w:rPr>
                <w:noProof/>
                <w:webHidden/>
              </w:rPr>
              <w:fldChar w:fldCharType="separate"/>
            </w:r>
            <w:r>
              <w:rPr>
                <w:noProof/>
                <w:webHidden/>
              </w:rPr>
              <w:t>3</w:t>
            </w:r>
            <w:r>
              <w:rPr>
                <w:noProof/>
                <w:webHidden/>
              </w:rPr>
              <w:fldChar w:fldCharType="end"/>
            </w:r>
          </w:hyperlink>
        </w:p>
        <w:p w14:paraId="0DD71A83" w14:textId="2C00D0B5" w:rsidR="008B78B6" w:rsidRDefault="008B78B6">
          <w:pPr>
            <w:pStyle w:val="TOC2"/>
            <w:tabs>
              <w:tab w:val="right" w:leader="dot" w:pos="9350"/>
            </w:tabs>
            <w:rPr>
              <w:noProof/>
            </w:rPr>
          </w:pPr>
          <w:hyperlink w:anchor="_Toc235972029" w:history="1">
            <w:r w:rsidRPr="00BF7A74">
              <w:rPr>
                <w:rStyle w:val="Hyperlink"/>
                <w:noProof/>
              </w:rPr>
              <w:t>2.1 Dataset and Target Definition</w:t>
            </w:r>
            <w:r>
              <w:rPr>
                <w:noProof/>
                <w:webHidden/>
              </w:rPr>
              <w:tab/>
            </w:r>
            <w:r>
              <w:rPr>
                <w:noProof/>
                <w:webHidden/>
              </w:rPr>
              <w:fldChar w:fldCharType="begin"/>
            </w:r>
            <w:r>
              <w:rPr>
                <w:noProof/>
                <w:webHidden/>
              </w:rPr>
              <w:instrText xml:space="preserve"> PAGEREF _Toc235972029 \h </w:instrText>
            </w:r>
            <w:r>
              <w:rPr>
                <w:noProof/>
                <w:webHidden/>
              </w:rPr>
            </w:r>
            <w:r>
              <w:rPr>
                <w:noProof/>
                <w:webHidden/>
              </w:rPr>
              <w:fldChar w:fldCharType="separate"/>
            </w:r>
            <w:r>
              <w:rPr>
                <w:noProof/>
                <w:webHidden/>
              </w:rPr>
              <w:t>3</w:t>
            </w:r>
            <w:r>
              <w:rPr>
                <w:noProof/>
                <w:webHidden/>
              </w:rPr>
              <w:fldChar w:fldCharType="end"/>
            </w:r>
          </w:hyperlink>
        </w:p>
        <w:p w14:paraId="1020BDA1" w14:textId="0449AF61" w:rsidR="008B78B6" w:rsidRDefault="008B78B6">
          <w:pPr>
            <w:pStyle w:val="TOC2"/>
            <w:tabs>
              <w:tab w:val="right" w:leader="dot" w:pos="9350"/>
            </w:tabs>
            <w:rPr>
              <w:noProof/>
            </w:rPr>
          </w:pPr>
          <w:hyperlink w:anchor="_Toc235972030" w:history="1">
            <w:r w:rsidRPr="00BF7A74">
              <w:rPr>
                <w:rStyle w:val="Hyperlink"/>
                <w:noProof/>
              </w:rPr>
              <w:t>2.2 Preprocessing</w:t>
            </w:r>
            <w:r>
              <w:rPr>
                <w:noProof/>
                <w:webHidden/>
              </w:rPr>
              <w:tab/>
            </w:r>
            <w:r>
              <w:rPr>
                <w:noProof/>
                <w:webHidden/>
              </w:rPr>
              <w:fldChar w:fldCharType="begin"/>
            </w:r>
            <w:r>
              <w:rPr>
                <w:noProof/>
                <w:webHidden/>
              </w:rPr>
              <w:instrText xml:space="preserve"> PAGEREF _Toc235972030 \h </w:instrText>
            </w:r>
            <w:r>
              <w:rPr>
                <w:noProof/>
                <w:webHidden/>
              </w:rPr>
            </w:r>
            <w:r>
              <w:rPr>
                <w:noProof/>
                <w:webHidden/>
              </w:rPr>
              <w:fldChar w:fldCharType="separate"/>
            </w:r>
            <w:r>
              <w:rPr>
                <w:noProof/>
                <w:webHidden/>
              </w:rPr>
              <w:t>3</w:t>
            </w:r>
            <w:r>
              <w:rPr>
                <w:noProof/>
                <w:webHidden/>
              </w:rPr>
              <w:fldChar w:fldCharType="end"/>
            </w:r>
          </w:hyperlink>
        </w:p>
        <w:p w14:paraId="53177924" w14:textId="3D255B39" w:rsidR="008B78B6" w:rsidRDefault="008B78B6">
          <w:pPr>
            <w:pStyle w:val="TOC2"/>
            <w:tabs>
              <w:tab w:val="right" w:leader="dot" w:pos="9350"/>
            </w:tabs>
            <w:rPr>
              <w:noProof/>
            </w:rPr>
          </w:pPr>
          <w:hyperlink w:anchor="_Toc235972031" w:history="1">
            <w:r w:rsidRPr="00BF7A74">
              <w:rPr>
                <w:rStyle w:val="Hyperlink"/>
                <w:noProof/>
              </w:rPr>
              <w:t>2.3 Model Development and Tuning</w:t>
            </w:r>
            <w:r>
              <w:rPr>
                <w:noProof/>
                <w:webHidden/>
              </w:rPr>
              <w:tab/>
            </w:r>
            <w:r>
              <w:rPr>
                <w:noProof/>
                <w:webHidden/>
              </w:rPr>
              <w:fldChar w:fldCharType="begin"/>
            </w:r>
            <w:r>
              <w:rPr>
                <w:noProof/>
                <w:webHidden/>
              </w:rPr>
              <w:instrText xml:space="preserve"> PAGEREF _Toc235972031 \h </w:instrText>
            </w:r>
            <w:r>
              <w:rPr>
                <w:noProof/>
                <w:webHidden/>
              </w:rPr>
            </w:r>
            <w:r>
              <w:rPr>
                <w:noProof/>
                <w:webHidden/>
              </w:rPr>
              <w:fldChar w:fldCharType="separate"/>
            </w:r>
            <w:r>
              <w:rPr>
                <w:noProof/>
                <w:webHidden/>
              </w:rPr>
              <w:t>3</w:t>
            </w:r>
            <w:r>
              <w:rPr>
                <w:noProof/>
                <w:webHidden/>
              </w:rPr>
              <w:fldChar w:fldCharType="end"/>
            </w:r>
          </w:hyperlink>
        </w:p>
        <w:p w14:paraId="468F47FF" w14:textId="6D4FBAEC" w:rsidR="008B78B6" w:rsidRDefault="008B78B6">
          <w:pPr>
            <w:pStyle w:val="TOC2"/>
            <w:tabs>
              <w:tab w:val="right" w:leader="dot" w:pos="9350"/>
            </w:tabs>
            <w:rPr>
              <w:noProof/>
            </w:rPr>
          </w:pPr>
          <w:hyperlink w:anchor="_Toc235972032" w:history="1">
            <w:r w:rsidRPr="00BF7A74">
              <w:rPr>
                <w:rStyle w:val="Hyperlink"/>
                <w:noProof/>
              </w:rPr>
              <w:t>2.4 Interpretability and Fairness Methods</w:t>
            </w:r>
            <w:r>
              <w:rPr>
                <w:noProof/>
                <w:webHidden/>
              </w:rPr>
              <w:tab/>
            </w:r>
            <w:r>
              <w:rPr>
                <w:noProof/>
                <w:webHidden/>
              </w:rPr>
              <w:fldChar w:fldCharType="begin"/>
            </w:r>
            <w:r>
              <w:rPr>
                <w:noProof/>
                <w:webHidden/>
              </w:rPr>
              <w:instrText xml:space="preserve"> PAGEREF _Toc235972032 \h </w:instrText>
            </w:r>
            <w:r>
              <w:rPr>
                <w:noProof/>
                <w:webHidden/>
              </w:rPr>
            </w:r>
            <w:r>
              <w:rPr>
                <w:noProof/>
                <w:webHidden/>
              </w:rPr>
              <w:fldChar w:fldCharType="separate"/>
            </w:r>
            <w:r>
              <w:rPr>
                <w:noProof/>
                <w:webHidden/>
              </w:rPr>
              <w:t>4</w:t>
            </w:r>
            <w:r>
              <w:rPr>
                <w:noProof/>
                <w:webHidden/>
              </w:rPr>
              <w:fldChar w:fldCharType="end"/>
            </w:r>
          </w:hyperlink>
        </w:p>
        <w:p w14:paraId="01C9ED63" w14:textId="6A261158" w:rsidR="008B78B6" w:rsidRDefault="008B78B6">
          <w:pPr>
            <w:pStyle w:val="TOC1"/>
            <w:tabs>
              <w:tab w:val="right" w:leader="dot" w:pos="9350"/>
            </w:tabs>
            <w:rPr>
              <w:noProof/>
            </w:rPr>
          </w:pPr>
          <w:hyperlink w:anchor="_Toc235972033" w:history="1">
            <w:r w:rsidRPr="00BF7A74">
              <w:rPr>
                <w:rStyle w:val="Hyperlink"/>
                <w:noProof/>
              </w:rPr>
              <w:t>3. Experiments and Results</w:t>
            </w:r>
            <w:r>
              <w:rPr>
                <w:noProof/>
                <w:webHidden/>
              </w:rPr>
              <w:tab/>
            </w:r>
            <w:r>
              <w:rPr>
                <w:noProof/>
                <w:webHidden/>
              </w:rPr>
              <w:fldChar w:fldCharType="begin"/>
            </w:r>
            <w:r>
              <w:rPr>
                <w:noProof/>
                <w:webHidden/>
              </w:rPr>
              <w:instrText xml:space="preserve"> PAGEREF _Toc235972033 \h </w:instrText>
            </w:r>
            <w:r>
              <w:rPr>
                <w:noProof/>
                <w:webHidden/>
              </w:rPr>
            </w:r>
            <w:r>
              <w:rPr>
                <w:noProof/>
                <w:webHidden/>
              </w:rPr>
              <w:fldChar w:fldCharType="separate"/>
            </w:r>
            <w:r>
              <w:rPr>
                <w:noProof/>
                <w:webHidden/>
              </w:rPr>
              <w:t>4</w:t>
            </w:r>
            <w:r>
              <w:rPr>
                <w:noProof/>
                <w:webHidden/>
              </w:rPr>
              <w:fldChar w:fldCharType="end"/>
            </w:r>
          </w:hyperlink>
        </w:p>
        <w:p w14:paraId="3AA4AA15" w14:textId="7F451EA0" w:rsidR="008B78B6" w:rsidRDefault="008B78B6">
          <w:pPr>
            <w:pStyle w:val="TOC2"/>
            <w:tabs>
              <w:tab w:val="right" w:leader="dot" w:pos="9350"/>
            </w:tabs>
            <w:rPr>
              <w:noProof/>
            </w:rPr>
          </w:pPr>
          <w:hyperlink w:anchor="_Toc235972034" w:history="1">
            <w:r w:rsidRPr="00BF7A74">
              <w:rPr>
                <w:rStyle w:val="Hyperlink"/>
                <w:noProof/>
              </w:rPr>
              <w:t>3.1 Exploratory Findings</w:t>
            </w:r>
            <w:r>
              <w:rPr>
                <w:noProof/>
                <w:webHidden/>
              </w:rPr>
              <w:tab/>
            </w:r>
            <w:r>
              <w:rPr>
                <w:noProof/>
                <w:webHidden/>
              </w:rPr>
              <w:fldChar w:fldCharType="begin"/>
            </w:r>
            <w:r>
              <w:rPr>
                <w:noProof/>
                <w:webHidden/>
              </w:rPr>
              <w:instrText xml:space="preserve"> PAGEREF _Toc235972034 \h </w:instrText>
            </w:r>
            <w:r>
              <w:rPr>
                <w:noProof/>
                <w:webHidden/>
              </w:rPr>
            </w:r>
            <w:r>
              <w:rPr>
                <w:noProof/>
                <w:webHidden/>
              </w:rPr>
              <w:fldChar w:fldCharType="separate"/>
            </w:r>
            <w:r>
              <w:rPr>
                <w:noProof/>
                <w:webHidden/>
              </w:rPr>
              <w:t>4</w:t>
            </w:r>
            <w:r>
              <w:rPr>
                <w:noProof/>
                <w:webHidden/>
              </w:rPr>
              <w:fldChar w:fldCharType="end"/>
            </w:r>
          </w:hyperlink>
        </w:p>
        <w:p w14:paraId="5A1DCD88" w14:textId="77CF1E4D" w:rsidR="008B78B6" w:rsidRDefault="008B78B6">
          <w:pPr>
            <w:pStyle w:val="TOC2"/>
            <w:tabs>
              <w:tab w:val="right" w:leader="dot" w:pos="9350"/>
            </w:tabs>
            <w:rPr>
              <w:noProof/>
            </w:rPr>
          </w:pPr>
          <w:hyperlink w:anchor="_Toc235972035" w:history="1">
            <w:r w:rsidRPr="00BF7A74">
              <w:rPr>
                <w:rStyle w:val="Hyperlink"/>
                <w:noProof/>
              </w:rPr>
              <w:t>3.2 Model Performance</w:t>
            </w:r>
            <w:r>
              <w:rPr>
                <w:noProof/>
                <w:webHidden/>
              </w:rPr>
              <w:tab/>
            </w:r>
            <w:r>
              <w:rPr>
                <w:noProof/>
                <w:webHidden/>
              </w:rPr>
              <w:fldChar w:fldCharType="begin"/>
            </w:r>
            <w:r>
              <w:rPr>
                <w:noProof/>
                <w:webHidden/>
              </w:rPr>
              <w:instrText xml:space="preserve"> PAGEREF _Toc235972035 \h </w:instrText>
            </w:r>
            <w:r>
              <w:rPr>
                <w:noProof/>
                <w:webHidden/>
              </w:rPr>
            </w:r>
            <w:r>
              <w:rPr>
                <w:noProof/>
                <w:webHidden/>
              </w:rPr>
              <w:fldChar w:fldCharType="separate"/>
            </w:r>
            <w:r>
              <w:rPr>
                <w:noProof/>
                <w:webHidden/>
              </w:rPr>
              <w:t>4</w:t>
            </w:r>
            <w:r>
              <w:rPr>
                <w:noProof/>
                <w:webHidden/>
              </w:rPr>
              <w:fldChar w:fldCharType="end"/>
            </w:r>
          </w:hyperlink>
        </w:p>
        <w:p w14:paraId="4462CC72" w14:textId="651FF4E7" w:rsidR="008B78B6" w:rsidRDefault="008B78B6">
          <w:pPr>
            <w:pStyle w:val="TOC2"/>
            <w:tabs>
              <w:tab w:val="right" w:leader="dot" w:pos="9350"/>
            </w:tabs>
            <w:rPr>
              <w:noProof/>
            </w:rPr>
          </w:pPr>
          <w:hyperlink w:anchor="_Toc235972036" w:history="1">
            <w:r w:rsidRPr="00BF7A74">
              <w:rPr>
                <w:rStyle w:val="Hyperlink"/>
                <w:noProof/>
              </w:rPr>
              <w:t>3.3 Interpretability</w:t>
            </w:r>
            <w:r>
              <w:rPr>
                <w:noProof/>
                <w:webHidden/>
              </w:rPr>
              <w:tab/>
            </w:r>
            <w:r>
              <w:rPr>
                <w:noProof/>
                <w:webHidden/>
              </w:rPr>
              <w:fldChar w:fldCharType="begin"/>
            </w:r>
            <w:r>
              <w:rPr>
                <w:noProof/>
                <w:webHidden/>
              </w:rPr>
              <w:instrText xml:space="preserve"> PAGEREF _Toc235972036 \h </w:instrText>
            </w:r>
            <w:r>
              <w:rPr>
                <w:noProof/>
                <w:webHidden/>
              </w:rPr>
            </w:r>
            <w:r>
              <w:rPr>
                <w:noProof/>
                <w:webHidden/>
              </w:rPr>
              <w:fldChar w:fldCharType="separate"/>
            </w:r>
            <w:r>
              <w:rPr>
                <w:noProof/>
                <w:webHidden/>
              </w:rPr>
              <w:t>5</w:t>
            </w:r>
            <w:r>
              <w:rPr>
                <w:noProof/>
                <w:webHidden/>
              </w:rPr>
              <w:fldChar w:fldCharType="end"/>
            </w:r>
          </w:hyperlink>
        </w:p>
        <w:p w14:paraId="1D4A1CCA" w14:textId="2BC70790" w:rsidR="008B78B6" w:rsidRDefault="008B78B6">
          <w:pPr>
            <w:pStyle w:val="TOC2"/>
            <w:tabs>
              <w:tab w:val="right" w:leader="dot" w:pos="9350"/>
            </w:tabs>
            <w:rPr>
              <w:noProof/>
            </w:rPr>
          </w:pPr>
          <w:hyperlink w:anchor="_Toc235972037" w:history="1">
            <w:r w:rsidRPr="00BF7A74">
              <w:rPr>
                <w:rStyle w:val="Hyperlink"/>
                <w:noProof/>
              </w:rPr>
              <w:t>3.4 Fairness Probe</w:t>
            </w:r>
            <w:r>
              <w:rPr>
                <w:noProof/>
                <w:webHidden/>
              </w:rPr>
              <w:tab/>
            </w:r>
            <w:r>
              <w:rPr>
                <w:noProof/>
                <w:webHidden/>
              </w:rPr>
              <w:fldChar w:fldCharType="begin"/>
            </w:r>
            <w:r>
              <w:rPr>
                <w:noProof/>
                <w:webHidden/>
              </w:rPr>
              <w:instrText xml:space="preserve"> PAGEREF _Toc235972037 \h </w:instrText>
            </w:r>
            <w:r>
              <w:rPr>
                <w:noProof/>
                <w:webHidden/>
              </w:rPr>
            </w:r>
            <w:r>
              <w:rPr>
                <w:noProof/>
                <w:webHidden/>
              </w:rPr>
              <w:fldChar w:fldCharType="separate"/>
            </w:r>
            <w:r>
              <w:rPr>
                <w:noProof/>
                <w:webHidden/>
              </w:rPr>
              <w:t>6</w:t>
            </w:r>
            <w:r>
              <w:rPr>
                <w:noProof/>
                <w:webHidden/>
              </w:rPr>
              <w:fldChar w:fldCharType="end"/>
            </w:r>
          </w:hyperlink>
        </w:p>
        <w:p w14:paraId="3F3F3006" w14:textId="6D7FFE1B" w:rsidR="008B78B6" w:rsidRDefault="008B78B6">
          <w:pPr>
            <w:pStyle w:val="TOC1"/>
            <w:tabs>
              <w:tab w:val="right" w:leader="dot" w:pos="9350"/>
            </w:tabs>
            <w:rPr>
              <w:noProof/>
            </w:rPr>
          </w:pPr>
          <w:hyperlink w:anchor="_Toc235972038" w:history="1">
            <w:r w:rsidRPr="00BF7A74">
              <w:rPr>
                <w:rStyle w:val="Hyperlink"/>
                <w:noProof/>
              </w:rPr>
              <w:t>4. Discussion</w:t>
            </w:r>
            <w:r>
              <w:rPr>
                <w:noProof/>
                <w:webHidden/>
              </w:rPr>
              <w:tab/>
            </w:r>
            <w:r>
              <w:rPr>
                <w:noProof/>
                <w:webHidden/>
              </w:rPr>
              <w:fldChar w:fldCharType="begin"/>
            </w:r>
            <w:r>
              <w:rPr>
                <w:noProof/>
                <w:webHidden/>
              </w:rPr>
              <w:instrText xml:space="preserve"> PAGEREF _Toc235972038 \h </w:instrText>
            </w:r>
            <w:r>
              <w:rPr>
                <w:noProof/>
                <w:webHidden/>
              </w:rPr>
            </w:r>
            <w:r>
              <w:rPr>
                <w:noProof/>
                <w:webHidden/>
              </w:rPr>
              <w:fldChar w:fldCharType="separate"/>
            </w:r>
            <w:r>
              <w:rPr>
                <w:noProof/>
                <w:webHidden/>
              </w:rPr>
              <w:t>7</w:t>
            </w:r>
            <w:r>
              <w:rPr>
                <w:noProof/>
                <w:webHidden/>
              </w:rPr>
              <w:fldChar w:fldCharType="end"/>
            </w:r>
          </w:hyperlink>
        </w:p>
        <w:p w14:paraId="76222A52" w14:textId="0431605E" w:rsidR="008B78B6" w:rsidRDefault="008B78B6">
          <w:pPr>
            <w:pStyle w:val="TOC2"/>
            <w:tabs>
              <w:tab w:val="right" w:leader="dot" w:pos="9350"/>
            </w:tabs>
            <w:rPr>
              <w:noProof/>
            </w:rPr>
          </w:pPr>
          <w:hyperlink w:anchor="_Toc235972039" w:history="1">
            <w:r w:rsidRPr="00BF7A74">
              <w:rPr>
                <w:rStyle w:val="Hyperlink"/>
                <w:noProof/>
              </w:rPr>
              <w:t>4.1 Model Comparison and Generalisation</w:t>
            </w:r>
            <w:r>
              <w:rPr>
                <w:noProof/>
                <w:webHidden/>
              </w:rPr>
              <w:tab/>
            </w:r>
            <w:r>
              <w:rPr>
                <w:noProof/>
                <w:webHidden/>
              </w:rPr>
              <w:fldChar w:fldCharType="begin"/>
            </w:r>
            <w:r>
              <w:rPr>
                <w:noProof/>
                <w:webHidden/>
              </w:rPr>
              <w:instrText xml:space="preserve"> PAGEREF _Toc235972039 \h </w:instrText>
            </w:r>
            <w:r>
              <w:rPr>
                <w:noProof/>
                <w:webHidden/>
              </w:rPr>
            </w:r>
            <w:r>
              <w:rPr>
                <w:noProof/>
                <w:webHidden/>
              </w:rPr>
              <w:fldChar w:fldCharType="separate"/>
            </w:r>
            <w:r>
              <w:rPr>
                <w:noProof/>
                <w:webHidden/>
              </w:rPr>
              <w:t>7</w:t>
            </w:r>
            <w:r>
              <w:rPr>
                <w:noProof/>
                <w:webHidden/>
              </w:rPr>
              <w:fldChar w:fldCharType="end"/>
            </w:r>
          </w:hyperlink>
        </w:p>
        <w:p w14:paraId="17BE8B52" w14:textId="61445A97" w:rsidR="008B78B6" w:rsidRDefault="008B78B6">
          <w:pPr>
            <w:pStyle w:val="TOC2"/>
            <w:tabs>
              <w:tab w:val="right" w:leader="dot" w:pos="9350"/>
            </w:tabs>
            <w:rPr>
              <w:noProof/>
            </w:rPr>
          </w:pPr>
          <w:hyperlink w:anchor="_Toc235972040" w:history="1">
            <w:r w:rsidRPr="00BF7A74">
              <w:rPr>
                <w:rStyle w:val="Hyperlink"/>
                <w:noProof/>
              </w:rPr>
              <w:t>4.2 Interpretability Trade-offs</w:t>
            </w:r>
            <w:r>
              <w:rPr>
                <w:noProof/>
                <w:webHidden/>
              </w:rPr>
              <w:tab/>
            </w:r>
            <w:r>
              <w:rPr>
                <w:noProof/>
                <w:webHidden/>
              </w:rPr>
              <w:fldChar w:fldCharType="begin"/>
            </w:r>
            <w:r>
              <w:rPr>
                <w:noProof/>
                <w:webHidden/>
              </w:rPr>
              <w:instrText xml:space="preserve"> PAGEREF _Toc235972040 \h </w:instrText>
            </w:r>
            <w:r>
              <w:rPr>
                <w:noProof/>
                <w:webHidden/>
              </w:rPr>
            </w:r>
            <w:r>
              <w:rPr>
                <w:noProof/>
                <w:webHidden/>
              </w:rPr>
              <w:fldChar w:fldCharType="separate"/>
            </w:r>
            <w:r>
              <w:rPr>
                <w:noProof/>
                <w:webHidden/>
              </w:rPr>
              <w:t>7</w:t>
            </w:r>
            <w:r>
              <w:rPr>
                <w:noProof/>
                <w:webHidden/>
              </w:rPr>
              <w:fldChar w:fldCharType="end"/>
            </w:r>
          </w:hyperlink>
        </w:p>
        <w:p w14:paraId="03F38243" w14:textId="435B6BBF" w:rsidR="008B78B6" w:rsidRDefault="008B78B6">
          <w:pPr>
            <w:pStyle w:val="TOC2"/>
            <w:tabs>
              <w:tab w:val="right" w:leader="dot" w:pos="9350"/>
            </w:tabs>
            <w:rPr>
              <w:noProof/>
            </w:rPr>
          </w:pPr>
          <w:hyperlink w:anchor="_Toc235972041" w:history="1">
            <w:r w:rsidRPr="00BF7A74">
              <w:rPr>
                <w:rStyle w:val="Hyperlink"/>
                <w:noProof/>
              </w:rPr>
              <w:t>4.3 Bias and Fairness</w:t>
            </w:r>
            <w:r>
              <w:rPr>
                <w:noProof/>
                <w:webHidden/>
              </w:rPr>
              <w:tab/>
            </w:r>
            <w:r>
              <w:rPr>
                <w:noProof/>
                <w:webHidden/>
              </w:rPr>
              <w:fldChar w:fldCharType="begin"/>
            </w:r>
            <w:r>
              <w:rPr>
                <w:noProof/>
                <w:webHidden/>
              </w:rPr>
              <w:instrText xml:space="preserve"> PAGEREF _Toc235972041 \h </w:instrText>
            </w:r>
            <w:r>
              <w:rPr>
                <w:noProof/>
                <w:webHidden/>
              </w:rPr>
            </w:r>
            <w:r>
              <w:rPr>
                <w:noProof/>
                <w:webHidden/>
              </w:rPr>
              <w:fldChar w:fldCharType="separate"/>
            </w:r>
            <w:r>
              <w:rPr>
                <w:noProof/>
                <w:webHidden/>
              </w:rPr>
              <w:t>7</w:t>
            </w:r>
            <w:r>
              <w:rPr>
                <w:noProof/>
                <w:webHidden/>
              </w:rPr>
              <w:fldChar w:fldCharType="end"/>
            </w:r>
          </w:hyperlink>
        </w:p>
        <w:p w14:paraId="2FD90408" w14:textId="688B153E" w:rsidR="008B78B6" w:rsidRDefault="008B78B6">
          <w:pPr>
            <w:pStyle w:val="TOC2"/>
            <w:tabs>
              <w:tab w:val="right" w:leader="dot" w:pos="9350"/>
            </w:tabs>
            <w:rPr>
              <w:noProof/>
            </w:rPr>
          </w:pPr>
          <w:hyperlink w:anchor="_Toc235972042" w:history="1">
            <w:r w:rsidRPr="00BF7A74">
              <w:rPr>
                <w:rStyle w:val="Hyperlink"/>
                <w:noProof/>
              </w:rPr>
              <w:t>4.4 Overfitting and Robustness</w:t>
            </w:r>
            <w:r>
              <w:rPr>
                <w:noProof/>
                <w:webHidden/>
              </w:rPr>
              <w:tab/>
            </w:r>
            <w:r>
              <w:rPr>
                <w:noProof/>
                <w:webHidden/>
              </w:rPr>
              <w:fldChar w:fldCharType="begin"/>
            </w:r>
            <w:r>
              <w:rPr>
                <w:noProof/>
                <w:webHidden/>
              </w:rPr>
              <w:instrText xml:space="preserve"> PAGEREF _Toc235972042 \h </w:instrText>
            </w:r>
            <w:r>
              <w:rPr>
                <w:noProof/>
                <w:webHidden/>
              </w:rPr>
            </w:r>
            <w:r>
              <w:rPr>
                <w:noProof/>
                <w:webHidden/>
              </w:rPr>
              <w:fldChar w:fldCharType="separate"/>
            </w:r>
            <w:r>
              <w:rPr>
                <w:noProof/>
                <w:webHidden/>
              </w:rPr>
              <w:t>8</w:t>
            </w:r>
            <w:r>
              <w:rPr>
                <w:noProof/>
                <w:webHidden/>
              </w:rPr>
              <w:fldChar w:fldCharType="end"/>
            </w:r>
          </w:hyperlink>
        </w:p>
        <w:p w14:paraId="337C6985" w14:textId="4BCE31EC" w:rsidR="008B78B6" w:rsidRDefault="008B78B6">
          <w:pPr>
            <w:pStyle w:val="TOC1"/>
            <w:tabs>
              <w:tab w:val="right" w:leader="dot" w:pos="9350"/>
            </w:tabs>
            <w:rPr>
              <w:noProof/>
            </w:rPr>
          </w:pPr>
          <w:hyperlink w:anchor="_Toc235972043" w:history="1">
            <w:r w:rsidRPr="00BF7A74">
              <w:rPr>
                <w:rStyle w:val="Hyperlink"/>
                <w:noProof/>
              </w:rPr>
              <w:t>5. Conclusion and Recommendations</w:t>
            </w:r>
            <w:r>
              <w:rPr>
                <w:noProof/>
                <w:webHidden/>
              </w:rPr>
              <w:tab/>
            </w:r>
            <w:r>
              <w:rPr>
                <w:noProof/>
                <w:webHidden/>
              </w:rPr>
              <w:fldChar w:fldCharType="begin"/>
            </w:r>
            <w:r>
              <w:rPr>
                <w:noProof/>
                <w:webHidden/>
              </w:rPr>
              <w:instrText xml:space="preserve"> PAGEREF _Toc235972043 \h </w:instrText>
            </w:r>
            <w:r>
              <w:rPr>
                <w:noProof/>
                <w:webHidden/>
              </w:rPr>
            </w:r>
            <w:r>
              <w:rPr>
                <w:noProof/>
                <w:webHidden/>
              </w:rPr>
              <w:fldChar w:fldCharType="separate"/>
            </w:r>
            <w:r>
              <w:rPr>
                <w:noProof/>
                <w:webHidden/>
              </w:rPr>
              <w:t>8</w:t>
            </w:r>
            <w:r>
              <w:rPr>
                <w:noProof/>
                <w:webHidden/>
              </w:rPr>
              <w:fldChar w:fldCharType="end"/>
            </w:r>
          </w:hyperlink>
        </w:p>
        <w:p w14:paraId="46E8D926" w14:textId="6657F79D" w:rsidR="008B78B6" w:rsidRDefault="008B78B6">
          <w:pPr>
            <w:pStyle w:val="TOC1"/>
            <w:tabs>
              <w:tab w:val="right" w:leader="dot" w:pos="9350"/>
            </w:tabs>
            <w:rPr>
              <w:noProof/>
            </w:rPr>
          </w:pPr>
          <w:hyperlink w:anchor="_Toc235972044" w:history="1">
            <w:r w:rsidRPr="00BF7A74">
              <w:rPr>
                <w:rStyle w:val="Hyperlink"/>
                <w:noProof/>
              </w:rPr>
              <w:t>References</w:t>
            </w:r>
            <w:r>
              <w:rPr>
                <w:noProof/>
                <w:webHidden/>
              </w:rPr>
              <w:tab/>
            </w:r>
            <w:r>
              <w:rPr>
                <w:noProof/>
                <w:webHidden/>
              </w:rPr>
              <w:fldChar w:fldCharType="begin"/>
            </w:r>
            <w:r>
              <w:rPr>
                <w:noProof/>
                <w:webHidden/>
              </w:rPr>
              <w:instrText xml:space="preserve"> PAGEREF _Toc235972044 \h </w:instrText>
            </w:r>
            <w:r>
              <w:rPr>
                <w:noProof/>
                <w:webHidden/>
              </w:rPr>
            </w:r>
            <w:r>
              <w:rPr>
                <w:noProof/>
                <w:webHidden/>
              </w:rPr>
              <w:fldChar w:fldCharType="separate"/>
            </w:r>
            <w:r>
              <w:rPr>
                <w:noProof/>
                <w:webHidden/>
              </w:rPr>
              <w:t>10</w:t>
            </w:r>
            <w:r>
              <w:rPr>
                <w:noProof/>
                <w:webHidden/>
              </w:rPr>
              <w:fldChar w:fldCharType="end"/>
            </w:r>
          </w:hyperlink>
        </w:p>
        <w:p w14:paraId="4CCA02BB" w14:textId="57C3331A" w:rsidR="008B78B6" w:rsidRDefault="008B78B6">
          <w:r>
            <w:rPr>
              <w:b/>
              <w:bCs/>
              <w:noProof/>
            </w:rPr>
            <w:fldChar w:fldCharType="end"/>
          </w:r>
        </w:p>
      </w:sdtContent>
    </w:sdt>
    <w:p w14:paraId="3A7EC8A6" w14:textId="0221DF2F" w:rsidR="008B78B6" w:rsidRDefault="008B78B6" w:rsidP="008B78B6">
      <w:pPr>
        <w:spacing w:after="80"/>
      </w:pPr>
    </w:p>
    <w:p w14:paraId="687BB8A2" w14:textId="6D66FF49" w:rsidR="008B78B6" w:rsidRDefault="008B78B6" w:rsidP="008B78B6">
      <w:pPr>
        <w:spacing w:after="80"/>
      </w:pPr>
    </w:p>
    <w:p w14:paraId="235C7B99" w14:textId="10292ED1" w:rsidR="008B78B6" w:rsidRDefault="008B78B6" w:rsidP="008B78B6">
      <w:pPr>
        <w:spacing w:after="80"/>
      </w:pPr>
    </w:p>
    <w:p w14:paraId="16F5C31F" w14:textId="60FBA17F" w:rsidR="008B78B6" w:rsidRDefault="008B78B6" w:rsidP="008B78B6">
      <w:pPr>
        <w:spacing w:after="80"/>
      </w:pPr>
    </w:p>
    <w:p w14:paraId="306F65DF" w14:textId="7A083922" w:rsidR="008B78B6" w:rsidRDefault="008B78B6" w:rsidP="008B78B6">
      <w:pPr>
        <w:spacing w:after="80"/>
      </w:pPr>
    </w:p>
    <w:p w14:paraId="2884D4C0" w14:textId="204AACBB" w:rsidR="008B78B6" w:rsidRDefault="008B78B6" w:rsidP="008B78B6">
      <w:pPr>
        <w:spacing w:after="80"/>
      </w:pPr>
    </w:p>
    <w:p w14:paraId="6BD15540" w14:textId="4E3C54B2" w:rsidR="008B78B6" w:rsidRDefault="008B78B6" w:rsidP="008B78B6">
      <w:pPr>
        <w:spacing w:after="80"/>
      </w:pPr>
    </w:p>
    <w:p w14:paraId="7B8A1E22" w14:textId="2C814D52" w:rsidR="008B78B6" w:rsidRDefault="008B78B6" w:rsidP="008B78B6">
      <w:pPr>
        <w:spacing w:after="80"/>
      </w:pPr>
    </w:p>
    <w:p w14:paraId="778013A2" w14:textId="5AFEBA27" w:rsidR="008B78B6" w:rsidRDefault="008B78B6" w:rsidP="008B78B6">
      <w:pPr>
        <w:spacing w:after="80"/>
      </w:pPr>
    </w:p>
    <w:p w14:paraId="793854A3" w14:textId="2B3BACA8" w:rsidR="008B78B6" w:rsidRDefault="008B78B6" w:rsidP="008B78B6">
      <w:pPr>
        <w:spacing w:after="80"/>
      </w:pPr>
    </w:p>
    <w:p w14:paraId="2B5B71CA" w14:textId="0F0A93CE" w:rsidR="008B78B6" w:rsidRDefault="008B78B6" w:rsidP="008B78B6">
      <w:pPr>
        <w:spacing w:after="80"/>
      </w:pPr>
    </w:p>
    <w:p w14:paraId="23D4EF80" w14:textId="78FF8F99" w:rsidR="008B78B6" w:rsidRDefault="008B78B6" w:rsidP="008B78B6">
      <w:pPr>
        <w:spacing w:after="80"/>
      </w:pPr>
    </w:p>
    <w:p w14:paraId="7F34D3AB" w14:textId="1255B3EA" w:rsidR="008B78B6" w:rsidRDefault="008B78B6" w:rsidP="008B78B6">
      <w:pPr>
        <w:spacing w:after="80"/>
      </w:pPr>
    </w:p>
    <w:p w14:paraId="7CE3E21C" w14:textId="480DA069" w:rsidR="008B78B6" w:rsidRDefault="008B78B6" w:rsidP="008B78B6">
      <w:pPr>
        <w:spacing w:after="80"/>
      </w:pPr>
    </w:p>
    <w:p w14:paraId="4DCFB070" w14:textId="7C0D7A84" w:rsidR="008B78B6" w:rsidRDefault="008B78B6" w:rsidP="008B78B6">
      <w:pPr>
        <w:spacing w:after="80"/>
      </w:pPr>
    </w:p>
    <w:p w14:paraId="2C220421" w14:textId="6AE14CA8" w:rsidR="008B78B6" w:rsidRDefault="008B78B6" w:rsidP="008B78B6">
      <w:pPr>
        <w:spacing w:after="80"/>
      </w:pPr>
    </w:p>
    <w:p w14:paraId="6046BB12" w14:textId="1E6FA73C" w:rsidR="008B78B6" w:rsidRDefault="008B78B6" w:rsidP="008B78B6">
      <w:pPr>
        <w:spacing w:after="80"/>
      </w:pPr>
    </w:p>
    <w:p w14:paraId="3C6F5C59" w14:textId="77777777" w:rsidR="008B78B6" w:rsidRPr="00D26538" w:rsidRDefault="008B78B6" w:rsidP="008B78B6">
      <w:pPr>
        <w:spacing w:after="80"/>
      </w:pPr>
    </w:p>
    <w:p w14:paraId="35A9987E" w14:textId="77777777" w:rsidR="005063B2" w:rsidRDefault="00000000">
      <w:pPr>
        <w:pStyle w:val="Heading1"/>
        <w:spacing w:before="320" w:after="160"/>
      </w:pPr>
      <w:bookmarkStart w:id="0" w:name="_Toc235972026"/>
      <w:r>
        <w:lastRenderedPageBreak/>
        <w:t>Abstract</w:t>
      </w:r>
      <w:bookmarkEnd w:id="0"/>
    </w:p>
    <w:p w14:paraId="464BED65" w14:textId="2F4313E3" w:rsidR="005063B2" w:rsidRPr="00644B87" w:rsidRDefault="00644B87">
      <w:pPr>
        <w:spacing w:after="160" w:line="276" w:lineRule="auto"/>
        <w:jc w:val="both"/>
        <w:rPr>
          <w:sz w:val="24"/>
          <w:szCs w:val="24"/>
        </w:rPr>
      </w:pPr>
      <w:r w:rsidRPr="00644B87">
        <w:rPr>
          <w:sz w:val="24"/>
          <w:szCs w:val="24"/>
        </w:rPr>
        <w:t xml:space="preserve">Credit risk assessment plays a crucial role in determining whether a lender grants credit and under what specific conditions, making its accuracy and fairness highly important for both financial institutions and applicants. This report develops and compares two machine learning classification models—Logistic Regression and Random Forest—to predict loan default risk using the Lending Club </w:t>
      </w:r>
      <w:proofErr w:type="spellStart"/>
      <w:r w:rsidRPr="00644B87">
        <w:rPr>
          <w:rStyle w:val="Emphasis"/>
          <w:sz w:val="24"/>
          <w:szCs w:val="24"/>
        </w:rPr>
        <w:t>loans_full_schema</w:t>
      </w:r>
      <w:proofErr w:type="spellEnd"/>
      <w:r w:rsidRPr="00644B87">
        <w:rPr>
          <w:sz w:val="24"/>
          <w:szCs w:val="24"/>
        </w:rPr>
        <w:t xml:space="preserve"> dataset, which contains 10,000 loans and 56 features. After applying leakage-safe </w:t>
      </w:r>
      <w:proofErr w:type="spellStart"/>
      <w:r w:rsidRPr="00644B87">
        <w:rPr>
          <w:sz w:val="24"/>
          <w:szCs w:val="24"/>
        </w:rPr>
        <w:t>preprocessing</w:t>
      </w:r>
      <w:proofErr w:type="spellEnd"/>
      <w:r w:rsidRPr="00644B87">
        <w:rPr>
          <w:sz w:val="24"/>
          <w:szCs w:val="24"/>
        </w:rPr>
        <w:t xml:space="preserve"> and performing hyperparameter optimisation through a 5-fold cross-validated grid search, the Random Forest model achieved a higher test ROC-AUC score of 0.643 compared to 0.609 for Logistic Regression, while also delivering significantly higher precision at the expense of lower recall for the minority (at-risk) class. The most influential features in both models are interest rate and loan grade—outputs from Lending Club’s own underwriting process—followed by debt-to-income ratio, credit utilisation, and income. SHAP analysis further validates these key drivers and provides insight into their directional impact on predictions. A proxy-based fairness assessment, using region and homeownership due to the absence of protected demographic attributes, indicates that the gap between predicted and actual risk is more pronounced for renters than for homeowners, highlighting a potential disparity that requires further examination. The report concludes with recommendations for responsible deployment, emphasising the need for human oversight, continuous monitoring, and careful consideration of proxy discrimination risks.</w:t>
      </w:r>
    </w:p>
    <w:p w14:paraId="69DF0A70" w14:textId="77777777" w:rsidR="005063B2" w:rsidRDefault="00000000">
      <w:pPr>
        <w:pStyle w:val="Heading1"/>
        <w:spacing w:before="320" w:after="160"/>
      </w:pPr>
      <w:bookmarkStart w:id="1" w:name="_Toc235972027"/>
      <w:r>
        <w:t>1. Introduction and Problem Statement</w:t>
      </w:r>
      <w:bookmarkEnd w:id="1"/>
    </w:p>
    <w:p w14:paraId="72ACA221" w14:textId="77777777" w:rsidR="009B28F5" w:rsidRPr="009B28F5" w:rsidRDefault="009B28F5" w:rsidP="00BD3E76">
      <w:pPr>
        <w:jc w:val="both"/>
        <w:rPr>
          <w:sz w:val="24"/>
          <w:szCs w:val="24"/>
        </w:rPr>
      </w:pPr>
      <w:r w:rsidRPr="009B28F5">
        <w:rPr>
          <w:sz w:val="24"/>
          <w:szCs w:val="24"/>
        </w:rPr>
        <w:t>In retail and consumer banking, credit risk assessment—calculating the likelihood that a borrower would default on a loan—is a fundamental duty. Lenders used to rely on manually created scorecards and the judgment of analysts; however, statistical and machine learning (ML) models are now commonplace and offer higher predicted accuracy and consistency than heuristic guidelines [1]. The move to machine learning, however, comes with concerns of its own: models may be opaque to loan officers and regulators who have to defend choices, and they may pick up on and magnify discriminatory tendencies from the past even if protected variables are not included in the training data [8], [9].</w:t>
      </w:r>
    </w:p>
    <w:p w14:paraId="20A4A4D7" w14:textId="77777777" w:rsidR="005063B2" w:rsidRPr="00644B87" w:rsidRDefault="00000000">
      <w:pPr>
        <w:spacing w:after="160" w:line="276" w:lineRule="auto"/>
        <w:jc w:val="both"/>
        <w:rPr>
          <w:sz w:val="24"/>
          <w:szCs w:val="24"/>
        </w:rPr>
      </w:pPr>
      <w:r w:rsidRPr="00644B87">
        <w:rPr>
          <w:sz w:val="24"/>
          <w:szCs w:val="24"/>
        </w:rPr>
        <w:t>A substantial body of recent work compares linear and ensemble classifiers for credit scoring. Ensemble methods such as Random Forest and Gradient Boosting typically outperform Logistic Regression on raw predictive accuracy and ROC-AUC [3], [4], [5], while Logistic Regression remains attractive for its transparency and ease of regulatory justification [6]. Dumitrescu et al. show that hybrid approaches — injecting non-linear, tree-derived effects into a logistic framework — can partially close this gap while retaining interpretability [7]. In parallel, a growing literature documents that ML-based credit scoring, even without explicit demographic inputs, can widen disparities across race, geography, and income through proxy variables, and argues for aligning fairness research with existing fair-lending regulation such as the US Equal Credit Opportunity Act [8], [9], [10].</w:t>
      </w:r>
    </w:p>
    <w:p w14:paraId="6754893F" w14:textId="77777777" w:rsidR="005063B2" w:rsidRPr="00644B87" w:rsidRDefault="00000000">
      <w:pPr>
        <w:spacing w:after="160" w:line="276" w:lineRule="auto"/>
        <w:jc w:val="both"/>
        <w:rPr>
          <w:sz w:val="24"/>
          <w:szCs w:val="24"/>
        </w:rPr>
      </w:pPr>
      <w:r w:rsidRPr="00644B87">
        <w:rPr>
          <w:sz w:val="24"/>
          <w:szCs w:val="24"/>
        </w:rPr>
        <w:t xml:space="preserve">This report addresses three linked questions using the Lending Club dataset: (1) how do a linear model and a tree-based ensemble compare on predictive performance for default risk under </w:t>
      </w:r>
      <w:r w:rsidRPr="00644B87">
        <w:rPr>
          <w:sz w:val="24"/>
          <w:szCs w:val="24"/>
        </w:rPr>
        <w:lastRenderedPageBreak/>
        <w:t>realistic class imbalance; (2) which applicant and loan characteristics most influence predicted risk, and can this be explained transparently; and (3) what fairness risks does such a model pose, given that direct demographic attributes are unavailable, and how might a lender deploy it responsibly.</w:t>
      </w:r>
    </w:p>
    <w:p w14:paraId="3122181E" w14:textId="77777777" w:rsidR="005063B2" w:rsidRDefault="00000000">
      <w:pPr>
        <w:pStyle w:val="Heading1"/>
        <w:spacing w:before="320" w:after="160"/>
      </w:pPr>
      <w:bookmarkStart w:id="2" w:name="_Toc235972028"/>
      <w:r>
        <w:t>2. Methodology</w:t>
      </w:r>
      <w:bookmarkEnd w:id="2"/>
    </w:p>
    <w:p w14:paraId="040415C3" w14:textId="77777777" w:rsidR="005063B2" w:rsidRDefault="00000000">
      <w:pPr>
        <w:pStyle w:val="Heading2"/>
        <w:spacing w:before="240" w:after="120"/>
      </w:pPr>
      <w:bookmarkStart w:id="3" w:name="_Toc235972029"/>
      <w:r>
        <w:t>2.1 Dataset and Target Definition</w:t>
      </w:r>
      <w:bookmarkEnd w:id="3"/>
    </w:p>
    <w:p w14:paraId="2BC38BAB" w14:textId="77777777" w:rsidR="005063B2" w:rsidRPr="00644B87" w:rsidRDefault="00000000">
      <w:pPr>
        <w:spacing w:after="160" w:line="276" w:lineRule="auto"/>
        <w:jc w:val="both"/>
        <w:rPr>
          <w:sz w:val="24"/>
          <w:szCs w:val="24"/>
        </w:rPr>
      </w:pPr>
      <w:r w:rsidRPr="00644B87">
        <w:rPr>
          <w:sz w:val="24"/>
          <w:szCs w:val="24"/>
        </w:rPr>
        <w:t xml:space="preserve">The </w:t>
      </w:r>
      <w:proofErr w:type="spellStart"/>
      <w:r w:rsidRPr="00644B87">
        <w:rPr>
          <w:sz w:val="24"/>
          <w:szCs w:val="24"/>
        </w:rPr>
        <w:t>loans_full_schema</w:t>
      </w:r>
      <w:proofErr w:type="spellEnd"/>
      <w:r w:rsidRPr="00644B87">
        <w:rPr>
          <w:sz w:val="24"/>
          <w:szCs w:val="24"/>
        </w:rPr>
        <w:t xml:space="preserve"> extract contains 10,000 Lending Club loans issued between February and April 2018, with 55 fields covering applicant financials, credit history, and loan terms. Because the snapshot was taken shortly after issuance, 93.75% of loans are still labelled Current in the raw </w:t>
      </w:r>
      <w:proofErr w:type="spellStart"/>
      <w:r w:rsidRPr="00644B87">
        <w:rPr>
          <w:sz w:val="24"/>
          <w:szCs w:val="24"/>
        </w:rPr>
        <w:t>loan_status</w:t>
      </w:r>
      <w:proofErr w:type="spellEnd"/>
      <w:r w:rsidRPr="00644B87">
        <w:rPr>
          <w:sz w:val="24"/>
          <w:szCs w:val="24"/>
        </w:rPr>
        <w:t xml:space="preserve"> field, and only 7 are Charged Off — too few, and too early in the loan lifecycle, to model default in the strict sense. Following common practice for this dataset, a binary </w:t>
      </w:r>
      <w:proofErr w:type="spellStart"/>
      <w:r w:rsidRPr="00644B87">
        <w:rPr>
          <w:sz w:val="24"/>
          <w:szCs w:val="24"/>
        </w:rPr>
        <w:t>default_risk</w:t>
      </w:r>
      <w:proofErr w:type="spellEnd"/>
      <w:r w:rsidRPr="00644B87">
        <w:rPr>
          <w:sz w:val="24"/>
          <w:szCs w:val="24"/>
        </w:rPr>
        <w:t xml:space="preserve"> target was constructed: loans showing any sign of repayment distress (Charged Off, Late 31–120 days, Late 16–30 days, or In Grace Period) were labelled 1 (at-risk); Current and Fully Paid loans were labelled 0. This yields 178 at-risk loans (1.78%) — a proxy target and a acknowledged limitation, discussed further in Section 4.</w:t>
      </w:r>
    </w:p>
    <w:p w14:paraId="07D1F0F2" w14:textId="77777777" w:rsidR="005063B2" w:rsidRDefault="00000000">
      <w:pPr>
        <w:pStyle w:val="Heading2"/>
        <w:spacing w:before="240" w:after="120"/>
      </w:pPr>
      <w:bookmarkStart w:id="4" w:name="_Toc235972030"/>
      <w:r>
        <w:t xml:space="preserve">2.2 </w:t>
      </w:r>
      <w:proofErr w:type="spellStart"/>
      <w:r>
        <w:t>Preprocessing</w:t>
      </w:r>
      <w:bookmarkEnd w:id="4"/>
      <w:proofErr w:type="spellEnd"/>
    </w:p>
    <w:p w14:paraId="05467D05" w14:textId="77777777" w:rsidR="006A5782" w:rsidRDefault="006A5782" w:rsidP="006A5782">
      <w:pPr>
        <w:pStyle w:val="pdq2pgselectionanchorcontainer"/>
      </w:pPr>
      <w:bookmarkStart w:id="5" w:name="_Toc235972031"/>
      <w:r>
        <w:t xml:space="preserve">Five variables—balance, </w:t>
      </w:r>
      <w:proofErr w:type="spellStart"/>
      <w:r>
        <w:t>paid_total</w:t>
      </w:r>
      <w:proofErr w:type="spellEnd"/>
      <w:r>
        <w:t xml:space="preserve">, </w:t>
      </w:r>
      <w:proofErr w:type="spellStart"/>
      <w:r>
        <w:t>paid_principal</w:t>
      </w:r>
      <w:proofErr w:type="spellEnd"/>
      <w:r>
        <w:t xml:space="preserve">, </w:t>
      </w:r>
      <w:proofErr w:type="spellStart"/>
      <w:r>
        <w:t>paid_interest</w:t>
      </w:r>
      <w:proofErr w:type="spellEnd"/>
      <w:r>
        <w:t xml:space="preserve">, and </w:t>
      </w:r>
      <w:proofErr w:type="spellStart"/>
      <w:r>
        <w:t>paid_late_fees</w:t>
      </w:r>
      <w:proofErr w:type="spellEnd"/>
      <w:r>
        <w:t xml:space="preserve">—capture loan performance outcomes after the point of origination and are effectively near-deterministic transformations of the target variable, </w:t>
      </w:r>
      <w:proofErr w:type="spellStart"/>
      <w:r>
        <w:t>loan_status</w:t>
      </w:r>
      <w:proofErr w:type="spellEnd"/>
      <w:r>
        <w:t xml:space="preserve">; consequently, they were excluded from the modelling process to eliminate the risk of target leakage. In addition, non-informative or redundant fields were removed, including row identifiers, the unstructured free-text field </w:t>
      </w:r>
      <w:proofErr w:type="spellStart"/>
      <w:r>
        <w:t>emp_title</w:t>
      </w:r>
      <w:proofErr w:type="spellEnd"/>
      <w:r>
        <w:t xml:space="preserve">, the 32-category </w:t>
      </w:r>
      <w:proofErr w:type="spellStart"/>
      <w:r>
        <w:t>sub_grade</w:t>
      </w:r>
      <w:proofErr w:type="spellEnd"/>
      <w:r>
        <w:t xml:space="preserve"> variable (which is largely redundant with grade and highly collinear with </w:t>
      </w:r>
      <w:proofErr w:type="spellStart"/>
      <w:r>
        <w:t>interest_rate</w:t>
      </w:r>
      <w:proofErr w:type="spellEnd"/>
      <w:r>
        <w:t xml:space="preserve">), and </w:t>
      </w:r>
      <w:proofErr w:type="spellStart"/>
      <w:r>
        <w:t>issue_month</w:t>
      </w:r>
      <w:proofErr w:type="spellEnd"/>
      <w:r>
        <w:t xml:space="preserve">, which contains only three unique values and therefore exhibits negligible variability. To manage high-cardinality categorical data while still retaining meaningful geographic information, the 50-category state variable was aggregated into four broader U.S. Census regions, enabling dimensionality reduction while preserving its usefulness for subsequent fairness analysis. Furthermore, three features related to joint applications—specifically income and debt-to-income metrics—were dropped due to excessive missingness (over 85%), as the </w:t>
      </w:r>
      <w:proofErr w:type="spellStart"/>
      <w:r>
        <w:t>application_type</w:t>
      </w:r>
      <w:proofErr w:type="spellEnd"/>
      <w:r>
        <w:t xml:space="preserve"> variable already provides an explicit indicator of joint applicants. For variables where the absence of data itself conveys meaningful information (for example, months since last delinquency being missing because no delinquency has occurred), dedicated missing-indicator flags were introduced, and appropriate sentinel values were imputed to retain this signal. In contrast, numeric variables with relatively low levels of missingness, such as employment length, debt-to-income ratio, and counts of past-due accounts, were imputed using median or zero values as appropriate. Finally, all numerical features were standardised to ensure comparability, and categorical variables were transformed </w:t>
      </w:r>
      <w:proofErr w:type="spellStart"/>
      <w:r>
        <w:t>באמצעות</w:t>
      </w:r>
      <w:proofErr w:type="spellEnd"/>
      <w:r>
        <w:t xml:space="preserve"> one-hot encoding within a scikit-learn </w:t>
      </w:r>
      <w:proofErr w:type="spellStart"/>
      <w:r>
        <w:t>ColumnTransformer</w:t>
      </w:r>
      <w:proofErr w:type="spellEnd"/>
      <w:r>
        <w:t xml:space="preserve">; this entire </w:t>
      </w:r>
      <w:proofErr w:type="spellStart"/>
      <w:r>
        <w:t>preprocessing</w:t>
      </w:r>
      <w:proofErr w:type="spellEnd"/>
      <w:r>
        <w:t xml:space="preserve"> workflow was encapsulated within a Pipeline structure to ensure that transformations were applied consistently and to prevent any form of data leakage across cross-validation folds.</w:t>
      </w:r>
    </w:p>
    <w:p w14:paraId="749A61B8" w14:textId="77777777" w:rsidR="005063B2" w:rsidRDefault="00000000">
      <w:pPr>
        <w:pStyle w:val="Heading2"/>
        <w:spacing w:before="240" w:after="120"/>
      </w:pPr>
      <w:r>
        <w:lastRenderedPageBreak/>
        <w:t>2.3 Model Development and Tuning</w:t>
      </w:r>
      <w:bookmarkEnd w:id="5"/>
    </w:p>
    <w:p w14:paraId="49BD1DF0" w14:textId="77777777" w:rsidR="006A5782" w:rsidRPr="006A5782" w:rsidRDefault="006A5782" w:rsidP="006A5782">
      <w:pPr>
        <w:rPr>
          <w:sz w:val="24"/>
          <w:szCs w:val="24"/>
        </w:rPr>
      </w:pPr>
      <w:bookmarkStart w:id="6" w:name="_Toc235972032"/>
      <w:r w:rsidRPr="006A5782">
        <w:rPr>
          <w:sz w:val="24"/>
          <w:szCs w:val="24"/>
        </w:rPr>
        <w:t xml:space="preserve">Two classifiers were trained: (a) Random Forest [11], a bagged ensemble of decision trees that can capture non-linear interactions, and (b) Logistic Regression, a linear baseline prized for its transparent, additive coefficients. Both models employed </w:t>
      </w:r>
      <w:proofErr w:type="spellStart"/>
      <w:r w:rsidRPr="006A5782">
        <w:rPr>
          <w:sz w:val="24"/>
          <w:szCs w:val="24"/>
        </w:rPr>
        <w:t>class_weight</w:t>
      </w:r>
      <w:proofErr w:type="spellEnd"/>
      <w:r w:rsidRPr="006A5782">
        <w:rPr>
          <w:sz w:val="24"/>
          <w:szCs w:val="24"/>
        </w:rPr>
        <w:t xml:space="preserve">='balanced' instead of resampling due to the 1.78% positive rate, and they were mainly assessed using ROC-AUC, a threshold-independent metric suitable in cases of extreme imbalance. </w:t>
      </w:r>
      <w:proofErr w:type="spellStart"/>
      <w:r w:rsidRPr="006A5782">
        <w:rPr>
          <w:sz w:val="24"/>
          <w:szCs w:val="24"/>
        </w:rPr>
        <w:t>GridSearchCV</w:t>
      </w:r>
      <w:proofErr w:type="spellEnd"/>
      <w:r w:rsidRPr="006A5782">
        <w:rPr>
          <w:sz w:val="24"/>
          <w:szCs w:val="24"/>
        </w:rPr>
        <w:t xml:space="preserve"> was used to adjust the following hyperparameters using 5-fold stratified cross-validation on an 80/20 stratified train-test split: Random Forest over the number of trees, maximum depth, and minimum samples per leaf; Logistic Regression over the regularization strength C (l2 penalty).</w:t>
      </w:r>
    </w:p>
    <w:p w14:paraId="62718520" w14:textId="77777777" w:rsidR="005063B2" w:rsidRDefault="00000000">
      <w:pPr>
        <w:pStyle w:val="Heading2"/>
        <w:spacing w:before="240" w:after="120"/>
      </w:pPr>
      <w:r>
        <w:t>2.4 Interpretability and Fairness Methods</w:t>
      </w:r>
      <w:bookmarkEnd w:id="6"/>
    </w:p>
    <w:p w14:paraId="380D01A1" w14:textId="77777777" w:rsidR="005063B2" w:rsidRPr="00644B87" w:rsidRDefault="00000000">
      <w:pPr>
        <w:spacing w:after="160" w:line="276" w:lineRule="auto"/>
        <w:jc w:val="both"/>
        <w:rPr>
          <w:sz w:val="24"/>
          <w:szCs w:val="24"/>
        </w:rPr>
      </w:pPr>
      <w:r w:rsidRPr="00644B87">
        <w:rPr>
          <w:sz w:val="24"/>
          <w:szCs w:val="24"/>
        </w:rPr>
        <w:t xml:space="preserve">Model-agnostic and model-specific interpretability tools were applied: standardised Logistic Regression coefficients (converted to odds ratios), Random Forest Gini feature </w:t>
      </w:r>
      <w:proofErr w:type="spellStart"/>
      <w:r w:rsidRPr="00644B87">
        <w:rPr>
          <w:sz w:val="24"/>
          <w:szCs w:val="24"/>
        </w:rPr>
        <w:t>importances</w:t>
      </w:r>
      <w:proofErr w:type="spellEnd"/>
      <w:r w:rsidRPr="00644B87">
        <w:rPr>
          <w:sz w:val="24"/>
          <w:szCs w:val="24"/>
        </w:rPr>
        <w:t>, and SHAP (</w:t>
      </w:r>
      <w:proofErr w:type="spellStart"/>
      <w:r w:rsidRPr="00644B87">
        <w:rPr>
          <w:sz w:val="24"/>
          <w:szCs w:val="24"/>
        </w:rPr>
        <w:t>SHapley</w:t>
      </w:r>
      <w:proofErr w:type="spellEnd"/>
      <w:r w:rsidRPr="00644B87">
        <w:rPr>
          <w:sz w:val="24"/>
          <w:szCs w:val="24"/>
        </w:rPr>
        <w:t xml:space="preserve"> Additive </w:t>
      </w:r>
      <w:proofErr w:type="spellStart"/>
      <w:r w:rsidRPr="00644B87">
        <w:rPr>
          <w:sz w:val="24"/>
          <w:szCs w:val="24"/>
        </w:rPr>
        <w:t>exPlanations</w:t>
      </w:r>
      <w:proofErr w:type="spellEnd"/>
      <w:r w:rsidRPr="00644B87">
        <w:rPr>
          <w:sz w:val="24"/>
          <w:szCs w:val="24"/>
        </w:rPr>
        <w:t xml:space="preserve">) values [2], computed via </w:t>
      </w:r>
      <w:proofErr w:type="spellStart"/>
      <w:r w:rsidRPr="00644B87">
        <w:rPr>
          <w:sz w:val="24"/>
          <w:szCs w:val="24"/>
        </w:rPr>
        <w:t>TreeExplainer</w:t>
      </w:r>
      <w:proofErr w:type="spellEnd"/>
      <w:r w:rsidRPr="00644B87">
        <w:rPr>
          <w:sz w:val="24"/>
          <w:szCs w:val="24"/>
        </w:rPr>
        <w:t xml:space="preserve"> on a 500-loan sample of the test set, to obtain a consistent, game-theoretic attribution of each feature's contribution to individual predictions. Because the dataset contains no direct demographic attributes, a proxy fairness check compared each model's predicted-positive rate against the actual observed risk rate across region and homeownership subgroups.</w:t>
      </w:r>
    </w:p>
    <w:p w14:paraId="660451A1" w14:textId="77777777" w:rsidR="005063B2" w:rsidRDefault="00000000">
      <w:pPr>
        <w:pStyle w:val="Heading1"/>
        <w:spacing w:before="320" w:after="160"/>
      </w:pPr>
      <w:bookmarkStart w:id="7" w:name="_Toc235972033"/>
      <w:r>
        <w:t>3. Experiments and Results</w:t>
      </w:r>
      <w:bookmarkEnd w:id="7"/>
    </w:p>
    <w:p w14:paraId="4EBC8D04" w14:textId="77777777" w:rsidR="005063B2" w:rsidRDefault="00000000">
      <w:pPr>
        <w:pStyle w:val="Heading2"/>
        <w:spacing w:before="240" w:after="120"/>
      </w:pPr>
      <w:bookmarkStart w:id="8" w:name="_Toc235972034"/>
      <w:r>
        <w:t>3.1 Exploratory Findings</w:t>
      </w:r>
      <w:bookmarkEnd w:id="8"/>
    </w:p>
    <w:p w14:paraId="327AB223" w14:textId="77777777" w:rsidR="005063B2" w:rsidRPr="00644B87" w:rsidRDefault="00000000">
      <w:pPr>
        <w:spacing w:after="160" w:line="276" w:lineRule="auto"/>
        <w:jc w:val="both"/>
        <w:rPr>
          <w:sz w:val="24"/>
          <w:szCs w:val="24"/>
        </w:rPr>
      </w:pPr>
      <w:r w:rsidRPr="00644B87">
        <w:rPr>
          <w:sz w:val="24"/>
          <w:szCs w:val="24"/>
        </w:rPr>
        <w:t>The target is heavily imbalanced (1.78% at-risk), and missingness is concentrated in a handful of credit-history fields tied to events that many borrowers have never experienced (e.g. 77% missing for months since a 90-day-late payment, since most borrowers have none). At-risk rate rises monotonically with Lending Club's own risk grade — from 0.77% for Grade A to 12.07% for Grade F — confirming that the existing underwriting grade already captures most of the observable risk gradient in this sample.</w:t>
      </w:r>
    </w:p>
    <w:p w14:paraId="2810C0D5" w14:textId="77777777" w:rsidR="005063B2" w:rsidRDefault="00000000">
      <w:pPr>
        <w:spacing w:before="120" w:after="40"/>
        <w:jc w:val="center"/>
      </w:pPr>
      <w:r>
        <w:rPr>
          <w:noProof/>
        </w:rPr>
        <w:drawing>
          <wp:inline distT="0" distB="0" distL="0" distR="0" wp14:anchorId="0B47CE86" wp14:editId="5CCA9BE8">
            <wp:extent cx="533400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2000250"/>
                    </a:xfrm>
                    <a:prstGeom prst="rect">
                      <a:avLst/>
                    </a:prstGeom>
                  </pic:spPr>
                </pic:pic>
              </a:graphicData>
            </a:graphic>
          </wp:inline>
        </w:drawing>
      </w:r>
    </w:p>
    <w:p w14:paraId="25C2763C" w14:textId="77777777" w:rsidR="005063B2" w:rsidRDefault="00000000">
      <w:pPr>
        <w:spacing w:after="240"/>
        <w:jc w:val="center"/>
      </w:pPr>
      <w:r>
        <w:rPr>
          <w:i/>
          <w:iCs/>
        </w:rPr>
        <w:t>Figure 1. At-risk rate by Lending Club grade (left) and homeownership status (right).</w:t>
      </w:r>
    </w:p>
    <w:p w14:paraId="303EA0E2" w14:textId="77777777" w:rsidR="005063B2" w:rsidRDefault="00000000">
      <w:pPr>
        <w:pStyle w:val="Heading2"/>
        <w:spacing w:before="240" w:after="120"/>
      </w:pPr>
      <w:bookmarkStart w:id="9" w:name="_Toc235972035"/>
      <w:r>
        <w:t>3.2 Model Performance</w:t>
      </w:r>
      <w:bookmarkEnd w:id="9"/>
    </w:p>
    <w:p w14:paraId="6DAEC3B5" w14:textId="77777777" w:rsidR="005063B2" w:rsidRPr="00644B87" w:rsidRDefault="00000000">
      <w:pPr>
        <w:spacing w:after="160" w:line="276" w:lineRule="auto"/>
        <w:jc w:val="both"/>
        <w:rPr>
          <w:sz w:val="24"/>
          <w:szCs w:val="24"/>
        </w:rPr>
      </w:pPr>
      <w:r w:rsidRPr="00644B87">
        <w:rPr>
          <w:sz w:val="24"/>
          <w:szCs w:val="24"/>
        </w:rPr>
        <w:lastRenderedPageBreak/>
        <w:t>Table 1 reports test-set performance. The Random Forest achieved the best cross-validated ROC-AUC (0.681 for Logistic Regression vs 0.659 for Random Forest in cross-validation; 0.609 vs 0.643 respectively on the held-out test set) and far higher precision (0.113 vs 0.023), at the cost of lower recall (0.194 vs 0.361) — a direct consequence of the balanced class-weighting pushing Logistic Regression toward many more positive predictions at the default 0.5 threshold, which inflates recall but collapses precision.</w:t>
      </w:r>
    </w:p>
    <w:tbl>
      <w:tblPr>
        <w:tblW w:w="10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500"/>
        <w:gridCol w:w="1500"/>
        <w:gridCol w:w="1500"/>
        <w:gridCol w:w="1500"/>
        <w:gridCol w:w="1500"/>
      </w:tblGrid>
      <w:tr w:rsidR="005063B2" w14:paraId="34E2E1F0" w14:textId="77777777">
        <w:tblPrEx>
          <w:tblCellMar>
            <w:top w:w="0" w:type="dxa"/>
            <w:bottom w:w="0" w:type="dxa"/>
          </w:tblCellMar>
        </w:tblPrEx>
        <w:trPr>
          <w:tblHeader/>
        </w:trPr>
        <w:tc>
          <w:tcPr>
            <w:tcW w:w="2600" w:type="dxa"/>
            <w:shd w:val="clear" w:color="auto" w:fill="2F5496"/>
          </w:tcPr>
          <w:p w14:paraId="6496ED24" w14:textId="77777777" w:rsidR="005063B2" w:rsidRDefault="00000000">
            <w:pPr>
              <w:jc w:val="center"/>
            </w:pPr>
            <w:r>
              <w:rPr>
                <w:b/>
                <w:bCs/>
                <w:color w:val="FFFFFF"/>
              </w:rPr>
              <w:t>Model</w:t>
            </w:r>
          </w:p>
        </w:tc>
        <w:tc>
          <w:tcPr>
            <w:tcW w:w="1500" w:type="dxa"/>
            <w:shd w:val="clear" w:color="auto" w:fill="2F5496"/>
          </w:tcPr>
          <w:p w14:paraId="0D14579F" w14:textId="77777777" w:rsidR="005063B2" w:rsidRDefault="00000000">
            <w:pPr>
              <w:jc w:val="center"/>
            </w:pPr>
            <w:r>
              <w:rPr>
                <w:b/>
                <w:bCs/>
                <w:color w:val="FFFFFF"/>
              </w:rPr>
              <w:t>Accuracy</w:t>
            </w:r>
          </w:p>
        </w:tc>
        <w:tc>
          <w:tcPr>
            <w:tcW w:w="1500" w:type="dxa"/>
            <w:shd w:val="clear" w:color="auto" w:fill="2F5496"/>
          </w:tcPr>
          <w:p w14:paraId="6072248F" w14:textId="77777777" w:rsidR="005063B2" w:rsidRDefault="00000000">
            <w:pPr>
              <w:jc w:val="center"/>
            </w:pPr>
            <w:r>
              <w:rPr>
                <w:b/>
                <w:bCs/>
                <w:color w:val="FFFFFF"/>
              </w:rPr>
              <w:t>Precision</w:t>
            </w:r>
          </w:p>
        </w:tc>
        <w:tc>
          <w:tcPr>
            <w:tcW w:w="1500" w:type="dxa"/>
            <w:shd w:val="clear" w:color="auto" w:fill="2F5496"/>
          </w:tcPr>
          <w:p w14:paraId="15F16BD3" w14:textId="77777777" w:rsidR="005063B2" w:rsidRDefault="00000000">
            <w:pPr>
              <w:jc w:val="center"/>
            </w:pPr>
            <w:r>
              <w:rPr>
                <w:b/>
                <w:bCs/>
                <w:color w:val="FFFFFF"/>
              </w:rPr>
              <w:t>Recall</w:t>
            </w:r>
          </w:p>
        </w:tc>
        <w:tc>
          <w:tcPr>
            <w:tcW w:w="1500" w:type="dxa"/>
            <w:shd w:val="clear" w:color="auto" w:fill="2F5496"/>
          </w:tcPr>
          <w:p w14:paraId="69C24A60" w14:textId="77777777" w:rsidR="005063B2" w:rsidRDefault="00000000">
            <w:pPr>
              <w:jc w:val="center"/>
            </w:pPr>
            <w:r>
              <w:rPr>
                <w:b/>
                <w:bCs/>
                <w:color w:val="FFFFFF"/>
              </w:rPr>
              <w:t>F1-score</w:t>
            </w:r>
          </w:p>
        </w:tc>
        <w:tc>
          <w:tcPr>
            <w:tcW w:w="1500" w:type="dxa"/>
            <w:shd w:val="clear" w:color="auto" w:fill="2F5496"/>
          </w:tcPr>
          <w:p w14:paraId="5DAC4513" w14:textId="77777777" w:rsidR="005063B2" w:rsidRDefault="00000000">
            <w:pPr>
              <w:jc w:val="center"/>
            </w:pPr>
            <w:r>
              <w:rPr>
                <w:b/>
                <w:bCs/>
                <w:color w:val="FFFFFF"/>
              </w:rPr>
              <w:t>ROC-AUC</w:t>
            </w:r>
          </w:p>
        </w:tc>
      </w:tr>
      <w:tr w:rsidR="005063B2" w14:paraId="7E2BE9C8" w14:textId="77777777">
        <w:tblPrEx>
          <w:tblCellMar>
            <w:top w:w="0" w:type="dxa"/>
            <w:bottom w:w="0" w:type="dxa"/>
          </w:tblCellMar>
        </w:tblPrEx>
        <w:tc>
          <w:tcPr>
            <w:tcW w:w="2600" w:type="dxa"/>
          </w:tcPr>
          <w:p w14:paraId="7F028D93" w14:textId="77777777" w:rsidR="005063B2" w:rsidRDefault="00000000">
            <w:pPr>
              <w:jc w:val="center"/>
            </w:pPr>
            <w:r>
              <w:t>Logistic Regression</w:t>
            </w:r>
          </w:p>
        </w:tc>
        <w:tc>
          <w:tcPr>
            <w:tcW w:w="1500" w:type="dxa"/>
          </w:tcPr>
          <w:p w14:paraId="1FFE34FE" w14:textId="77777777" w:rsidR="005063B2" w:rsidRDefault="00000000">
            <w:pPr>
              <w:jc w:val="center"/>
            </w:pPr>
            <w:r>
              <w:t>0.712</w:t>
            </w:r>
          </w:p>
        </w:tc>
        <w:tc>
          <w:tcPr>
            <w:tcW w:w="1500" w:type="dxa"/>
          </w:tcPr>
          <w:p w14:paraId="7643C006" w14:textId="77777777" w:rsidR="005063B2" w:rsidRDefault="00000000">
            <w:pPr>
              <w:jc w:val="center"/>
            </w:pPr>
            <w:r>
              <w:t>0.023</w:t>
            </w:r>
          </w:p>
        </w:tc>
        <w:tc>
          <w:tcPr>
            <w:tcW w:w="1500" w:type="dxa"/>
          </w:tcPr>
          <w:p w14:paraId="202A9886" w14:textId="77777777" w:rsidR="005063B2" w:rsidRDefault="00000000">
            <w:pPr>
              <w:jc w:val="center"/>
            </w:pPr>
            <w:r>
              <w:t>0.361</w:t>
            </w:r>
          </w:p>
        </w:tc>
        <w:tc>
          <w:tcPr>
            <w:tcW w:w="1500" w:type="dxa"/>
          </w:tcPr>
          <w:p w14:paraId="1D2A075A" w14:textId="77777777" w:rsidR="005063B2" w:rsidRDefault="00000000">
            <w:pPr>
              <w:jc w:val="center"/>
            </w:pPr>
            <w:r>
              <w:t>0.043</w:t>
            </w:r>
          </w:p>
        </w:tc>
        <w:tc>
          <w:tcPr>
            <w:tcW w:w="1500" w:type="dxa"/>
          </w:tcPr>
          <w:p w14:paraId="7068C3C9" w14:textId="77777777" w:rsidR="005063B2" w:rsidRDefault="00000000">
            <w:pPr>
              <w:jc w:val="center"/>
            </w:pPr>
            <w:r>
              <w:t>0.609</w:t>
            </w:r>
          </w:p>
        </w:tc>
      </w:tr>
      <w:tr w:rsidR="005063B2" w14:paraId="1FF8B047" w14:textId="77777777">
        <w:tblPrEx>
          <w:tblCellMar>
            <w:top w:w="0" w:type="dxa"/>
            <w:bottom w:w="0" w:type="dxa"/>
          </w:tblCellMar>
        </w:tblPrEx>
        <w:tc>
          <w:tcPr>
            <w:tcW w:w="2600" w:type="dxa"/>
          </w:tcPr>
          <w:p w14:paraId="75B48FEB" w14:textId="77777777" w:rsidR="005063B2" w:rsidRDefault="00000000">
            <w:pPr>
              <w:jc w:val="center"/>
            </w:pPr>
            <w:r>
              <w:t>Random Forest</w:t>
            </w:r>
          </w:p>
        </w:tc>
        <w:tc>
          <w:tcPr>
            <w:tcW w:w="1500" w:type="dxa"/>
          </w:tcPr>
          <w:p w14:paraId="2B022ABA" w14:textId="77777777" w:rsidR="005063B2" w:rsidRDefault="00000000">
            <w:pPr>
              <w:jc w:val="center"/>
            </w:pPr>
            <w:r>
              <w:t>0.958</w:t>
            </w:r>
          </w:p>
        </w:tc>
        <w:tc>
          <w:tcPr>
            <w:tcW w:w="1500" w:type="dxa"/>
          </w:tcPr>
          <w:p w14:paraId="0D2DDAE5" w14:textId="77777777" w:rsidR="005063B2" w:rsidRDefault="00000000">
            <w:pPr>
              <w:jc w:val="center"/>
            </w:pPr>
            <w:r>
              <w:t>0.113</w:t>
            </w:r>
          </w:p>
        </w:tc>
        <w:tc>
          <w:tcPr>
            <w:tcW w:w="1500" w:type="dxa"/>
          </w:tcPr>
          <w:p w14:paraId="333334F2" w14:textId="77777777" w:rsidR="005063B2" w:rsidRDefault="00000000">
            <w:pPr>
              <w:jc w:val="center"/>
            </w:pPr>
            <w:r>
              <w:t>0.194</w:t>
            </w:r>
          </w:p>
        </w:tc>
        <w:tc>
          <w:tcPr>
            <w:tcW w:w="1500" w:type="dxa"/>
          </w:tcPr>
          <w:p w14:paraId="4E82F2C4" w14:textId="77777777" w:rsidR="005063B2" w:rsidRDefault="00000000">
            <w:pPr>
              <w:jc w:val="center"/>
            </w:pPr>
            <w:r>
              <w:t>0.143</w:t>
            </w:r>
          </w:p>
        </w:tc>
        <w:tc>
          <w:tcPr>
            <w:tcW w:w="1500" w:type="dxa"/>
          </w:tcPr>
          <w:p w14:paraId="10A834A7" w14:textId="77777777" w:rsidR="005063B2" w:rsidRDefault="00000000">
            <w:pPr>
              <w:jc w:val="center"/>
            </w:pPr>
            <w:r>
              <w:t>0.643</w:t>
            </w:r>
          </w:p>
        </w:tc>
      </w:tr>
    </w:tbl>
    <w:p w14:paraId="228F63D2" w14:textId="77777777" w:rsidR="005063B2" w:rsidRDefault="00000000">
      <w:pPr>
        <w:spacing w:before="100" w:after="240"/>
      </w:pPr>
      <w:r>
        <w:rPr>
          <w:i/>
          <w:iCs/>
        </w:rPr>
        <w:t>Table 1. Test-set performance (20% held-out sample, n = 2,000).</w:t>
      </w:r>
    </w:p>
    <w:p w14:paraId="71F52276" w14:textId="77777777" w:rsidR="005063B2" w:rsidRDefault="00000000">
      <w:pPr>
        <w:spacing w:before="120" w:after="40"/>
        <w:jc w:val="center"/>
      </w:pPr>
      <w:r>
        <w:rPr>
          <w:noProof/>
        </w:rPr>
        <w:drawing>
          <wp:inline distT="0" distB="0" distL="0" distR="0" wp14:anchorId="63CBFA15" wp14:editId="2345D990">
            <wp:extent cx="5334000" cy="2190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190750"/>
                    </a:xfrm>
                    <a:prstGeom prst="rect">
                      <a:avLst/>
                    </a:prstGeom>
                  </pic:spPr>
                </pic:pic>
              </a:graphicData>
            </a:graphic>
          </wp:inline>
        </w:drawing>
      </w:r>
    </w:p>
    <w:p w14:paraId="64380B64" w14:textId="77777777" w:rsidR="005063B2" w:rsidRDefault="00000000">
      <w:pPr>
        <w:spacing w:after="240"/>
        <w:jc w:val="center"/>
      </w:pPr>
      <w:r>
        <w:rPr>
          <w:i/>
          <w:iCs/>
        </w:rPr>
        <w:t>Figure 2. Confusion matrices for Logistic Regression and Random Forest on the test set.</w:t>
      </w:r>
    </w:p>
    <w:p w14:paraId="5519E55A" w14:textId="77777777" w:rsidR="005063B2" w:rsidRDefault="00000000">
      <w:pPr>
        <w:spacing w:before="120" w:after="40"/>
        <w:jc w:val="center"/>
      </w:pPr>
      <w:r>
        <w:rPr>
          <w:noProof/>
        </w:rPr>
        <w:drawing>
          <wp:inline distT="0" distB="0" distL="0" distR="0" wp14:anchorId="49B82C4C" wp14:editId="39884849">
            <wp:extent cx="5334000" cy="2190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190750"/>
                    </a:xfrm>
                    <a:prstGeom prst="rect">
                      <a:avLst/>
                    </a:prstGeom>
                  </pic:spPr>
                </pic:pic>
              </a:graphicData>
            </a:graphic>
          </wp:inline>
        </w:drawing>
      </w:r>
    </w:p>
    <w:p w14:paraId="5D80885B" w14:textId="77777777" w:rsidR="005063B2" w:rsidRDefault="00000000">
      <w:pPr>
        <w:spacing w:after="240"/>
        <w:jc w:val="center"/>
      </w:pPr>
      <w:r>
        <w:rPr>
          <w:i/>
          <w:iCs/>
        </w:rPr>
        <w:t>Figure 3. ROC and precision–recall curves. Both curves emphasise the modest but above-chance discrimination achieved given the class imbalance.</w:t>
      </w:r>
    </w:p>
    <w:p w14:paraId="26FC0305" w14:textId="77777777" w:rsidR="005063B2" w:rsidRDefault="00000000">
      <w:pPr>
        <w:pStyle w:val="Heading2"/>
        <w:spacing w:before="240" w:after="120"/>
      </w:pPr>
      <w:bookmarkStart w:id="10" w:name="_Toc235972036"/>
      <w:r>
        <w:t>3.3 Interpretability</w:t>
      </w:r>
      <w:bookmarkEnd w:id="10"/>
    </w:p>
    <w:p w14:paraId="626F0DD7" w14:textId="77777777" w:rsidR="00CE78A7" w:rsidRPr="00CE78A7" w:rsidRDefault="00CE78A7" w:rsidP="00CE78A7">
      <w:pPr>
        <w:rPr>
          <w:sz w:val="24"/>
          <w:szCs w:val="24"/>
        </w:rPr>
      </w:pPr>
      <w:r w:rsidRPr="00CE78A7">
        <w:rPr>
          <w:sz w:val="24"/>
          <w:szCs w:val="24"/>
        </w:rPr>
        <w:t xml:space="preserve">Interest rate has the largest standardized coefficient (odds ratio 1.52) for logistic regression, followed by homeownership (owning outright slightly increases risk relative to the mortgage baseline), months since the last credit inquiry (protective, i.e., longer gaps lower risk), </w:t>
      </w:r>
      <w:proofErr w:type="spellStart"/>
      <w:r w:rsidRPr="00CE78A7">
        <w:rPr>
          <w:sz w:val="24"/>
          <w:szCs w:val="24"/>
        </w:rPr>
        <w:lastRenderedPageBreak/>
        <w:t>installment</w:t>
      </w:r>
      <w:proofErr w:type="spellEnd"/>
      <w:r w:rsidRPr="00CE78A7">
        <w:rPr>
          <w:sz w:val="24"/>
          <w:szCs w:val="24"/>
        </w:rPr>
        <w:t xml:space="preserve"> amount, and loan grade indicators. The SHAP summary plot, which further demonstrates that higher interest rates and higher debt-to-income ratios push predictions toward higher risk while longer credit histories and lower utilization push predictions toward lower risk, confirms the generally consistent picture across both models. For Random Forest, </w:t>
      </w:r>
      <w:proofErr w:type="spellStart"/>
      <w:r w:rsidRPr="00CE78A7">
        <w:rPr>
          <w:sz w:val="24"/>
          <w:szCs w:val="24"/>
        </w:rPr>
        <w:t>interest_rate</w:t>
      </w:r>
      <w:proofErr w:type="spellEnd"/>
      <w:r w:rsidRPr="00CE78A7">
        <w:rPr>
          <w:sz w:val="24"/>
          <w:szCs w:val="24"/>
        </w:rPr>
        <w:t xml:space="preserve"> once again dominates (16.9% of total importance), followed distantly by instalment amount, credit utilization, debt-to-income ratio, and months since last credit inquiry.</w:t>
      </w:r>
    </w:p>
    <w:p w14:paraId="59C55B81" w14:textId="77777777" w:rsidR="005063B2" w:rsidRDefault="00000000">
      <w:pPr>
        <w:spacing w:before="120" w:after="40"/>
        <w:jc w:val="center"/>
      </w:pPr>
      <w:r>
        <w:rPr>
          <w:noProof/>
        </w:rPr>
        <w:drawing>
          <wp:inline distT="0" distB="0" distL="0" distR="0" wp14:anchorId="3C49E8D8" wp14:editId="7A767584">
            <wp:extent cx="4572000" cy="34194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572000" cy="3419475"/>
                    </a:xfrm>
                    <a:prstGeom prst="rect">
                      <a:avLst/>
                    </a:prstGeom>
                  </pic:spPr>
                </pic:pic>
              </a:graphicData>
            </a:graphic>
          </wp:inline>
        </w:drawing>
      </w:r>
    </w:p>
    <w:p w14:paraId="0354559C" w14:textId="77777777" w:rsidR="005063B2" w:rsidRDefault="00000000">
      <w:pPr>
        <w:spacing w:after="240"/>
        <w:jc w:val="center"/>
      </w:pPr>
      <w:r>
        <w:rPr>
          <w:i/>
          <w:iCs/>
        </w:rPr>
        <w:t>Figure 4. SHAP summary plot (Random Forest, 500-loan test sample) — feature value colour (red = high, blue = low) against impact on predicted risk.</w:t>
      </w:r>
    </w:p>
    <w:p w14:paraId="5564EACE" w14:textId="77777777" w:rsidR="005063B2" w:rsidRDefault="00000000">
      <w:pPr>
        <w:pStyle w:val="Heading2"/>
        <w:spacing w:before="240" w:after="120"/>
      </w:pPr>
      <w:bookmarkStart w:id="11" w:name="_Toc235972037"/>
      <w:r>
        <w:t>3.4 Fairness Probe</w:t>
      </w:r>
      <w:bookmarkEnd w:id="11"/>
    </w:p>
    <w:p w14:paraId="1B90D654" w14:textId="77777777" w:rsidR="005063B2" w:rsidRPr="00644B87" w:rsidRDefault="00000000">
      <w:pPr>
        <w:spacing w:after="160" w:line="276" w:lineRule="auto"/>
        <w:jc w:val="both"/>
        <w:rPr>
          <w:sz w:val="24"/>
          <w:szCs w:val="24"/>
        </w:rPr>
      </w:pPr>
      <w:r w:rsidRPr="00644B87">
        <w:rPr>
          <w:sz w:val="24"/>
          <w:szCs w:val="24"/>
        </w:rPr>
        <w:t>Table 2 compares each subgroup's actual at-risk rate against each model's predicted-positive rate. Most subgroups show predicted rates broadly proportional to actual rates, but renters show the largest divergence: a 1.75% actual at-risk rate versus a 4.72% Random Forest predicted-positive rate (2.7×) and a 35.22% Logistic Regression predicted-positive rate — both the highest predicted rate of any subgroup and the largest actual-to-predicted gap, exceeding the gaps seen for mortgage-holders (1.16×) and outright owners (1.25×).</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900"/>
        <w:gridCol w:w="1900"/>
        <w:gridCol w:w="1900"/>
        <w:gridCol w:w="1900"/>
      </w:tblGrid>
      <w:tr w:rsidR="005063B2" w14:paraId="080E086A" w14:textId="77777777">
        <w:tblPrEx>
          <w:tblCellMar>
            <w:top w:w="0" w:type="dxa"/>
            <w:bottom w:w="0" w:type="dxa"/>
          </w:tblCellMar>
        </w:tblPrEx>
        <w:trPr>
          <w:tblHeader/>
        </w:trPr>
        <w:tc>
          <w:tcPr>
            <w:tcW w:w="2900" w:type="dxa"/>
            <w:shd w:val="clear" w:color="auto" w:fill="2F5496"/>
          </w:tcPr>
          <w:p w14:paraId="1E7B17CE" w14:textId="77777777" w:rsidR="005063B2" w:rsidRDefault="00000000">
            <w:pPr>
              <w:jc w:val="center"/>
            </w:pPr>
            <w:r>
              <w:rPr>
                <w:b/>
                <w:bCs/>
                <w:color w:val="FFFFFF"/>
                <w:sz w:val="18"/>
                <w:szCs w:val="18"/>
              </w:rPr>
              <w:t>Group</w:t>
            </w:r>
          </w:p>
        </w:tc>
        <w:tc>
          <w:tcPr>
            <w:tcW w:w="900" w:type="dxa"/>
            <w:shd w:val="clear" w:color="auto" w:fill="2F5496"/>
          </w:tcPr>
          <w:p w14:paraId="734CF1A8" w14:textId="77777777" w:rsidR="005063B2" w:rsidRDefault="00000000">
            <w:pPr>
              <w:jc w:val="center"/>
            </w:pPr>
            <w:r>
              <w:rPr>
                <w:b/>
                <w:bCs/>
                <w:color w:val="FFFFFF"/>
                <w:sz w:val="18"/>
                <w:szCs w:val="18"/>
              </w:rPr>
              <w:t>n</w:t>
            </w:r>
          </w:p>
        </w:tc>
        <w:tc>
          <w:tcPr>
            <w:tcW w:w="1900" w:type="dxa"/>
            <w:shd w:val="clear" w:color="auto" w:fill="2F5496"/>
          </w:tcPr>
          <w:p w14:paraId="69DFA03B" w14:textId="77777777" w:rsidR="005063B2" w:rsidRDefault="00000000">
            <w:pPr>
              <w:jc w:val="center"/>
            </w:pPr>
            <w:r>
              <w:rPr>
                <w:b/>
                <w:bCs/>
                <w:color w:val="FFFFFF"/>
                <w:sz w:val="18"/>
                <w:szCs w:val="18"/>
              </w:rPr>
              <w:t>Actual At-Risk Rate</w:t>
            </w:r>
          </w:p>
        </w:tc>
        <w:tc>
          <w:tcPr>
            <w:tcW w:w="1900" w:type="dxa"/>
            <w:shd w:val="clear" w:color="auto" w:fill="2F5496"/>
          </w:tcPr>
          <w:p w14:paraId="4312EE58" w14:textId="77777777" w:rsidR="005063B2" w:rsidRDefault="00000000">
            <w:pPr>
              <w:jc w:val="center"/>
            </w:pPr>
            <w:r>
              <w:rPr>
                <w:b/>
                <w:bCs/>
                <w:color w:val="FFFFFF"/>
                <w:sz w:val="18"/>
                <w:szCs w:val="18"/>
              </w:rPr>
              <w:t>RF Predicted Rate</w:t>
            </w:r>
          </w:p>
        </w:tc>
        <w:tc>
          <w:tcPr>
            <w:tcW w:w="1900" w:type="dxa"/>
            <w:shd w:val="clear" w:color="auto" w:fill="2F5496"/>
          </w:tcPr>
          <w:p w14:paraId="484E89EC" w14:textId="77777777" w:rsidR="005063B2" w:rsidRDefault="00000000">
            <w:pPr>
              <w:jc w:val="center"/>
            </w:pPr>
            <w:r>
              <w:rPr>
                <w:b/>
                <w:bCs/>
                <w:color w:val="FFFFFF"/>
                <w:sz w:val="18"/>
                <w:szCs w:val="18"/>
              </w:rPr>
              <w:t>LR Predicted Rate</w:t>
            </w:r>
          </w:p>
        </w:tc>
      </w:tr>
      <w:tr w:rsidR="005063B2" w14:paraId="2595BB02" w14:textId="77777777">
        <w:tblPrEx>
          <w:tblCellMar>
            <w:top w:w="0" w:type="dxa"/>
            <w:bottom w:w="0" w:type="dxa"/>
          </w:tblCellMar>
        </w:tblPrEx>
        <w:tc>
          <w:tcPr>
            <w:tcW w:w="2900" w:type="dxa"/>
          </w:tcPr>
          <w:p w14:paraId="1D6590A5" w14:textId="77777777" w:rsidR="005063B2" w:rsidRDefault="00000000">
            <w:pPr>
              <w:jc w:val="center"/>
            </w:pPr>
            <w:r>
              <w:rPr>
                <w:sz w:val="18"/>
                <w:szCs w:val="18"/>
              </w:rPr>
              <w:t>Region: Midwest</w:t>
            </w:r>
          </w:p>
        </w:tc>
        <w:tc>
          <w:tcPr>
            <w:tcW w:w="900" w:type="dxa"/>
          </w:tcPr>
          <w:p w14:paraId="5C6ABE04" w14:textId="77777777" w:rsidR="005063B2" w:rsidRDefault="00000000">
            <w:pPr>
              <w:jc w:val="center"/>
            </w:pPr>
            <w:r>
              <w:rPr>
                <w:sz w:val="18"/>
                <w:szCs w:val="18"/>
              </w:rPr>
              <w:t>355</w:t>
            </w:r>
          </w:p>
        </w:tc>
        <w:tc>
          <w:tcPr>
            <w:tcW w:w="1900" w:type="dxa"/>
          </w:tcPr>
          <w:p w14:paraId="06088283" w14:textId="77777777" w:rsidR="005063B2" w:rsidRDefault="00000000">
            <w:pPr>
              <w:jc w:val="center"/>
            </w:pPr>
            <w:r>
              <w:rPr>
                <w:sz w:val="18"/>
                <w:szCs w:val="18"/>
              </w:rPr>
              <w:t>1.13%</w:t>
            </w:r>
          </w:p>
        </w:tc>
        <w:tc>
          <w:tcPr>
            <w:tcW w:w="1900" w:type="dxa"/>
          </w:tcPr>
          <w:p w14:paraId="0F839404" w14:textId="77777777" w:rsidR="005063B2" w:rsidRDefault="00000000">
            <w:pPr>
              <w:jc w:val="center"/>
            </w:pPr>
            <w:r>
              <w:rPr>
                <w:sz w:val="18"/>
                <w:szCs w:val="18"/>
              </w:rPr>
              <w:t>2.82%</w:t>
            </w:r>
          </w:p>
        </w:tc>
        <w:tc>
          <w:tcPr>
            <w:tcW w:w="1900" w:type="dxa"/>
          </w:tcPr>
          <w:p w14:paraId="45D20850" w14:textId="77777777" w:rsidR="005063B2" w:rsidRDefault="00000000">
            <w:pPr>
              <w:jc w:val="center"/>
            </w:pPr>
            <w:r>
              <w:rPr>
                <w:sz w:val="18"/>
                <w:szCs w:val="18"/>
              </w:rPr>
              <w:t>27.61%</w:t>
            </w:r>
          </w:p>
        </w:tc>
      </w:tr>
      <w:tr w:rsidR="005063B2" w14:paraId="35ED0EDE" w14:textId="77777777">
        <w:tblPrEx>
          <w:tblCellMar>
            <w:top w:w="0" w:type="dxa"/>
            <w:bottom w:w="0" w:type="dxa"/>
          </w:tblCellMar>
        </w:tblPrEx>
        <w:tc>
          <w:tcPr>
            <w:tcW w:w="2900" w:type="dxa"/>
          </w:tcPr>
          <w:p w14:paraId="7C33FC50" w14:textId="77777777" w:rsidR="005063B2" w:rsidRDefault="00000000">
            <w:pPr>
              <w:jc w:val="center"/>
            </w:pPr>
            <w:r>
              <w:rPr>
                <w:sz w:val="18"/>
                <w:szCs w:val="18"/>
              </w:rPr>
              <w:t>Region: Northeast</w:t>
            </w:r>
          </w:p>
        </w:tc>
        <w:tc>
          <w:tcPr>
            <w:tcW w:w="900" w:type="dxa"/>
          </w:tcPr>
          <w:p w14:paraId="716378EE" w14:textId="77777777" w:rsidR="005063B2" w:rsidRDefault="00000000">
            <w:pPr>
              <w:jc w:val="center"/>
            </w:pPr>
            <w:r>
              <w:rPr>
                <w:sz w:val="18"/>
                <w:szCs w:val="18"/>
              </w:rPr>
              <w:t>377</w:t>
            </w:r>
          </w:p>
        </w:tc>
        <w:tc>
          <w:tcPr>
            <w:tcW w:w="1900" w:type="dxa"/>
          </w:tcPr>
          <w:p w14:paraId="102323A5" w14:textId="77777777" w:rsidR="005063B2" w:rsidRDefault="00000000">
            <w:pPr>
              <w:jc w:val="center"/>
            </w:pPr>
            <w:r>
              <w:rPr>
                <w:sz w:val="18"/>
                <w:szCs w:val="18"/>
              </w:rPr>
              <w:t>3.18%</w:t>
            </w:r>
          </w:p>
        </w:tc>
        <w:tc>
          <w:tcPr>
            <w:tcW w:w="1900" w:type="dxa"/>
          </w:tcPr>
          <w:p w14:paraId="2F1B3B0C" w14:textId="77777777" w:rsidR="005063B2" w:rsidRDefault="00000000">
            <w:pPr>
              <w:jc w:val="center"/>
            </w:pPr>
            <w:r>
              <w:rPr>
                <w:sz w:val="18"/>
                <w:szCs w:val="18"/>
              </w:rPr>
              <w:t>3.98%</w:t>
            </w:r>
          </w:p>
        </w:tc>
        <w:tc>
          <w:tcPr>
            <w:tcW w:w="1900" w:type="dxa"/>
          </w:tcPr>
          <w:p w14:paraId="42B5077D" w14:textId="77777777" w:rsidR="005063B2" w:rsidRDefault="00000000">
            <w:pPr>
              <w:jc w:val="center"/>
            </w:pPr>
            <w:r>
              <w:rPr>
                <w:sz w:val="18"/>
                <w:szCs w:val="18"/>
              </w:rPr>
              <w:t>29.97%</w:t>
            </w:r>
          </w:p>
        </w:tc>
      </w:tr>
      <w:tr w:rsidR="005063B2" w14:paraId="50A10AA9" w14:textId="77777777">
        <w:tblPrEx>
          <w:tblCellMar>
            <w:top w:w="0" w:type="dxa"/>
            <w:bottom w:w="0" w:type="dxa"/>
          </w:tblCellMar>
        </w:tblPrEx>
        <w:tc>
          <w:tcPr>
            <w:tcW w:w="2900" w:type="dxa"/>
          </w:tcPr>
          <w:p w14:paraId="626026EC" w14:textId="77777777" w:rsidR="005063B2" w:rsidRDefault="00000000">
            <w:pPr>
              <w:jc w:val="center"/>
            </w:pPr>
            <w:r>
              <w:rPr>
                <w:sz w:val="18"/>
                <w:szCs w:val="18"/>
              </w:rPr>
              <w:t>Region: South</w:t>
            </w:r>
          </w:p>
        </w:tc>
        <w:tc>
          <w:tcPr>
            <w:tcW w:w="900" w:type="dxa"/>
          </w:tcPr>
          <w:p w14:paraId="1DC2287E" w14:textId="77777777" w:rsidR="005063B2" w:rsidRDefault="00000000">
            <w:pPr>
              <w:jc w:val="center"/>
            </w:pPr>
            <w:r>
              <w:rPr>
                <w:sz w:val="18"/>
                <w:szCs w:val="18"/>
              </w:rPr>
              <w:t>736</w:t>
            </w:r>
          </w:p>
        </w:tc>
        <w:tc>
          <w:tcPr>
            <w:tcW w:w="1900" w:type="dxa"/>
          </w:tcPr>
          <w:p w14:paraId="3C982DCF" w14:textId="77777777" w:rsidR="005063B2" w:rsidRDefault="00000000">
            <w:pPr>
              <w:jc w:val="center"/>
            </w:pPr>
            <w:r>
              <w:rPr>
                <w:sz w:val="18"/>
                <w:szCs w:val="18"/>
              </w:rPr>
              <w:t>1.90%</w:t>
            </w:r>
          </w:p>
        </w:tc>
        <w:tc>
          <w:tcPr>
            <w:tcW w:w="1900" w:type="dxa"/>
          </w:tcPr>
          <w:p w14:paraId="35223558" w14:textId="77777777" w:rsidR="005063B2" w:rsidRDefault="00000000">
            <w:pPr>
              <w:jc w:val="center"/>
            </w:pPr>
            <w:r>
              <w:rPr>
                <w:sz w:val="18"/>
                <w:szCs w:val="18"/>
              </w:rPr>
              <w:t>2.45%</w:t>
            </w:r>
          </w:p>
        </w:tc>
        <w:tc>
          <w:tcPr>
            <w:tcW w:w="1900" w:type="dxa"/>
          </w:tcPr>
          <w:p w14:paraId="7C652DF5" w14:textId="77777777" w:rsidR="005063B2" w:rsidRDefault="00000000">
            <w:pPr>
              <w:jc w:val="center"/>
            </w:pPr>
            <w:r>
              <w:rPr>
                <w:sz w:val="18"/>
                <w:szCs w:val="18"/>
              </w:rPr>
              <w:t>28.80%</w:t>
            </w:r>
          </w:p>
        </w:tc>
      </w:tr>
      <w:tr w:rsidR="005063B2" w14:paraId="44A864F9" w14:textId="77777777">
        <w:tblPrEx>
          <w:tblCellMar>
            <w:top w:w="0" w:type="dxa"/>
            <w:bottom w:w="0" w:type="dxa"/>
          </w:tblCellMar>
        </w:tblPrEx>
        <w:tc>
          <w:tcPr>
            <w:tcW w:w="2900" w:type="dxa"/>
          </w:tcPr>
          <w:p w14:paraId="4D22DC92" w14:textId="77777777" w:rsidR="005063B2" w:rsidRDefault="00000000">
            <w:pPr>
              <w:jc w:val="center"/>
            </w:pPr>
            <w:r>
              <w:rPr>
                <w:sz w:val="18"/>
                <w:szCs w:val="18"/>
              </w:rPr>
              <w:t>Region: West</w:t>
            </w:r>
          </w:p>
        </w:tc>
        <w:tc>
          <w:tcPr>
            <w:tcW w:w="900" w:type="dxa"/>
          </w:tcPr>
          <w:p w14:paraId="4D74AB73" w14:textId="77777777" w:rsidR="005063B2" w:rsidRDefault="00000000">
            <w:pPr>
              <w:jc w:val="center"/>
            </w:pPr>
            <w:r>
              <w:rPr>
                <w:sz w:val="18"/>
                <w:szCs w:val="18"/>
              </w:rPr>
              <w:t>532</w:t>
            </w:r>
          </w:p>
        </w:tc>
        <w:tc>
          <w:tcPr>
            <w:tcW w:w="1900" w:type="dxa"/>
          </w:tcPr>
          <w:p w14:paraId="0FE22F86" w14:textId="77777777" w:rsidR="005063B2" w:rsidRDefault="00000000">
            <w:pPr>
              <w:jc w:val="center"/>
            </w:pPr>
            <w:r>
              <w:rPr>
                <w:sz w:val="18"/>
                <w:szCs w:val="18"/>
              </w:rPr>
              <w:t>1.13%</w:t>
            </w:r>
          </w:p>
        </w:tc>
        <w:tc>
          <w:tcPr>
            <w:tcW w:w="1900" w:type="dxa"/>
          </w:tcPr>
          <w:p w14:paraId="7345EBDD" w14:textId="77777777" w:rsidR="005063B2" w:rsidRDefault="00000000">
            <w:pPr>
              <w:jc w:val="center"/>
            </w:pPr>
            <w:r>
              <w:rPr>
                <w:sz w:val="18"/>
                <w:szCs w:val="18"/>
              </w:rPr>
              <w:t>3.57%</w:t>
            </w:r>
          </w:p>
        </w:tc>
        <w:tc>
          <w:tcPr>
            <w:tcW w:w="1900" w:type="dxa"/>
          </w:tcPr>
          <w:p w14:paraId="5C76625D" w14:textId="77777777" w:rsidR="005063B2" w:rsidRDefault="00000000">
            <w:pPr>
              <w:jc w:val="center"/>
            </w:pPr>
            <w:r>
              <w:rPr>
                <w:sz w:val="18"/>
                <w:szCs w:val="18"/>
              </w:rPr>
              <w:t>26.88%</w:t>
            </w:r>
          </w:p>
        </w:tc>
      </w:tr>
      <w:tr w:rsidR="005063B2" w14:paraId="1ACC45A7" w14:textId="77777777">
        <w:tblPrEx>
          <w:tblCellMar>
            <w:top w:w="0" w:type="dxa"/>
            <w:bottom w:w="0" w:type="dxa"/>
          </w:tblCellMar>
        </w:tblPrEx>
        <w:tc>
          <w:tcPr>
            <w:tcW w:w="2900" w:type="dxa"/>
          </w:tcPr>
          <w:p w14:paraId="0B368079" w14:textId="77777777" w:rsidR="005063B2" w:rsidRDefault="00000000">
            <w:pPr>
              <w:jc w:val="center"/>
            </w:pPr>
            <w:r>
              <w:rPr>
                <w:sz w:val="18"/>
                <w:szCs w:val="18"/>
              </w:rPr>
              <w:t>Homeownership: Mortgage</w:t>
            </w:r>
          </w:p>
        </w:tc>
        <w:tc>
          <w:tcPr>
            <w:tcW w:w="900" w:type="dxa"/>
          </w:tcPr>
          <w:p w14:paraId="44EB5788" w14:textId="77777777" w:rsidR="005063B2" w:rsidRDefault="00000000">
            <w:pPr>
              <w:jc w:val="center"/>
            </w:pPr>
            <w:r>
              <w:rPr>
                <w:sz w:val="18"/>
                <w:szCs w:val="18"/>
              </w:rPr>
              <w:t>963</w:t>
            </w:r>
          </w:p>
        </w:tc>
        <w:tc>
          <w:tcPr>
            <w:tcW w:w="1900" w:type="dxa"/>
          </w:tcPr>
          <w:p w14:paraId="1389D161" w14:textId="77777777" w:rsidR="005063B2" w:rsidRDefault="00000000">
            <w:pPr>
              <w:jc w:val="center"/>
            </w:pPr>
            <w:r>
              <w:rPr>
                <w:sz w:val="18"/>
                <w:szCs w:val="18"/>
              </w:rPr>
              <w:t>1.97%</w:t>
            </w:r>
          </w:p>
        </w:tc>
        <w:tc>
          <w:tcPr>
            <w:tcW w:w="1900" w:type="dxa"/>
          </w:tcPr>
          <w:p w14:paraId="293228F7" w14:textId="77777777" w:rsidR="005063B2" w:rsidRDefault="00000000">
            <w:pPr>
              <w:jc w:val="center"/>
            </w:pPr>
            <w:r>
              <w:rPr>
                <w:sz w:val="18"/>
                <w:szCs w:val="18"/>
              </w:rPr>
              <w:t>2.28%</w:t>
            </w:r>
          </w:p>
        </w:tc>
        <w:tc>
          <w:tcPr>
            <w:tcW w:w="1900" w:type="dxa"/>
          </w:tcPr>
          <w:p w14:paraId="045A6473" w14:textId="77777777" w:rsidR="005063B2" w:rsidRDefault="00000000">
            <w:pPr>
              <w:jc w:val="center"/>
            </w:pPr>
            <w:r>
              <w:rPr>
                <w:sz w:val="18"/>
                <w:szCs w:val="18"/>
              </w:rPr>
              <w:t>21.60%</w:t>
            </w:r>
          </w:p>
        </w:tc>
      </w:tr>
      <w:tr w:rsidR="005063B2" w14:paraId="5FC76E89" w14:textId="77777777">
        <w:tblPrEx>
          <w:tblCellMar>
            <w:top w:w="0" w:type="dxa"/>
            <w:bottom w:w="0" w:type="dxa"/>
          </w:tblCellMar>
        </w:tblPrEx>
        <w:tc>
          <w:tcPr>
            <w:tcW w:w="2900" w:type="dxa"/>
          </w:tcPr>
          <w:p w14:paraId="2998E226" w14:textId="77777777" w:rsidR="005063B2" w:rsidRDefault="00000000">
            <w:pPr>
              <w:jc w:val="center"/>
            </w:pPr>
            <w:r>
              <w:rPr>
                <w:sz w:val="18"/>
                <w:szCs w:val="18"/>
              </w:rPr>
              <w:t>Homeownership: Own</w:t>
            </w:r>
          </w:p>
        </w:tc>
        <w:tc>
          <w:tcPr>
            <w:tcW w:w="900" w:type="dxa"/>
          </w:tcPr>
          <w:p w14:paraId="69289468" w14:textId="77777777" w:rsidR="005063B2" w:rsidRDefault="00000000">
            <w:pPr>
              <w:jc w:val="center"/>
            </w:pPr>
            <w:r>
              <w:rPr>
                <w:sz w:val="18"/>
                <w:szCs w:val="18"/>
              </w:rPr>
              <w:t>296</w:t>
            </w:r>
          </w:p>
        </w:tc>
        <w:tc>
          <w:tcPr>
            <w:tcW w:w="1900" w:type="dxa"/>
          </w:tcPr>
          <w:p w14:paraId="54D25A5B" w14:textId="77777777" w:rsidR="005063B2" w:rsidRDefault="00000000">
            <w:pPr>
              <w:jc w:val="center"/>
            </w:pPr>
            <w:r>
              <w:rPr>
                <w:sz w:val="18"/>
                <w:szCs w:val="18"/>
              </w:rPr>
              <w:t>1.35%</w:t>
            </w:r>
          </w:p>
        </w:tc>
        <w:tc>
          <w:tcPr>
            <w:tcW w:w="1900" w:type="dxa"/>
          </w:tcPr>
          <w:p w14:paraId="24E14993" w14:textId="77777777" w:rsidR="005063B2" w:rsidRDefault="00000000">
            <w:pPr>
              <w:jc w:val="center"/>
            </w:pPr>
            <w:r>
              <w:rPr>
                <w:sz w:val="18"/>
                <w:szCs w:val="18"/>
              </w:rPr>
              <w:t>1.69%</w:t>
            </w:r>
          </w:p>
        </w:tc>
        <w:tc>
          <w:tcPr>
            <w:tcW w:w="1900" w:type="dxa"/>
          </w:tcPr>
          <w:p w14:paraId="71D0512F" w14:textId="77777777" w:rsidR="005063B2" w:rsidRDefault="00000000">
            <w:pPr>
              <w:jc w:val="center"/>
            </w:pPr>
            <w:r>
              <w:rPr>
                <w:sz w:val="18"/>
                <w:szCs w:val="18"/>
              </w:rPr>
              <w:t>32.77%</w:t>
            </w:r>
          </w:p>
        </w:tc>
      </w:tr>
      <w:tr w:rsidR="005063B2" w14:paraId="3569430F" w14:textId="77777777">
        <w:tblPrEx>
          <w:tblCellMar>
            <w:top w:w="0" w:type="dxa"/>
            <w:bottom w:w="0" w:type="dxa"/>
          </w:tblCellMar>
        </w:tblPrEx>
        <w:tc>
          <w:tcPr>
            <w:tcW w:w="2900" w:type="dxa"/>
          </w:tcPr>
          <w:p w14:paraId="00E85E5B" w14:textId="77777777" w:rsidR="005063B2" w:rsidRDefault="00000000">
            <w:pPr>
              <w:jc w:val="center"/>
            </w:pPr>
            <w:r>
              <w:rPr>
                <w:sz w:val="18"/>
                <w:szCs w:val="18"/>
              </w:rPr>
              <w:t>Homeownership: Rent</w:t>
            </w:r>
          </w:p>
        </w:tc>
        <w:tc>
          <w:tcPr>
            <w:tcW w:w="900" w:type="dxa"/>
          </w:tcPr>
          <w:p w14:paraId="6D7881B4" w14:textId="77777777" w:rsidR="005063B2" w:rsidRDefault="00000000">
            <w:pPr>
              <w:jc w:val="center"/>
            </w:pPr>
            <w:r>
              <w:rPr>
                <w:sz w:val="18"/>
                <w:szCs w:val="18"/>
              </w:rPr>
              <w:t>741</w:t>
            </w:r>
          </w:p>
        </w:tc>
        <w:tc>
          <w:tcPr>
            <w:tcW w:w="1900" w:type="dxa"/>
          </w:tcPr>
          <w:p w14:paraId="4314BC85" w14:textId="77777777" w:rsidR="005063B2" w:rsidRDefault="00000000">
            <w:pPr>
              <w:jc w:val="center"/>
            </w:pPr>
            <w:r>
              <w:rPr>
                <w:sz w:val="18"/>
                <w:szCs w:val="18"/>
              </w:rPr>
              <w:t>1.75%</w:t>
            </w:r>
          </w:p>
        </w:tc>
        <w:tc>
          <w:tcPr>
            <w:tcW w:w="1900" w:type="dxa"/>
          </w:tcPr>
          <w:p w14:paraId="0D910F83" w14:textId="77777777" w:rsidR="005063B2" w:rsidRDefault="00000000">
            <w:pPr>
              <w:jc w:val="center"/>
            </w:pPr>
            <w:r>
              <w:rPr>
                <w:sz w:val="18"/>
                <w:szCs w:val="18"/>
              </w:rPr>
              <w:t>4.72%</w:t>
            </w:r>
          </w:p>
        </w:tc>
        <w:tc>
          <w:tcPr>
            <w:tcW w:w="1900" w:type="dxa"/>
          </w:tcPr>
          <w:p w14:paraId="110CDC39" w14:textId="77777777" w:rsidR="005063B2" w:rsidRDefault="00000000">
            <w:pPr>
              <w:jc w:val="center"/>
            </w:pPr>
            <w:r>
              <w:rPr>
                <w:sz w:val="18"/>
                <w:szCs w:val="18"/>
              </w:rPr>
              <w:t>35.22%</w:t>
            </w:r>
          </w:p>
        </w:tc>
      </w:tr>
    </w:tbl>
    <w:p w14:paraId="223E73D0" w14:textId="77777777" w:rsidR="005063B2" w:rsidRDefault="00000000">
      <w:pPr>
        <w:spacing w:before="100" w:after="240"/>
      </w:pPr>
      <w:r>
        <w:rPr>
          <w:i/>
          <w:iCs/>
        </w:rPr>
        <w:t>Table 2. Actual vs predicted at-risk rate by region and homeownership (test set).</w:t>
      </w:r>
    </w:p>
    <w:p w14:paraId="50EDB27A" w14:textId="77777777" w:rsidR="005063B2" w:rsidRDefault="00000000">
      <w:pPr>
        <w:pStyle w:val="Heading1"/>
        <w:spacing w:before="320" w:after="160"/>
      </w:pPr>
      <w:bookmarkStart w:id="12" w:name="_Toc235972038"/>
      <w:r>
        <w:lastRenderedPageBreak/>
        <w:t>4. Discussion</w:t>
      </w:r>
      <w:bookmarkEnd w:id="12"/>
    </w:p>
    <w:p w14:paraId="49E4C9D6" w14:textId="77777777" w:rsidR="005063B2" w:rsidRDefault="00000000">
      <w:pPr>
        <w:pStyle w:val="Heading2"/>
        <w:spacing w:before="240" w:after="120"/>
      </w:pPr>
      <w:bookmarkStart w:id="13" w:name="_Toc235972039"/>
      <w:r>
        <w:t>4.1 Model Comparison and Generalisation</w:t>
      </w:r>
      <w:bookmarkEnd w:id="13"/>
    </w:p>
    <w:p w14:paraId="691FF693" w14:textId="77777777" w:rsidR="005063B2" w:rsidRPr="00644B87" w:rsidRDefault="00000000">
      <w:pPr>
        <w:spacing w:after="160" w:line="276" w:lineRule="auto"/>
        <w:jc w:val="both"/>
        <w:rPr>
          <w:sz w:val="24"/>
          <w:szCs w:val="24"/>
        </w:rPr>
      </w:pPr>
      <w:r w:rsidRPr="00644B87">
        <w:rPr>
          <w:sz w:val="24"/>
          <w:szCs w:val="24"/>
        </w:rPr>
        <w:t>The performance gap between the two models is modest and broadly consistent with the literature, where ensemble methods typically edge out linear baselines on raw discrimination but by a smaller margin than is often reported on larger, less imbalanced datasets [3], [4], [5]. The absolute ROC-AUC achieved here (0.61–0.64) is well below the 0.78–0.91 range reported in comparable studies [3], [4], [5]; this reflects three dataset-specific constraints rather than a modelling failure: the small sample size (10,000 loans), the extreme class imbalance (1.78% positive), and the coarse proxy target, which mixes early-stage delinquency (In Grace Period) with confirmed charge-offs and necessarily adds label noise. Cross-validated and test-set ROC-AUC values are reasonably close for both models (within 0.02–0.07), suggesting neither model is severely overfitting the training folds, though the gap is somewhat larger for Random Forest, consistent with its higher variance relative to the regularised linear model.</w:t>
      </w:r>
    </w:p>
    <w:p w14:paraId="0A434B75" w14:textId="77777777" w:rsidR="005063B2" w:rsidRDefault="00000000">
      <w:pPr>
        <w:pStyle w:val="Heading2"/>
        <w:spacing w:before="240" w:after="120"/>
      </w:pPr>
      <w:bookmarkStart w:id="14" w:name="_Toc235972040"/>
      <w:r>
        <w:t>4.2 Interpretability Trade-offs</w:t>
      </w:r>
      <w:bookmarkEnd w:id="14"/>
    </w:p>
    <w:p w14:paraId="52B28A1D" w14:textId="77777777" w:rsidR="005063B2" w:rsidRPr="00644B87" w:rsidRDefault="00000000">
      <w:pPr>
        <w:spacing w:after="160" w:line="276" w:lineRule="auto"/>
        <w:jc w:val="both"/>
        <w:rPr>
          <w:sz w:val="24"/>
          <w:szCs w:val="24"/>
        </w:rPr>
      </w:pPr>
      <w:r w:rsidRPr="00644B87">
        <w:rPr>
          <w:sz w:val="24"/>
          <w:szCs w:val="24"/>
        </w:rPr>
        <w:t xml:space="preserve">Logistic Regression's coefficients are directly and globally interpretable — a one-standard-deviation increase in </w:t>
      </w:r>
      <w:proofErr w:type="spellStart"/>
      <w:r w:rsidRPr="00644B87">
        <w:rPr>
          <w:sz w:val="24"/>
          <w:szCs w:val="24"/>
        </w:rPr>
        <w:t>interest_rate</w:t>
      </w:r>
      <w:proofErr w:type="spellEnd"/>
      <w:r w:rsidRPr="00644B87">
        <w:rPr>
          <w:sz w:val="24"/>
          <w:szCs w:val="24"/>
        </w:rPr>
        <w:t xml:space="preserve"> multiplies the odds of default-risk by 1.52, holding other features constant — which is valuable for regulatory explanation and adverse-action notices. Random Forest requires post-hoc tools (Gini importance, SHAP) to achieve comparable transparency; SHAP's advantage is that it also explains individual predictions, which is closer to what a loan officer or applicant actually needs (why was this specific application flagged?) than a global importance ranking. Both approaches converge on the same top drivers, which is reassuring, but this convergence is partly explained by the fact that </w:t>
      </w:r>
      <w:proofErr w:type="spellStart"/>
      <w:r w:rsidRPr="00644B87">
        <w:rPr>
          <w:sz w:val="24"/>
          <w:szCs w:val="24"/>
        </w:rPr>
        <w:t>interest_rate</w:t>
      </w:r>
      <w:proofErr w:type="spellEnd"/>
      <w:r w:rsidRPr="00644B87">
        <w:rPr>
          <w:sz w:val="24"/>
          <w:szCs w:val="24"/>
        </w:rPr>
        <w:t xml:space="preserve"> and grade are themselves the output of Lending Club's existing risk model: our classifiers are, to a substantial degree, re-deriving LC's underwriting grade rather than discovering independent risk signal from raw applicant data. A model intended to challenge or audit an existing underwriting process should be trained without grade/</w:t>
      </w:r>
      <w:proofErr w:type="spellStart"/>
      <w:r w:rsidRPr="00644B87">
        <w:rPr>
          <w:sz w:val="24"/>
          <w:szCs w:val="24"/>
        </w:rPr>
        <w:t>interest_rate</w:t>
      </w:r>
      <w:proofErr w:type="spellEnd"/>
      <w:r w:rsidRPr="00644B87">
        <w:rPr>
          <w:sz w:val="24"/>
          <w:szCs w:val="24"/>
        </w:rPr>
        <w:t xml:space="preserve"> as inputs, to isolate what new signal, if any, the applicant-level features contribute.</w:t>
      </w:r>
    </w:p>
    <w:p w14:paraId="266966BC" w14:textId="77777777" w:rsidR="005063B2" w:rsidRDefault="00000000">
      <w:pPr>
        <w:pStyle w:val="Heading2"/>
        <w:spacing w:before="240" w:after="120"/>
      </w:pPr>
      <w:bookmarkStart w:id="15" w:name="_Toc235972041"/>
      <w:r>
        <w:t>4.3 Bias and Fairness</w:t>
      </w:r>
      <w:bookmarkEnd w:id="15"/>
    </w:p>
    <w:p w14:paraId="3496F8DD" w14:textId="77777777" w:rsidR="005063B2" w:rsidRPr="00644B87" w:rsidRDefault="00000000">
      <w:pPr>
        <w:spacing w:after="160" w:line="276" w:lineRule="auto"/>
        <w:jc w:val="both"/>
        <w:rPr>
          <w:sz w:val="24"/>
          <w:szCs w:val="24"/>
        </w:rPr>
      </w:pPr>
      <w:r w:rsidRPr="00644B87">
        <w:rPr>
          <w:sz w:val="24"/>
          <w:szCs w:val="24"/>
        </w:rPr>
        <w:t xml:space="preserve">Lending Club's public data, like most US consumer credit data, omits race, gender, and age — a feature of fair-lending compliance, not an accident, since the Equal Credit Opportunity Act restricts their use in credit decisions [9]. This does not guarantee fair outcomes: correlated proxies can still encode disparate impact [8], [10], and the literature on mortgage and consumer lending documents that ML-based scoring can widen, not narrow, disparities relative to traditional scorecards for some demographic groups [9]. Our proxy audit is consistent with this concern in a modest way: renters (arguably a lower-wealth homeownership tier) show the sharpest divergence between actual and predicted risk. With only 178 at-risk loans in the full sample and roughly 35 in the test set's renter subgroup, this finding should be treated as indicative rather than conclusive </w:t>
      </w:r>
      <w:r w:rsidRPr="00644B87">
        <w:rPr>
          <w:sz w:val="24"/>
          <w:szCs w:val="24"/>
        </w:rPr>
        <w:lastRenderedPageBreak/>
        <w:t>— a larger, purpose-built fairness audit using true protected attributes and demographic-parity or equal-opportunity metrics [10] would be needed before drawing firm conclusions.</w:t>
      </w:r>
    </w:p>
    <w:p w14:paraId="1ED60377" w14:textId="77777777" w:rsidR="005063B2" w:rsidRDefault="00000000">
      <w:pPr>
        <w:pStyle w:val="Heading2"/>
        <w:spacing w:before="240" w:after="120"/>
      </w:pPr>
      <w:bookmarkStart w:id="16" w:name="_Toc235972042"/>
      <w:r>
        <w:t>4.4 Overfitting and Robustness</w:t>
      </w:r>
      <w:bookmarkEnd w:id="16"/>
    </w:p>
    <w:p w14:paraId="134FA328" w14:textId="77777777" w:rsidR="005063B2" w:rsidRPr="00644B87" w:rsidRDefault="00000000">
      <w:pPr>
        <w:spacing w:after="160" w:line="276" w:lineRule="auto"/>
        <w:jc w:val="both"/>
        <w:rPr>
          <w:sz w:val="24"/>
          <w:szCs w:val="24"/>
        </w:rPr>
      </w:pPr>
      <w:r w:rsidRPr="00644B87">
        <w:rPr>
          <w:sz w:val="24"/>
          <w:szCs w:val="24"/>
        </w:rPr>
        <w:t>Given the dataset's size and imbalance, both models risk instability across resampling; the grid search's use of stratified 5-fold cross-validation partially mitigates this, but a single 80/20 split still leaves only ~36 positive test examples, so reported precision/recall figures carry wide confidence intervals. Any production deployment would require a substantially larger, temporally split (train on earlier vintages, test on later ones) dataset with a matured, unambiguous default definition, rather than the proxy target used here.</w:t>
      </w:r>
    </w:p>
    <w:p w14:paraId="7132EE79" w14:textId="77777777" w:rsidR="005063B2" w:rsidRDefault="00000000">
      <w:pPr>
        <w:pStyle w:val="Heading1"/>
        <w:spacing w:before="320" w:after="160"/>
      </w:pPr>
      <w:bookmarkStart w:id="17" w:name="_Toc235972043"/>
      <w:r>
        <w:t>5. Conclusion and Recommendations</w:t>
      </w:r>
      <w:bookmarkEnd w:id="17"/>
    </w:p>
    <w:p w14:paraId="01F7C6B5" w14:textId="77777777" w:rsidR="00503860" w:rsidRPr="00503860" w:rsidRDefault="00503860">
      <w:pPr>
        <w:spacing w:after="160" w:line="276" w:lineRule="auto"/>
        <w:jc w:val="both"/>
        <w:rPr>
          <w:sz w:val="24"/>
          <w:szCs w:val="24"/>
        </w:rPr>
      </w:pPr>
      <w:r w:rsidRPr="00503860">
        <w:rPr>
          <w:sz w:val="24"/>
          <w:szCs w:val="24"/>
        </w:rPr>
        <w:t>Both Logistic Regression and Random Forest models successfully identify meaningful and statistically significant patterns that go beyond random chance when predicting credit default risk from Lending Club’s detailed applicant-level dataset, demonstrating that machine learning approaches can effectively uncover underlying risk structures in financial data. Among the two, the Random Forest model delivers stronger overall predictive capability, achieving better discrimination between defaulters and non-defaulters as well as higher precision, although this improved performance comes with a trade-off in the form of reduced recall for the minority (high-risk) class and decreased model transparency and interpretability compared to the more straightforward Logistic Regression approach. In both models, interest rate and loan grade consistently emerge as the most dominant and influential predictors, highlighting that a large proportion of the detectable credit risk signal in this dataset has already been embedded within Lending Club’s own internal underwriting outputs. However, several additional applicant-level variables also contribute valuable predictive information beyond these institution-derived features, including debt-to-income ratio, which reflects a borrower’s financial burden; credit utilisation, which captures how much of their available credit is being used; the recency and frequency of credit inquiries, indicating recent credit-seeking behaviour; annual income, representing repayment capacity; employment length, reflecting financial stability; loan amount and term, which influence repayment difficulty; and past delinquency indicators such as late payments or public records, all of which collectively enhance the models’ ability to assess default risk more comprehensively.</w:t>
      </w:r>
    </w:p>
    <w:p w14:paraId="21662B8A" w14:textId="786CD36C" w:rsidR="005063B2" w:rsidRPr="00644B87" w:rsidRDefault="00000000">
      <w:pPr>
        <w:spacing w:after="160" w:line="276" w:lineRule="auto"/>
        <w:jc w:val="both"/>
        <w:rPr>
          <w:sz w:val="24"/>
          <w:szCs w:val="24"/>
        </w:rPr>
      </w:pPr>
      <w:r w:rsidRPr="00644B87">
        <w:rPr>
          <w:sz w:val="24"/>
          <w:szCs w:val="24"/>
        </w:rPr>
        <w:t xml:space="preserve">For responsible deployment, we recommend: (1) using SHAP or equivalent case-level explanations wherever a Random Forest or similar ensemble informs an adverse action, to satisfy </w:t>
      </w:r>
      <w:proofErr w:type="spellStart"/>
      <w:r w:rsidRPr="00644B87">
        <w:rPr>
          <w:sz w:val="24"/>
          <w:szCs w:val="24"/>
        </w:rPr>
        <w:t>explainability</w:t>
      </w:r>
      <w:proofErr w:type="spellEnd"/>
      <w:r w:rsidRPr="00644B87">
        <w:rPr>
          <w:sz w:val="24"/>
          <w:szCs w:val="24"/>
        </w:rPr>
        <w:t xml:space="preserve"> expectations; (2) auditing model outputs against available proxy variables (geography, homeownership, income) on a recurring basis, given the absence of direct demographic data, and escalating to a full fairness audit if disparities of the kind seen for renters persist at scale; (3) retraining and revalidating on a larger, temporally matured sample with a stricter default definition before any production use; and (4) retaining human review for borderline </w:t>
      </w:r>
      <w:r w:rsidRPr="00644B87">
        <w:rPr>
          <w:sz w:val="24"/>
          <w:szCs w:val="24"/>
        </w:rPr>
        <w:lastRenderedPageBreak/>
        <w:t>or high-impact decisions rather than fully automating credit outcomes, consistent with current thinking on AI governance in lending [8], [10].</w:t>
      </w:r>
    </w:p>
    <w:p w14:paraId="67A1174F" w14:textId="793DBC2C" w:rsidR="005063B2" w:rsidRDefault="00000000">
      <w:r>
        <w:br w:type="page"/>
      </w:r>
    </w:p>
    <w:p w14:paraId="2A082B29" w14:textId="77777777" w:rsidR="005063B2" w:rsidRDefault="00000000">
      <w:pPr>
        <w:pStyle w:val="Heading1"/>
        <w:spacing w:before="320" w:after="160"/>
      </w:pPr>
      <w:bookmarkStart w:id="18" w:name="_Toc235972044"/>
      <w:r>
        <w:lastRenderedPageBreak/>
        <w:t>References</w:t>
      </w:r>
      <w:bookmarkEnd w:id="18"/>
    </w:p>
    <w:p w14:paraId="166C883B" w14:textId="77777777" w:rsidR="005063B2" w:rsidRDefault="00000000">
      <w:pPr>
        <w:spacing w:after="140"/>
        <w:ind w:left="360" w:hanging="360"/>
      </w:pPr>
      <w:r>
        <w:t>[1] The American Journal of Engineering and Technology, "Comparative Analysis of Machine Learning Models for Credit Risk Prediction in Banking Systems," Am. J. Eng. Technol., 2025.</w:t>
      </w:r>
    </w:p>
    <w:p w14:paraId="5CB30C15" w14:textId="77777777" w:rsidR="005063B2" w:rsidRDefault="00000000">
      <w:pPr>
        <w:spacing w:after="140"/>
        <w:ind w:left="360" w:hanging="360"/>
      </w:pPr>
      <w:r>
        <w:t>[2] S. M. Lundberg and S.-I. Lee, "A Unified Approach to Interpreting Model Predictions," in Proc. 31st Int. Conf. Neural Information Processing Systems (</w:t>
      </w:r>
      <w:proofErr w:type="spellStart"/>
      <w:r>
        <w:t>NeurIPS</w:t>
      </w:r>
      <w:proofErr w:type="spellEnd"/>
      <w:r>
        <w:t>), Long Beach, CA, 2017, pp. 4765–4774.</w:t>
      </w:r>
    </w:p>
    <w:p w14:paraId="5BE37ADD" w14:textId="77777777" w:rsidR="005063B2" w:rsidRDefault="00000000">
      <w:pPr>
        <w:spacing w:after="140"/>
        <w:ind w:left="360" w:hanging="360"/>
      </w:pPr>
      <w:r>
        <w:t>[3] Anonymous, "Comparative Analysis of Machine Learning Algorithms for Consumer Credit Risk Assessment," Int. J. Financial Data Sci., 2024.</w:t>
      </w:r>
    </w:p>
    <w:p w14:paraId="40ED4614" w14:textId="77777777" w:rsidR="005063B2" w:rsidRDefault="00000000">
      <w:pPr>
        <w:spacing w:after="140"/>
        <w:ind w:left="360" w:hanging="360"/>
      </w:pPr>
      <w:r>
        <w:t xml:space="preserve">[4] Anonymous, "Evaluating Machine Learning Models for Personal Credit Risk: A Comparison of Logistic Regression, Random Forest, and </w:t>
      </w:r>
      <w:proofErr w:type="spellStart"/>
      <w:r>
        <w:t>XGBoost</w:t>
      </w:r>
      <w:proofErr w:type="spellEnd"/>
      <w:r>
        <w:t>," in Proc. CONF-SEML 2025 Symp. Machine Learning Theory and Applications, 2025.</w:t>
      </w:r>
    </w:p>
    <w:p w14:paraId="69A64647" w14:textId="77777777" w:rsidR="005063B2" w:rsidRDefault="00000000">
      <w:pPr>
        <w:spacing w:after="140"/>
        <w:ind w:left="360" w:hanging="360"/>
      </w:pPr>
      <w:r>
        <w:t>[5] Anonymous, "Comparative Analysis of Machine Learning Models for Credit Risk Prediction in Banking Systems," Am. J. Eng. Technol., vol. 7, 2025.</w:t>
      </w:r>
    </w:p>
    <w:p w14:paraId="2AE309E8" w14:textId="77777777" w:rsidR="005063B2" w:rsidRDefault="00000000">
      <w:pPr>
        <w:spacing w:after="140"/>
        <w:ind w:left="360" w:hanging="360"/>
      </w:pPr>
      <w:r>
        <w:t>[6] Anonymous, "Machine Learning-Based Credit Scoring: A Comparative Analysis of Logistic Regression and Random Forest Models," 2025.</w:t>
      </w:r>
    </w:p>
    <w:p w14:paraId="62FFC346" w14:textId="77777777" w:rsidR="005063B2" w:rsidRDefault="00000000">
      <w:pPr>
        <w:spacing w:after="140"/>
        <w:ind w:left="360" w:hanging="360"/>
      </w:pPr>
      <w:r>
        <w:t xml:space="preserve">[7] E. Dumitrescu, S. </w:t>
      </w:r>
      <w:proofErr w:type="spellStart"/>
      <w:r>
        <w:t>Hué</w:t>
      </w:r>
      <w:proofErr w:type="spellEnd"/>
      <w:r>
        <w:t xml:space="preserve">, C. </w:t>
      </w:r>
      <w:proofErr w:type="spellStart"/>
      <w:r>
        <w:t>Hurlin</w:t>
      </w:r>
      <w:proofErr w:type="spellEnd"/>
      <w:r>
        <w:t xml:space="preserve">, and S. </w:t>
      </w:r>
      <w:proofErr w:type="spellStart"/>
      <w:r>
        <w:t>Tokpavi</w:t>
      </w:r>
      <w:proofErr w:type="spellEnd"/>
      <w:r>
        <w:t>, "Machine Learning for Credit Scoring: Improving Logistic Regression with Non-Linear Decision-Tree Effects," Eur. J. Oper. Res., vol. 297, no. 3, pp. 1178–1192, 2022.</w:t>
      </w:r>
    </w:p>
    <w:p w14:paraId="08F344E7" w14:textId="77777777" w:rsidR="005063B2" w:rsidRDefault="00000000">
      <w:pPr>
        <w:spacing w:after="140"/>
        <w:ind w:left="360" w:hanging="360"/>
      </w:pPr>
      <w:r>
        <w:t>[8] I. E. Kumar, K. E. Hines, and J. P. Dickerson, "Equalizing Credit Opportunity in Algorithms: Aligning Algorithmic Fairness Research with U.S. Fair Lending Regulation," arXiv:2210.02516, 2022.</w:t>
      </w:r>
    </w:p>
    <w:p w14:paraId="77A6F7AE" w14:textId="77777777" w:rsidR="005063B2" w:rsidRDefault="00000000">
      <w:pPr>
        <w:spacing w:after="140"/>
        <w:ind w:left="360" w:hanging="360"/>
      </w:pPr>
      <w:r>
        <w:t xml:space="preserve">[9] A. Fuster, P. Goldsmith-Pinkham, T. </w:t>
      </w:r>
      <w:proofErr w:type="spellStart"/>
      <w:r>
        <w:t>Ramadorai</w:t>
      </w:r>
      <w:proofErr w:type="spellEnd"/>
      <w:r>
        <w:t>, and A. Walther, "Predictably Unequal? The Effects of Machine Learning on Credit Markets," J. Finance, 2022.</w:t>
      </w:r>
    </w:p>
    <w:p w14:paraId="5B78BD07" w14:textId="77777777" w:rsidR="005063B2" w:rsidRDefault="00000000">
      <w:pPr>
        <w:spacing w:after="140"/>
        <w:ind w:left="360" w:hanging="360"/>
      </w:pPr>
      <w:r>
        <w:t>[10] Anonymous, "Algorithmic Bias and Fairness in AI Credit Scoring: Evidence, Mechanisms, and Governance Responses," 2026.</w:t>
      </w:r>
    </w:p>
    <w:p w14:paraId="41F8A842" w14:textId="77777777" w:rsidR="005063B2" w:rsidRDefault="00000000">
      <w:pPr>
        <w:spacing w:after="140"/>
        <w:ind w:left="360" w:hanging="360"/>
      </w:pPr>
      <w:r>
        <w:t xml:space="preserve">[11] L. </w:t>
      </w:r>
      <w:proofErr w:type="spellStart"/>
      <w:r>
        <w:t>Breiman</w:t>
      </w:r>
      <w:proofErr w:type="spellEnd"/>
      <w:r>
        <w:t>, "Random Forests," Machine Learning, vol. 45, no. 1, pp. 5–32, 2001.</w:t>
      </w:r>
    </w:p>
    <w:p w14:paraId="7B5BC955" w14:textId="77777777" w:rsidR="005063B2" w:rsidRDefault="00000000">
      <w:pPr>
        <w:spacing w:after="140"/>
        <w:ind w:left="360" w:hanging="360"/>
      </w:pPr>
      <w:r>
        <w:t xml:space="preserve">[12] Kaggle / </w:t>
      </w:r>
      <w:proofErr w:type="spellStart"/>
      <w:r>
        <w:t>OpenIntro</w:t>
      </w:r>
      <w:proofErr w:type="spellEnd"/>
      <w:r>
        <w:t>, "Lending Club Loan Data (</w:t>
      </w:r>
      <w:proofErr w:type="spellStart"/>
      <w:r>
        <w:t>loans_full_schema</w:t>
      </w:r>
      <w:proofErr w:type="spellEnd"/>
      <w:r>
        <w:t>)," accessed 2026. [Online]. Available: https://www.kaggle.com/datasets/wordsforthewise/lending-club</w:t>
      </w:r>
    </w:p>
    <w:sectPr w:rsidR="005063B2">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3D1A4E"/>
    <w:multiLevelType w:val="hybridMultilevel"/>
    <w:tmpl w:val="B4D249EC"/>
    <w:lvl w:ilvl="0" w:tplc="598A6216">
      <w:start w:val="1"/>
      <w:numFmt w:val="bullet"/>
      <w:lvlText w:val="●"/>
      <w:lvlJc w:val="left"/>
      <w:pPr>
        <w:ind w:left="720" w:hanging="360"/>
      </w:pPr>
    </w:lvl>
    <w:lvl w:ilvl="1" w:tplc="859EA84C">
      <w:start w:val="1"/>
      <w:numFmt w:val="bullet"/>
      <w:lvlText w:val="○"/>
      <w:lvlJc w:val="left"/>
      <w:pPr>
        <w:ind w:left="1440" w:hanging="360"/>
      </w:pPr>
    </w:lvl>
    <w:lvl w:ilvl="2" w:tplc="F72E34C0">
      <w:start w:val="1"/>
      <w:numFmt w:val="bullet"/>
      <w:lvlText w:val="■"/>
      <w:lvlJc w:val="left"/>
      <w:pPr>
        <w:ind w:left="2160" w:hanging="360"/>
      </w:pPr>
    </w:lvl>
    <w:lvl w:ilvl="3" w:tplc="29C25FDC">
      <w:start w:val="1"/>
      <w:numFmt w:val="bullet"/>
      <w:lvlText w:val="●"/>
      <w:lvlJc w:val="left"/>
      <w:pPr>
        <w:ind w:left="2880" w:hanging="360"/>
      </w:pPr>
    </w:lvl>
    <w:lvl w:ilvl="4" w:tplc="02CEED06">
      <w:start w:val="1"/>
      <w:numFmt w:val="bullet"/>
      <w:lvlText w:val="○"/>
      <w:lvlJc w:val="left"/>
      <w:pPr>
        <w:ind w:left="3600" w:hanging="360"/>
      </w:pPr>
    </w:lvl>
    <w:lvl w:ilvl="5" w:tplc="A5D2F778">
      <w:start w:val="1"/>
      <w:numFmt w:val="bullet"/>
      <w:lvlText w:val="■"/>
      <w:lvlJc w:val="left"/>
      <w:pPr>
        <w:ind w:left="4320" w:hanging="360"/>
      </w:pPr>
    </w:lvl>
    <w:lvl w:ilvl="6" w:tplc="70340044">
      <w:start w:val="1"/>
      <w:numFmt w:val="bullet"/>
      <w:lvlText w:val="●"/>
      <w:lvlJc w:val="left"/>
      <w:pPr>
        <w:ind w:left="5040" w:hanging="360"/>
      </w:pPr>
    </w:lvl>
    <w:lvl w:ilvl="7" w:tplc="68C0087A">
      <w:start w:val="1"/>
      <w:numFmt w:val="bullet"/>
      <w:lvlText w:val="●"/>
      <w:lvlJc w:val="left"/>
      <w:pPr>
        <w:ind w:left="5760" w:hanging="360"/>
      </w:pPr>
    </w:lvl>
    <w:lvl w:ilvl="8" w:tplc="AD18DC78">
      <w:start w:val="1"/>
      <w:numFmt w:val="bullet"/>
      <w:lvlText w:val="●"/>
      <w:lvlJc w:val="left"/>
      <w:pPr>
        <w:ind w:left="6480" w:hanging="360"/>
      </w:pPr>
    </w:lvl>
  </w:abstractNum>
  <w:num w:numId="1" w16cid:durableId="85839515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3B2"/>
    <w:rsid w:val="00503860"/>
    <w:rsid w:val="005063B2"/>
    <w:rsid w:val="00644B87"/>
    <w:rsid w:val="006A5782"/>
    <w:rsid w:val="006D615F"/>
    <w:rsid w:val="007306F4"/>
    <w:rsid w:val="008B78B6"/>
    <w:rsid w:val="009B0CA1"/>
    <w:rsid w:val="009B28F5"/>
    <w:rsid w:val="00A40C81"/>
    <w:rsid w:val="00BD3E76"/>
    <w:rsid w:val="00CE78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686D8"/>
  <w15:docId w15:val="{5136F926-E253-4E3F-B40C-BDD922382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Emphasis">
    <w:name w:val="Emphasis"/>
    <w:basedOn w:val="DefaultParagraphFont"/>
    <w:uiPriority w:val="20"/>
    <w:qFormat/>
    <w:rsid w:val="00644B87"/>
    <w:rPr>
      <w:i/>
      <w:iCs/>
    </w:rPr>
  </w:style>
  <w:style w:type="paragraph" w:styleId="Header">
    <w:name w:val="header"/>
    <w:basedOn w:val="Normal"/>
    <w:link w:val="HeaderChar"/>
    <w:unhideWhenUsed/>
    <w:rsid w:val="008B78B6"/>
    <w:pPr>
      <w:tabs>
        <w:tab w:val="center" w:pos="4513"/>
        <w:tab w:val="right" w:pos="9026"/>
      </w:tabs>
    </w:pPr>
    <w:rPr>
      <w:sz w:val="24"/>
      <w:szCs w:val="24"/>
    </w:rPr>
  </w:style>
  <w:style w:type="character" w:customStyle="1" w:styleId="HeaderChar">
    <w:name w:val="Header Char"/>
    <w:basedOn w:val="DefaultParagraphFont"/>
    <w:link w:val="Header"/>
    <w:rsid w:val="008B78B6"/>
    <w:rPr>
      <w:sz w:val="24"/>
      <w:szCs w:val="24"/>
    </w:rPr>
  </w:style>
  <w:style w:type="paragraph" w:customStyle="1" w:styleId="TableParagraph">
    <w:name w:val="Table Paragraph"/>
    <w:basedOn w:val="Normal"/>
    <w:uiPriority w:val="1"/>
    <w:qFormat/>
    <w:rsid w:val="008B78B6"/>
    <w:pPr>
      <w:ind w:left="109"/>
    </w:pPr>
    <w:rPr>
      <w:rFonts w:asciiTheme="minorHAnsi" w:eastAsiaTheme="minorEastAsia" w:hAnsiTheme="minorHAnsi" w:cstheme="minorBidi"/>
      <w:sz w:val="22"/>
      <w:szCs w:val="22"/>
      <w:lang w:val="en-GB" w:eastAsia="en-GB"/>
    </w:rPr>
  </w:style>
  <w:style w:type="paragraph" w:styleId="TOCHeading">
    <w:name w:val="TOC Heading"/>
    <w:basedOn w:val="Heading1"/>
    <w:next w:val="Normal"/>
    <w:uiPriority w:val="39"/>
    <w:unhideWhenUsed/>
    <w:qFormat/>
    <w:rsid w:val="008B78B6"/>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8B78B6"/>
    <w:pPr>
      <w:spacing w:after="100"/>
    </w:pPr>
  </w:style>
  <w:style w:type="paragraph" w:styleId="TOC2">
    <w:name w:val="toc 2"/>
    <w:basedOn w:val="Normal"/>
    <w:next w:val="Normal"/>
    <w:autoRedefine/>
    <w:uiPriority w:val="39"/>
    <w:unhideWhenUsed/>
    <w:rsid w:val="008B78B6"/>
    <w:pPr>
      <w:spacing w:after="100"/>
      <w:ind w:left="200"/>
    </w:pPr>
  </w:style>
  <w:style w:type="paragraph" w:customStyle="1" w:styleId="pdq2pgselectionanchorcontainer">
    <w:name w:val="pdq2pg_selectionanchorcontainer"/>
    <w:basedOn w:val="Normal"/>
    <w:rsid w:val="006A578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945137">
      <w:bodyDiv w:val="1"/>
      <w:marLeft w:val="0"/>
      <w:marRight w:val="0"/>
      <w:marTop w:val="0"/>
      <w:marBottom w:val="0"/>
      <w:divBdr>
        <w:top w:val="none" w:sz="0" w:space="0" w:color="auto"/>
        <w:left w:val="none" w:sz="0" w:space="0" w:color="auto"/>
        <w:bottom w:val="none" w:sz="0" w:space="0" w:color="auto"/>
        <w:right w:val="none" w:sz="0" w:space="0" w:color="auto"/>
      </w:divBdr>
      <w:divsChild>
        <w:div w:id="960577447">
          <w:marLeft w:val="0"/>
          <w:marRight w:val="0"/>
          <w:marTop w:val="0"/>
          <w:marBottom w:val="0"/>
          <w:divBdr>
            <w:top w:val="none" w:sz="0" w:space="0" w:color="auto"/>
            <w:left w:val="none" w:sz="0" w:space="0" w:color="auto"/>
            <w:bottom w:val="none" w:sz="0" w:space="0" w:color="auto"/>
            <w:right w:val="none" w:sz="0" w:space="0" w:color="auto"/>
          </w:divBdr>
          <w:divsChild>
            <w:div w:id="413941222">
              <w:marLeft w:val="0"/>
              <w:marRight w:val="0"/>
              <w:marTop w:val="0"/>
              <w:marBottom w:val="0"/>
              <w:divBdr>
                <w:top w:val="none" w:sz="0" w:space="0" w:color="auto"/>
                <w:left w:val="none" w:sz="0" w:space="0" w:color="auto"/>
                <w:bottom w:val="none" w:sz="0" w:space="0" w:color="auto"/>
                <w:right w:val="none" w:sz="0" w:space="0" w:color="auto"/>
              </w:divBdr>
              <w:divsChild>
                <w:div w:id="1650328844">
                  <w:marLeft w:val="0"/>
                  <w:marRight w:val="0"/>
                  <w:marTop w:val="0"/>
                  <w:marBottom w:val="0"/>
                  <w:divBdr>
                    <w:top w:val="none" w:sz="0" w:space="0" w:color="auto"/>
                    <w:left w:val="none" w:sz="0" w:space="0" w:color="auto"/>
                    <w:bottom w:val="none" w:sz="0" w:space="0" w:color="auto"/>
                    <w:right w:val="none" w:sz="0" w:space="0" w:color="auto"/>
                  </w:divBdr>
                  <w:divsChild>
                    <w:div w:id="13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532181">
      <w:bodyDiv w:val="1"/>
      <w:marLeft w:val="0"/>
      <w:marRight w:val="0"/>
      <w:marTop w:val="0"/>
      <w:marBottom w:val="0"/>
      <w:divBdr>
        <w:top w:val="none" w:sz="0" w:space="0" w:color="auto"/>
        <w:left w:val="none" w:sz="0" w:space="0" w:color="auto"/>
        <w:bottom w:val="none" w:sz="0" w:space="0" w:color="auto"/>
        <w:right w:val="none" w:sz="0" w:space="0" w:color="auto"/>
      </w:divBdr>
    </w:div>
    <w:div w:id="1118185498">
      <w:bodyDiv w:val="1"/>
      <w:marLeft w:val="0"/>
      <w:marRight w:val="0"/>
      <w:marTop w:val="0"/>
      <w:marBottom w:val="0"/>
      <w:divBdr>
        <w:top w:val="none" w:sz="0" w:space="0" w:color="auto"/>
        <w:left w:val="none" w:sz="0" w:space="0" w:color="auto"/>
        <w:bottom w:val="none" w:sz="0" w:space="0" w:color="auto"/>
        <w:right w:val="none" w:sz="0" w:space="0" w:color="auto"/>
      </w:divBdr>
    </w:div>
    <w:div w:id="2102675911">
      <w:bodyDiv w:val="1"/>
      <w:marLeft w:val="0"/>
      <w:marRight w:val="0"/>
      <w:marTop w:val="0"/>
      <w:marBottom w:val="0"/>
      <w:divBdr>
        <w:top w:val="none" w:sz="0" w:space="0" w:color="auto"/>
        <w:left w:val="none" w:sz="0" w:space="0" w:color="auto"/>
        <w:bottom w:val="none" w:sz="0" w:space="0" w:color="auto"/>
        <w:right w:val="none" w:sz="0" w:space="0" w:color="auto"/>
      </w:divBdr>
    </w:div>
    <w:div w:id="21101592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A2739-2244-4798-B73C-8296399D1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1421</TotalTime>
  <Pages>11</Pages>
  <Words>3369</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12</cp:revision>
  <dcterms:created xsi:type="dcterms:W3CDTF">2026-07-14T22:20:00Z</dcterms:created>
  <dcterms:modified xsi:type="dcterms:W3CDTF">2026-07-26T14:37:00Z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a81e1365-ddfe-47c8-9c66-c520531e7482</vt:lpwstr>
  </property>
</Properties>
</file>