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0C273B" w14:textId="77777777" w:rsidR="00CB4B53" w:rsidRPr="005110B7" w:rsidRDefault="008E434B" w:rsidP="005110B7">
      <w:pPr>
        <w:pStyle w:val="NoSpacing"/>
        <w:rPr>
          <w:sz w:val="32"/>
        </w:rPr>
      </w:pPr>
      <w:r w:rsidRPr="005110B7">
        <w:rPr>
          <w:sz w:val="32"/>
        </w:rPr>
        <w:t>The Enquiring Teacher</w:t>
      </w:r>
    </w:p>
    <w:p w14:paraId="0E49CC9E" w14:textId="77777777" w:rsidR="005110B7" w:rsidRPr="005110B7" w:rsidRDefault="005110B7" w:rsidP="005110B7">
      <w:pPr>
        <w:pStyle w:val="NoSpacing"/>
        <w:rPr>
          <w:sz w:val="32"/>
        </w:rPr>
      </w:pPr>
      <w:r w:rsidRPr="005110B7">
        <w:rPr>
          <w:sz w:val="32"/>
        </w:rPr>
        <w:t>ECPP7001</w:t>
      </w:r>
      <w:r w:rsidRPr="005110B7">
        <w:rPr>
          <w:sz w:val="32"/>
        </w:rPr>
        <w:tab/>
      </w:r>
    </w:p>
    <w:p w14:paraId="403B7622" w14:textId="77777777" w:rsidR="008E434B" w:rsidRPr="005110B7" w:rsidRDefault="008E434B" w:rsidP="005110B7">
      <w:pPr>
        <w:pStyle w:val="NoSpacing"/>
        <w:spacing w:line="360" w:lineRule="auto"/>
        <w:rPr>
          <w:sz w:val="28"/>
        </w:rPr>
      </w:pPr>
    </w:p>
    <w:p w14:paraId="442FBAB0" w14:textId="77777777" w:rsidR="005110B7" w:rsidRDefault="005110B7" w:rsidP="005110B7">
      <w:pPr>
        <w:pStyle w:val="NoSpacing"/>
        <w:spacing w:line="360" w:lineRule="auto"/>
        <w:rPr>
          <w:sz w:val="28"/>
        </w:rPr>
      </w:pPr>
    </w:p>
    <w:p w14:paraId="7619BE96" w14:textId="77777777" w:rsidR="00BE0180" w:rsidRDefault="00BE0180" w:rsidP="005110B7">
      <w:pPr>
        <w:pStyle w:val="NoSpacing"/>
        <w:spacing w:line="360" w:lineRule="auto"/>
        <w:rPr>
          <w:sz w:val="28"/>
        </w:rPr>
      </w:pPr>
    </w:p>
    <w:p w14:paraId="54B179BA" w14:textId="77777777" w:rsidR="00BE0180" w:rsidRPr="005110B7" w:rsidRDefault="00BE0180" w:rsidP="005110B7">
      <w:pPr>
        <w:pStyle w:val="NoSpacing"/>
        <w:spacing w:line="360" w:lineRule="auto"/>
        <w:rPr>
          <w:sz w:val="28"/>
        </w:rPr>
      </w:pPr>
    </w:p>
    <w:p w14:paraId="3797AA84" w14:textId="77777777" w:rsidR="005110B7" w:rsidRPr="005110B7" w:rsidRDefault="005110B7" w:rsidP="005110B7">
      <w:pPr>
        <w:pStyle w:val="NoSpacing"/>
        <w:spacing w:line="360" w:lineRule="auto"/>
        <w:rPr>
          <w:sz w:val="28"/>
        </w:rPr>
      </w:pPr>
    </w:p>
    <w:p w14:paraId="50754A8A" w14:textId="77777777" w:rsidR="005110B7" w:rsidRPr="005110B7" w:rsidRDefault="005110B7" w:rsidP="005110B7">
      <w:pPr>
        <w:pStyle w:val="NoSpacing"/>
        <w:spacing w:line="360" w:lineRule="auto"/>
        <w:rPr>
          <w:sz w:val="28"/>
        </w:rPr>
      </w:pPr>
    </w:p>
    <w:p w14:paraId="3EB98000" w14:textId="77777777" w:rsidR="005110B7" w:rsidRPr="005110B7" w:rsidRDefault="005110B7" w:rsidP="005110B7">
      <w:pPr>
        <w:pStyle w:val="NoSpacing"/>
        <w:spacing w:line="360" w:lineRule="auto"/>
        <w:rPr>
          <w:sz w:val="28"/>
        </w:rPr>
      </w:pPr>
    </w:p>
    <w:p w14:paraId="6D70611B" w14:textId="77777777" w:rsidR="005110B7" w:rsidRPr="005110B7" w:rsidRDefault="005110B7" w:rsidP="005110B7">
      <w:pPr>
        <w:pStyle w:val="NoSpacing"/>
        <w:spacing w:line="360" w:lineRule="auto"/>
        <w:rPr>
          <w:sz w:val="28"/>
        </w:rPr>
      </w:pPr>
    </w:p>
    <w:p w14:paraId="0B4A323C" w14:textId="4E95ED55" w:rsidR="005110B7" w:rsidRPr="00BD4250" w:rsidRDefault="005110B7" w:rsidP="005110B7">
      <w:pPr>
        <w:spacing w:line="360" w:lineRule="auto"/>
        <w:jc w:val="center"/>
        <w:rPr>
          <w:b/>
          <w:sz w:val="40"/>
        </w:rPr>
      </w:pPr>
      <w:r w:rsidRPr="00BD4250">
        <w:rPr>
          <w:b/>
          <w:sz w:val="40"/>
        </w:rPr>
        <w:t xml:space="preserve">Does a </w:t>
      </w:r>
      <w:r w:rsidR="00EE1FBA">
        <w:rPr>
          <w:b/>
          <w:sz w:val="40"/>
        </w:rPr>
        <w:t>M</w:t>
      </w:r>
      <w:r w:rsidRPr="00BD4250">
        <w:rPr>
          <w:b/>
          <w:sz w:val="40"/>
        </w:rPr>
        <w:t>ini-</w:t>
      </w:r>
      <w:r w:rsidR="00EE1FBA">
        <w:rPr>
          <w:b/>
          <w:sz w:val="40"/>
        </w:rPr>
        <w:t>P</w:t>
      </w:r>
      <w:r w:rsidRPr="00BD4250">
        <w:rPr>
          <w:b/>
          <w:sz w:val="40"/>
        </w:rPr>
        <w:t xml:space="preserve">lenary </w:t>
      </w:r>
      <w:r w:rsidR="00EE1FBA">
        <w:rPr>
          <w:b/>
          <w:sz w:val="40"/>
        </w:rPr>
        <w:t>Mid W</w:t>
      </w:r>
      <w:r w:rsidRPr="00BD4250">
        <w:rPr>
          <w:b/>
          <w:sz w:val="40"/>
        </w:rPr>
        <w:t xml:space="preserve">ay </w:t>
      </w:r>
      <w:r w:rsidR="00EE1FBA">
        <w:rPr>
          <w:b/>
          <w:sz w:val="40"/>
        </w:rPr>
        <w:t>T</w:t>
      </w:r>
      <w:r w:rsidRPr="00BD4250">
        <w:rPr>
          <w:b/>
          <w:sz w:val="40"/>
        </w:rPr>
        <w:t xml:space="preserve">hrough a </w:t>
      </w:r>
      <w:r w:rsidR="00EE1FBA">
        <w:rPr>
          <w:b/>
          <w:sz w:val="40"/>
        </w:rPr>
        <w:t>L</w:t>
      </w:r>
      <w:r w:rsidRPr="00BD4250">
        <w:rPr>
          <w:b/>
          <w:sz w:val="40"/>
        </w:rPr>
        <w:t xml:space="preserve">esson </w:t>
      </w:r>
      <w:r w:rsidR="00EE1FBA">
        <w:rPr>
          <w:b/>
          <w:sz w:val="40"/>
        </w:rPr>
        <w:t>I</w:t>
      </w:r>
      <w:r w:rsidR="00191FD6">
        <w:rPr>
          <w:b/>
          <w:sz w:val="40"/>
        </w:rPr>
        <w:t xml:space="preserve">mprove </w:t>
      </w:r>
      <w:r w:rsidR="00EE1FBA">
        <w:rPr>
          <w:b/>
          <w:sz w:val="40"/>
        </w:rPr>
        <w:t>P</w:t>
      </w:r>
      <w:r w:rsidR="00CB2B63">
        <w:rPr>
          <w:b/>
          <w:sz w:val="40"/>
        </w:rPr>
        <w:t>upil</w:t>
      </w:r>
      <w:r w:rsidR="00191FD6">
        <w:rPr>
          <w:b/>
          <w:sz w:val="40"/>
        </w:rPr>
        <w:t xml:space="preserve"> </w:t>
      </w:r>
      <w:r w:rsidR="00EE1FBA">
        <w:rPr>
          <w:b/>
          <w:sz w:val="40"/>
        </w:rPr>
        <w:t>I</w:t>
      </w:r>
      <w:r w:rsidR="00191FD6">
        <w:rPr>
          <w:b/>
          <w:sz w:val="40"/>
        </w:rPr>
        <w:t xml:space="preserve">nvolvement in a Key Stage 2 </w:t>
      </w:r>
      <w:r w:rsidR="00EE1FBA">
        <w:rPr>
          <w:b/>
          <w:sz w:val="40"/>
        </w:rPr>
        <w:t>Cl</w:t>
      </w:r>
      <w:r w:rsidR="00191FD6">
        <w:rPr>
          <w:b/>
          <w:sz w:val="40"/>
        </w:rPr>
        <w:t>assroom?</w:t>
      </w:r>
    </w:p>
    <w:p w14:paraId="3875F127" w14:textId="77777777" w:rsidR="005110B7" w:rsidRPr="005110B7" w:rsidRDefault="005110B7" w:rsidP="005110B7">
      <w:pPr>
        <w:pStyle w:val="NoSpacing"/>
        <w:spacing w:line="360" w:lineRule="auto"/>
        <w:jc w:val="center"/>
        <w:rPr>
          <w:sz w:val="28"/>
        </w:rPr>
      </w:pPr>
    </w:p>
    <w:p w14:paraId="1FB13857" w14:textId="77777777" w:rsidR="005110B7" w:rsidRPr="005110B7" w:rsidRDefault="005110B7" w:rsidP="005110B7">
      <w:pPr>
        <w:pStyle w:val="NoSpacing"/>
        <w:spacing w:line="360" w:lineRule="auto"/>
        <w:jc w:val="center"/>
        <w:rPr>
          <w:sz w:val="28"/>
        </w:rPr>
      </w:pPr>
    </w:p>
    <w:p w14:paraId="6CCB2CE8" w14:textId="77777777" w:rsidR="005110B7" w:rsidRPr="005110B7" w:rsidRDefault="005110B7" w:rsidP="005110B7">
      <w:pPr>
        <w:pStyle w:val="NoSpacing"/>
        <w:spacing w:line="360" w:lineRule="auto"/>
        <w:rPr>
          <w:sz w:val="28"/>
        </w:rPr>
      </w:pPr>
    </w:p>
    <w:p w14:paraId="4986AF2D" w14:textId="77777777" w:rsidR="005110B7" w:rsidRPr="005110B7" w:rsidRDefault="005110B7" w:rsidP="00BE0180">
      <w:pPr>
        <w:pStyle w:val="NoSpacing"/>
        <w:spacing w:line="360" w:lineRule="auto"/>
        <w:rPr>
          <w:sz w:val="28"/>
        </w:rPr>
      </w:pPr>
    </w:p>
    <w:p w14:paraId="4EFB2498" w14:textId="13B54B64" w:rsidR="005110B7" w:rsidRPr="005110B7" w:rsidRDefault="005A50C2" w:rsidP="005110B7">
      <w:pPr>
        <w:pStyle w:val="NoSpacing"/>
        <w:spacing w:line="360" w:lineRule="auto"/>
        <w:jc w:val="center"/>
        <w:rPr>
          <w:sz w:val="28"/>
        </w:rPr>
      </w:pPr>
      <w:r>
        <w:rPr>
          <w:sz w:val="28"/>
        </w:rPr>
        <w:t>Word Count: 6290</w:t>
      </w:r>
      <w:bookmarkStart w:id="0" w:name="_GoBack"/>
      <w:bookmarkEnd w:id="0"/>
    </w:p>
    <w:p w14:paraId="13B7AD7E" w14:textId="77777777" w:rsidR="005110B7" w:rsidRDefault="005110B7" w:rsidP="005110B7">
      <w:pPr>
        <w:pStyle w:val="NoSpacing"/>
        <w:spacing w:line="360" w:lineRule="auto"/>
        <w:rPr>
          <w:sz w:val="28"/>
        </w:rPr>
      </w:pPr>
    </w:p>
    <w:p w14:paraId="08877F30" w14:textId="77777777" w:rsidR="005110B7" w:rsidRPr="005110B7" w:rsidRDefault="005110B7" w:rsidP="005110B7">
      <w:pPr>
        <w:pStyle w:val="NoSpacing"/>
        <w:spacing w:line="360" w:lineRule="auto"/>
        <w:jc w:val="center"/>
        <w:rPr>
          <w:sz w:val="28"/>
        </w:rPr>
      </w:pPr>
    </w:p>
    <w:p w14:paraId="512701B2" w14:textId="77777777" w:rsidR="005110B7" w:rsidRPr="005110B7" w:rsidRDefault="005110B7" w:rsidP="005110B7">
      <w:pPr>
        <w:pStyle w:val="NoSpacing"/>
        <w:spacing w:line="360" w:lineRule="auto"/>
        <w:jc w:val="center"/>
        <w:rPr>
          <w:sz w:val="28"/>
        </w:rPr>
      </w:pPr>
    </w:p>
    <w:p w14:paraId="6078D869" w14:textId="77777777" w:rsidR="005110B7" w:rsidRDefault="005110B7" w:rsidP="005110B7">
      <w:pPr>
        <w:pStyle w:val="NoSpacing"/>
        <w:spacing w:line="360" w:lineRule="auto"/>
        <w:jc w:val="center"/>
        <w:rPr>
          <w:sz w:val="36"/>
        </w:rPr>
      </w:pPr>
      <w:r w:rsidRPr="005110B7">
        <w:rPr>
          <w:sz w:val="36"/>
        </w:rPr>
        <w:t>Harriet Thomas</w:t>
      </w:r>
    </w:p>
    <w:p w14:paraId="171330AE" w14:textId="77777777" w:rsidR="00F970F3" w:rsidRPr="00F970F3" w:rsidRDefault="00724A99" w:rsidP="005110B7">
      <w:pPr>
        <w:pStyle w:val="NoSpacing"/>
        <w:spacing w:line="360" w:lineRule="auto"/>
        <w:jc w:val="center"/>
        <w:rPr>
          <w:sz w:val="32"/>
        </w:rPr>
      </w:pPr>
      <w:r>
        <w:rPr>
          <w:sz w:val="32"/>
        </w:rPr>
        <w:t>Research Partner: Kelly Price</w:t>
      </w:r>
    </w:p>
    <w:p w14:paraId="563F3257" w14:textId="77777777" w:rsidR="005110B7" w:rsidRPr="005110B7" w:rsidRDefault="005110B7" w:rsidP="005110B7">
      <w:pPr>
        <w:pStyle w:val="NoSpacing"/>
        <w:spacing w:line="360" w:lineRule="auto"/>
        <w:jc w:val="center"/>
        <w:rPr>
          <w:sz w:val="32"/>
        </w:rPr>
      </w:pPr>
      <w:r w:rsidRPr="005110B7">
        <w:rPr>
          <w:sz w:val="32"/>
        </w:rPr>
        <w:t>University of Wales Trinity Saint David</w:t>
      </w:r>
    </w:p>
    <w:p w14:paraId="517B171C" w14:textId="77777777" w:rsidR="005110B7" w:rsidRDefault="005110B7" w:rsidP="005110B7">
      <w:pPr>
        <w:pStyle w:val="NoSpacing"/>
        <w:spacing w:line="360" w:lineRule="auto"/>
        <w:jc w:val="center"/>
        <w:rPr>
          <w:sz w:val="32"/>
        </w:rPr>
      </w:pPr>
      <w:r w:rsidRPr="005110B7">
        <w:rPr>
          <w:sz w:val="32"/>
        </w:rPr>
        <w:t>March 2019</w:t>
      </w:r>
    </w:p>
    <w:p w14:paraId="7BE8A146" w14:textId="46F5683C" w:rsidR="00D9385F" w:rsidRDefault="00D9385F" w:rsidP="00FA4A10">
      <w:pPr>
        <w:pStyle w:val="NoSpacing"/>
        <w:spacing w:line="360" w:lineRule="auto"/>
        <w:rPr>
          <w:rFonts w:cstheme="minorHAnsi"/>
        </w:rPr>
      </w:pPr>
    </w:p>
    <w:p w14:paraId="4E038953" w14:textId="26BA5A6B" w:rsidR="007C6DD6" w:rsidRPr="007C6DD6" w:rsidRDefault="007C6DD6" w:rsidP="007C6DD6">
      <w:pPr>
        <w:pStyle w:val="NoSpacing"/>
        <w:spacing w:line="480" w:lineRule="auto"/>
        <w:jc w:val="center"/>
        <w:rPr>
          <w:rFonts w:cstheme="minorHAnsi"/>
          <w:b/>
          <w:sz w:val="28"/>
          <w:u w:val="single"/>
        </w:rPr>
      </w:pPr>
      <w:r w:rsidRPr="007C6DD6">
        <w:rPr>
          <w:rFonts w:cstheme="minorHAnsi"/>
          <w:b/>
          <w:sz w:val="28"/>
          <w:u w:val="single"/>
        </w:rPr>
        <w:lastRenderedPageBreak/>
        <w:t>Contents</w:t>
      </w:r>
    </w:p>
    <w:p w14:paraId="4A689DD2" w14:textId="4192465C" w:rsidR="007C6DD6" w:rsidRDefault="007C6DD6" w:rsidP="00B50722">
      <w:pPr>
        <w:pStyle w:val="NoSpacing"/>
        <w:spacing w:line="600" w:lineRule="auto"/>
        <w:rPr>
          <w:rFonts w:cstheme="minorHAnsi"/>
        </w:rPr>
      </w:pPr>
      <w:r>
        <w:rPr>
          <w:rFonts w:cstheme="minorHAnsi"/>
        </w:rPr>
        <w:t>Aim, Focus and Purpose of Research</w:t>
      </w:r>
      <w:r w:rsidR="00260DF7">
        <w:rPr>
          <w:rFonts w:cstheme="minorHAnsi"/>
        </w:rPr>
        <w:t>………………………………………………………………………</w:t>
      </w:r>
      <w:r w:rsidR="002833AC">
        <w:rPr>
          <w:rFonts w:cstheme="minorHAnsi"/>
        </w:rPr>
        <w:t>……</w:t>
      </w:r>
      <w:r w:rsidR="00260DF7">
        <w:rPr>
          <w:rFonts w:cstheme="minorHAnsi"/>
        </w:rPr>
        <w:t>……</w:t>
      </w:r>
      <w:r w:rsidR="00B76A5A">
        <w:rPr>
          <w:rFonts w:cstheme="minorHAnsi"/>
        </w:rPr>
        <w:t>…3</w:t>
      </w:r>
    </w:p>
    <w:p w14:paraId="7243612F" w14:textId="48722FCB" w:rsidR="007C6DD6" w:rsidRDefault="007C6DD6" w:rsidP="00B50722">
      <w:pPr>
        <w:pStyle w:val="NoSpacing"/>
        <w:spacing w:line="600" w:lineRule="auto"/>
        <w:rPr>
          <w:rFonts w:cstheme="minorHAnsi"/>
        </w:rPr>
      </w:pPr>
      <w:r>
        <w:rPr>
          <w:rFonts w:cstheme="minorHAnsi"/>
        </w:rPr>
        <w:t>Research Context</w:t>
      </w:r>
      <w:r w:rsidR="00260DF7">
        <w:rPr>
          <w:rFonts w:cstheme="minorHAnsi"/>
        </w:rPr>
        <w:t>…………………………………………………………………………………………………………</w:t>
      </w:r>
      <w:r w:rsidR="002833AC">
        <w:rPr>
          <w:rFonts w:cstheme="minorHAnsi"/>
        </w:rPr>
        <w:t>…</w:t>
      </w:r>
      <w:r w:rsidR="00260DF7">
        <w:rPr>
          <w:rFonts w:cstheme="minorHAnsi"/>
        </w:rPr>
        <w:t>…</w:t>
      </w:r>
      <w:r w:rsidR="00B76A5A">
        <w:rPr>
          <w:rFonts w:cstheme="minorHAnsi"/>
        </w:rPr>
        <w:t>3-4</w:t>
      </w:r>
    </w:p>
    <w:p w14:paraId="09444155" w14:textId="6DF42421" w:rsidR="007C6DD6" w:rsidRDefault="007C6DD6" w:rsidP="00B50722">
      <w:pPr>
        <w:pStyle w:val="NoSpacing"/>
        <w:spacing w:line="600" w:lineRule="auto"/>
        <w:rPr>
          <w:rFonts w:cstheme="minorHAnsi"/>
        </w:rPr>
      </w:pPr>
      <w:r>
        <w:rPr>
          <w:rFonts w:cstheme="minorHAnsi"/>
        </w:rPr>
        <w:t>Literature Review</w:t>
      </w:r>
      <w:r w:rsidR="00260DF7">
        <w:rPr>
          <w:rFonts w:cstheme="minorHAnsi"/>
        </w:rPr>
        <w:t>………………………………………………………………………………………………………</w:t>
      </w:r>
      <w:r w:rsidR="002833AC">
        <w:rPr>
          <w:rFonts w:cstheme="minorHAnsi"/>
        </w:rPr>
        <w:t>….</w:t>
      </w:r>
      <w:r w:rsidR="00260DF7">
        <w:rPr>
          <w:rFonts w:cstheme="minorHAnsi"/>
        </w:rPr>
        <w:t>…</w:t>
      </w:r>
      <w:r w:rsidR="00B76A5A">
        <w:rPr>
          <w:rFonts w:cstheme="minorHAnsi"/>
        </w:rPr>
        <w:t xml:space="preserve"> 4-7</w:t>
      </w:r>
    </w:p>
    <w:p w14:paraId="36FF79BE" w14:textId="381BDE50" w:rsidR="007C6DD6" w:rsidRDefault="007C6DD6" w:rsidP="00B50722">
      <w:pPr>
        <w:pStyle w:val="NoSpacing"/>
        <w:spacing w:line="600" w:lineRule="auto"/>
        <w:rPr>
          <w:rFonts w:cstheme="minorHAnsi"/>
        </w:rPr>
      </w:pPr>
      <w:r>
        <w:rPr>
          <w:rFonts w:cstheme="minorHAnsi"/>
        </w:rPr>
        <w:t>Lesson Study Methodology</w:t>
      </w:r>
      <w:r w:rsidR="00260DF7">
        <w:rPr>
          <w:rFonts w:cstheme="minorHAnsi"/>
        </w:rPr>
        <w:t>……………………………………………………………………………………</w:t>
      </w:r>
      <w:r w:rsidR="002833AC">
        <w:rPr>
          <w:rFonts w:cstheme="minorHAnsi"/>
        </w:rPr>
        <w:t>….</w:t>
      </w:r>
      <w:r w:rsidR="00260DF7">
        <w:rPr>
          <w:rFonts w:cstheme="minorHAnsi"/>
        </w:rPr>
        <w:t>……</w:t>
      </w:r>
      <w:r w:rsidR="00B76A5A">
        <w:rPr>
          <w:rFonts w:cstheme="minorHAnsi"/>
        </w:rPr>
        <w:t>7-11</w:t>
      </w:r>
    </w:p>
    <w:p w14:paraId="4EB71B18" w14:textId="7A21B3F2" w:rsidR="007C6DD6" w:rsidRDefault="007C6DD6" w:rsidP="00B50722">
      <w:pPr>
        <w:pStyle w:val="NoSpacing"/>
        <w:spacing w:line="600" w:lineRule="auto"/>
        <w:rPr>
          <w:rFonts w:cstheme="minorHAnsi"/>
        </w:rPr>
      </w:pPr>
      <w:r>
        <w:rPr>
          <w:rFonts w:cstheme="minorHAnsi"/>
        </w:rPr>
        <w:t>Ethical Considerations</w:t>
      </w:r>
      <w:r w:rsidR="00260DF7">
        <w:rPr>
          <w:rFonts w:cstheme="minorHAnsi"/>
        </w:rPr>
        <w:t>……………………………………………………………………………………………………</w:t>
      </w:r>
      <w:r w:rsidR="00B76A5A">
        <w:rPr>
          <w:rFonts w:cstheme="minorHAnsi"/>
        </w:rPr>
        <w:t>11-12</w:t>
      </w:r>
    </w:p>
    <w:p w14:paraId="37124694" w14:textId="5114B4DA" w:rsidR="007C6DD6" w:rsidRDefault="007C6DD6" w:rsidP="00B50722">
      <w:pPr>
        <w:pStyle w:val="NoSpacing"/>
        <w:spacing w:line="600" w:lineRule="auto"/>
        <w:rPr>
          <w:rFonts w:cstheme="minorHAnsi"/>
        </w:rPr>
      </w:pPr>
      <w:r>
        <w:rPr>
          <w:rFonts w:cstheme="minorHAnsi"/>
        </w:rPr>
        <w:t>Lesson Study 1 Analysis</w:t>
      </w:r>
      <w:r w:rsidR="00260DF7">
        <w:rPr>
          <w:rFonts w:cstheme="minorHAnsi"/>
        </w:rPr>
        <w:t>…………………………………………………………………………………………………</w:t>
      </w:r>
      <w:r w:rsidR="00B76A5A">
        <w:rPr>
          <w:rFonts w:cstheme="minorHAnsi"/>
        </w:rPr>
        <w:t>12-15</w:t>
      </w:r>
    </w:p>
    <w:p w14:paraId="7A91EF8B" w14:textId="789FF17F" w:rsidR="007C6DD6" w:rsidRDefault="007C6DD6" w:rsidP="00B50722">
      <w:pPr>
        <w:pStyle w:val="NoSpacing"/>
        <w:spacing w:line="600" w:lineRule="auto"/>
        <w:rPr>
          <w:rFonts w:cstheme="minorHAnsi"/>
        </w:rPr>
      </w:pPr>
      <w:r>
        <w:rPr>
          <w:rFonts w:cstheme="minorHAnsi"/>
        </w:rPr>
        <w:t>Lesson Study 2 Analysis</w:t>
      </w:r>
      <w:r w:rsidR="00260DF7">
        <w:rPr>
          <w:rFonts w:cstheme="minorHAnsi"/>
        </w:rPr>
        <w:t>…………………………………………………………………………………………………</w:t>
      </w:r>
      <w:r w:rsidR="00B76A5A">
        <w:rPr>
          <w:rFonts w:cstheme="minorHAnsi"/>
        </w:rPr>
        <w:t>15-19</w:t>
      </w:r>
    </w:p>
    <w:p w14:paraId="78FB157E" w14:textId="7F748D63" w:rsidR="007C6DD6" w:rsidRDefault="007C6DD6" w:rsidP="00B50722">
      <w:pPr>
        <w:pStyle w:val="NoSpacing"/>
        <w:spacing w:line="600" w:lineRule="auto"/>
        <w:rPr>
          <w:rFonts w:cstheme="minorHAnsi"/>
        </w:rPr>
      </w:pPr>
      <w:r>
        <w:rPr>
          <w:rFonts w:cstheme="minorHAnsi"/>
        </w:rPr>
        <w:t>Discussion</w:t>
      </w:r>
      <w:r w:rsidR="00260DF7">
        <w:rPr>
          <w:rFonts w:cstheme="minorHAnsi"/>
        </w:rPr>
        <w:t>………………………………………………………………………………………………………………</w:t>
      </w:r>
      <w:r w:rsidR="002833AC">
        <w:rPr>
          <w:rFonts w:cstheme="minorHAnsi"/>
        </w:rPr>
        <w:t>….</w:t>
      </w:r>
      <w:r w:rsidR="00260DF7">
        <w:rPr>
          <w:rFonts w:cstheme="minorHAnsi"/>
        </w:rPr>
        <w:t>…</w:t>
      </w:r>
      <w:r w:rsidR="00B76A5A">
        <w:rPr>
          <w:rFonts w:cstheme="minorHAnsi"/>
        </w:rPr>
        <w:t>19-20</w:t>
      </w:r>
    </w:p>
    <w:p w14:paraId="473E13D8" w14:textId="68649797" w:rsidR="00B76A5A" w:rsidRDefault="00B76A5A" w:rsidP="00B50722">
      <w:pPr>
        <w:pStyle w:val="NoSpacing"/>
        <w:spacing w:line="600" w:lineRule="auto"/>
        <w:rPr>
          <w:rFonts w:cstheme="minorHAnsi"/>
        </w:rPr>
      </w:pPr>
      <w:r>
        <w:rPr>
          <w:rFonts w:cstheme="minorHAnsi"/>
        </w:rPr>
        <w:t>Conclusion………………………………………………………………………………………………………………</w:t>
      </w:r>
      <w:r w:rsidR="002833AC">
        <w:rPr>
          <w:rFonts w:cstheme="minorHAnsi"/>
        </w:rPr>
        <w:t>.</w:t>
      </w:r>
      <w:r>
        <w:rPr>
          <w:rFonts w:cstheme="minorHAnsi"/>
        </w:rPr>
        <w:t>……20-21</w:t>
      </w:r>
    </w:p>
    <w:p w14:paraId="19FAEF95" w14:textId="1799673E" w:rsidR="007C6DD6" w:rsidRDefault="007C6DD6" w:rsidP="00B50722">
      <w:pPr>
        <w:pStyle w:val="NoSpacing"/>
        <w:spacing w:line="600" w:lineRule="auto"/>
        <w:rPr>
          <w:rFonts w:cstheme="minorHAnsi"/>
        </w:rPr>
      </w:pPr>
      <w:r>
        <w:rPr>
          <w:rFonts w:cstheme="minorHAnsi"/>
        </w:rPr>
        <w:t>Recommendation</w:t>
      </w:r>
      <w:r w:rsidR="00B76A5A">
        <w:rPr>
          <w:rFonts w:cstheme="minorHAnsi"/>
        </w:rPr>
        <w:t>s</w:t>
      </w:r>
      <w:r w:rsidR="00260DF7">
        <w:rPr>
          <w:rFonts w:cstheme="minorHAnsi"/>
        </w:rPr>
        <w:t>……………………………………………………………………………………………………</w:t>
      </w:r>
      <w:r w:rsidR="002833AC">
        <w:rPr>
          <w:rFonts w:cstheme="minorHAnsi"/>
        </w:rPr>
        <w:t>…</w:t>
      </w:r>
      <w:r w:rsidR="00260DF7">
        <w:rPr>
          <w:rFonts w:cstheme="minorHAnsi"/>
        </w:rPr>
        <w:t>…</w:t>
      </w:r>
      <w:r w:rsidR="00B76A5A">
        <w:rPr>
          <w:rFonts w:cstheme="minorHAnsi"/>
        </w:rPr>
        <w:t>21-22</w:t>
      </w:r>
    </w:p>
    <w:p w14:paraId="1DEAE4DC" w14:textId="4D085DC7" w:rsidR="007C6DD6" w:rsidRDefault="007C6DD6" w:rsidP="00B50722">
      <w:pPr>
        <w:pStyle w:val="NoSpacing"/>
        <w:spacing w:line="600" w:lineRule="auto"/>
        <w:rPr>
          <w:rFonts w:cstheme="minorHAnsi"/>
        </w:rPr>
      </w:pPr>
      <w:r>
        <w:rPr>
          <w:rFonts w:cstheme="minorHAnsi"/>
        </w:rPr>
        <w:t>References</w:t>
      </w:r>
      <w:r w:rsidR="00260DF7">
        <w:rPr>
          <w:rFonts w:cstheme="minorHAnsi"/>
        </w:rPr>
        <w:t>…………………………………………………………………………………………………………………</w:t>
      </w:r>
      <w:r w:rsidR="002833AC">
        <w:rPr>
          <w:rFonts w:cstheme="minorHAnsi"/>
        </w:rPr>
        <w:t>….23-28</w:t>
      </w:r>
    </w:p>
    <w:p w14:paraId="7610E9FE" w14:textId="22D70899" w:rsidR="007C6DD6" w:rsidRDefault="007C6DD6" w:rsidP="00B50722">
      <w:pPr>
        <w:pStyle w:val="NoSpacing"/>
        <w:spacing w:line="600" w:lineRule="auto"/>
        <w:rPr>
          <w:rFonts w:cstheme="minorHAnsi"/>
        </w:rPr>
      </w:pPr>
      <w:r>
        <w:rPr>
          <w:rFonts w:cstheme="minorHAnsi"/>
        </w:rPr>
        <w:t>Appendices</w:t>
      </w:r>
      <w:r w:rsidR="00260DF7">
        <w:rPr>
          <w:rFonts w:cstheme="minorHAnsi"/>
        </w:rPr>
        <w:t>…………………………………………………………………………</w:t>
      </w:r>
      <w:r w:rsidR="004D1201">
        <w:rPr>
          <w:rFonts w:cstheme="minorHAnsi"/>
        </w:rPr>
        <w:t xml:space="preserve"> Seen in additional word doc.</w:t>
      </w:r>
    </w:p>
    <w:p w14:paraId="43CC579D" w14:textId="4840F489" w:rsidR="007C6DD6" w:rsidRDefault="007C6DD6" w:rsidP="00B50722">
      <w:pPr>
        <w:pStyle w:val="NoSpacing"/>
        <w:spacing w:line="600" w:lineRule="auto"/>
        <w:rPr>
          <w:rFonts w:cstheme="minorHAnsi"/>
        </w:rPr>
      </w:pPr>
      <w:r>
        <w:rPr>
          <w:rFonts w:cstheme="minorHAnsi"/>
        </w:rPr>
        <w:tab/>
        <w:t>Appendix A</w:t>
      </w:r>
      <w:r w:rsidR="00260DF7">
        <w:rPr>
          <w:rFonts w:cstheme="minorHAnsi"/>
        </w:rPr>
        <w:t>…………………………………………………………………………………………………………...</w:t>
      </w:r>
      <w:r w:rsidR="002432D3">
        <w:rPr>
          <w:rFonts w:cstheme="minorHAnsi"/>
        </w:rPr>
        <w:t>2-6</w:t>
      </w:r>
    </w:p>
    <w:p w14:paraId="0B36BCB2" w14:textId="5BCAF563" w:rsidR="007C6DD6" w:rsidRDefault="007C6DD6" w:rsidP="00B50722">
      <w:pPr>
        <w:pStyle w:val="NoSpacing"/>
        <w:spacing w:line="600" w:lineRule="auto"/>
        <w:rPr>
          <w:rFonts w:cstheme="minorHAnsi"/>
        </w:rPr>
      </w:pPr>
      <w:r>
        <w:rPr>
          <w:rFonts w:cstheme="minorHAnsi"/>
        </w:rPr>
        <w:tab/>
        <w:t>Appendix B</w:t>
      </w:r>
      <w:r w:rsidR="00260DF7">
        <w:rPr>
          <w:rFonts w:cstheme="minorHAnsi"/>
        </w:rPr>
        <w:t>…………………………………………………………………………………………………………</w:t>
      </w:r>
      <w:r w:rsidR="002432D3">
        <w:rPr>
          <w:rFonts w:cstheme="minorHAnsi"/>
        </w:rPr>
        <w:t>…..</w:t>
      </w:r>
      <w:r w:rsidR="00260DF7">
        <w:rPr>
          <w:rFonts w:cstheme="minorHAnsi"/>
        </w:rPr>
        <w:t>..</w:t>
      </w:r>
      <w:r w:rsidR="002432D3">
        <w:rPr>
          <w:rFonts w:cstheme="minorHAnsi"/>
        </w:rPr>
        <w:t>7</w:t>
      </w:r>
    </w:p>
    <w:p w14:paraId="143A3616" w14:textId="3C544AED" w:rsidR="007C6DD6" w:rsidRDefault="007C6DD6" w:rsidP="00B50722">
      <w:pPr>
        <w:pStyle w:val="NoSpacing"/>
        <w:spacing w:line="600" w:lineRule="auto"/>
        <w:rPr>
          <w:rFonts w:cstheme="minorHAnsi"/>
        </w:rPr>
      </w:pPr>
      <w:r>
        <w:rPr>
          <w:rFonts w:cstheme="minorHAnsi"/>
        </w:rPr>
        <w:tab/>
        <w:t>Appendix C</w:t>
      </w:r>
      <w:r w:rsidR="00260DF7">
        <w:rPr>
          <w:rFonts w:cstheme="minorHAnsi"/>
        </w:rPr>
        <w:t>………………………………………………………………………………………………………</w:t>
      </w:r>
      <w:r w:rsidR="002432D3">
        <w:rPr>
          <w:rFonts w:cstheme="minorHAnsi"/>
        </w:rPr>
        <w:t>….8-11</w:t>
      </w:r>
    </w:p>
    <w:p w14:paraId="2A904574" w14:textId="7D1154FE" w:rsidR="007C6DD6" w:rsidRDefault="007C6DD6" w:rsidP="00B50722">
      <w:pPr>
        <w:pStyle w:val="NoSpacing"/>
        <w:spacing w:line="600" w:lineRule="auto"/>
        <w:rPr>
          <w:rFonts w:cstheme="minorHAnsi"/>
        </w:rPr>
      </w:pPr>
      <w:r>
        <w:rPr>
          <w:rFonts w:cstheme="minorHAnsi"/>
        </w:rPr>
        <w:tab/>
        <w:t>Appendix D</w:t>
      </w:r>
      <w:r w:rsidR="00260DF7">
        <w:rPr>
          <w:rFonts w:cstheme="minorHAnsi"/>
        </w:rPr>
        <w:t>……………………………………………………………………………………………………...</w:t>
      </w:r>
      <w:r w:rsidR="002432D3">
        <w:rPr>
          <w:rFonts w:cstheme="minorHAnsi"/>
        </w:rPr>
        <w:t>12-15</w:t>
      </w:r>
    </w:p>
    <w:p w14:paraId="0464910B" w14:textId="06178B18" w:rsidR="007C6DD6" w:rsidRDefault="007C6DD6" w:rsidP="00B50722">
      <w:pPr>
        <w:pStyle w:val="NoSpacing"/>
        <w:spacing w:line="600" w:lineRule="auto"/>
        <w:rPr>
          <w:rFonts w:cstheme="minorHAnsi"/>
        </w:rPr>
      </w:pPr>
      <w:r>
        <w:rPr>
          <w:rFonts w:cstheme="minorHAnsi"/>
        </w:rPr>
        <w:tab/>
        <w:t>Appendix E</w:t>
      </w:r>
      <w:r w:rsidR="00260DF7">
        <w:rPr>
          <w:rFonts w:cstheme="minorHAnsi"/>
        </w:rPr>
        <w:t>…………………………………………………………………………………………………………...</w:t>
      </w:r>
      <w:r w:rsidR="002432D3">
        <w:rPr>
          <w:rFonts w:cstheme="minorHAnsi"/>
        </w:rPr>
        <w:t>16</w:t>
      </w:r>
    </w:p>
    <w:p w14:paraId="7936D976" w14:textId="2357916A" w:rsidR="007C6DD6" w:rsidRDefault="007C6DD6" w:rsidP="008B757E">
      <w:pPr>
        <w:pStyle w:val="NoSpacing"/>
        <w:spacing w:line="480" w:lineRule="auto"/>
        <w:rPr>
          <w:rFonts w:cstheme="minorHAnsi"/>
        </w:rPr>
      </w:pPr>
      <w:r>
        <w:rPr>
          <w:rFonts w:cstheme="minorHAnsi"/>
        </w:rPr>
        <w:tab/>
      </w:r>
    </w:p>
    <w:p w14:paraId="15CA2FAF" w14:textId="5B234A46" w:rsidR="00CB2B63" w:rsidRDefault="00301DDD" w:rsidP="008B757E">
      <w:pPr>
        <w:pStyle w:val="NoSpacing"/>
        <w:spacing w:line="480" w:lineRule="auto"/>
        <w:rPr>
          <w:rFonts w:cstheme="minorHAnsi"/>
        </w:rPr>
      </w:pPr>
      <w:r>
        <w:rPr>
          <w:rFonts w:cstheme="minorHAnsi"/>
        </w:rPr>
        <w:lastRenderedPageBreak/>
        <w:t xml:space="preserve">In education today plenaries are used by teachers </w:t>
      </w:r>
      <w:r w:rsidR="00C12426">
        <w:rPr>
          <w:rFonts w:cstheme="minorHAnsi"/>
        </w:rPr>
        <w:t>as an evaluative part of a lesson to reflect on what the pupils have learnt and achieved during that teaching period</w:t>
      </w:r>
      <w:r w:rsidR="005775CB">
        <w:rPr>
          <w:rFonts w:cstheme="minorHAnsi"/>
        </w:rPr>
        <w:t xml:space="preserve">. </w:t>
      </w:r>
      <w:r w:rsidR="00D50764">
        <w:rPr>
          <w:rFonts w:cstheme="minorHAnsi"/>
        </w:rPr>
        <w:t xml:space="preserve"> </w:t>
      </w:r>
      <w:r w:rsidR="005775CB">
        <w:rPr>
          <w:rFonts w:cstheme="minorHAnsi"/>
        </w:rPr>
        <w:t>W</w:t>
      </w:r>
      <w:r w:rsidR="00C12426">
        <w:rPr>
          <w:rFonts w:cstheme="minorHAnsi"/>
        </w:rPr>
        <w:t>hether it be during or at the end of a lesson, a plenary is a strategy to review the lesson aims and to consolidate the pupils’ learning</w:t>
      </w:r>
      <w:r w:rsidR="00CB2B63">
        <w:rPr>
          <w:rFonts w:cstheme="minorHAnsi"/>
        </w:rPr>
        <w:t xml:space="preserve"> (</w:t>
      </w:r>
      <w:r w:rsidR="00376959">
        <w:rPr>
          <w:rFonts w:cstheme="minorHAnsi"/>
        </w:rPr>
        <w:t xml:space="preserve">Cremin </w:t>
      </w:r>
      <w:r w:rsidR="00507BC0">
        <w:rPr>
          <w:rFonts w:cstheme="minorHAnsi"/>
        </w:rPr>
        <w:t>and Arthur,</w:t>
      </w:r>
      <w:r w:rsidR="00376959">
        <w:rPr>
          <w:rFonts w:cstheme="minorHAnsi"/>
        </w:rPr>
        <w:t xml:space="preserve"> </w:t>
      </w:r>
      <w:r w:rsidR="00D50764">
        <w:rPr>
          <w:rFonts w:cstheme="minorHAnsi"/>
        </w:rPr>
        <w:t>2014)</w:t>
      </w:r>
      <w:r w:rsidR="00C12426">
        <w:rPr>
          <w:rFonts w:cstheme="minorHAnsi"/>
        </w:rPr>
        <w:t xml:space="preserve">. </w:t>
      </w:r>
      <w:r w:rsidR="00CB2B63">
        <w:rPr>
          <w:rFonts w:cstheme="minorHAnsi"/>
        </w:rPr>
        <w:t>From examining literature and studies that have previously been conducted on plenaries and pupil involvement</w:t>
      </w:r>
      <w:r w:rsidR="00EE4482">
        <w:rPr>
          <w:rFonts w:cstheme="minorHAnsi"/>
        </w:rPr>
        <w:t xml:space="preserve"> (</w:t>
      </w:r>
      <w:r w:rsidR="005775CB">
        <w:rPr>
          <w:rFonts w:cstheme="minorHAnsi"/>
        </w:rPr>
        <w:t>Brown, 2009;</w:t>
      </w:r>
      <w:r w:rsidR="005775CB">
        <w:rPr>
          <w:rFonts w:cstheme="minorHAnsi"/>
          <w:vertAlign w:val="subscript"/>
        </w:rPr>
        <w:t xml:space="preserve"> </w:t>
      </w:r>
      <w:r w:rsidR="008B757E">
        <w:rPr>
          <w:rFonts w:cstheme="minorHAnsi"/>
        </w:rPr>
        <w:t>Joyce-Gibbons</w:t>
      </w:r>
      <w:r w:rsidR="006A72D6">
        <w:rPr>
          <w:rFonts w:cstheme="minorHAnsi"/>
        </w:rPr>
        <w:t xml:space="preserve">, </w:t>
      </w:r>
      <w:r w:rsidR="008B757E">
        <w:rPr>
          <w:rFonts w:cstheme="minorHAnsi"/>
        </w:rPr>
        <w:t>2015</w:t>
      </w:r>
      <w:r w:rsidR="00EE4482">
        <w:rPr>
          <w:rFonts w:cstheme="minorHAnsi"/>
        </w:rPr>
        <w:t>)</w:t>
      </w:r>
      <w:r w:rsidR="00CB2B63">
        <w:rPr>
          <w:rFonts w:cstheme="minorHAnsi"/>
        </w:rPr>
        <w:t xml:space="preserve">, this research aims to investigate whether a mini-plenary </w:t>
      </w:r>
      <w:r w:rsidR="000C13CB">
        <w:rPr>
          <w:rFonts w:cstheme="minorHAnsi"/>
        </w:rPr>
        <w:t>mid-</w:t>
      </w:r>
      <w:r w:rsidR="00CB2B63">
        <w:rPr>
          <w:rFonts w:cstheme="minorHAnsi"/>
        </w:rPr>
        <w:t>way through a lesson improve</w:t>
      </w:r>
      <w:r w:rsidR="000C13CB">
        <w:rPr>
          <w:rFonts w:cstheme="minorHAnsi"/>
        </w:rPr>
        <w:t>s</w:t>
      </w:r>
      <w:r w:rsidR="00CB2B63">
        <w:rPr>
          <w:rFonts w:cstheme="minorHAnsi"/>
        </w:rPr>
        <w:t xml:space="preserve"> pupil involvement in a Key Stage 2 classroom</w:t>
      </w:r>
      <w:r w:rsidR="00344EF4">
        <w:rPr>
          <w:rFonts w:cstheme="minorHAnsi"/>
        </w:rPr>
        <w:t xml:space="preserve"> (Lesson Plans can be seen in Appendix A)</w:t>
      </w:r>
      <w:r w:rsidR="00CB2B63">
        <w:rPr>
          <w:rFonts w:cstheme="minorHAnsi"/>
        </w:rPr>
        <w:t>. Having planned and taught numerous lessons in a Key Stage 2 class</w:t>
      </w:r>
      <w:r w:rsidR="00A95833">
        <w:rPr>
          <w:rFonts w:cstheme="minorHAnsi"/>
        </w:rPr>
        <w:t>,</w:t>
      </w:r>
      <w:r w:rsidR="00CB2B63">
        <w:rPr>
          <w:rFonts w:cstheme="minorHAnsi"/>
        </w:rPr>
        <w:t xml:space="preserve"> both myself and my research partner are aware of the importance of lesson plenaries at the end of a lesson to allow us as teachers to assess the whole clas</w:t>
      </w:r>
      <w:r w:rsidR="00712C1F">
        <w:rPr>
          <w:rFonts w:cstheme="minorHAnsi"/>
        </w:rPr>
        <w:t>s</w:t>
      </w:r>
      <w:r w:rsidR="00CB2B63">
        <w:rPr>
          <w:rFonts w:cstheme="minorHAnsi"/>
        </w:rPr>
        <w:t xml:space="preserve"> understanding</w:t>
      </w:r>
      <w:r w:rsidR="00712C1F">
        <w:rPr>
          <w:rFonts w:cstheme="minorHAnsi"/>
        </w:rPr>
        <w:t xml:space="preserve">. However, we identified that a plenary planned into a lesson where appropriate to summarise the learning may not necessarily be at the end. The purpose of our research was to therefore question whether a mid-way lesson plenary would be more favourable for pupil involvement.  </w:t>
      </w:r>
    </w:p>
    <w:p w14:paraId="55107CD7" w14:textId="235DCDD5" w:rsidR="00712C1F" w:rsidRDefault="00FD4455" w:rsidP="008B757E">
      <w:pPr>
        <w:pStyle w:val="NoSpacing"/>
        <w:spacing w:line="480" w:lineRule="auto"/>
        <w:rPr>
          <w:rFonts w:cstheme="minorHAnsi"/>
        </w:rPr>
      </w:pPr>
      <w:r>
        <w:rPr>
          <w:rFonts w:cstheme="minorHAnsi"/>
        </w:rPr>
        <w:tab/>
        <w:t xml:space="preserve">The research took place in two primary schools on the outskirts of Swansea. School A is a small village school, the research was conducted in the Year 6 class which has 23 pupils – two of them </w:t>
      </w:r>
      <w:r w:rsidR="00A95833">
        <w:rPr>
          <w:rFonts w:cstheme="minorHAnsi"/>
        </w:rPr>
        <w:t xml:space="preserve">identified with </w:t>
      </w:r>
      <w:r>
        <w:rPr>
          <w:rFonts w:cstheme="minorHAnsi"/>
        </w:rPr>
        <w:t xml:space="preserve">Additional Learning Needs (ALN) aged 10 and 11 years old. School B is a </w:t>
      </w:r>
      <w:r w:rsidR="00E16D6F">
        <w:rPr>
          <w:rFonts w:cstheme="minorHAnsi"/>
        </w:rPr>
        <w:t>small-town</w:t>
      </w:r>
      <w:r>
        <w:rPr>
          <w:rFonts w:cstheme="minorHAnsi"/>
        </w:rPr>
        <w:t xml:space="preserve"> school, the research class was a mixed Year 3/4 which has 31 pupils, a third of them</w:t>
      </w:r>
      <w:r w:rsidR="005775CB">
        <w:rPr>
          <w:rFonts w:cstheme="minorHAnsi"/>
        </w:rPr>
        <w:t xml:space="preserve"> </w:t>
      </w:r>
      <w:r w:rsidR="00A95833">
        <w:rPr>
          <w:rFonts w:cstheme="minorHAnsi"/>
        </w:rPr>
        <w:t>also identified with</w:t>
      </w:r>
      <w:r>
        <w:rPr>
          <w:rFonts w:cstheme="minorHAnsi"/>
        </w:rPr>
        <w:t xml:space="preserve"> ALN, aged </w:t>
      </w:r>
      <w:r w:rsidR="00E16D6F">
        <w:rPr>
          <w:rFonts w:cstheme="minorHAnsi"/>
        </w:rPr>
        <w:t xml:space="preserve">7-9 years old. Based on the research context, this study explores the effectiveness of a mini-plenary on pupil involvement in both upper and lower Key Stage 2.  </w:t>
      </w:r>
      <w:r w:rsidR="005775CB">
        <w:rPr>
          <w:rFonts w:cstheme="minorHAnsi"/>
        </w:rPr>
        <w:t>In my context (Year 6), I will investigate whether or not,</w:t>
      </w:r>
      <w:r w:rsidR="00F467CD">
        <w:rPr>
          <w:rFonts w:cstheme="minorHAnsi"/>
        </w:rPr>
        <w:t xml:space="preserve"> I</w:t>
      </w:r>
      <w:r w:rsidR="005775CB">
        <w:rPr>
          <w:rFonts w:cstheme="minorHAnsi"/>
        </w:rPr>
        <w:t xml:space="preserve"> as the teacher, use teaching time effectively </w:t>
      </w:r>
      <w:r w:rsidR="00F46350">
        <w:rPr>
          <w:rFonts w:cstheme="minorHAnsi"/>
        </w:rPr>
        <w:t xml:space="preserve">by stopping </w:t>
      </w:r>
      <w:r w:rsidR="00A95833">
        <w:rPr>
          <w:rFonts w:cstheme="minorHAnsi"/>
        </w:rPr>
        <w:t>mid-way</w:t>
      </w:r>
      <w:r w:rsidR="00F46350">
        <w:rPr>
          <w:rFonts w:cstheme="minorHAnsi"/>
        </w:rPr>
        <w:t xml:space="preserve"> through a lesson to conduct a plenary. In my lesson</w:t>
      </w:r>
      <w:r w:rsidR="005775CB">
        <w:rPr>
          <w:rFonts w:cstheme="minorHAnsi"/>
        </w:rPr>
        <w:t xml:space="preserve">, I am interested to research whether or not a mini-plenary will </w:t>
      </w:r>
      <w:r w:rsidR="00F46350">
        <w:rPr>
          <w:rFonts w:cstheme="minorHAnsi"/>
        </w:rPr>
        <w:t xml:space="preserve">benefit the range of ability levels within the class and keep each individual child involved </w:t>
      </w:r>
      <w:r w:rsidR="00F46350">
        <w:rPr>
          <w:rFonts w:cstheme="minorHAnsi"/>
        </w:rPr>
        <w:lastRenderedPageBreak/>
        <w:t xml:space="preserve">and on task. In addition, given the new curriculum reform in Wales (Donaldson, 2015), good teaching and learning means employing </w:t>
      </w:r>
      <w:r w:rsidR="00A95833">
        <w:rPr>
          <w:rFonts w:cstheme="minorHAnsi"/>
        </w:rPr>
        <w:t>A</w:t>
      </w:r>
      <w:r w:rsidR="00F46350">
        <w:rPr>
          <w:rFonts w:cstheme="minorHAnsi"/>
        </w:rPr>
        <w:t xml:space="preserve">ssessment for </w:t>
      </w:r>
      <w:r w:rsidR="00A95833">
        <w:rPr>
          <w:rFonts w:cstheme="minorHAnsi"/>
        </w:rPr>
        <w:t>L</w:t>
      </w:r>
      <w:r w:rsidR="00F46350">
        <w:rPr>
          <w:rFonts w:cstheme="minorHAnsi"/>
        </w:rPr>
        <w:t>earning (AFL) principles. As highlighted in ‘Successful Futures’, an AFL</w:t>
      </w:r>
      <w:r w:rsidR="00B855A8">
        <w:rPr>
          <w:rFonts w:cstheme="minorHAnsi"/>
        </w:rPr>
        <w:t xml:space="preserve"> approach provides practitioners with </w:t>
      </w:r>
      <w:r w:rsidR="00620FD4">
        <w:rPr>
          <w:rFonts w:cstheme="minorHAnsi"/>
        </w:rPr>
        <w:t xml:space="preserve">an </w:t>
      </w:r>
      <w:r w:rsidR="00B855A8">
        <w:rPr>
          <w:rFonts w:cstheme="minorHAnsi"/>
        </w:rPr>
        <w:t xml:space="preserve">insight into the effectiveness of learning and involves providing regular and meaningful feedback opportunities to pupils within their learning by adapting teaching and materials to meet the needs of individuals. </w:t>
      </w:r>
    </w:p>
    <w:p w14:paraId="63876A7B" w14:textId="1135F0FB" w:rsidR="00CB4B53" w:rsidRDefault="00CB4B53" w:rsidP="00B352F3">
      <w:pPr>
        <w:pStyle w:val="NoSpacing"/>
        <w:spacing w:line="480" w:lineRule="auto"/>
        <w:ind w:firstLine="720"/>
        <w:rPr>
          <w:rFonts w:cstheme="minorHAnsi"/>
        </w:rPr>
      </w:pPr>
      <w:r>
        <w:rPr>
          <w:rFonts w:cstheme="minorHAnsi"/>
        </w:rPr>
        <w:t xml:space="preserve">Assessment for Learning originates in the research </w:t>
      </w:r>
      <w:r w:rsidR="00F467CD">
        <w:rPr>
          <w:rFonts w:cstheme="minorHAnsi"/>
        </w:rPr>
        <w:t>by</w:t>
      </w:r>
      <w:r>
        <w:rPr>
          <w:rFonts w:cstheme="minorHAnsi"/>
        </w:rPr>
        <w:t xml:space="preserve"> Black and Wiliam</w:t>
      </w:r>
      <w:r w:rsidR="00252E9D">
        <w:rPr>
          <w:rFonts w:cstheme="minorHAnsi"/>
        </w:rPr>
        <w:t xml:space="preserve"> </w:t>
      </w:r>
      <w:r w:rsidR="00BE6354">
        <w:rPr>
          <w:rFonts w:cstheme="minorHAnsi"/>
        </w:rPr>
        <w:t>in 1998</w:t>
      </w:r>
      <w:r w:rsidR="00FD77DE">
        <w:rPr>
          <w:rFonts w:cstheme="minorHAnsi"/>
        </w:rPr>
        <w:t>;</w:t>
      </w:r>
      <w:r w:rsidR="00252E9D">
        <w:rPr>
          <w:rFonts w:cstheme="minorHAnsi"/>
        </w:rPr>
        <w:t xml:space="preserve"> they recognised that teaching and learning in the classroom </w:t>
      </w:r>
      <w:r w:rsidR="00FD77DE">
        <w:rPr>
          <w:rFonts w:cstheme="minorHAnsi"/>
        </w:rPr>
        <w:t xml:space="preserve">can be complex and complicated, and </w:t>
      </w:r>
      <w:r w:rsidR="00B352F3">
        <w:rPr>
          <w:rFonts w:cstheme="minorHAnsi"/>
        </w:rPr>
        <w:t>that learners are not always learning to the best of their ability</w:t>
      </w:r>
      <w:r w:rsidR="00BE6354">
        <w:rPr>
          <w:rFonts w:cstheme="minorHAnsi"/>
        </w:rPr>
        <w:t xml:space="preserve"> (Black and Wiliam, 2006)</w:t>
      </w:r>
      <w:r w:rsidR="00252E9D">
        <w:rPr>
          <w:rFonts w:cstheme="minorHAnsi"/>
        </w:rPr>
        <w:t>. Their theory suggests that a classroom is a ‘black box’</w:t>
      </w:r>
      <w:r w:rsidR="00B352F3">
        <w:rPr>
          <w:rFonts w:cstheme="minorHAnsi"/>
        </w:rPr>
        <w:t xml:space="preserve">, </w:t>
      </w:r>
      <w:r w:rsidR="00252E9D">
        <w:rPr>
          <w:rFonts w:cstheme="minorHAnsi"/>
        </w:rPr>
        <w:t>Black and Wiliam discovered that formative assessment is at the heart of effective teaching and has a strong positive effect on achievement. This empirical evidence established AFL and as a result of their research findings is now one of the most powerful ways of improving classroom learning and raising teaching standards</w:t>
      </w:r>
      <w:r w:rsidR="00B352F3">
        <w:rPr>
          <w:rFonts w:cstheme="minorHAnsi"/>
        </w:rPr>
        <w:t xml:space="preserve"> according to the Assessment Reform Group (2002)</w:t>
      </w:r>
      <w:r w:rsidR="00252E9D">
        <w:rPr>
          <w:rFonts w:cstheme="minorHAnsi"/>
        </w:rPr>
        <w:t xml:space="preserve">. Current research is adding further </w:t>
      </w:r>
      <w:r w:rsidR="00BE6354">
        <w:rPr>
          <w:rFonts w:cstheme="minorHAnsi"/>
        </w:rPr>
        <w:t xml:space="preserve">evidence in support to this claim. </w:t>
      </w:r>
      <w:r w:rsidR="00F17063">
        <w:rPr>
          <w:rFonts w:cstheme="minorHAnsi"/>
        </w:rPr>
        <w:t xml:space="preserve">Heritage (2010) highlights </w:t>
      </w:r>
      <w:r w:rsidR="00A95833">
        <w:rPr>
          <w:rFonts w:cstheme="minorHAnsi"/>
        </w:rPr>
        <w:t xml:space="preserve">that </w:t>
      </w:r>
      <w:r w:rsidR="00F17063">
        <w:rPr>
          <w:rFonts w:cstheme="minorHAnsi"/>
        </w:rPr>
        <w:t xml:space="preserve">the goal of formative assessment is to monitor pupil learning </w:t>
      </w:r>
      <w:r w:rsidR="00A95833">
        <w:rPr>
          <w:rFonts w:cstheme="minorHAnsi"/>
        </w:rPr>
        <w:t xml:space="preserve">and </w:t>
      </w:r>
      <w:r w:rsidR="00F17063">
        <w:rPr>
          <w:rFonts w:cstheme="minorHAnsi"/>
        </w:rPr>
        <w:t>to provide continuous feedback to support children to improve their learning</w:t>
      </w:r>
      <w:r w:rsidR="00A95833">
        <w:rPr>
          <w:rFonts w:cstheme="minorHAnsi"/>
        </w:rPr>
        <w:t>,</w:t>
      </w:r>
      <w:r w:rsidR="000479F0">
        <w:rPr>
          <w:rFonts w:cstheme="minorHAnsi"/>
        </w:rPr>
        <w:t xml:space="preserve"> and for practitioners to improve their teaching. Formative assessment is a strategy to guide pupils to identify their strengths and weaknesses within their work and to consider target areas that they need to work on. In addition, it allows teachers to recognise the areas in which the children may be struggling and to therefore address the issues immediately</w:t>
      </w:r>
      <w:r w:rsidR="00A95833">
        <w:rPr>
          <w:rFonts w:cstheme="minorHAnsi"/>
        </w:rPr>
        <w:t xml:space="preserve"> (Heritage, 2010)</w:t>
      </w:r>
      <w:r w:rsidR="000479F0">
        <w:rPr>
          <w:rFonts w:cstheme="minorHAnsi"/>
        </w:rPr>
        <w:t>.</w:t>
      </w:r>
    </w:p>
    <w:p w14:paraId="4C242865" w14:textId="77777777" w:rsidR="0083186C" w:rsidRDefault="00F96968" w:rsidP="00B352F3">
      <w:pPr>
        <w:pStyle w:val="NoSpacing"/>
        <w:spacing w:line="480" w:lineRule="auto"/>
        <w:ind w:firstLine="720"/>
      </w:pPr>
      <w:r>
        <w:rPr>
          <w:rFonts w:cstheme="minorHAnsi"/>
        </w:rPr>
        <w:t>Wiliam (2011) indicates</w:t>
      </w:r>
      <w:r w:rsidR="00B352F3">
        <w:rPr>
          <w:rFonts w:cstheme="minorHAnsi"/>
        </w:rPr>
        <w:t xml:space="preserve"> that</w:t>
      </w:r>
      <w:r>
        <w:rPr>
          <w:rFonts w:cstheme="minorHAnsi"/>
        </w:rPr>
        <w:t xml:space="preserve"> there is a wealth of persuasive evidence that promotes the importance of </w:t>
      </w:r>
      <w:r w:rsidR="004976B4">
        <w:rPr>
          <w:rFonts w:cstheme="minorHAnsi"/>
        </w:rPr>
        <w:t>f</w:t>
      </w:r>
      <w:r>
        <w:rPr>
          <w:rFonts w:cstheme="minorHAnsi"/>
        </w:rPr>
        <w:t xml:space="preserve">ormative </w:t>
      </w:r>
      <w:r w:rsidR="004976B4">
        <w:rPr>
          <w:rFonts w:cstheme="minorHAnsi"/>
        </w:rPr>
        <w:t>a</w:t>
      </w:r>
      <w:r>
        <w:rPr>
          <w:rFonts w:cstheme="minorHAnsi"/>
        </w:rPr>
        <w:t>ssessment</w:t>
      </w:r>
      <w:r w:rsidR="00B352F3">
        <w:rPr>
          <w:rFonts w:cstheme="minorHAnsi"/>
        </w:rPr>
        <w:t>. H</w:t>
      </w:r>
      <w:r w:rsidR="006101D7">
        <w:rPr>
          <w:rFonts w:cstheme="minorHAnsi"/>
        </w:rPr>
        <w:t xml:space="preserve">is research provides the five core strategies to successful formative assessment practice in the classroom - Clarifying, sharing and </w:t>
      </w:r>
      <w:r w:rsidR="006101D7">
        <w:rPr>
          <w:rFonts w:cstheme="minorHAnsi"/>
        </w:rPr>
        <w:lastRenderedPageBreak/>
        <w:t>understanding learning intentions and criteria for success; Engineering effective classroom discussions, activities and learning tasks that elicit evidence of learning; Providing feedback that moves learning forward; Activating learners as instructional resources for one another; and Activating learners as owners of their own learning. However, despite these early innovations</w:t>
      </w:r>
      <w:r w:rsidR="000D7BA8">
        <w:rPr>
          <w:rFonts w:cstheme="minorHAnsi"/>
        </w:rPr>
        <w:t xml:space="preserve">, </w:t>
      </w:r>
      <w:r w:rsidR="00DE79BE">
        <w:rPr>
          <w:rFonts w:cstheme="minorHAnsi"/>
        </w:rPr>
        <w:t xml:space="preserve">Torrance (2012) criticises it, stating </w:t>
      </w:r>
      <w:r w:rsidR="00A95833">
        <w:rPr>
          <w:rFonts w:cstheme="minorHAnsi"/>
        </w:rPr>
        <w:t xml:space="preserve">that </w:t>
      </w:r>
      <w:r w:rsidR="00DE79BE">
        <w:rPr>
          <w:rFonts w:cstheme="minorHAnsi"/>
        </w:rPr>
        <w:t xml:space="preserve">the theory and practice of formative assessment had arrived at </w:t>
      </w:r>
      <w:r w:rsidR="000D7BA8">
        <w:rPr>
          <w:rFonts w:cstheme="minorHAnsi"/>
        </w:rPr>
        <w:t xml:space="preserve">the </w:t>
      </w:r>
      <w:r w:rsidR="00DE79BE">
        <w:rPr>
          <w:rFonts w:cstheme="minorHAnsi"/>
        </w:rPr>
        <w:t>‘crossroad</w:t>
      </w:r>
      <w:r w:rsidR="000D7BA8">
        <w:rPr>
          <w:rFonts w:cstheme="minorHAnsi"/>
        </w:rPr>
        <w:t xml:space="preserve">s’. According to Torrance the emerging problem of formative assessment is it is being diminished to the use of mini-summative assessments or a series of teaching strategies to train children in a particular way to overall improve their levels within the actual summative assessments. Many other researchers </w:t>
      </w:r>
      <w:r w:rsidR="000D7BA8" w:rsidRPr="000D7BA8">
        <w:t>(</w:t>
      </w:r>
      <w:r w:rsidR="00A95833" w:rsidRPr="000D7BA8">
        <w:t>Klenowski, 2009</w:t>
      </w:r>
      <w:r w:rsidR="00A95833">
        <w:t>;</w:t>
      </w:r>
      <w:r w:rsidR="0083186C">
        <w:t xml:space="preserve"> </w:t>
      </w:r>
      <w:r w:rsidR="000D7BA8" w:rsidRPr="000D7BA8">
        <w:t xml:space="preserve">Bennett, 2011; </w:t>
      </w:r>
      <w:r w:rsidR="0083186C" w:rsidRPr="000D7BA8">
        <w:t>Swaffield, 2011</w:t>
      </w:r>
      <w:r w:rsidR="0083186C">
        <w:t xml:space="preserve">; </w:t>
      </w:r>
      <w:r w:rsidR="000D7BA8" w:rsidRPr="000D7BA8">
        <w:t xml:space="preserve">Hargreaves, 2013; OECD, 2013) </w:t>
      </w:r>
      <w:r w:rsidR="000D7BA8">
        <w:t>also share this criticism.</w:t>
      </w:r>
      <w:r w:rsidR="00B352F3">
        <w:t xml:space="preserve"> </w:t>
      </w:r>
    </w:p>
    <w:p w14:paraId="11B659CC" w14:textId="258DDE9F" w:rsidR="0083186C" w:rsidRDefault="00120CE7" w:rsidP="00B352F3">
      <w:pPr>
        <w:pStyle w:val="NoSpacing"/>
        <w:spacing w:line="480" w:lineRule="auto"/>
        <w:ind w:firstLine="720"/>
      </w:pPr>
      <w:r>
        <w:t>To synthesis the research discussed</w:t>
      </w:r>
      <w:r w:rsidR="000D7BA8">
        <w:t>, it was important to be clear about what exactly we aimed to use our research for in terms of formative assessment</w:t>
      </w:r>
      <w:r w:rsidR="00B352F3">
        <w:t xml:space="preserve">. Therefore, by drawing on the research </w:t>
      </w:r>
      <w:r w:rsidR="004976B4">
        <w:t>by Black and Wiliam (2006), myself and my research partner agreed our primary focus would be to research formative assessment through the strategy of a mid-way plenary</w:t>
      </w:r>
      <w:r w:rsidR="004C55FB">
        <w:t xml:space="preserve"> to observe the children’s involvement</w:t>
      </w:r>
      <w:r w:rsidR="00B352F3">
        <w:t xml:space="preserve"> using the Leuven Scale of Involvement (Laevers, 1994)</w:t>
      </w:r>
      <w:r w:rsidR="0083186C">
        <w:t>.</w:t>
      </w:r>
      <w:r w:rsidR="00D21C42">
        <w:t xml:space="preserve"> </w:t>
      </w:r>
      <w:r w:rsidR="0083186C">
        <w:t xml:space="preserve">Laevers (1994) reveals that involvement focuses on the extents to which pupils are operating to their full potential and capabilities within their learning. The Leuven Scale is used to measure the involvement of children within educational settings by using a scoring measurement to identify how well children engage and develop confidence in a particular activity or task. Myself and my research partner believed that this observational method would support our research question and allow us to get the most out of our observations. </w:t>
      </w:r>
    </w:p>
    <w:p w14:paraId="07CCA682" w14:textId="18FEF547" w:rsidR="000D7BA8" w:rsidRDefault="00D21C42" w:rsidP="0083186C">
      <w:pPr>
        <w:pStyle w:val="NoSpacing"/>
        <w:spacing w:line="480" w:lineRule="auto"/>
        <w:ind w:firstLine="720"/>
      </w:pPr>
      <w:r>
        <w:t xml:space="preserve">The research aims to identify the effectiveness of AFL strategies, however there is much research into the challenges associated with AFL in primary school settings. An article </w:t>
      </w:r>
      <w:r>
        <w:lastRenderedPageBreak/>
        <w:t>by Harrison</w:t>
      </w:r>
      <w:r w:rsidR="009C1897">
        <w:t xml:space="preserve"> (2013) suggests</w:t>
      </w:r>
      <w:r w:rsidR="00120CE7">
        <w:t xml:space="preserve"> that many practitioners find it diff</w:t>
      </w:r>
      <w:r w:rsidR="00B352F3">
        <w:t>icult</w:t>
      </w:r>
      <w:r w:rsidR="00120CE7">
        <w:t xml:space="preserve"> to implement AFL. It is apparent that schools have become data driven and teachers are greatly influenced by the need to produce summative performance data to assess school effectiveness, set targets and monitor standards. Myself and my research partner intended to move away from this approach to assessment as it seems to amplify negativity towards the children whom a</w:t>
      </w:r>
      <w:r w:rsidR="0083186C">
        <w:t xml:space="preserve">ttain </w:t>
      </w:r>
      <w:r w:rsidR="00120CE7">
        <w:t xml:space="preserve">lower </w:t>
      </w:r>
      <w:r w:rsidR="0083186C">
        <w:t xml:space="preserve">outcomes </w:t>
      </w:r>
      <w:r w:rsidR="00120CE7">
        <w:t>compared to others in their class</w:t>
      </w:r>
      <w:r w:rsidR="0083186C">
        <w:t>,</w:t>
      </w:r>
      <w:r w:rsidR="00120CE7">
        <w:t xml:space="preserve"> and focus our efforts on formative assessment which supports learning, rather than judging achievement </w:t>
      </w:r>
      <w:r w:rsidR="0083186C">
        <w:t>as we believe it</w:t>
      </w:r>
      <w:r w:rsidR="00120CE7">
        <w:t xml:space="preserve"> can result in children’s decreased motivation and involvement within their work.</w:t>
      </w:r>
    </w:p>
    <w:p w14:paraId="14EAA08A" w14:textId="77777777" w:rsidR="00CC41E2" w:rsidRDefault="00120CE7" w:rsidP="005775CB">
      <w:pPr>
        <w:pStyle w:val="NoSpacing"/>
        <w:spacing w:line="480" w:lineRule="auto"/>
        <w:ind w:firstLine="720"/>
      </w:pPr>
      <w:r>
        <w:t>Furthermore, Harrison (2013) acknowledges how putting AFL into practice is not easy as it requires school</w:t>
      </w:r>
      <w:r w:rsidR="00C53D38">
        <w:t>s</w:t>
      </w:r>
      <w:r>
        <w:t xml:space="preserve"> to </w:t>
      </w:r>
      <w:r w:rsidR="00C53D38">
        <w:t>prioritise</w:t>
      </w:r>
      <w:r>
        <w:t xml:space="preserve"> this approach to assessment </w:t>
      </w:r>
      <w:r w:rsidR="00C53D38">
        <w:t xml:space="preserve">and also requires teachers to change the way they work with the pupils. This makes implementing a new pedagogic approach very difficult, but teachers need to make this a part of their day-to-day practice. Schools need to reflect on how their use of formative assessment can </w:t>
      </w:r>
      <w:r w:rsidR="001535C0">
        <w:t>improve</w:t>
      </w:r>
      <w:r w:rsidR="005775CB">
        <w:t xml:space="preserve"> the educational process of teaching and how it can </w:t>
      </w:r>
      <w:r w:rsidR="00C53D38">
        <w:t>affect the motivation</w:t>
      </w:r>
      <w:r w:rsidR="005775CB">
        <w:t xml:space="preserve"> </w:t>
      </w:r>
      <w:r w:rsidR="00C53D38">
        <w:t>and self-esteem of their learners (</w:t>
      </w:r>
      <w:r w:rsidR="005775CB">
        <w:t>Bloom, 1969).</w:t>
      </w:r>
      <w:r w:rsidR="006D4034">
        <w:t xml:space="preserve"> In reflection to the research by Bullock and Smith (2015), the teacher research myself and my research partner intend to carry out aims to investigate what AFL means for teach</w:t>
      </w:r>
      <w:r w:rsidR="009778C8">
        <w:t>ing</w:t>
      </w:r>
      <w:r w:rsidR="006D4034">
        <w:t xml:space="preserve"> and learning and what we as teachers can do. </w:t>
      </w:r>
      <w:r w:rsidR="009778C8">
        <w:t xml:space="preserve">As teachers we can collect information about individual learners to better understand their needs and therefore adjust our teaching and AFL strategies in response to the pupils we teach. Like Bullock and Smith, </w:t>
      </w:r>
      <w:r w:rsidR="00027C53">
        <w:t xml:space="preserve">in our research the </w:t>
      </w:r>
      <w:r w:rsidR="009778C8">
        <w:t xml:space="preserve">mid-way plenary will discuss learning objectives with the pupils for that particular lesson, and </w:t>
      </w:r>
      <w:r w:rsidR="00DE7F5A">
        <w:t xml:space="preserve">will </w:t>
      </w:r>
      <w:r w:rsidR="009778C8">
        <w:t>generat</w:t>
      </w:r>
      <w:r w:rsidR="00DE7F5A">
        <w:t>e</w:t>
      </w:r>
      <w:r w:rsidR="009778C8">
        <w:t xml:space="preserve"> and shar</w:t>
      </w:r>
      <w:r w:rsidR="00DE7F5A">
        <w:t xml:space="preserve">e </w:t>
      </w:r>
      <w:r w:rsidR="009778C8">
        <w:t xml:space="preserve">the success criteria to ensure the children understand how to achieve the lesson outcomes. </w:t>
      </w:r>
    </w:p>
    <w:p w14:paraId="3B5548A5" w14:textId="77777777" w:rsidR="00F467CD" w:rsidRDefault="00F61173" w:rsidP="00F467CD">
      <w:pPr>
        <w:pStyle w:val="NoSpacing"/>
        <w:spacing w:line="480" w:lineRule="auto"/>
        <w:ind w:firstLine="720"/>
      </w:pPr>
      <w:r>
        <w:t>Gardner</w:t>
      </w:r>
      <w:r w:rsidR="009778C8">
        <w:t xml:space="preserve"> (2012) identifies how </w:t>
      </w:r>
      <w:r w:rsidR="00DE7F5A">
        <w:t>questioning</w:t>
      </w:r>
      <w:r w:rsidR="009778C8">
        <w:t xml:space="preserve"> allows practitioners</w:t>
      </w:r>
      <w:r w:rsidR="00DE7F5A">
        <w:t xml:space="preserve"> to correct misunderstandings and </w:t>
      </w:r>
      <w:r w:rsidR="00027C53">
        <w:t xml:space="preserve">identify </w:t>
      </w:r>
      <w:r w:rsidR="00DE7F5A">
        <w:t>gaps in knowledge amongst the learners within their class</w:t>
      </w:r>
      <w:r w:rsidR="00027C53">
        <w:t>. I</w:t>
      </w:r>
      <w:r w:rsidR="00DE7F5A">
        <w:t xml:space="preserve">t </w:t>
      </w:r>
      <w:r w:rsidR="00DE7F5A">
        <w:lastRenderedPageBreak/>
        <w:t>informs teachers about what the pupils know, understand and can do</w:t>
      </w:r>
      <w:r w:rsidR="00027C53">
        <w:t xml:space="preserve">, </w:t>
      </w:r>
      <w:r w:rsidR="00DE7F5A">
        <w:t xml:space="preserve">as well as what they are struggling with. This formative assessment strategy supports teachers future planning to provide activities that encourage each individual child to develop their learning further. </w:t>
      </w:r>
      <w:r>
        <w:t>Gardner</w:t>
      </w:r>
      <w:r w:rsidR="00955EE1">
        <w:t xml:space="preserve"> (2012) supports the theory of Black and Wiliam </w:t>
      </w:r>
      <w:r>
        <w:t xml:space="preserve">(2006), </w:t>
      </w:r>
      <w:r w:rsidR="00955EE1">
        <w:t xml:space="preserve">as the purpose of formative evaluation </w:t>
      </w:r>
      <w:r>
        <w:t xml:space="preserve">is </w:t>
      </w:r>
      <w:r w:rsidR="00955EE1">
        <w:t>to provide feedback and</w:t>
      </w:r>
      <w:r>
        <w:t xml:space="preserve"> on-going assessments</w:t>
      </w:r>
      <w:r w:rsidR="00955EE1">
        <w:t xml:space="preserve"> at each stage in the teaching and learning process</w:t>
      </w:r>
      <w:r>
        <w:t>.</w:t>
      </w:r>
      <w:r w:rsidR="007E3B90">
        <w:t xml:space="preserve"> </w:t>
      </w:r>
      <w:r w:rsidR="00027C53">
        <w:t xml:space="preserve">Moreover, a mini-plenary is being performed in our research to identify </w:t>
      </w:r>
      <w:r w:rsidR="00F467CD">
        <w:t>whether the literature</w:t>
      </w:r>
      <w:r w:rsidR="00027C53">
        <w:t xml:space="preserve"> </w:t>
      </w:r>
      <w:r w:rsidR="00F467CD">
        <w:t xml:space="preserve">being </w:t>
      </w:r>
      <w:r w:rsidR="00027C53">
        <w:t>discussed</w:t>
      </w:r>
      <w:r w:rsidR="00F467CD">
        <w:t xml:space="preserve"> supports our research question.</w:t>
      </w:r>
    </w:p>
    <w:p w14:paraId="0ED75F29" w14:textId="6EAA1511" w:rsidR="009778C8" w:rsidRDefault="00027C53" w:rsidP="00F467CD">
      <w:pPr>
        <w:pStyle w:val="NoSpacing"/>
        <w:spacing w:line="480" w:lineRule="auto"/>
        <w:ind w:firstLine="720"/>
      </w:pPr>
      <w:r>
        <w:t xml:space="preserve"> Cremin and Arthur (2014) state that mini-plenaries in children’s learning provides them with an opportunity to regularly reflect on their work and what they are aiming for in the lesson. </w:t>
      </w:r>
      <w:r w:rsidR="00C35AB4">
        <w:t xml:space="preserve">According to their research, mini-plenaries </w:t>
      </w:r>
      <w:r>
        <w:t>provide a vehicle for continued sharing of the learning objectives</w:t>
      </w:r>
      <w:r w:rsidR="00C35AB4">
        <w:t xml:space="preserve"> and </w:t>
      </w:r>
      <w:r>
        <w:t>allows teachers to monitor progress throughout the lesson by asking questions about the task</w:t>
      </w:r>
      <w:r w:rsidR="00C35AB4">
        <w:t xml:space="preserve">. </w:t>
      </w:r>
      <w:r w:rsidR="00193E24">
        <w:t>Min</w:t>
      </w:r>
      <w:r w:rsidR="00F467CD">
        <w:t>i</w:t>
      </w:r>
      <w:r w:rsidR="00193E24">
        <w:t>-plenaries</w:t>
      </w:r>
      <w:r w:rsidR="00C35AB4">
        <w:t xml:space="preserve"> also </w:t>
      </w:r>
      <w:r>
        <w:t>encourag</w:t>
      </w:r>
      <w:r w:rsidR="00C35AB4">
        <w:t>e</w:t>
      </w:r>
      <w:r>
        <w:t xml:space="preserve"> pupils to share </w:t>
      </w:r>
      <w:r w:rsidR="00C35AB4">
        <w:t xml:space="preserve">their work and ideas </w:t>
      </w:r>
      <w:r>
        <w:t xml:space="preserve">with their peers and </w:t>
      </w:r>
      <w:r w:rsidR="00C35AB4">
        <w:t xml:space="preserve">to </w:t>
      </w:r>
      <w:r>
        <w:t>set targets for the next steps in their learning</w:t>
      </w:r>
      <w:r w:rsidR="007E3B90">
        <w:t xml:space="preserve"> by evaluating their own progress against the success criteria given</w:t>
      </w:r>
      <w:r>
        <w:t xml:space="preserve">. </w:t>
      </w:r>
      <w:r w:rsidR="00C35AB4">
        <w:t xml:space="preserve">Based on the integration and synthesis of the empirical evidence discussed based on the research question, I am interested to discover whether a mini-plenary is an effective </w:t>
      </w:r>
      <w:r w:rsidR="00F467CD">
        <w:t xml:space="preserve">formative assessment </w:t>
      </w:r>
      <w:r w:rsidR="00C35AB4">
        <w:t>strategy</w:t>
      </w:r>
      <w:r w:rsidR="00193E24">
        <w:t xml:space="preserve"> for involvement. </w:t>
      </w:r>
    </w:p>
    <w:p w14:paraId="476B0FBC" w14:textId="35B0DDA6" w:rsidR="009778C8" w:rsidRDefault="00D441F3" w:rsidP="005775CB">
      <w:pPr>
        <w:pStyle w:val="NoSpacing"/>
        <w:spacing w:line="480" w:lineRule="auto"/>
        <w:ind w:firstLine="720"/>
      </w:pPr>
      <w:r>
        <w:t>Action research i</w:t>
      </w:r>
      <w:r w:rsidR="00C17891">
        <w:t xml:space="preserve">n education is the process in which teachers investigate teaching and learning strategies </w:t>
      </w:r>
      <w:r w:rsidR="00EA0A1B">
        <w:t>that</w:t>
      </w:r>
      <w:r w:rsidR="00C17891">
        <w:t xml:space="preserve"> then allows them to improve their own practice and their pupils’ learning (Efron and Ravid, 2013). </w:t>
      </w:r>
      <w:r w:rsidR="009E725E">
        <w:t xml:space="preserve">According to </w:t>
      </w:r>
      <w:r w:rsidR="00B64C3C">
        <w:t>Dewey (2007)</w:t>
      </w:r>
      <w:r w:rsidR="009E725E">
        <w:t xml:space="preserve"> action research can make you a ‘student of teaching’. His theory of learning by doing reveals that reality must be experienced, therefore teachers should carry out action research to identify what they and their pupils actually learn and do, rather than what they think</w:t>
      </w:r>
      <w:r w:rsidR="00604141">
        <w:t xml:space="preserve"> they do. In addition, it enables teachers to tailor teaching and learning to their pupils and their settings so that </w:t>
      </w:r>
      <w:r w:rsidR="00604141">
        <w:lastRenderedPageBreak/>
        <w:t xml:space="preserve">they are able to justify their practice and the choices they make. </w:t>
      </w:r>
      <w:r w:rsidR="009D59D0">
        <w:t>The methodology for our research is Lesson Study</w:t>
      </w:r>
      <w:r w:rsidR="00E10E44">
        <w:t>,</w:t>
      </w:r>
      <w:r w:rsidR="00990680">
        <w:t xml:space="preserve"> which is a form of action research. It is a teaching improvement process that has origins in Japanese elementary education and was developed in the UK by Dr Pete</w:t>
      </w:r>
      <w:r w:rsidR="00A36735">
        <w:t>r</w:t>
      </w:r>
      <w:r w:rsidR="00990680">
        <w:t xml:space="preserve"> Dudley in 201</w:t>
      </w:r>
      <w:r w:rsidR="00BA3A3F">
        <w:t>1 (Dudley, 201</w:t>
      </w:r>
      <w:r w:rsidR="001426FF">
        <w:t>5</w:t>
      </w:r>
      <w:r w:rsidR="00BA3A3F">
        <w:t xml:space="preserve">). </w:t>
      </w:r>
      <w:r w:rsidR="004763C3">
        <w:t xml:space="preserve">He identifies that </w:t>
      </w:r>
      <w:r w:rsidR="00BA3A3F">
        <w:t xml:space="preserve">Lesson </w:t>
      </w:r>
      <w:r w:rsidR="004763C3">
        <w:t>S</w:t>
      </w:r>
      <w:r w:rsidR="00BA3A3F">
        <w:t>tudy involves teachers working in small groups to plan lessons that identify a shared learning outcome for pupils. The aim is to deliver the lessons while their colleagues observe, to address the learning goal, and then to refine and review the lesson plans based on the feedback given.</w:t>
      </w:r>
      <w:r w:rsidR="001426FF">
        <w:t xml:space="preserve"> Chassels (2009)</w:t>
      </w:r>
      <w:r w:rsidR="00FA4BB9">
        <w:t xml:space="preserve"> investigate</w:t>
      </w:r>
      <w:r w:rsidR="00E10E44">
        <w:t xml:space="preserve">s </w:t>
      </w:r>
      <w:r w:rsidR="00FA4BB9">
        <w:t xml:space="preserve">the benefits and challenges </w:t>
      </w:r>
      <w:r w:rsidR="00E10E44">
        <w:t>of</w:t>
      </w:r>
      <w:r w:rsidR="00FA4BB9">
        <w:t xml:space="preserve"> engag</w:t>
      </w:r>
      <w:r w:rsidR="00E10E44">
        <w:t>ing</w:t>
      </w:r>
      <w:r w:rsidR="00FA4BB9">
        <w:t xml:space="preserve"> teachers in Lesson Study. She identifies that it provides opportunities for teachers to build professional learning and </w:t>
      </w:r>
      <w:r w:rsidR="00E10E44">
        <w:t xml:space="preserve">to </w:t>
      </w:r>
      <w:r w:rsidR="00FA4BB9">
        <w:t xml:space="preserve">deepen </w:t>
      </w:r>
      <w:r w:rsidR="00E10E44">
        <w:t xml:space="preserve">their </w:t>
      </w:r>
      <w:r w:rsidR="00FA4BB9">
        <w:t>understanding of curriculum and pedagogy</w:t>
      </w:r>
      <w:r w:rsidR="00E10E44">
        <w:t>. H</w:t>
      </w:r>
      <w:r w:rsidR="00FA4BB9">
        <w:t>owever</w:t>
      </w:r>
      <w:r w:rsidR="00E10E44">
        <w:t>,</w:t>
      </w:r>
      <w:r w:rsidR="00FA4BB9">
        <w:t xml:space="preserve"> implementation challenges</w:t>
      </w:r>
      <w:r w:rsidR="00EA0A1B">
        <w:t xml:space="preserve"> of Lesson Study</w:t>
      </w:r>
      <w:r w:rsidR="00FA4BB9">
        <w:t xml:space="preserve"> occur related to time, practical placement and the professional development of </w:t>
      </w:r>
      <w:r w:rsidR="00E10E44">
        <w:t xml:space="preserve">the </w:t>
      </w:r>
      <w:r w:rsidR="00FA4BB9">
        <w:t xml:space="preserve">teachers involved. </w:t>
      </w:r>
    </w:p>
    <w:p w14:paraId="464D63DD" w14:textId="54E5CD79" w:rsidR="00FA4BB9" w:rsidRDefault="00FA4BB9" w:rsidP="005775CB">
      <w:pPr>
        <w:pStyle w:val="NoSpacing"/>
        <w:spacing w:line="480" w:lineRule="auto"/>
        <w:ind w:firstLine="720"/>
      </w:pPr>
      <w:r>
        <w:t>The participants in our Lesson Study were a chosen sample focus group. The children were chosen to obtain the detailed information for our research question. There were 3 children (high, middle and low ability) chosen in each focus group from both schools. Myself and my research partner identified that this selection of participants would provide a true reflection</w:t>
      </w:r>
      <w:r w:rsidR="00F5058C">
        <w:t xml:space="preserve"> to </w:t>
      </w:r>
      <w:r w:rsidR="00E10E44">
        <w:t xml:space="preserve">our </w:t>
      </w:r>
      <w:r w:rsidR="00F5058C">
        <w:t xml:space="preserve">research </w:t>
      </w:r>
      <w:r w:rsidR="00E10E44">
        <w:t xml:space="preserve">about </w:t>
      </w:r>
      <w:r w:rsidR="00F5058C">
        <w:t xml:space="preserve">whether our AFL strategy </w:t>
      </w:r>
      <w:r w:rsidR="00E10E44">
        <w:t xml:space="preserve">of a mid-way plenary </w:t>
      </w:r>
      <w:r w:rsidR="00F5058C">
        <w:t xml:space="preserve">would benefit all ability levels within our classes. Nyumba et al. (2018) highlights that </w:t>
      </w:r>
      <w:r w:rsidR="00E10E44">
        <w:t>a f</w:t>
      </w:r>
      <w:r w:rsidR="00F5058C">
        <w:t>ocus group semi-structed interview is a beneficial qualitative approach to gain an in-depth understanding of the research being</w:t>
      </w:r>
      <w:r w:rsidR="00E10E44">
        <w:t xml:space="preserve"> carried out</w:t>
      </w:r>
      <w:r w:rsidR="00F5058C">
        <w:t xml:space="preserve">. The method aims to obtain data from a purposely selected group of children – in </w:t>
      </w:r>
      <w:r w:rsidR="00E10E44">
        <w:t>our</w:t>
      </w:r>
      <w:r w:rsidR="00F5058C">
        <w:t xml:space="preserve"> case, lesson involvement. During the semi-structured interview, myself and </w:t>
      </w:r>
      <w:r w:rsidR="00E10E44">
        <w:t>my r</w:t>
      </w:r>
      <w:r w:rsidR="00F5058C">
        <w:t xml:space="preserve">esearch partner asked </w:t>
      </w:r>
      <w:r w:rsidR="00E10E44">
        <w:t xml:space="preserve">a range of </w:t>
      </w:r>
      <w:r w:rsidR="00F5058C">
        <w:t>focus group piloted questions</w:t>
      </w:r>
      <w:r w:rsidR="00E10E44">
        <w:t xml:space="preserve"> (Can be seen in Appendix</w:t>
      </w:r>
      <w:r w:rsidR="00764008">
        <w:t xml:space="preserve"> </w:t>
      </w:r>
      <w:r w:rsidR="00344EF4">
        <w:t>B</w:t>
      </w:r>
      <w:r w:rsidR="00E10E44">
        <w:t>)</w:t>
      </w:r>
      <w:r w:rsidR="00F5058C">
        <w:t xml:space="preserve">, which resulted in both closed and </w:t>
      </w:r>
      <w:r w:rsidR="00BE2C35">
        <w:t>open-ended responses</w:t>
      </w:r>
      <w:r w:rsidR="00693532">
        <w:t xml:space="preserve"> and allowed time for the children to discuss their views further</w:t>
      </w:r>
      <w:r w:rsidR="00A36735">
        <w:t>,</w:t>
      </w:r>
      <w:r w:rsidR="00F77D3E">
        <w:t xml:space="preserve"> </w:t>
      </w:r>
      <w:r w:rsidR="00A36735">
        <w:t>this</w:t>
      </w:r>
      <w:r w:rsidR="00F77D3E">
        <w:t xml:space="preserve"> highlights the </w:t>
      </w:r>
      <w:r w:rsidR="00F77D3E">
        <w:lastRenderedPageBreak/>
        <w:t xml:space="preserve">validity of </w:t>
      </w:r>
      <w:r w:rsidR="00A36735">
        <w:t xml:space="preserve">our </w:t>
      </w:r>
      <w:r w:rsidR="00F77D3E">
        <w:t>research</w:t>
      </w:r>
      <w:r w:rsidR="00BE2C35">
        <w:t>. We decided to pilot the questions by asking experienced practitioners for their views and took the feedback into consideration before our Lesson Study took place. Teijlingen and Hundley</w:t>
      </w:r>
      <w:r w:rsidR="00DE098C">
        <w:t xml:space="preserve"> (2002) discuss the importance of pilot studies and how they are a crucial element of a good study design.</w:t>
      </w:r>
      <w:r w:rsidR="00693532">
        <w:t xml:space="preserve"> Even though conducting a pilot study does not guarantee success in the main Lesson Study, we felt it would increase the likelihood of success if we piloted our questions beforehand. </w:t>
      </w:r>
    </w:p>
    <w:p w14:paraId="59D57E35" w14:textId="187E6E60" w:rsidR="00693532" w:rsidRDefault="00693532" w:rsidP="005775CB">
      <w:pPr>
        <w:pStyle w:val="NoSpacing"/>
        <w:spacing w:line="480" w:lineRule="auto"/>
        <w:ind w:firstLine="720"/>
      </w:pPr>
      <w:r>
        <w:t>In addition, the non-participant observations were collected using a s</w:t>
      </w:r>
      <w:r w:rsidR="00E87472">
        <w:t xml:space="preserve">tructured </w:t>
      </w:r>
      <w:r w:rsidR="00454763">
        <w:t>observational method – The Leuven Scale of Involvement. This theory-based checklist method was chosen to observe the involvement of the 3 focus children within each of the lessons, both pre and post plenary</w:t>
      </w:r>
      <w:r w:rsidR="005F5F83">
        <w:t xml:space="preserve"> to obtain the data intended to collect</w:t>
      </w:r>
      <w:r w:rsidR="00454763">
        <w:t xml:space="preserve">. Riddall-Leech (2005) </w:t>
      </w:r>
      <w:r w:rsidR="00553405">
        <w:t xml:space="preserve">claims that this type of observational method </w:t>
      </w:r>
      <w:r w:rsidR="0017733B">
        <w:t xml:space="preserve">is quick and easy to use and </w:t>
      </w:r>
      <w:r w:rsidR="00553405">
        <w:t xml:space="preserve">can be used </w:t>
      </w:r>
      <w:r w:rsidR="0017733B">
        <w:t>for purposes of comparing levels of development. However, she states that checklist</w:t>
      </w:r>
      <w:r w:rsidR="005C789F">
        <w:t xml:space="preserve"> observations </w:t>
      </w:r>
      <w:r w:rsidR="0017733B">
        <w:t>result in limited data being recorded as the child may do more/less than is suggested by the information provided in the checklist.</w:t>
      </w:r>
      <w:r w:rsidR="00553405">
        <w:t xml:space="preserve"> </w:t>
      </w:r>
      <w:r w:rsidR="0017733B">
        <w:t>Because of this limitation, myself and my research partner planned and prepared our Leuven Scale checklist with a comments box to allow us the opportunity to add</w:t>
      </w:r>
      <w:r w:rsidR="005C789F">
        <w:t xml:space="preserve"> and </w:t>
      </w:r>
      <w:r w:rsidR="0017733B">
        <w:t>explain any information necessary during the Lesson Study observations.</w:t>
      </w:r>
      <w:r w:rsidR="00C145DD">
        <w:t xml:space="preserve"> </w:t>
      </w:r>
      <w:r w:rsidR="005F5F83">
        <w:t xml:space="preserve">Similarly, this </w:t>
      </w:r>
      <w:r w:rsidR="0088542E">
        <w:t xml:space="preserve">data collection </w:t>
      </w:r>
      <w:r w:rsidR="005F5F83">
        <w:t xml:space="preserve">method was also piloted by myself and my research partner to ensure our understandings were clear on how to complete the observational notes </w:t>
      </w:r>
      <w:r w:rsidR="0088542E">
        <w:t>effectively and to minimise bias. We did this by both watching the same Lesson Study video and compared our results. From this we reviewed our observational techniques to avoid any potential issues that may occur during our main Lesson Study (Thabane et al. 2010).</w:t>
      </w:r>
    </w:p>
    <w:p w14:paraId="56C51760" w14:textId="2C7E2760" w:rsidR="00C145DD" w:rsidRDefault="00C145DD" w:rsidP="00D014FF">
      <w:pPr>
        <w:pStyle w:val="NoSpacing"/>
        <w:spacing w:line="480" w:lineRule="auto"/>
        <w:ind w:firstLine="720"/>
      </w:pPr>
      <w:r>
        <w:t xml:space="preserve">Furthermore, from our </w:t>
      </w:r>
      <w:r w:rsidR="0076167F">
        <w:t xml:space="preserve">Leuven Scale </w:t>
      </w:r>
      <w:r>
        <w:t>observations and the semi-structure</w:t>
      </w:r>
      <w:r w:rsidR="0076167F">
        <w:t>d interviews</w:t>
      </w:r>
      <w:r w:rsidR="005C789F">
        <w:t xml:space="preserve">, </w:t>
      </w:r>
      <w:r w:rsidR="0076167F">
        <w:t>myself and my research partner analysed the data collected</w:t>
      </w:r>
      <w:r w:rsidR="00B93C56">
        <w:t xml:space="preserve"> in the Lesson Study</w:t>
      </w:r>
      <w:r w:rsidR="0076167F">
        <w:t xml:space="preserve">. </w:t>
      </w:r>
      <w:r w:rsidR="00B93C56">
        <w:lastRenderedPageBreak/>
        <w:t xml:space="preserve">Using both of our observational notes (Leuven Scale Checklists – seen in Appendix </w:t>
      </w:r>
      <w:r w:rsidR="00344EF4">
        <w:t>C</w:t>
      </w:r>
      <w:r w:rsidR="00B93C56">
        <w:t xml:space="preserve">) we reviewed and discussed the findings based on the children’s involvement, highlighting any common themes identified in both pre and post plenary observations. When doing this, we had to consider the difference in age between both focus groups (lower and upper Key Stage 2) and the ability levels between the 3 focus children in each group. </w:t>
      </w:r>
      <w:r w:rsidR="00481A46">
        <w:t xml:space="preserve">Griggs (1987) </w:t>
      </w:r>
      <w:r w:rsidR="00B93C56">
        <w:t xml:space="preserve">identifies the importance of analysing </w:t>
      </w:r>
      <w:r w:rsidR="00481A46">
        <w:t>qualitative data as</w:t>
      </w:r>
      <w:r w:rsidR="00B93C56">
        <w:t xml:space="preserve"> it provides researchers with </w:t>
      </w:r>
      <w:r w:rsidR="00481A46">
        <w:t xml:space="preserve">the </w:t>
      </w:r>
      <w:r w:rsidR="00B93C56">
        <w:t xml:space="preserve">opportunity to explore the data in a meaningful way. </w:t>
      </w:r>
      <w:r w:rsidR="00481A46">
        <w:t>The data can be interpreted and summarised and then conclusions can be drawn.</w:t>
      </w:r>
      <w:r w:rsidR="00183048">
        <w:t xml:space="preserve"> Moreover, the analysis of the semi-structured interviews </w:t>
      </w:r>
      <w:r w:rsidR="005474F1">
        <w:t xml:space="preserve">was </w:t>
      </w:r>
      <w:r w:rsidR="00183048">
        <w:t>carried out by transcribing the audio recording</w:t>
      </w:r>
      <w:r w:rsidR="005474F1">
        <w:t>s</w:t>
      </w:r>
      <w:r w:rsidR="00183048">
        <w:t xml:space="preserve"> that took place. </w:t>
      </w:r>
      <w:r w:rsidR="005474F1">
        <w:t>We felt that audio recording the interviews would help in capturing the interactions and conversations between both myself, my research partner and the focus group participants more clearly. Audio recordings provide more reliable data, allowing researchers to listen back over them at any given time to make notes and to reflect on what was discussed</w:t>
      </w:r>
      <w:r w:rsidR="005C789F">
        <w:t xml:space="preserve"> (Tessier, 2012)</w:t>
      </w:r>
      <w:r w:rsidR="005474F1">
        <w:t xml:space="preserve">. </w:t>
      </w:r>
      <w:r w:rsidR="005C789F">
        <w:t>Therefore, w</w:t>
      </w:r>
      <w:r w:rsidR="00D014FF">
        <w:t xml:space="preserve">hen publishing research findings, </w:t>
      </w:r>
      <w:r w:rsidR="005C789F">
        <w:t>obtaining</w:t>
      </w:r>
      <w:r w:rsidR="00D014FF">
        <w:t xml:space="preserve"> recordings ensures the stud</w:t>
      </w:r>
      <w:r w:rsidR="005C789F">
        <w:t>y’s</w:t>
      </w:r>
      <w:r w:rsidR="00D014FF">
        <w:t xml:space="preserve"> credibilit</w:t>
      </w:r>
      <w:r w:rsidR="005C789F">
        <w:t xml:space="preserve">y. </w:t>
      </w:r>
      <w:r w:rsidR="00D014FF">
        <w:t xml:space="preserve"> </w:t>
      </w:r>
      <w:r w:rsidR="00C04BBE">
        <w:t xml:space="preserve">On the other hand, </w:t>
      </w:r>
      <w:r w:rsidR="004571E6">
        <w:t>it was important for myself and my research partner to consider the limitations that could occur w</w:t>
      </w:r>
      <w:r w:rsidR="00B955C0">
        <w:t xml:space="preserve">hen </w:t>
      </w:r>
      <w:r w:rsidR="004571E6">
        <w:t xml:space="preserve">audio recording the focus group interviews. </w:t>
      </w:r>
      <w:r w:rsidR="00CE4595">
        <w:t xml:space="preserve">With audio recording the researcher has to rely on the technical equipment begin used, therefore if it fails to function properly </w:t>
      </w:r>
      <w:r w:rsidR="005C789F">
        <w:t>it is their responsibility</w:t>
      </w:r>
      <w:r w:rsidR="00CE4595">
        <w:t xml:space="preserve"> to ensure a back-up plan is in place (Hayes and Ma</w:t>
      </w:r>
      <w:r w:rsidR="00072C2C">
        <w:t>ttimoe</w:t>
      </w:r>
      <w:r w:rsidR="00CE4595">
        <w:t>, 2004). In order to overcome the problems of equipment failure, myself and my research partner carried out a test recording beforehand, and as a precaution one of us noted any important points mentioned in the focus group interviews.</w:t>
      </w:r>
    </w:p>
    <w:p w14:paraId="07E3E739" w14:textId="4CC88CB8" w:rsidR="00E009B3" w:rsidRDefault="00E009B3" w:rsidP="00D014FF">
      <w:pPr>
        <w:pStyle w:val="NoSpacing"/>
        <w:spacing w:line="480" w:lineRule="auto"/>
        <w:ind w:firstLine="720"/>
      </w:pPr>
      <w:r>
        <w:t>In conjunction with the Lesson Study observations and semi-structured interviews, myself and my research partner ha</w:t>
      </w:r>
      <w:r w:rsidR="005C789F">
        <w:t>d</w:t>
      </w:r>
      <w:r>
        <w:t xml:space="preserve"> to reflect on our findings</w:t>
      </w:r>
      <w:r w:rsidR="005C789F">
        <w:t xml:space="preserve"> (Reflections can be seen in </w:t>
      </w:r>
      <w:r w:rsidR="005C789F">
        <w:lastRenderedPageBreak/>
        <w:t xml:space="preserve">Appendix </w:t>
      </w:r>
      <w:r w:rsidR="00B40B36">
        <w:t>D</w:t>
      </w:r>
      <w:r w:rsidR="005C789F">
        <w:t>)</w:t>
      </w:r>
      <w:r>
        <w:t>. Firstly, we reflected on ourselves within the Lesson Study. We did this by using Kolb’s Learning Cycle (1984) to identify the experience as the source of our</w:t>
      </w:r>
      <w:r w:rsidR="00EA0A1B">
        <w:t xml:space="preserve"> own</w:t>
      </w:r>
      <w:r>
        <w:t xml:space="preserve"> learning and development.</w:t>
      </w:r>
      <w:r w:rsidR="00424719">
        <w:t xml:space="preserve"> The four stages </w:t>
      </w:r>
      <w:r w:rsidR="005C789F">
        <w:t xml:space="preserve">of Kolb’s Learning Cycle </w:t>
      </w:r>
      <w:r w:rsidR="00424719">
        <w:t>allowed us to identify the lesson we taught, reflect on it</w:t>
      </w:r>
      <w:r w:rsidR="00B2353C">
        <w:t>, conclude the findings and then consider the research for future planning. Similarly, in addition to Kolb, we also used Brookfield’s Theory of Reflection (1995) to critically reflect on ourselves, the views of the learners in regards to the Lesson Study, the perceptions from each other and also in relation to theoretical literature discussed.</w:t>
      </w:r>
    </w:p>
    <w:p w14:paraId="5ED59B84" w14:textId="1F5C836D" w:rsidR="0038369C" w:rsidRDefault="00AD55C1" w:rsidP="00943446">
      <w:pPr>
        <w:pStyle w:val="NoSpacing"/>
        <w:spacing w:line="480" w:lineRule="auto"/>
        <w:ind w:firstLine="720"/>
        <w:rPr>
          <w:rFonts w:cstheme="minorHAnsi"/>
          <w:bCs/>
        </w:rPr>
      </w:pPr>
      <w:r>
        <w:t>W</w:t>
      </w:r>
      <w:r w:rsidR="00EA0A1B">
        <w:t>hen</w:t>
      </w:r>
      <w:r w:rsidR="003011AA">
        <w:t xml:space="preserve"> performing th</w:t>
      </w:r>
      <w:r w:rsidR="00921062">
        <w:t>e</w:t>
      </w:r>
      <w:r w:rsidR="003011AA">
        <w:t xml:space="preserve"> research involving ourselves as university student teachers, primary school</w:t>
      </w:r>
      <w:r>
        <w:t xml:space="preserve"> settings</w:t>
      </w:r>
      <w:r w:rsidR="003011AA">
        <w:t xml:space="preserve"> and children participants under the age of 18</w:t>
      </w:r>
      <w:r>
        <w:t>,</w:t>
      </w:r>
      <w:r w:rsidR="003011AA">
        <w:t xml:space="preserve"> there were ethical considerations that needed to be addressed before our Lesson Study took place. Myself and my research partner completed an application </w:t>
      </w:r>
      <w:r w:rsidR="003C55FC">
        <w:t xml:space="preserve">form </w:t>
      </w:r>
      <w:r w:rsidR="003011AA">
        <w:t>for ethical approval beforehand to ensure our research was to be conducted ethically</w:t>
      </w:r>
      <w:r w:rsidR="00414532">
        <w:t xml:space="preserve"> and </w:t>
      </w:r>
      <w:r w:rsidR="003011AA">
        <w:t>result in benefit</w:t>
      </w:r>
      <w:r w:rsidR="00414532">
        <w:t>,</w:t>
      </w:r>
      <w:r w:rsidR="003011AA">
        <w:t xml:space="preserve"> and to minimise any risk of harm</w:t>
      </w:r>
      <w:r w:rsidR="000F4737">
        <w:t xml:space="preserve"> that could occur</w:t>
      </w:r>
      <w:r w:rsidR="003011AA">
        <w:t xml:space="preserve">. The core ethical guideline documents that were referred to during the completion of the ethics form were the </w:t>
      </w:r>
      <w:r w:rsidR="003011AA" w:rsidRPr="003011AA">
        <w:rPr>
          <w:rFonts w:cstheme="minorHAnsi"/>
          <w:bCs/>
        </w:rPr>
        <w:t xml:space="preserve">University of Wales Trinity Saint David Research Ethics &amp; Integrity Code of Practice </w:t>
      </w:r>
      <w:r w:rsidR="003011AA">
        <w:rPr>
          <w:rFonts w:cstheme="minorHAnsi"/>
          <w:bCs/>
        </w:rPr>
        <w:t>(</w:t>
      </w:r>
      <w:r w:rsidR="003011AA" w:rsidRPr="003011AA">
        <w:rPr>
          <w:rFonts w:cstheme="minorHAnsi"/>
          <w:bCs/>
        </w:rPr>
        <w:t>2017-2020</w:t>
      </w:r>
      <w:r w:rsidR="003011AA">
        <w:rPr>
          <w:rFonts w:cstheme="minorHAnsi"/>
          <w:bCs/>
        </w:rPr>
        <w:t xml:space="preserve">) and the </w:t>
      </w:r>
      <w:r w:rsidR="003011AA" w:rsidRPr="003011AA">
        <w:rPr>
          <w:rFonts w:cstheme="minorHAnsi"/>
          <w:bCs/>
        </w:rPr>
        <w:t xml:space="preserve">British Educational Research Association </w:t>
      </w:r>
      <w:r>
        <w:rPr>
          <w:rFonts w:cstheme="minorHAnsi"/>
          <w:bCs/>
        </w:rPr>
        <w:t xml:space="preserve">(BERA) </w:t>
      </w:r>
      <w:r w:rsidR="003011AA" w:rsidRPr="003011AA">
        <w:rPr>
          <w:rFonts w:cstheme="minorHAnsi"/>
          <w:bCs/>
        </w:rPr>
        <w:t>Ethical Guidelines for Educational Research (2018)</w:t>
      </w:r>
      <w:r w:rsidR="003011AA">
        <w:rPr>
          <w:rFonts w:cstheme="minorHAnsi"/>
          <w:bCs/>
        </w:rPr>
        <w:t>.</w:t>
      </w:r>
      <w:r w:rsidR="00943446">
        <w:rPr>
          <w:rFonts w:cstheme="minorHAnsi"/>
          <w:bCs/>
        </w:rPr>
        <w:t xml:space="preserve"> </w:t>
      </w:r>
    </w:p>
    <w:p w14:paraId="32897A07" w14:textId="55576201" w:rsidR="00940DBB" w:rsidRDefault="00943446" w:rsidP="00943446">
      <w:pPr>
        <w:pStyle w:val="NoSpacing"/>
        <w:spacing w:line="480" w:lineRule="auto"/>
        <w:ind w:firstLine="720"/>
        <w:rPr>
          <w:rFonts w:cstheme="minorHAnsi"/>
          <w:bCs/>
        </w:rPr>
      </w:pPr>
      <w:r>
        <w:rPr>
          <w:rFonts w:cstheme="minorHAnsi"/>
          <w:bCs/>
        </w:rPr>
        <w:t>It was our role to identify the anticipated risks that may adversely affect any of the participants, the researchers</w:t>
      </w:r>
      <w:r w:rsidR="00EA0A1B">
        <w:rPr>
          <w:rFonts w:cstheme="minorHAnsi"/>
          <w:bCs/>
        </w:rPr>
        <w:t>,</w:t>
      </w:r>
      <w:r>
        <w:rPr>
          <w:rFonts w:cstheme="minorHAnsi"/>
          <w:bCs/>
        </w:rPr>
        <w:t xml:space="preserve"> and the university, and the steps that w</w:t>
      </w:r>
      <w:r w:rsidR="00AD55C1">
        <w:rPr>
          <w:rFonts w:cstheme="minorHAnsi"/>
          <w:bCs/>
        </w:rPr>
        <w:t>ould</w:t>
      </w:r>
      <w:r>
        <w:rPr>
          <w:rFonts w:cstheme="minorHAnsi"/>
          <w:bCs/>
        </w:rPr>
        <w:t xml:space="preserve"> be taken to address them</w:t>
      </w:r>
      <w:r w:rsidR="00940DBB">
        <w:rPr>
          <w:rFonts w:cstheme="minorHAnsi"/>
          <w:bCs/>
        </w:rPr>
        <w:t xml:space="preserve"> where appropriate. In </w:t>
      </w:r>
      <w:r w:rsidR="0038369C">
        <w:rPr>
          <w:rFonts w:cstheme="minorHAnsi"/>
          <w:bCs/>
        </w:rPr>
        <w:t>addition,</w:t>
      </w:r>
      <w:r w:rsidR="00940DBB">
        <w:rPr>
          <w:rFonts w:cstheme="minorHAnsi"/>
          <w:bCs/>
        </w:rPr>
        <w:t xml:space="preserve"> we stated </w:t>
      </w:r>
      <w:r w:rsidR="0038369C">
        <w:rPr>
          <w:rFonts w:cstheme="minorHAnsi"/>
          <w:bCs/>
        </w:rPr>
        <w:t xml:space="preserve">the arrangements to inform potential participants and gaining appropriate consent. In line with the BERA (2018) guidelines I gained written consent from parents/guardians of all children within my class as they are all under the age of 18. A letter of consent was sent out and a permission slip was returned. In our Lesson Study all children were consented to take part. Moreover, I verbally gained assent from the children by explaining the aim and purpose of the research (Assent </w:t>
      </w:r>
      <w:r w:rsidR="0038369C">
        <w:rPr>
          <w:rFonts w:cstheme="minorHAnsi"/>
          <w:bCs/>
        </w:rPr>
        <w:lastRenderedPageBreak/>
        <w:t>process can be seen in Appendix E) and clarified their ability to withdraw at any point</w:t>
      </w:r>
      <w:r w:rsidR="00AD55C1">
        <w:rPr>
          <w:rFonts w:cstheme="minorHAnsi"/>
          <w:bCs/>
        </w:rPr>
        <w:t>.</w:t>
      </w:r>
      <w:r w:rsidR="0038369C">
        <w:rPr>
          <w:rFonts w:cstheme="minorHAnsi"/>
          <w:bCs/>
        </w:rPr>
        <w:t xml:space="preserve"> Similarly, within the ethics form we set out how anonymity of participants and confidentiality will be ensured in any outputs</w:t>
      </w:r>
      <w:r w:rsidR="00F84AAD">
        <w:rPr>
          <w:rFonts w:cstheme="minorHAnsi"/>
          <w:bCs/>
        </w:rPr>
        <w:t xml:space="preserve"> as no identifiable information of the child, school or local area will be included</w:t>
      </w:r>
      <w:r w:rsidR="00AD55C1">
        <w:rPr>
          <w:rFonts w:cstheme="minorHAnsi"/>
          <w:bCs/>
        </w:rPr>
        <w:t>. This is i</w:t>
      </w:r>
      <w:r w:rsidR="00F75959">
        <w:rPr>
          <w:rFonts w:cstheme="minorHAnsi"/>
          <w:bCs/>
        </w:rPr>
        <w:t xml:space="preserve">n line with the </w:t>
      </w:r>
      <w:r w:rsidR="00F84AAD">
        <w:rPr>
          <w:rFonts w:cstheme="minorHAnsi"/>
          <w:bCs/>
        </w:rPr>
        <w:t>General Data Protection Regulation 2018</w:t>
      </w:r>
      <w:r w:rsidR="00F75959">
        <w:rPr>
          <w:rFonts w:cstheme="minorHAnsi"/>
          <w:bCs/>
        </w:rPr>
        <w:t xml:space="preserve"> (Gov UK, 2018)</w:t>
      </w:r>
      <w:r w:rsidR="00F84AAD">
        <w:rPr>
          <w:rFonts w:cstheme="minorHAnsi"/>
          <w:bCs/>
        </w:rPr>
        <w:t xml:space="preserve">. </w:t>
      </w:r>
      <w:r w:rsidR="00AD55C1">
        <w:rPr>
          <w:rFonts w:cstheme="minorHAnsi"/>
          <w:bCs/>
        </w:rPr>
        <w:t>W</w:t>
      </w:r>
      <w:r w:rsidR="00F84AAD">
        <w:rPr>
          <w:rFonts w:cstheme="minorHAnsi"/>
          <w:bCs/>
        </w:rPr>
        <w:t>e confirmed that</w:t>
      </w:r>
      <w:r w:rsidR="00AD55C1">
        <w:rPr>
          <w:rFonts w:cstheme="minorHAnsi"/>
          <w:bCs/>
        </w:rPr>
        <w:t xml:space="preserve"> the</w:t>
      </w:r>
      <w:r w:rsidR="00F84AAD">
        <w:rPr>
          <w:rFonts w:cstheme="minorHAnsi"/>
          <w:bCs/>
        </w:rPr>
        <w:t xml:space="preserve"> data will be anonymised at source as the children will be referred to as ‘Child A, B, C’ and so on, and only available to myself and my research partner and then </w:t>
      </w:r>
      <w:r w:rsidR="00BF11C2">
        <w:rPr>
          <w:rFonts w:cstheme="minorHAnsi"/>
          <w:bCs/>
        </w:rPr>
        <w:t xml:space="preserve">any </w:t>
      </w:r>
      <w:r w:rsidR="00F84AAD">
        <w:rPr>
          <w:rFonts w:cstheme="minorHAnsi"/>
          <w:bCs/>
        </w:rPr>
        <w:t>raw data will be destroyed.</w:t>
      </w:r>
    </w:p>
    <w:p w14:paraId="0F9A2AE7" w14:textId="31585EFA" w:rsidR="00EF05A5" w:rsidRDefault="00AD55C1" w:rsidP="00943446">
      <w:pPr>
        <w:pStyle w:val="NoSpacing"/>
        <w:spacing w:line="480" w:lineRule="auto"/>
        <w:ind w:firstLine="720"/>
        <w:rPr>
          <w:rFonts w:cstheme="minorHAnsi"/>
          <w:bCs/>
        </w:rPr>
      </w:pPr>
      <w:r>
        <w:rPr>
          <w:rFonts w:cstheme="minorHAnsi"/>
          <w:bCs/>
        </w:rPr>
        <w:t xml:space="preserve">In Lesson Study 1 at School A, it </w:t>
      </w:r>
      <w:r w:rsidR="00A601FA">
        <w:rPr>
          <w:rFonts w:cstheme="minorHAnsi"/>
          <w:bCs/>
        </w:rPr>
        <w:t xml:space="preserve">was </w:t>
      </w:r>
      <w:r>
        <w:rPr>
          <w:rFonts w:cstheme="minorHAnsi"/>
          <w:bCs/>
        </w:rPr>
        <w:t>identified that</w:t>
      </w:r>
      <w:r w:rsidR="00A601FA">
        <w:rPr>
          <w:rFonts w:cstheme="minorHAnsi"/>
          <w:bCs/>
        </w:rPr>
        <w:t xml:space="preserve"> our research question supported the lesson that was taught in the Year 6 class</w:t>
      </w:r>
      <w:r w:rsidR="00580706">
        <w:rPr>
          <w:rFonts w:cstheme="minorHAnsi"/>
          <w:bCs/>
        </w:rPr>
        <w:t xml:space="preserve"> (Reflections can be seen in Appendix D)</w:t>
      </w:r>
      <w:r w:rsidR="00A601FA">
        <w:rPr>
          <w:rFonts w:cstheme="minorHAnsi"/>
          <w:bCs/>
        </w:rPr>
        <w:t>. It</w:t>
      </w:r>
      <w:r w:rsidR="00EF05A5">
        <w:rPr>
          <w:rFonts w:cstheme="minorHAnsi"/>
          <w:bCs/>
        </w:rPr>
        <w:t xml:space="preserve"> is </w:t>
      </w:r>
      <w:r w:rsidR="00A601FA">
        <w:rPr>
          <w:rFonts w:cstheme="minorHAnsi"/>
          <w:bCs/>
        </w:rPr>
        <w:t xml:space="preserve">apparent that the mid-way plenary was an effective </w:t>
      </w:r>
      <w:r w:rsidR="00BF11C2">
        <w:rPr>
          <w:rFonts w:cstheme="minorHAnsi"/>
          <w:bCs/>
        </w:rPr>
        <w:t xml:space="preserve">formative assessment </w:t>
      </w:r>
      <w:r w:rsidR="00A601FA">
        <w:rPr>
          <w:rFonts w:cstheme="minorHAnsi"/>
          <w:bCs/>
        </w:rPr>
        <w:t>strategy to use within the teaching for the majority of pupils</w:t>
      </w:r>
      <w:r w:rsidR="00580706">
        <w:rPr>
          <w:rFonts w:cstheme="minorHAnsi"/>
          <w:bCs/>
        </w:rPr>
        <w:t xml:space="preserve"> to keep the </w:t>
      </w:r>
      <w:r w:rsidR="00737852">
        <w:rPr>
          <w:rFonts w:cstheme="minorHAnsi"/>
          <w:bCs/>
        </w:rPr>
        <w:t>involved within the lesson</w:t>
      </w:r>
      <w:r w:rsidR="00A601FA">
        <w:rPr>
          <w:rFonts w:cstheme="minorHAnsi"/>
          <w:bCs/>
        </w:rPr>
        <w:t xml:space="preserve">. </w:t>
      </w:r>
      <w:r w:rsidR="00737852">
        <w:rPr>
          <w:rFonts w:cstheme="minorHAnsi"/>
          <w:bCs/>
        </w:rPr>
        <w:t xml:space="preserve">However, the observations identify that </w:t>
      </w:r>
      <w:r w:rsidR="00A601FA">
        <w:rPr>
          <w:rFonts w:cstheme="minorHAnsi"/>
          <w:bCs/>
        </w:rPr>
        <w:t xml:space="preserve">Child C whom was the representative participant for the lower ability range within the class did not benefit </w:t>
      </w:r>
      <w:r w:rsidR="00737852">
        <w:rPr>
          <w:rFonts w:cstheme="minorHAnsi"/>
          <w:bCs/>
        </w:rPr>
        <w:t xml:space="preserve">from the mini-plenary </w:t>
      </w:r>
      <w:r w:rsidR="00A601FA">
        <w:rPr>
          <w:rFonts w:cstheme="minorHAnsi"/>
          <w:bCs/>
        </w:rPr>
        <w:t xml:space="preserve">in any way, in contrast to Child A (higher ability) whom greatly benefited from the AFL experience. </w:t>
      </w:r>
      <w:r w:rsidR="00737852">
        <w:rPr>
          <w:rFonts w:cstheme="minorHAnsi"/>
          <w:bCs/>
        </w:rPr>
        <w:t xml:space="preserve">French et al. (2011) states that more able and talented pupils who felt that their work was appreciated by teachers and peers reported the greatest preference to work with others. This statement supports Child A’s discussion within the </w:t>
      </w:r>
      <w:r w:rsidR="002D57BF">
        <w:rPr>
          <w:rFonts w:cstheme="minorHAnsi"/>
          <w:bCs/>
        </w:rPr>
        <w:t xml:space="preserve">semi-structured </w:t>
      </w:r>
      <w:r w:rsidR="00737852">
        <w:rPr>
          <w:rFonts w:cstheme="minorHAnsi"/>
          <w:bCs/>
        </w:rPr>
        <w:t>interview</w:t>
      </w:r>
      <w:r w:rsidR="002D57BF">
        <w:rPr>
          <w:rFonts w:cstheme="minorHAnsi"/>
          <w:bCs/>
        </w:rPr>
        <w:t xml:space="preserve">, suggesting that the verbal peer assessment </w:t>
      </w:r>
      <w:r w:rsidR="00BF11C2">
        <w:rPr>
          <w:rFonts w:cstheme="minorHAnsi"/>
          <w:bCs/>
        </w:rPr>
        <w:t xml:space="preserve">within the mini-plenary </w:t>
      </w:r>
      <w:r w:rsidR="002D57BF">
        <w:rPr>
          <w:rFonts w:cstheme="minorHAnsi"/>
          <w:bCs/>
        </w:rPr>
        <w:t>help</w:t>
      </w:r>
      <w:r w:rsidR="00AC78D7">
        <w:rPr>
          <w:rFonts w:cstheme="minorHAnsi"/>
          <w:bCs/>
        </w:rPr>
        <w:t>ed</w:t>
      </w:r>
      <w:r w:rsidR="002D57BF">
        <w:rPr>
          <w:rFonts w:cstheme="minorHAnsi"/>
          <w:bCs/>
        </w:rPr>
        <w:t xml:space="preserve"> their learning</w:t>
      </w:r>
      <w:r w:rsidR="00AC78D7">
        <w:rPr>
          <w:rFonts w:cstheme="minorHAnsi"/>
          <w:bCs/>
        </w:rPr>
        <w:t xml:space="preserve"> progress</w:t>
      </w:r>
      <w:r w:rsidR="002D57BF">
        <w:rPr>
          <w:rFonts w:cstheme="minorHAnsi"/>
          <w:bCs/>
        </w:rPr>
        <w:t>.</w:t>
      </w:r>
    </w:p>
    <w:p w14:paraId="2FD34EB6" w14:textId="38DF068D" w:rsidR="00F122FD" w:rsidRDefault="00A601FA" w:rsidP="00F122FD">
      <w:pPr>
        <w:pStyle w:val="NoSpacing"/>
        <w:spacing w:line="480" w:lineRule="auto"/>
        <w:ind w:firstLine="720"/>
        <w:rPr>
          <w:rFonts w:cstheme="minorHAnsi"/>
          <w:bCs/>
        </w:rPr>
      </w:pPr>
      <w:r>
        <w:rPr>
          <w:rFonts w:cstheme="minorHAnsi"/>
          <w:bCs/>
        </w:rPr>
        <w:t xml:space="preserve">Reflecting on the observations both pre and post plenary, using the Leuven Scale Checklist for Involvement (Seen in Appendix C) </w:t>
      </w:r>
      <w:r w:rsidR="00D4519A">
        <w:rPr>
          <w:rFonts w:cstheme="minorHAnsi"/>
          <w:bCs/>
        </w:rPr>
        <w:t xml:space="preserve">it is </w:t>
      </w:r>
      <w:r w:rsidR="002D57BF">
        <w:rPr>
          <w:rFonts w:cstheme="minorHAnsi"/>
          <w:bCs/>
        </w:rPr>
        <w:t xml:space="preserve">apparent </w:t>
      </w:r>
      <w:r w:rsidR="00D4519A">
        <w:rPr>
          <w:rFonts w:cstheme="minorHAnsi"/>
          <w:bCs/>
        </w:rPr>
        <w:t xml:space="preserve">that </w:t>
      </w:r>
      <w:r w:rsidR="002D57BF">
        <w:rPr>
          <w:rFonts w:cstheme="minorHAnsi"/>
          <w:bCs/>
        </w:rPr>
        <w:t xml:space="preserve">pre-plenary </w:t>
      </w:r>
      <w:r w:rsidR="00D4519A">
        <w:rPr>
          <w:rFonts w:cstheme="minorHAnsi"/>
          <w:bCs/>
        </w:rPr>
        <w:t>Child A</w:t>
      </w:r>
      <w:r w:rsidR="00BF11C2">
        <w:rPr>
          <w:rFonts w:cstheme="minorHAnsi"/>
          <w:bCs/>
        </w:rPr>
        <w:t xml:space="preserve"> demonstrated</w:t>
      </w:r>
      <w:r w:rsidR="00D4519A">
        <w:rPr>
          <w:rFonts w:cstheme="minorHAnsi"/>
          <w:bCs/>
        </w:rPr>
        <w:t xml:space="preserve"> moderate involvement </w:t>
      </w:r>
      <w:r w:rsidR="002D57BF">
        <w:rPr>
          <w:rFonts w:cstheme="minorHAnsi"/>
          <w:bCs/>
        </w:rPr>
        <w:t>and</w:t>
      </w:r>
      <w:r w:rsidR="00D4519A">
        <w:rPr>
          <w:rFonts w:cstheme="minorHAnsi"/>
          <w:bCs/>
        </w:rPr>
        <w:t xml:space="preserve"> so </w:t>
      </w:r>
      <w:r w:rsidR="00BF11C2">
        <w:rPr>
          <w:rFonts w:cstheme="minorHAnsi"/>
          <w:bCs/>
        </w:rPr>
        <w:t>did</w:t>
      </w:r>
      <w:r w:rsidR="00D4519A">
        <w:rPr>
          <w:rFonts w:cstheme="minorHAnsi"/>
          <w:bCs/>
        </w:rPr>
        <w:t xml:space="preserve"> Child B (Middle range abilit</w:t>
      </w:r>
      <w:r w:rsidR="002D57BF">
        <w:rPr>
          <w:rFonts w:cstheme="minorHAnsi"/>
          <w:bCs/>
        </w:rPr>
        <w:t>y</w:t>
      </w:r>
      <w:r w:rsidR="00D4519A">
        <w:rPr>
          <w:rFonts w:cstheme="minorHAnsi"/>
          <w:bCs/>
        </w:rPr>
        <w:t>)</w:t>
      </w:r>
      <w:r w:rsidR="002D57BF">
        <w:rPr>
          <w:rFonts w:cstheme="minorHAnsi"/>
          <w:bCs/>
        </w:rPr>
        <w:t xml:space="preserve">, whereas </w:t>
      </w:r>
      <w:r w:rsidR="00D4519A">
        <w:rPr>
          <w:rFonts w:cstheme="minorHAnsi"/>
          <w:bCs/>
        </w:rPr>
        <w:t xml:space="preserve">Child C </w:t>
      </w:r>
      <w:r w:rsidR="00BF11C2">
        <w:rPr>
          <w:rFonts w:cstheme="minorHAnsi"/>
          <w:bCs/>
        </w:rPr>
        <w:t>showed</w:t>
      </w:r>
      <w:r w:rsidR="00D4519A">
        <w:rPr>
          <w:rFonts w:cstheme="minorHAnsi"/>
          <w:bCs/>
        </w:rPr>
        <w:t xml:space="preserve"> low </w:t>
      </w:r>
      <w:r w:rsidR="002D57BF">
        <w:rPr>
          <w:rFonts w:cstheme="minorHAnsi"/>
          <w:bCs/>
        </w:rPr>
        <w:t xml:space="preserve">involvement. </w:t>
      </w:r>
      <w:r w:rsidR="00783690">
        <w:rPr>
          <w:rFonts w:cstheme="minorHAnsi"/>
          <w:bCs/>
        </w:rPr>
        <w:t>Based on L</w:t>
      </w:r>
      <w:r w:rsidR="002D57BF">
        <w:rPr>
          <w:rFonts w:cstheme="minorHAnsi"/>
          <w:bCs/>
        </w:rPr>
        <w:t xml:space="preserve">aevers theory (1994), </w:t>
      </w:r>
      <w:r w:rsidR="00783690">
        <w:rPr>
          <w:rFonts w:cstheme="minorHAnsi"/>
          <w:bCs/>
        </w:rPr>
        <w:t>t</w:t>
      </w:r>
      <w:r w:rsidR="00D4519A">
        <w:rPr>
          <w:rFonts w:cstheme="minorHAnsi"/>
          <w:bCs/>
        </w:rPr>
        <w:t>he pre</w:t>
      </w:r>
      <w:r w:rsidR="002D57BF">
        <w:rPr>
          <w:rFonts w:cstheme="minorHAnsi"/>
          <w:bCs/>
        </w:rPr>
        <w:t>-</w:t>
      </w:r>
      <w:r w:rsidR="00D4519A">
        <w:rPr>
          <w:rFonts w:cstheme="minorHAnsi"/>
          <w:bCs/>
        </w:rPr>
        <w:t xml:space="preserve">plenary comments suggest that Child A was engaged and progressed in the task but was distracted </w:t>
      </w:r>
      <w:r w:rsidR="00D4519A">
        <w:rPr>
          <w:rFonts w:cstheme="minorHAnsi"/>
          <w:bCs/>
        </w:rPr>
        <w:lastRenderedPageBreak/>
        <w:t>at times, in addition to Child B whom showed engagement but</w:t>
      </w:r>
      <w:r w:rsidR="00EF05A5">
        <w:rPr>
          <w:rFonts w:cstheme="minorHAnsi"/>
          <w:bCs/>
        </w:rPr>
        <w:t xml:space="preserve"> </w:t>
      </w:r>
      <w:r w:rsidR="0012577B">
        <w:rPr>
          <w:rFonts w:cstheme="minorHAnsi"/>
          <w:bCs/>
        </w:rPr>
        <w:t xml:space="preserve">with </w:t>
      </w:r>
      <w:r w:rsidR="00EF05A5">
        <w:rPr>
          <w:rFonts w:cstheme="minorHAnsi"/>
          <w:bCs/>
        </w:rPr>
        <w:t>little progress and</w:t>
      </w:r>
      <w:r w:rsidR="00D4519A">
        <w:rPr>
          <w:rFonts w:cstheme="minorHAnsi"/>
          <w:bCs/>
        </w:rPr>
        <w:t xml:space="preserve"> at times bec</w:t>
      </w:r>
      <w:r w:rsidR="0012577B">
        <w:rPr>
          <w:rFonts w:cstheme="minorHAnsi"/>
          <w:bCs/>
        </w:rPr>
        <w:t>ame</w:t>
      </w:r>
      <w:r w:rsidR="00D4519A">
        <w:rPr>
          <w:rFonts w:cstheme="minorHAnsi"/>
          <w:bCs/>
        </w:rPr>
        <w:t xml:space="preserve"> avoidant</w:t>
      </w:r>
      <w:r w:rsidR="002D57BF">
        <w:rPr>
          <w:rFonts w:cstheme="minorHAnsi"/>
          <w:bCs/>
        </w:rPr>
        <w:t xml:space="preserve">. </w:t>
      </w:r>
      <w:r w:rsidR="00EF05A5">
        <w:rPr>
          <w:rFonts w:cstheme="minorHAnsi"/>
          <w:bCs/>
        </w:rPr>
        <w:t xml:space="preserve">Child C however was absent and displayed no energy, was staring into space and needed encouragement to stay on task. </w:t>
      </w:r>
      <w:r w:rsidR="002D57BF">
        <w:rPr>
          <w:rFonts w:cstheme="minorHAnsi"/>
          <w:bCs/>
        </w:rPr>
        <w:t>However</w:t>
      </w:r>
      <w:r w:rsidR="00EF05A5">
        <w:rPr>
          <w:rFonts w:cstheme="minorHAnsi"/>
          <w:bCs/>
        </w:rPr>
        <w:t>, the post plenary comments reveal that Child A’s involvement increased to extremely high as they were concentrated and persistent in their learning and showed continuous and intense activity at all times.</w:t>
      </w:r>
      <w:r w:rsidR="002D57BF">
        <w:rPr>
          <w:rFonts w:cstheme="minorHAnsi"/>
          <w:bCs/>
        </w:rPr>
        <w:t xml:space="preserve"> Child A is identified as a more able learner who has the potential to demonstrate exceptional ability in one or more aspects of their learning (Welsh Government, 2016).</w:t>
      </w:r>
      <w:r w:rsidR="00F122FD">
        <w:rPr>
          <w:rFonts w:cstheme="minorHAnsi"/>
          <w:bCs/>
        </w:rPr>
        <w:t xml:space="preserve"> </w:t>
      </w:r>
      <w:r w:rsidR="00EF05A5">
        <w:rPr>
          <w:rFonts w:cstheme="minorHAnsi"/>
          <w:bCs/>
        </w:rPr>
        <w:t xml:space="preserve"> In the same way, Child B’s involvement also increased from moderate to high as they were involved and displayed intense moments of continuous activity, </w:t>
      </w:r>
      <w:r w:rsidR="00EE36E1">
        <w:rPr>
          <w:rFonts w:cstheme="minorHAnsi"/>
          <w:bCs/>
        </w:rPr>
        <w:t>but i</w:t>
      </w:r>
      <w:r w:rsidR="00BF11C2">
        <w:rPr>
          <w:rFonts w:cstheme="minorHAnsi"/>
          <w:bCs/>
        </w:rPr>
        <w:t xml:space="preserve">t is </w:t>
      </w:r>
      <w:r w:rsidR="00EE36E1">
        <w:rPr>
          <w:rFonts w:cstheme="minorHAnsi"/>
          <w:bCs/>
        </w:rPr>
        <w:t xml:space="preserve">apparent that their involvement level was not to the standard of extremely high as there was a slight distraction of </w:t>
      </w:r>
      <w:r w:rsidR="00BF11C2">
        <w:rPr>
          <w:rFonts w:cstheme="minorHAnsi"/>
          <w:bCs/>
        </w:rPr>
        <w:t xml:space="preserve">a </w:t>
      </w:r>
      <w:r w:rsidR="00EE36E1">
        <w:rPr>
          <w:rFonts w:cstheme="minorHAnsi"/>
          <w:bCs/>
        </w:rPr>
        <w:t>discussion with peers</w:t>
      </w:r>
      <w:r w:rsidR="00F122FD">
        <w:rPr>
          <w:rFonts w:cstheme="minorHAnsi"/>
          <w:bCs/>
        </w:rPr>
        <w:t>, which therefore hindered Child B’s success of extremely high involvement. According to Gresham (201</w:t>
      </w:r>
      <w:r w:rsidR="00914A6B">
        <w:rPr>
          <w:rFonts w:cstheme="minorHAnsi"/>
          <w:bCs/>
        </w:rPr>
        <w:t>8</w:t>
      </w:r>
      <w:r w:rsidR="00F122FD">
        <w:rPr>
          <w:rFonts w:cstheme="minorHAnsi"/>
          <w:bCs/>
        </w:rPr>
        <w:t xml:space="preserve">) ignoring peer distractions is one of the 10 key class room social behaviours that have been identified by teachers as important for classroom success. </w:t>
      </w:r>
    </w:p>
    <w:p w14:paraId="06B937BB" w14:textId="17A9654D" w:rsidR="00580706" w:rsidRDefault="00EE36E1" w:rsidP="00F122FD">
      <w:pPr>
        <w:pStyle w:val="NoSpacing"/>
        <w:spacing w:line="480" w:lineRule="auto"/>
        <w:ind w:firstLine="720"/>
        <w:rPr>
          <w:rFonts w:cstheme="minorHAnsi"/>
          <w:bCs/>
        </w:rPr>
      </w:pPr>
      <w:r>
        <w:rPr>
          <w:rFonts w:cstheme="minorHAnsi"/>
          <w:bCs/>
        </w:rPr>
        <w:t>On the other hand, Child C’s observational comments clearly identifies no change in their involvement post plenary as they were still distracted by others and not much progress was seen in their work. From this data, as the class teacher in this Lesson Study I question why the mid-way plenary was beneficial for Child A and B but not for Child C. According to Williford et al. (2013)</w:t>
      </w:r>
      <w:r w:rsidR="00AC78D7">
        <w:rPr>
          <w:rFonts w:cstheme="minorHAnsi"/>
          <w:bCs/>
        </w:rPr>
        <w:t xml:space="preserve">, </w:t>
      </w:r>
      <w:r>
        <w:rPr>
          <w:rFonts w:cstheme="minorHAnsi"/>
          <w:bCs/>
        </w:rPr>
        <w:t>children’s involvement in a lesson is influenced by a teacher’s interactions. Their study suggests that i</w:t>
      </w:r>
      <w:r w:rsidR="00B455A1">
        <w:rPr>
          <w:rFonts w:cstheme="minorHAnsi"/>
          <w:bCs/>
        </w:rPr>
        <w:t xml:space="preserve">f a teacher provides highly responsive interactions within their teaching strategies, then children will develop a stable understanding regardless of their involvement level. Therefore, as the class teacher in this Lesson Study I question whether my interactions within the mini-plenary were not as clear to Child C as they were to Child A and Child B. </w:t>
      </w:r>
      <w:r w:rsidR="005575C6">
        <w:rPr>
          <w:rFonts w:cstheme="minorHAnsi"/>
          <w:bCs/>
        </w:rPr>
        <w:t xml:space="preserve">While this is the case, the poor impact of the mini-plenary on Child C’s </w:t>
      </w:r>
      <w:r w:rsidR="005575C6">
        <w:rPr>
          <w:rFonts w:cstheme="minorHAnsi"/>
          <w:bCs/>
        </w:rPr>
        <w:lastRenderedPageBreak/>
        <w:t xml:space="preserve">involvement could be that they have an </w:t>
      </w:r>
      <w:r w:rsidR="003533FE">
        <w:rPr>
          <w:rFonts w:cstheme="minorHAnsi"/>
          <w:bCs/>
        </w:rPr>
        <w:t>AL</w:t>
      </w:r>
      <w:r w:rsidR="00BF11C2">
        <w:rPr>
          <w:rFonts w:cstheme="minorHAnsi"/>
          <w:bCs/>
        </w:rPr>
        <w:t>N</w:t>
      </w:r>
      <w:r w:rsidR="00783690">
        <w:rPr>
          <w:rFonts w:cstheme="minorHAnsi"/>
          <w:bCs/>
        </w:rPr>
        <w:t>,</w:t>
      </w:r>
      <w:r w:rsidR="005575C6">
        <w:rPr>
          <w:rFonts w:cstheme="minorHAnsi"/>
          <w:bCs/>
        </w:rPr>
        <w:t xml:space="preserve"> which therefore suggests that this </w:t>
      </w:r>
      <w:r w:rsidR="00BF11C2">
        <w:rPr>
          <w:rFonts w:cstheme="minorHAnsi"/>
          <w:bCs/>
        </w:rPr>
        <w:t xml:space="preserve">formative assessment </w:t>
      </w:r>
      <w:r w:rsidR="005575C6">
        <w:rPr>
          <w:rFonts w:cstheme="minorHAnsi"/>
          <w:bCs/>
        </w:rPr>
        <w:t xml:space="preserve">strategy did not support their learning </w:t>
      </w:r>
      <w:r w:rsidR="00783690">
        <w:rPr>
          <w:rFonts w:cstheme="minorHAnsi"/>
          <w:bCs/>
        </w:rPr>
        <w:t xml:space="preserve">needs </w:t>
      </w:r>
      <w:r w:rsidR="005575C6">
        <w:rPr>
          <w:rFonts w:cstheme="minorHAnsi"/>
          <w:bCs/>
        </w:rPr>
        <w:t>enough. Packer (2016) identifies that teachers must make reasonable adjustments and apply techniques in teaching to provide high quality learning experiences for all pupils, irrespective of their individual starting point.</w:t>
      </w:r>
      <w:r w:rsidR="00783690">
        <w:rPr>
          <w:rFonts w:cstheme="minorHAnsi"/>
          <w:bCs/>
        </w:rPr>
        <w:t xml:space="preserve"> Therefore, if I </w:t>
      </w:r>
      <w:r w:rsidR="00F92866">
        <w:rPr>
          <w:rFonts w:cstheme="minorHAnsi"/>
          <w:bCs/>
        </w:rPr>
        <w:t xml:space="preserve">had </w:t>
      </w:r>
      <w:r w:rsidR="00783690">
        <w:rPr>
          <w:rFonts w:cstheme="minorHAnsi"/>
          <w:bCs/>
        </w:rPr>
        <w:t xml:space="preserve">provided further support </w:t>
      </w:r>
      <w:r w:rsidR="00F92866">
        <w:rPr>
          <w:rFonts w:cstheme="minorHAnsi"/>
          <w:bCs/>
        </w:rPr>
        <w:t xml:space="preserve">and interactions for Child C </w:t>
      </w:r>
      <w:r w:rsidR="00783690">
        <w:rPr>
          <w:rFonts w:cstheme="minorHAnsi"/>
          <w:bCs/>
        </w:rPr>
        <w:t>within the mini-plenary the outcome of the</w:t>
      </w:r>
      <w:r w:rsidR="00F92866">
        <w:rPr>
          <w:rFonts w:cstheme="minorHAnsi"/>
          <w:bCs/>
        </w:rPr>
        <w:t>ir</w:t>
      </w:r>
      <w:r w:rsidR="00783690">
        <w:rPr>
          <w:rFonts w:cstheme="minorHAnsi"/>
          <w:bCs/>
        </w:rPr>
        <w:t xml:space="preserve"> </w:t>
      </w:r>
      <w:r w:rsidR="0012577B">
        <w:rPr>
          <w:rFonts w:cstheme="minorHAnsi"/>
          <w:bCs/>
        </w:rPr>
        <w:t xml:space="preserve">post plenary </w:t>
      </w:r>
      <w:r w:rsidR="00783690">
        <w:rPr>
          <w:rFonts w:cstheme="minorHAnsi"/>
          <w:bCs/>
        </w:rPr>
        <w:t>observation may have been different.</w:t>
      </w:r>
      <w:r w:rsidR="005575C6">
        <w:rPr>
          <w:rFonts w:cstheme="minorHAnsi"/>
          <w:bCs/>
        </w:rPr>
        <w:t xml:space="preserve"> </w:t>
      </w:r>
      <w:r w:rsidR="00F92866">
        <w:rPr>
          <w:rFonts w:cstheme="minorHAnsi"/>
          <w:bCs/>
        </w:rPr>
        <w:t xml:space="preserve">This is something I will consider if I were to do the Lesson Study again. </w:t>
      </w:r>
    </w:p>
    <w:p w14:paraId="2DEAEBD7" w14:textId="7246369C" w:rsidR="00940DBB" w:rsidRDefault="00606327" w:rsidP="00943446">
      <w:pPr>
        <w:pStyle w:val="NoSpacing"/>
        <w:spacing w:line="480" w:lineRule="auto"/>
        <w:ind w:firstLine="720"/>
        <w:rPr>
          <w:rFonts w:cstheme="minorHAnsi"/>
          <w:bCs/>
        </w:rPr>
      </w:pPr>
      <w:r>
        <w:rPr>
          <w:rFonts w:cstheme="minorHAnsi"/>
          <w:bCs/>
        </w:rPr>
        <w:t xml:space="preserve">However, all 3 children </w:t>
      </w:r>
      <w:r w:rsidR="00580706">
        <w:rPr>
          <w:rFonts w:cstheme="minorHAnsi"/>
          <w:bCs/>
        </w:rPr>
        <w:t xml:space="preserve">achieved the lesson objective and </w:t>
      </w:r>
      <w:r>
        <w:rPr>
          <w:rFonts w:cstheme="minorHAnsi"/>
          <w:bCs/>
        </w:rPr>
        <w:t>completed the focus task of a story redraft by the end of the lesson. Within the lesson’s mid-way plenary, I considered AFL strategies such as reflecting on the success criteria, verbal peer assessment</w:t>
      </w:r>
      <w:r w:rsidR="00BF11C2">
        <w:rPr>
          <w:rFonts w:cstheme="minorHAnsi"/>
          <w:bCs/>
        </w:rPr>
        <w:t xml:space="preserve"> and </w:t>
      </w:r>
      <w:r>
        <w:rPr>
          <w:rFonts w:cstheme="minorHAnsi"/>
          <w:bCs/>
        </w:rPr>
        <w:t xml:space="preserve">questioning the children’s work and ideas </w:t>
      </w:r>
      <w:r w:rsidR="00BF11C2">
        <w:rPr>
          <w:rFonts w:cstheme="minorHAnsi"/>
          <w:bCs/>
        </w:rPr>
        <w:t xml:space="preserve">to </w:t>
      </w:r>
      <w:r>
        <w:rPr>
          <w:rFonts w:cstheme="minorHAnsi"/>
          <w:bCs/>
        </w:rPr>
        <w:t xml:space="preserve">develop an overall understanding of the learning taking place. From this, I can reflect on whether the mini-plenary and AFL </w:t>
      </w:r>
      <w:r w:rsidR="0012577B">
        <w:rPr>
          <w:rFonts w:cstheme="minorHAnsi"/>
          <w:bCs/>
        </w:rPr>
        <w:t xml:space="preserve">strategies </w:t>
      </w:r>
      <w:r>
        <w:rPr>
          <w:rFonts w:cstheme="minorHAnsi"/>
          <w:bCs/>
        </w:rPr>
        <w:t xml:space="preserve">encouraged the successful completion of the focus task or whether the time in which they were given was enough to do so. </w:t>
      </w:r>
    </w:p>
    <w:p w14:paraId="3AEE9C38" w14:textId="506268CD" w:rsidR="00AC78D7" w:rsidRDefault="00606327" w:rsidP="00943446">
      <w:pPr>
        <w:pStyle w:val="NoSpacing"/>
        <w:spacing w:line="480" w:lineRule="auto"/>
        <w:ind w:firstLine="720"/>
        <w:rPr>
          <w:rFonts w:cstheme="minorHAnsi"/>
          <w:bCs/>
        </w:rPr>
      </w:pPr>
      <w:r>
        <w:rPr>
          <w:rFonts w:cstheme="minorHAnsi"/>
          <w:bCs/>
        </w:rPr>
        <w:t xml:space="preserve">Based on the feedback within the semi-structured interviews it was apparent that </w:t>
      </w:r>
      <w:r w:rsidR="00783690">
        <w:rPr>
          <w:rFonts w:cstheme="minorHAnsi"/>
          <w:bCs/>
        </w:rPr>
        <w:t xml:space="preserve">all 3 children </w:t>
      </w:r>
      <w:r w:rsidR="003B2944">
        <w:rPr>
          <w:rFonts w:cstheme="minorHAnsi"/>
          <w:bCs/>
        </w:rPr>
        <w:t>with</w:t>
      </w:r>
      <w:r w:rsidR="00783690">
        <w:rPr>
          <w:rFonts w:cstheme="minorHAnsi"/>
          <w:bCs/>
        </w:rPr>
        <w:t xml:space="preserve">in the focus group felt that stopping mid-way through the lesson helped them to stay involved and on task. </w:t>
      </w:r>
      <w:r w:rsidR="003B2944">
        <w:rPr>
          <w:rFonts w:cstheme="minorHAnsi"/>
          <w:bCs/>
        </w:rPr>
        <w:t xml:space="preserve">Reflecting back on the audio recording and transcribing what was said, Child C greatly verbalised their opinion on the lesson </w:t>
      </w:r>
      <w:r w:rsidR="002C1380">
        <w:rPr>
          <w:rFonts w:cstheme="minorHAnsi"/>
          <w:bCs/>
        </w:rPr>
        <w:t>in the interview, highlighting that stopping half way through the lesson to re</w:t>
      </w:r>
      <w:r w:rsidR="00AF0A96">
        <w:rPr>
          <w:rFonts w:cstheme="minorHAnsi"/>
          <w:bCs/>
        </w:rPr>
        <w:t xml:space="preserve">flect on </w:t>
      </w:r>
      <w:r w:rsidR="002C1380">
        <w:rPr>
          <w:rFonts w:cstheme="minorHAnsi"/>
          <w:bCs/>
        </w:rPr>
        <w:t xml:space="preserve">the success criteria and the learning objective </w:t>
      </w:r>
      <w:r w:rsidR="00AF0A96">
        <w:rPr>
          <w:rFonts w:cstheme="minorHAnsi"/>
          <w:bCs/>
        </w:rPr>
        <w:t xml:space="preserve">helped </w:t>
      </w:r>
      <w:r w:rsidR="00F62525">
        <w:rPr>
          <w:rFonts w:cstheme="minorHAnsi"/>
          <w:bCs/>
        </w:rPr>
        <w:t xml:space="preserve">them </w:t>
      </w:r>
      <w:r w:rsidR="00AF0A96">
        <w:rPr>
          <w:rFonts w:cstheme="minorHAnsi"/>
          <w:bCs/>
        </w:rPr>
        <w:t>to complete the task</w:t>
      </w:r>
      <w:r w:rsidR="002C1380">
        <w:rPr>
          <w:rFonts w:cstheme="minorHAnsi"/>
          <w:bCs/>
        </w:rPr>
        <w:t xml:space="preserve">. It is clear that Child C’s feedback does not support </w:t>
      </w:r>
      <w:r w:rsidR="00AF0A96">
        <w:rPr>
          <w:rFonts w:cstheme="minorHAnsi"/>
          <w:bCs/>
        </w:rPr>
        <w:t>their</w:t>
      </w:r>
      <w:r w:rsidR="002C1380">
        <w:rPr>
          <w:rFonts w:cstheme="minorHAnsi"/>
          <w:bCs/>
        </w:rPr>
        <w:t xml:space="preserve"> involvement in the Lesson Stu</w:t>
      </w:r>
      <w:r w:rsidR="00AF0A96">
        <w:rPr>
          <w:rFonts w:cstheme="minorHAnsi"/>
          <w:bCs/>
        </w:rPr>
        <w:t xml:space="preserve">dy. Despite this, Pound (2017) demonstrates how children like to please adults by saying things they believe us as adults want to hear, which therefore makes it difficult to understand the real opinions of the children. I believe, with Child C this may be the case. </w:t>
      </w:r>
    </w:p>
    <w:p w14:paraId="14E48D57" w14:textId="6919DA8D" w:rsidR="00606327" w:rsidRDefault="00E407B5" w:rsidP="00943446">
      <w:pPr>
        <w:pStyle w:val="NoSpacing"/>
        <w:spacing w:line="480" w:lineRule="auto"/>
        <w:ind w:firstLine="720"/>
        <w:rPr>
          <w:rFonts w:cstheme="minorHAnsi"/>
          <w:bCs/>
        </w:rPr>
      </w:pPr>
      <w:r>
        <w:rPr>
          <w:rFonts w:cstheme="minorHAnsi"/>
          <w:bCs/>
        </w:rPr>
        <w:lastRenderedPageBreak/>
        <w:t xml:space="preserve">Furthermore, </w:t>
      </w:r>
      <w:r w:rsidR="00E07228">
        <w:rPr>
          <w:rFonts w:cstheme="minorHAnsi"/>
          <w:bCs/>
        </w:rPr>
        <w:t xml:space="preserve">in the focus group interview Child A and Child B also presented positive thoughts towards the lesson. They suggested that they found the verbal peer assessment strategy helpful within their learning as it promoted class talk and discussion with their peers to share and receive new ideas. Boon (2016) identifies that peer assessment strategies allows pupils to engage in a social process that </w:t>
      </w:r>
      <w:r w:rsidR="007C25EE">
        <w:rPr>
          <w:rFonts w:cstheme="minorHAnsi"/>
          <w:bCs/>
        </w:rPr>
        <w:t>encourages</w:t>
      </w:r>
      <w:r w:rsidR="00E07228">
        <w:rPr>
          <w:rFonts w:cstheme="minorHAnsi"/>
          <w:bCs/>
        </w:rPr>
        <w:t xml:space="preserve"> quality </w:t>
      </w:r>
      <w:r w:rsidR="007C25EE">
        <w:rPr>
          <w:rFonts w:cstheme="minorHAnsi"/>
          <w:bCs/>
        </w:rPr>
        <w:t>discussion</w:t>
      </w:r>
      <w:r w:rsidR="00E07228">
        <w:rPr>
          <w:rFonts w:cstheme="minorHAnsi"/>
          <w:bCs/>
        </w:rPr>
        <w:t xml:space="preserve"> in relation to the work topic. </w:t>
      </w:r>
      <w:r w:rsidR="007C25EE">
        <w:rPr>
          <w:rFonts w:cstheme="minorHAnsi"/>
          <w:bCs/>
        </w:rPr>
        <w:t>However, children often find it challenging as they may not have the interpersonal skills to collaborate effectively, which in most cases peer assessment can lead the children to use talk ineffectively and waver off task</w:t>
      </w:r>
      <w:r w:rsidR="00EA728A">
        <w:rPr>
          <w:rFonts w:cstheme="minorHAnsi"/>
          <w:bCs/>
        </w:rPr>
        <w:t xml:space="preserve"> (</w:t>
      </w:r>
      <w:r w:rsidR="0013176C">
        <w:rPr>
          <w:rFonts w:cstheme="minorHAnsi"/>
          <w:bCs/>
        </w:rPr>
        <w:t xml:space="preserve">Havnes et al. 2012; </w:t>
      </w:r>
      <w:r w:rsidR="0013176C" w:rsidRPr="0013176C">
        <w:rPr>
          <w:rFonts w:cstheme="minorHAnsi"/>
          <w:color w:val="000000"/>
          <w:szCs w:val="22"/>
        </w:rPr>
        <w:t>Meusen-Beekman</w:t>
      </w:r>
      <w:r w:rsidR="0013176C">
        <w:rPr>
          <w:rFonts w:cstheme="minorHAnsi"/>
          <w:color w:val="000000"/>
          <w:szCs w:val="22"/>
        </w:rPr>
        <w:t xml:space="preserve"> et al. 2016)</w:t>
      </w:r>
      <w:r w:rsidR="007C25EE">
        <w:rPr>
          <w:rFonts w:cstheme="minorHAnsi"/>
          <w:bCs/>
        </w:rPr>
        <w:t>.</w:t>
      </w:r>
      <w:r w:rsidR="002923E8">
        <w:rPr>
          <w:rFonts w:cstheme="minorHAnsi"/>
          <w:bCs/>
        </w:rPr>
        <w:t xml:space="preserve"> This</w:t>
      </w:r>
      <w:r w:rsidR="00677265">
        <w:rPr>
          <w:rFonts w:cstheme="minorHAnsi"/>
          <w:bCs/>
        </w:rPr>
        <w:t xml:space="preserve"> is</w:t>
      </w:r>
      <w:r w:rsidR="002923E8">
        <w:rPr>
          <w:rFonts w:cstheme="minorHAnsi"/>
          <w:bCs/>
        </w:rPr>
        <w:t xml:space="preserve"> apparent in Child B’s post plenary observation, suggesting that the discussion between peers resulted in </w:t>
      </w:r>
      <w:r w:rsidR="00AC78D7">
        <w:rPr>
          <w:rFonts w:cstheme="minorHAnsi"/>
          <w:bCs/>
        </w:rPr>
        <w:t xml:space="preserve">a </w:t>
      </w:r>
      <w:r w:rsidR="002923E8">
        <w:rPr>
          <w:rFonts w:cstheme="minorHAnsi"/>
          <w:bCs/>
        </w:rPr>
        <w:t xml:space="preserve">slight distraction. </w:t>
      </w:r>
    </w:p>
    <w:p w14:paraId="34233566" w14:textId="523E337C" w:rsidR="00F92866" w:rsidRDefault="00F92866" w:rsidP="00F47963">
      <w:pPr>
        <w:pStyle w:val="NoSpacing"/>
        <w:spacing w:line="480" w:lineRule="auto"/>
        <w:ind w:firstLine="720"/>
        <w:rPr>
          <w:rFonts w:cstheme="minorHAnsi"/>
          <w:bCs/>
        </w:rPr>
      </w:pPr>
      <w:r>
        <w:rPr>
          <w:rFonts w:cstheme="minorHAnsi"/>
          <w:bCs/>
        </w:rPr>
        <w:t xml:space="preserve">From </w:t>
      </w:r>
      <w:r w:rsidR="00D371B7">
        <w:rPr>
          <w:rFonts w:cstheme="minorHAnsi"/>
          <w:bCs/>
        </w:rPr>
        <w:t xml:space="preserve">our first observational experience and reflecting on our interview techniques within </w:t>
      </w:r>
      <w:r>
        <w:rPr>
          <w:rFonts w:cstheme="minorHAnsi"/>
          <w:bCs/>
        </w:rPr>
        <w:t>Lesson Study 1</w:t>
      </w:r>
      <w:r w:rsidR="00D371B7">
        <w:rPr>
          <w:rFonts w:cstheme="minorHAnsi"/>
          <w:bCs/>
        </w:rPr>
        <w:t xml:space="preserve">, myself and my research partner considered how we could modify our research tools to collect better evidence in Lesson Study 2. Taking into consideration the age difference between the focus group in Lesson Study 1 (10-11 years old) and the focus group in Lesson Study 2 (7-9 years old), after the semi-structed interview in School A we decided to change one of the questions (Can be seen in Appendix B). This decision was made as we felt </w:t>
      </w:r>
      <w:r w:rsidR="00F64E52">
        <w:rPr>
          <w:rFonts w:cstheme="minorHAnsi"/>
          <w:bCs/>
        </w:rPr>
        <w:t xml:space="preserve">the question </w:t>
      </w:r>
      <w:r w:rsidR="00D371B7">
        <w:rPr>
          <w:rFonts w:cstheme="minorHAnsi"/>
          <w:bCs/>
        </w:rPr>
        <w:t xml:space="preserve">was leading and suggestive. </w:t>
      </w:r>
      <w:r w:rsidR="00A23B4A">
        <w:rPr>
          <w:rFonts w:cstheme="minorHAnsi"/>
          <w:bCs/>
        </w:rPr>
        <w:t>A leading question</w:t>
      </w:r>
      <w:r w:rsidR="00F47963">
        <w:rPr>
          <w:rFonts w:cstheme="minorHAnsi"/>
          <w:bCs/>
        </w:rPr>
        <w:t xml:space="preserve"> subtly prompts the interview participants to answer in a particular way which generally lead</w:t>
      </w:r>
      <w:r w:rsidR="00F64E52">
        <w:rPr>
          <w:rFonts w:cstheme="minorHAnsi"/>
          <w:bCs/>
        </w:rPr>
        <w:t>s</w:t>
      </w:r>
      <w:r w:rsidR="00F47963">
        <w:rPr>
          <w:rFonts w:cstheme="minorHAnsi"/>
          <w:bCs/>
        </w:rPr>
        <w:t xml:space="preserve"> to false information being given (</w:t>
      </w:r>
      <w:r w:rsidR="00FB27EB">
        <w:rPr>
          <w:rFonts w:cstheme="minorHAnsi"/>
          <w:bCs/>
        </w:rPr>
        <w:t>Palaiologou et al. 2016</w:t>
      </w:r>
      <w:r w:rsidR="00F47963">
        <w:rPr>
          <w:rFonts w:cstheme="minorHAnsi"/>
          <w:bCs/>
        </w:rPr>
        <w:t xml:space="preserve">). </w:t>
      </w:r>
      <w:r w:rsidR="00D371B7">
        <w:rPr>
          <w:rFonts w:cstheme="minorHAnsi"/>
          <w:bCs/>
        </w:rPr>
        <w:t xml:space="preserve">This modification would therefore make the research </w:t>
      </w:r>
      <w:r w:rsidR="00F47963">
        <w:rPr>
          <w:rFonts w:cstheme="minorHAnsi"/>
          <w:bCs/>
        </w:rPr>
        <w:t xml:space="preserve">discussion </w:t>
      </w:r>
      <w:r w:rsidR="00D371B7">
        <w:rPr>
          <w:rFonts w:cstheme="minorHAnsi"/>
          <w:bCs/>
        </w:rPr>
        <w:t xml:space="preserve">in Lesson Study 2 more </w:t>
      </w:r>
      <w:r w:rsidR="00F47963">
        <w:rPr>
          <w:rFonts w:cstheme="minorHAnsi"/>
          <w:bCs/>
        </w:rPr>
        <w:t xml:space="preserve">desirable. </w:t>
      </w:r>
    </w:p>
    <w:p w14:paraId="4762363C" w14:textId="6EBEC7A8" w:rsidR="00594085" w:rsidRDefault="00F64E52" w:rsidP="00F64E52">
      <w:pPr>
        <w:pStyle w:val="NoSpacing"/>
        <w:spacing w:line="480" w:lineRule="auto"/>
        <w:ind w:firstLine="720"/>
        <w:rPr>
          <w:rFonts w:cstheme="minorHAnsi"/>
          <w:bCs/>
        </w:rPr>
      </w:pPr>
      <w:r>
        <w:rPr>
          <w:rFonts w:cstheme="minorHAnsi"/>
          <w:bCs/>
        </w:rPr>
        <w:t xml:space="preserve">Moreover, in Lesson Study 2 it was identified that our research question did not support the lesson that was taught in the Year 3/4 class at School B. As the observer of the lesson it was apparent that the mid-way plenary was not an effective AFL strategy to use within the teaching for the majority of the pupils. </w:t>
      </w:r>
      <w:r w:rsidR="00594085">
        <w:rPr>
          <w:rFonts w:cstheme="minorHAnsi"/>
          <w:bCs/>
        </w:rPr>
        <w:t xml:space="preserve">Kazragyte and Kudinoviene (2018) suggest </w:t>
      </w:r>
      <w:r w:rsidR="0045393E">
        <w:rPr>
          <w:rFonts w:cstheme="minorHAnsi"/>
          <w:bCs/>
        </w:rPr>
        <w:lastRenderedPageBreak/>
        <w:t xml:space="preserve">that mini-plenaries do not work successfully for all classes </w:t>
      </w:r>
      <w:r w:rsidR="00594085">
        <w:rPr>
          <w:rFonts w:cstheme="minorHAnsi"/>
          <w:bCs/>
        </w:rPr>
        <w:t>as the delivery difference between teachers and the individual learning styles of the children varies, therefore you cannot always expect a mid-way plenary to work.</w:t>
      </w:r>
    </w:p>
    <w:p w14:paraId="7CF9663B" w14:textId="47BE90CB" w:rsidR="00940DBB" w:rsidRDefault="00F64E52" w:rsidP="00F64E52">
      <w:pPr>
        <w:pStyle w:val="NoSpacing"/>
        <w:spacing w:line="480" w:lineRule="auto"/>
        <w:ind w:firstLine="720"/>
        <w:rPr>
          <w:rFonts w:cstheme="minorHAnsi"/>
          <w:bCs/>
        </w:rPr>
      </w:pPr>
      <w:r>
        <w:rPr>
          <w:rFonts w:cstheme="minorHAnsi"/>
          <w:bCs/>
        </w:rPr>
        <w:t>Reflecting on the Leuven Scale Checklist for Involvement</w:t>
      </w:r>
      <w:r w:rsidR="00B14E52">
        <w:rPr>
          <w:rFonts w:cstheme="minorHAnsi"/>
          <w:bCs/>
        </w:rPr>
        <w:t xml:space="preserve"> (Laevers, 1994) </w:t>
      </w:r>
      <w:r>
        <w:rPr>
          <w:rFonts w:cstheme="minorHAnsi"/>
          <w:bCs/>
        </w:rPr>
        <w:t xml:space="preserve">in Lesson Study 2 (Seen in Appendix C), it </w:t>
      </w:r>
      <w:r w:rsidR="00B14E52">
        <w:rPr>
          <w:rFonts w:cstheme="minorHAnsi"/>
          <w:bCs/>
        </w:rPr>
        <w:t xml:space="preserve">suggests </w:t>
      </w:r>
      <w:r>
        <w:rPr>
          <w:rFonts w:cstheme="minorHAnsi"/>
          <w:bCs/>
        </w:rPr>
        <w:t xml:space="preserve">that </w:t>
      </w:r>
      <w:r w:rsidR="00594085">
        <w:rPr>
          <w:rFonts w:cstheme="minorHAnsi"/>
          <w:bCs/>
        </w:rPr>
        <w:t xml:space="preserve">the 3 focus group children </w:t>
      </w:r>
      <w:r>
        <w:rPr>
          <w:rFonts w:cstheme="minorHAnsi"/>
          <w:bCs/>
        </w:rPr>
        <w:t xml:space="preserve">showed no </w:t>
      </w:r>
      <w:r w:rsidR="00594085">
        <w:rPr>
          <w:rFonts w:cstheme="minorHAnsi"/>
          <w:bCs/>
        </w:rPr>
        <w:t xml:space="preserve">real </w:t>
      </w:r>
      <w:r>
        <w:rPr>
          <w:rFonts w:cstheme="minorHAnsi"/>
          <w:bCs/>
        </w:rPr>
        <w:t>improvement in their involvement within the lesson</w:t>
      </w:r>
      <w:r w:rsidR="00594085">
        <w:rPr>
          <w:rFonts w:cstheme="minorHAnsi"/>
          <w:bCs/>
        </w:rPr>
        <w:t>, both</w:t>
      </w:r>
      <w:r>
        <w:rPr>
          <w:rFonts w:cstheme="minorHAnsi"/>
          <w:bCs/>
        </w:rPr>
        <w:t xml:space="preserve"> pre and post plenary.</w:t>
      </w:r>
      <w:r w:rsidR="00B14E52">
        <w:rPr>
          <w:rFonts w:cstheme="minorHAnsi"/>
          <w:bCs/>
        </w:rPr>
        <w:t xml:space="preserve"> </w:t>
      </w:r>
      <w:r w:rsidR="00594085">
        <w:rPr>
          <w:rFonts w:cstheme="minorHAnsi"/>
          <w:bCs/>
        </w:rPr>
        <w:t xml:space="preserve">In the pre-plenary observations </w:t>
      </w:r>
      <w:r w:rsidR="00B14E52">
        <w:rPr>
          <w:rFonts w:cstheme="minorHAnsi"/>
          <w:bCs/>
        </w:rPr>
        <w:t>Child D</w:t>
      </w:r>
      <w:r w:rsidR="00594085">
        <w:rPr>
          <w:rFonts w:cstheme="minorHAnsi"/>
          <w:bCs/>
        </w:rPr>
        <w:t xml:space="preserve"> (higher ability) and</w:t>
      </w:r>
      <w:r w:rsidR="00B14E52">
        <w:rPr>
          <w:rFonts w:cstheme="minorHAnsi"/>
          <w:bCs/>
        </w:rPr>
        <w:t xml:space="preserve"> Child E </w:t>
      </w:r>
      <w:r w:rsidR="00594085">
        <w:rPr>
          <w:rFonts w:cstheme="minorHAnsi"/>
          <w:bCs/>
        </w:rPr>
        <w:t xml:space="preserve">(middle level ability) </w:t>
      </w:r>
      <w:r w:rsidR="00B14E52">
        <w:rPr>
          <w:rFonts w:cstheme="minorHAnsi"/>
          <w:bCs/>
        </w:rPr>
        <w:t>demonstrated a moderate level of involvement, highlighting that they were both busy with the activity at routine level but were easily distracted by what was going on</w:t>
      </w:r>
      <w:r w:rsidR="00594085">
        <w:rPr>
          <w:rFonts w:cstheme="minorHAnsi"/>
          <w:bCs/>
        </w:rPr>
        <w:t xml:space="preserve"> around them</w:t>
      </w:r>
      <w:r w:rsidR="00B14E52">
        <w:rPr>
          <w:rFonts w:cstheme="minorHAnsi"/>
          <w:bCs/>
        </w:rPr>
        <w:t>. Similarly, Child F showed a low level of involvement, staring into space and distracted by others but engaged in the activity for some of the time. It is considered that Child F’s involvement was lower tha</w:t>
      </w:r>
      <w:r w:rsidR="003533FE">
        <w:rPr>
          <w:rFonts w:cstheme="minorHAnsi"/>
          <w:bCs/>
        </w:rPr>
        <w:t>n</w:t>
      </w:r>
      <w:r w:rsidR="00B14E52">
        <w:rPr>
          <w:rFonts w:cstheme="minorHAnsi"/>
          <w:bCs/>
        </w:rPr>
        <w:t xml:space="preserve"> Child D and Child E</w:t>
      </w:r>
      <w:r w:rsidR="00594085">
        <w:rPr>
          <w:rFonts w:cstheme="minorHAnsi"/>
          <w:bCs/>
        </w:rPr>
        <w:t xml:space="preserve"> because l</w:t>
      </w:r>
      <w:r w:rsidR="003533FE">
        <w:rPr>
          <w:rFonts w:cstheme="minorHAnsi"/>
          <w:bCs/>
        </w:rPr>
        <w:t>ike Child C</w:t>
      </w:r>
      <w:r w:rsidR="00594085">
        <w:rPr>
          <w:rFonts w:cstheme="minorHAnsi"/>
          <w:bCs/>
        </w:rPr>
        <w:t xml:space="preserve"> in Lesson Study 1</w:t>
      </w:r>
      <w:r w:rsidR="003533FE">
        <w:rPr>
          <w:rFonts w:cstheme="minorHAnsi"/>
          <w:bCs/>
        </w:rPr>
        <w:t>, Child E has</w:t>
      </w:r>
      <w:r w:rsidR="00B14E52">
        <w:rPr>
          <w:rFonts w:cstheme="minorHAnsi"/>
          <w:bCs/>
        </w:rPr>
        <w:t xml:space="preserve"> an A</w:t>
      </w:r>
      <w:r w:rsidR="003533FE">
        <w:rPr>
          <w:rFonts w:cstheme="minorHAnsi"/>
          <w:bCs/>
        </w:rPr>
        <w:t>LN</w:t>
      </w:r>
      <w:r w:rsidR="00F62525">
        <w:rPr>
          <w:rFonts w:cstheme="minorHAnsi"/>
          <w:bCs/>
        </w:rPr>
        <w:t>. I</w:t>
      </w:r>
      <w:r w:rsidR="003533FE">
        <w:rPr>
          <w:rFonts w:cstheme="minorHAnsi"/>
          <w:bCs/>
        </w:rPr>
        <w:t>n this lesson</w:t>
      </w:r>
      <w:r w:rsidR="00B14E52">
        <w:rPr>
          <w:rFonts w:cstheme="minorHAnsi"/>
          <w:bCs/>
        </w:rPr>
        <w:t xml:space="preserve"> </w:t>
      </w:r>
      <w:r w:rsidR="003533FE">
        <w:rPr>
          <w:rFonts w:cstheme="minorHAnsi"/>
          <w:bCs/>
        </w:rPr>
        <w:t xml:space="preserve">Child E </w:t>
      </w:r>
      <w:r w:rsidR="00B14E52">
        <w:rPr>
          <w:rFonts w:cstheme="minorHAnsi"/>
          <w:bCs/>
        </w:rPr>
        <w:t>was mostly support by an additional adult</w:t>
      </w:r>
      <w:r w:rsidR="003533FE">
        <w:rPr>
          <w:rFonts w:cstheme="minorHAnsi"/>
          <w:bCs/>
        </w:rPr>
        <w:t xml:space="preserve"> in a group of other children working at the</w:t>
      </w:r>
      <w:r w:rsidR="00594085">
        <w:rPr>
          <w:rFonts w:cstheme="minorHAnsi"/>
          <w:bCs/>
        </w:rPr>
        <w:t xml:space="preserve"> same level</w:t>
      </w:r>
      <w:r w:rsidR="003533FE">
        <w:rPr>
          <w:rFonts w:cstheme="minorHAnsi"/>
          <w:bCs/>
        </w:rPr>
        <w:t>. According to McWilliam et al. (2003) children who receive individual teacher interactions produce more involvement within their learning compared to group-targeted teacher interactions. In relation to the Child F</w:t>
      </w:r>
      <w:r w:rsidR="00C97D34">
        <w:rPr>
          <w:rFonts w:cstheme="minorHAnsi"/>
          <w:bCs/>
        </w:rPr>
        <w:t>’s observations pre and post plenary</w:t>
      </w:r>
      <w:r w:rsidR="00594085">
        <w:rPr>
          <w:rFonts w:cstheme="minorHAnsi"/>
          <w:bCs/>
        </w:rPr>
        <w:t>, their</w:t>
      </w:r>
      <w:r w:rsidR="00C97D34">
        <w:rPr>
          <w:rFonts w:cstheme="minorHAnsi"/>
          <w:bCs/>
        </w:rPr>
        <w:t xml:space="preserve"> low involvement and participatory engagement may have been because of this. As a child with ALN</w:t>
      </w:r>
      <w:r w:rsidR="00594085">
        <w:rPr>
          <w:rFonts w:cstheme="minorHAnsi"/>
          <w:bCs/>
        </w:rPr>
        <w:t>,</w:t>
      </w:r>
      <w:r w:rsidR="00C97D34">
        <w:rPr>
          <w:rFonts w:cstheme="minorHAnsi"/>
          <w:bCs/>
        </w:rPr>
        <w:t xml:space="preserve"> they may have needed further individual 1-1 support to stay </w:t>
      </w:r>
      <w:r w:rsidR="0043047A">
        <w:rPr>
          <w:rFonts w:cstheme="minorHAnsi"/>
          <w:bCs/>
        </w:rPr>
        <w:t xml:space="preserve">involved in the </w:t>
      </w:r>
      <w:r w:rsidR="00C97D34">
        <w:rPr>
          <w:rFonts w:cstheme="minorHAnsi"/>
          <w:bCs/>
        </w:rPr>
        <w:t>task and</w:t>
      </w:r>
      <w:r w:rsidR="0043047A">
        <w:rPr>
          <w:rFonts w:cstheme="minorHAnsi"/>
          <w:bCs/>
        </w:rPr>
        <w:t xml:space="preserve"> to then</w:t>
      </w:r>
      <w:r w:rsidR="00C97D34">
        <w:rPr>
          <w:rFonts w:cstheme="minorHAnsi"/>
          <w:bCs/>
        </w:rPr>
        <w:t xml:space="preserve"> benefit from the mini-plenary. </w:t>
      </w:r>
    </w:p>
    <w:p w14:paraId="6787803F" w14:textId="4EDE6F90" w:rsidR="008277DE" w:rsidRDefault="00580706" w:rsidP="00F64E52">
      <w:pPr>
        <w:pStyle w:val="NoSpacing"/>
        <w:spacing w:line="480" w:lineRule="auto"/>
        <w:ind w:firstLine="720"/>
        <w:rPr>
          <w:rFonts w:cstheme="minorHAnsi"/>
          <w:bCs/>
        </w:rPr>
      </w:pPr>
      <w:r>
        <w:rPr>
          <w:rFonts w:cstheme="minorHAnsi"/>
          <w:bCs/>
        </w:rPr>
        <w:t xml:space="preserve">In addition, </w:t>
      </w:r>
      <w:r w:rsidR="00D340F4">
        <w:rPr>
          <w:rFonts w:cstheme="minorHAnsi"/>
          <w:bCs/>
        </w:rPr>
        <w:t xml:space="preserve">in my research partner’s reflection it is highlighted that all 3 children completed the task by the end of the lesson and achieved the lesson objective which was to write a group script. However, </w:t>
      </w:r>
      <w:r>
        <w:rPr>
          <w:rFonts w:cstheme="minorHAnsi"/>
          <w:bCs/>
        </w:rPr>
        <w:t xml:space="preserve">myself and my research </w:t>
      </w:r>
      <w:r w:rsidR="00990E78">
        <w:rPr>
          <w:rFonts w:cstheme="minorHAnsi"/>
          <w:bCs/>
        </w:rPr>
        <w:t xml:space="preserve">partner </w:t>
      </w:r>
      <w:r>
        <w:rPr>
          <w:rFonts w:cstheme="minorHAnsi"/>
          <w:bCs/>
        </w:rPr>
        <w:t>then questioned why the mini-plenary was not an effective learning tool</w:t>
      </w:r>
      <w:r w:rsidR="00594085">
        <w:rPr>
          <w:rFonts w:cstheme="minorHAnsi"/>
          <w:bCs/>
        </w:rPr>
        <w:t xml:space="preserve">. </w:t>
      </w:r>
      <w:r>
        <w:rPr>
          <w:rFonts w:cstheme="minorHAnsi"/>
          <w:bCs/>
        </w:rPr>
        <w:t xml:space="preserve">Firstly, </w:t>
      </w:r>
      <w:r w:rsidR="00901C9F">
        <w:rPr>
          <w:rFonts w:cstheme="minorHAnsi"/>
          <w:bCs/>
        </w:rPr>
        <w:t>we considered whether it was the structure of the lesson</w:t>
      </w:r>
      <w:r w:rsidR="00CE5F31">
        <w:rPr>
          <w:rFonts w:cstheme="minorHAnsi"/>
          <w:bCs/>
        </w:rPr>
        <w:t xml:space="preserve">, summarising whether the task and group work caused the children </w:t>
      </w:r>
      <w:r w:rsidR="00CE5F31">
        <w:rPr>
          <w:rFonts w:cstheme="minorHAnsi"/>
          <w:bCs/>
        </w:rPr>
        <w:lastRenderedPageBreak/>
        <w:t>to lack involvement. Baines et al. (2016) demonstrates how working in a group can result in a negative experience for some children. Their research suggests that to work well together children need to feel safe and secure in the knowledge that their peers will not</w:t>
      </w:r>
      <w:r w:rsidR="008C79B9">
        <w:rPr>
          <w:rFonts w:cstheme="minorHAnsi"/>
          <w:bCs/>
        </w:rPr>
        <w:t xml:space="preserve"> humiliate them in front of others if they make a mistake or in response to their ideas and views. However, </w:t>
      </w:r>
      <w:r w:rsidR="0043047A">
        <w:rPr>
          <w:rFonts w:cstheme="minorHAnsi"/>
          <w:bCs/>
        </w:rPr>
        <w:t xml:space="preserve">in regards to </w:t>
      </w:r>
      <w:r w:rsidR="008C79B9">
        <w:rPr>
          <w:rFonts w:cstheme="minorHAnsi"/>
          <w:bCs/>
        </w:rPr>
        <w:t>Child E</w:t>
      </w:r>
      <w:r w:rsidR="0043047A">
        <w:rPr>
          <w:rFonts w:cstheme="minorHAnsi"/>
          <w:bCs/>
        </w:rPr>
        <w:t>,</w:t>
      </w:r>
      <w:r w:rsidR="008C79B9">
        <w:rPr>
          <w:rFonts w:cstheme="minorHAnsi"/>
          <w:bCs/>
        </w:rPr>
        <w:t xml:space="preserve"> their observation highlights the positive response to group work. Nevertheless, the strategy of group work </w:t>
      </w:r>
      <w:r w:rsidR="0043047A">
        <w:rPr>
          <w:rFonts w:cstheme="minorHAnsi"/>
          <w:bCs/>
        </w:rPr>
        <w:t xml:space="preserve">post-plenary </w:t>
      </w:r>
      <w:r w:rsidR="008C79B9">
        <w:rPr>
          <w:rFonts w:cstheme="minorHAnsi"/>
          <w:bCs/>
        </w:rPr>
        <w:t>did have a slight negative impact on Child E’s involvement in the lesson due to distraction by friends in the group and creating off topic discussions</w:t>
      </w:r>
      <w:r w:rsidR="00A3205C">
        <w:rPr>
          <w:rFonts w:cstheme="minorHAnsi"/>
          <w:bCs/>
        </w:rPr>
        <w:t>.</w:t>
      </w:r>
      <w:r w:rsidR="00240E3A">
        <w:rPr>
          <w:rFonts w:cstheme="minorHAnsi"/>
          <w:bCs/>
        </w:rPr>
        <w:t xml:space="preserve"> </w:t>
      </w:r>
    </w:p>
    <w:p w14:paraId="5BB3B66C" w14:textId="7B71C60E" w:rsidR="00A0288D" w:rsidRDefault="00240E3A" w:rsidP="00A0288D">
      <w:pPr>
        <w:pStyle w:val="NoSpacing"/>
        <w:spacing w:line="480" w:lineRule="auto"/>
        <w:ind w:firstLine="720"/>
        <w:rPr>
          <w:rFonts w:cstheme="minorHAnsi"/>
          <w:bCs/>
        </w:rPr>
      </w:pPr>
      <w:r>
        <w:rPr>
          <w:rFonts w:cstheme="minorHAnsi"/>
          <w:bCs/>
        </w:rPr>
        <w:t xml:space="preserve">Equally important we questioned Child D’s involvement within the lesson and how there was no improvement post-plenary. As </w:t>
      </w:r>
      <w:r w:rsidR="00F62525">
        <w:rPr>
          <w:rFonts w:cstheme="minorHAnsi"/>
          <w:bCs/>
        </w:rPr>
        <w:t>Child D was the</w:t>
      </w:r>
      <w:r>
        <w:rPr>
          <w:rFonts w:cstheme="minorHAnsi"/>
          <w:bCs/>
        </w:rPr>
        <w:t xml:space="preserve"> higher ability of the focus group, we identified whether </w:t>
      </w:r>
      <w:r w:rsidR="00F62525">
        <w:rPr>
          <w:rFonts w:cstheme="minorHAnsi"/>
          <w:bCs/>
        </w:rPr>
        <w:t xml:space="preserve">they </w:t>
      </w:r>
      <w:r>
        <w:rPr>
          <w:rFonts w:cstheme="minorHAnsi"/>
          <w:bCs/>
        </w:rPr>
        <w:t>w</w:t>
      </w:r>
      <w:r w:rsidR="00F62525">
        <w:rPr>
          <w:rFonts w:cstheme="minorHAnsi"/>
          <w:bCs/>
        </w:rPr>
        <w:t xml:space="preserve">ere </w:t>
      </w:r>
      <w:r>
        <w:rPr>
          <w:rFonts w:cstheme="minorHAnsi"/>
          <w:bCs/>
        </w:rPr>
        <w:t xml:space="preserve">not challenged enough within the lesson. It is seen within the observation that Child </w:t>
      </w:r>
      <w:r w:rsidR="0043047A">
        <w:rPr>
          <w:rFonts w:cstheme="minorHAnsi"/>
          <w:bCs/>
        </w:rPr>
        <w:t xml:space="preserve">D </w:t>
      </w:r>
      <w:r>
        <w:rPr>
          <w:rFonts w:cstheme="minorHAnsi"/>
          <w:bCs/>
        </w:rPr>
        <w:t xml:space="preserve">looked bored and </w:t>
      </w:r>
      <w:r w:rsidR="008277DE">
        <w:rPr>
          <w:rFonts w:cstheme="minorHAnsi"/>
          <w:bCs/>
        </w:rPr>
        <w:t xml:space="preserve">did not </w:t>
      </w:r>
      <w:r>
        <w:rPr>
          <w:rFonts w:cstheme="minorHAnsi"/>
          <w:bCs/>
        </w:rPr>
        <w:t>show</w:t>
      </w:r>
      <w:r w:rsidR="008277DE">
        <w:rPr>
          <w:rFonts w:cstheme="minorHAnsi"/>
          <w:bCs/>
        </w:rPr>
        <w:t xml:space="preserve"> much energy and concentration. Current research (Welsh Government, 2016) suggests that more able and talented children </w:t>
      </w:r>
      <w:r w:rsidR="0043047A">
        <w:rPr>
          <w:rFonts w:cstheme="minorHAnsi"/>
          <w:bCs/>
        </w:rPr>
        <w:t xml:space="preserve">are </w:t>
      </w:r>
      <w:r w:rsidR="008277DE">
        <w:rPr>
          <w:rFonts w:cstheme="minorHAnsi"/>
          <w:bCs/>
        </w:rPr>
        <w:t>susceptible to boredom and frustration if they do not have sufficient challenge within their education.</w:t>
      </w:r>
      <w:r w:rsidR="00A80875">
        <w:rPr>
          <w:rFonts w:cstheme="minorHAnsi"/>
          <w:bCs/>
        </w:rPr>
        <w:t xml:space="preserve"> Therefore, Child D may have not worked to the best of their ability because of this. Myself and my research partner also considered that Child D may have felt uncomfortable working as a group. </w:t>
      </w:r>
      <w:r w:rsidR="00C031CF">
        <w:rPr>
          <w:rFonts w:cstheme="minorHAnsi"/>
          <w:bCs/>
        </w:rPr>
        <w:t>According to Kanevsky (2015) high ability learners may prefer to work alone when attractive conditions for working in groups are not available. In my research partners reflection (Seen in Appendix D), it states that Child D did not work well in a group</w:t>
      </w:r>
      <w:r w:rsidR="00C81E05">
        <w:rPr>
          <w:rFonts w:cstheme="minorHAnsi"/>
          <w:bCs/>
        </w:rPr>
        <w:t>. T</w:t>
      </w:r>
      <w:r w:rsidR="00C031CF">
        <w:rPr>
          <w:rFonts w:cstheme="minorHAnsi"/>
          <w:bCs/>
        </w:rPr>
        <w:t>he observation explored how the</w:t>
      </w:r>
      <w:r w:rsidR="00587161">
        <w:rPr>
          <w:rFonts w:cstheme="minorHAnsi"/>
          <w:bCs/>
        </w:rPr>
        <w:t>re</w:t>
      </w:r>
      <w:r w:rsidR="00C031CF">
        <w:rPr>
          <w:rFonts w:cstheme="minorHAnsi"/>
          <w:bCs/>
        </w:rPr>
        <w:t xml:space="preserve"> were distractions of objects (e.g. pencil case, swinging on the chair) rather than distractions by peers</w:t>
      </w:r>
      <w:r w:rsidR="00587161">
        <w:rPr>
          <w:rFonts w:cstheme="minorHAnsi"/>
          <w:bCs/>
        </w:rPr>
        <w:t xml:space="preserve"> in regards to Child D’s </w:t>
      </w:r>
      <w:r w:rsidR="0043047A">
        <w:rPr>
          <w:rFonts w:cstheme="minorHAnsi"/>
          <w:bCs/>
        </w:rPr>
        <w:t xml:space="preserve">poor </w:t>
      </w:r>
      <w:r w:rsidR="00587161">
        <w:rPr>
          <w:rFonts w:cstheme="minorHAnsi"/>
          <w:bCs/>
        </w:rPr>
        <w:t xml:space="preserve">involvement in the </w:t>
      </w:r>
      <w:r w:rsidR="0043047A">
        <w:rPr>
          <w:rFonts w:cstheme="minorHAnsi"/>
          <w:bCs/>
        </w:rPr>
        <w:t xml:space="preserve">group work of the </w:t>
      </w:r>
      <w:r w:rsidR="00587161">
        <w:rPr>
          <w:rFonts w:cstheme="minorHAnsi"/>
          <w:bCs/>
        </w:rPr>
        <w:t>lesson.</w:t>
      </w:r>
      <w:r w:rsidR="00990E78">
        <w:rPr>
          <w:rFonts w:cstheme="minorHAnsi"/>
          <w:bCs/>
        </w:rPr>
        <w:t xml:space="preserve"> </w:t>
      </w:r>
    </w:p>
    <w:p w14:paraId="3B167953" w14:textId="77777777" w:rsidR="00A0288D" w:rsidRDefault="00A0288D" w:rsidP="00A0288D">
      <w:pPr>
        <w:pStyle w:val="NoSpacing"/>
        <w:spacing w:line="480" w:lineRule="auto"/>
        <w:ind w:firstLine="720"/>
        <w:rPr>
          <w:rFonts w:cstheme="minorHAnsi"/>
          <w:bCs/>
        </w:rPr>
      </w:pPr>
    </w:p>
    <w:p w14:paraId="24FCB6DA" w14:textId="338315A6" w:rsidR="0043047A" w:rsidRDefault="00990E78" w:rsidP="00A0288D">
      <w:pPr>
        <w:pStyle w:val="NoSpacing"/>
        <w:spacing w:line="480" w:lineRule="auto"/>
        <w:ind w:firstLine="720"/>
        <w:rPr>
          <w:rFonts w:cstheme="minorHAnsi"/>
          <w:bCs/>
        </w:rPr>
      </w:pPr>
      <w:r>
        <w:rPr>
          <w:rFonts w:cstheme="minorHAnsi"/>
          <w:bCs/>
        </w:rPr>
        <w:lastRenderedPageBreak/>
        <w:t>Despite this, as previously mentioned all 3 children achieved the lesson goals, however the involvement levels in the lesson did not improve due to the mini-plenary. In the focus group interview all 3 children stated that they enjoyed the lesson</w:t>
      </w:r>
      <w:r w:rsidR="009D306B">
        <w:rPr>
          <w:rFonts w:cstheme="minorHAnsi"/>
          <w:bCs/>
        </w:rPr>
        <w:t xml:space="preserve"> but gave no more evident information about the mini-plenary. It was clear that </w:t>
      </w:r>
      <w:r w:rsidR="0043047A">
        <w:rPr>
          <w:rFonts w:cstheme="minorHAnsi"/>
          <w:bCs/>
        </w:rPr>
        <w:t xml:space="preserve">in the interview </w:t>
      </w:r>
      <w:r w:rsidR="009D306B">
        <w:rPr>
          <w:rFonts w:cstheme="minorHAnsi"/>
          <w:bCs/>
        </w:rPr>
        <w:t xml:space="preserve">they gave </w:t>
      </w:r>
      <w:r w:rsidR="002E2661">
        <w:rPr>
          <w:rFonts w:cstheme="minorHAnsi"/>
          <w:bCs/>
        </w:rPr>
        <w:t xml:space="preserve">the </w:t>
      </w:r>
      <w:r w:rsidR="009D306B">
        <w:rPr>
          <w:rFonts w:cstheme="minorHAnsi"/>
          <w:bCs/>
        </w:rPr>
        <w:t>answers to the questions they thought us as teachers wanted to hear</w:t>
      </w:r>
      <w:r w:rsidR="002E2661">
        <w:rPr>
          <w:rFonts w:cstheme="minorHAnsi"/>
          <w:bCs/>
        </w:rPr>
        <w:t>, like Child C in Lesson Study 1</w:t>
      </w:r>
      <w:r w:rsidR="009D306B">
        <w:rPr>
          <w:rFonts w:cstheme="minorHAnsi"/>
          <w:bCs/>
        </w:rPr>
        <w:t>.</w:t>
      </w:r>
      <w:r w:rsidR="002E2661">
        <w:rPr>
          <w:rFonts w:cstheme="minorHAnsi"/>
          <w:bCs/>
        </w:rPr>
        <w:t xml:space="preserve"> We reflected on this limitation and based it on the age of the children within the focus group, it was evident that they wanted to ensure they were saying the ‘correct’ answers to our questions. </w:t>
      </w:r>
      <w:r w:rsidR="00B4113D">
        <w:rPr>
          <w:rFonts w:cstheme="minorHAnsi"/>
          <w:bCs/>
        </w:rPr>
        <w:t>According to Skinner’s operant conditioning theory, the method of learning occurs through rewards and punishments for behaviour. He claims that child</w:t>
      </w:r>
      <w:r w:rsidR="00BE767A">
        <w:rPr>
          <w:rFonts w:cstheme="minorHAnsi"/>
          <w:bCs/>
        </w:rPr>
        <w:t>ren</w:t>
      </w:r>
      <w:r w:rsidR="00B4113D">
        <w:rPr>
          <w:rFonts w:cstheme="minorHAnsi"/>
          <w:bCs/>
        </w:rPr>
        <w:t xml:space="preserve"> perform good acts of behaviour in a result of a reward, highlighting that it is commonly seen amongst younger children (</w:t>
      </w:r>
      <w:r w:rsidR="00C55441">
        <w:rPr>
          <w:rFonts w:cstheme="minorHAnsi"/>
          <w:bCs/>
        </w:rPr>
        <w:t>Bergin</w:t>
      </w:r>
      <w:r w:rsidR="00B4113D">
        <w:rPr>
          <w:rFonts w:cstheme="minorHAnsi"/>
          <w:bCs/>
        </w:rPr>
        <w:t>, 201</w:t>
      </w:r>
      <w:r w:rsidR="00C55441">
        <w:rPr>
          <w:rFonts w:cstheme="minorHAnsi"/>
          <w:bCs/>
        </w:rPr>
        <w:t>4</w:t>
      </w:r>
      <w:r w:rsidR="00B4113D">
        <w:rPr>
          <w:rFonts w:cstheme="minorHAnsi"/>
          <w:bCs/>
        </w:rPr>
        <w:t>). It is seen that the Lesson Study 2 focus group wanted a reward for their participation and for answering the questions they thought were ‘correct’. In my research partners reflection, it states that at the end of the interview Child B acknowledged whether they could all have a sticker. This clearly suggests the age difference between the two focus groups and the outcome of the data.</w:t>
      </w:r>
    </w:p>
    <w:p w14:paraId="44FE364F" w14:textId="2C5BFC84" w:rsidR="00B4113D" w:rsidRDefault="00B4113D" w:rsidP="00A0288D">
      <w:pPr>
        <w:pStyle w:val="NoSpacing"/>
        <w:spacing w:line="480" w:lineRule="auto"/>
        <w:ind w:firstLine="720"/>
        <w:rPr>
          <w:rFonts w:cstheme="minorHAnsi"/>
          <w:bCs/>
        </w:rPr>
      </w:pPr>
      <w:r>
        <w:rPr>
          <w:rFonts w:cstheme="minorHAnsi"/>
          <w:bCs/>
        </w:rPr>
        <w:t xml:space="preserve">From </w:t>
      </w:r>
      <w:r w:rsidR="00BE4C46">
        <w:rPr>
          <w:rFonts w:cstheme="minorHAnsi"/>
          <w:bCs/>
        </w:rPr>
        <w:t>Lesson Study 2</w:t>
      </w:r>
      <w:r>
        <w:rPr>
          <w:rFonts w:cstheme="minorHAnsi"/>
          <w:bCs/>
        </w:rPr>
        <w:t>, myself and my research</w:t>
      </w:r>
      <w:r w:rsidR="003A07CA">
        <w:rPr>
          <w:rFonts w:cstheme="minorHAnsi"/>
          <w:bCs/>
        </w:rPr>
        <w:t xml:space="preserve"> partner identified that the question change in Lesson Study 1 made no difference for the second semi-structured interview due to the children discussing no relevant information based on mini-plenaries. However, due to this reason we suggested that the lesson objective in Lesson Study 2 could have been different to </w:t>
      </w:r>
      <w:r w:rsidR="00BE4C46">
        <w:rPr>
          <w:rFonts w:cstheme="minorHAnsi"/>
          <w:bCs/>
        </w:rPr>
        <w:t>identify whether the mid-way plenary works for lower Key Stage 2 or not. The style of the lesson (group work script writing) was difficult to identify the children’s true involvement with the use of</w:t>
      </w:r>
      <w:r w:rsidR="00BE767A">
        <w:rPr>
          <w:rFonts w:cstheme="minorHAnsi"/>
          <w:bCs/>
        </w:rPr>
        <w:t xml:space="preserve"> a mini-plenary</w:t>
      </w:r>
      <w:r w:rsidR="00BE4C46">
        <w:rPr>
          <w:rFonts w:cstheme="minorHAnsi"/>
          <w:bCs/>
        </w:rPr>
        <w:t xml:space="preserve">. The group learning </w:t>
      </w:r>
      <w:r w:rsidR="00BE767A">
        <w:rPr>
          <w:rFonts w:cstheme="minorHAnsi"/>
          <w:bCs/>
        </w:rPr>
        <w:t xml:space="preserve">task </w:t>
      </w:r>
      <w:r w:rsidR="00BE4C46">
        <w:rPr>
          <w:rFonts w:cstheme="minorHAnsi"/>
          <w:bCs/>
        </w:rPr>
        <w:t xml:space="preserve">resulted in the 3 focus children </w:t>
      </w:r>
      <w:r w:rsidR="00BE767A">
        <w:rPr>
          <w:rFonts w:cstheme="minorHAnsi"/>
          <w:bCs/>
        </w:rPr>
        <w:t xml:space="preserve">showing no </w:t>
      </w:r>
      <w:r w:rsidR="00BE4C46">
        <w:rPr>
          <w:rFonts w:cstheme="minorHAnsi"/>
          <w:bCs/>
        </w:rPr>
        <w:t xml:space="preserve">improvement in their involvement both pre and post plenary which made myself and my research partner question whether an individual learning task may </w:t>
      </w:r>
      <w:r w:rsidR="00BE4C46">
        <w:rPr>
          <w:rFonts w:cstheme="minorHAnsi"/>
          <w:bCs/>
        </w:rPr>
        <w:lastRenderedPageBreak/>
        <w:t xml:space="preserve">have been better to observe </w:t>
      </w:r>
      <w:r w:rsidR="00893F09">
        <w:rPr>
          <w:rFonts w:cstheme="minorHAnsi"/>
          <w:bCs/>
        </w:rPr>
        <w:t xml:space="preserve">the children’s </w:t>
      </w:r>
      <w:r w:rsidR="00BE4C46">
        <w:rPr>
          <w:rFonts w:cstheme="minorHAnsi"/>
          <w:bCs/>
        </w:rPr>
        <w:t>involvement</w:t>
      </w:r>
      <w:r w:rsidR="00BE767A">
        <w:rPr>
          <w:rFonts w:cstheme="minorHAnsi"/>
          <w:bCs/>
        </w:rPr>
        <w:t>. R</w:t>
      </w:r>
      <w:r w:rsidR="00893F09">
        <w:rPr>
          <w:rFonts w:cstheme="minorHAnsi"/>
          <w:bCs/>
        </w:rPr>
        <w:t xml:space="preserve">eflecting on the </w:t>
      </w:r>
      <w:r w:rsidR="00BE4C46">
        <w:rPr>
          <w:rFonts w:cstheme="minorHAnsi"/>
          <w:bCs/>
        </w:rPr>
        <w:t>literature discuss</w:t>
      </w:r>
      <w:r w:rsidR="00893F09">
        <w:rPr>
          <w:rFonts w:cstheme="minorHAnsi"/>
          <w:bCs/>
        </w:rPr>
        <w:t>ed</w:t>
      </w:r>
      <w:r w:rsidR="00BE4C46">
        <w:rPr>
          <w:rFonts w:cstheme="minorHAnsi"/>
          <w:bCs/>
        </w:rPr>
        <w:t xml:space="preserve"> </w:t>
      </w:r>
      <w:r w:rsidR="00BE767A">
        <w:rPr>
          <w:rFonts w:cstheme="minorHAnsi"/>
          <w:bCs/>
        </w:rPr>
        <w:t xml:space="preserve">as </w:t>
      </w:r>
      <w:r w:rsidR="00BE4C46">
        <w:rPr>
          <w:rFonts w:cstheme="minorHAnsi"/>
          <w:bCs/>
        </w:rPr>
        <w:t xml:space="preserve">some children do not work at their best in groups. </w:t>
      </w:r>
      <w:r w:rsidR="00893F09">
        <w:rPr>
          <w:rFonts w:cstheme="minorHAnsi"/>
          <w:bCs/>
        </w:rPr>
        <w:t xml:space="preserve">In addition, we also discussed whether additional individual tasks could have been set for the more able and talented pupils within the class. This may have benefited Child D’s involvement within the lesson as the work would have been more challenging and </w:t>
      </w:r>
      <w:r w:rsidR="00923A29">
        <w:rPr>
          <w:rFonts w:cstheme="minorHAnsi"/>
          <w:bCs/>
        </w:rPr>
        <w:t xml:space="preserve">an opportunity for </w:t>
      </w:r>
      <w:r w:rsidR="00893F09">
        <w:rPr>
          <w:rFonts w:cstheme="minorHAnsi"/>
          <w:bCs/>
        </w:rPr>
        <w:t>independent learning</w:t>
      </w:r>
      <w:r w:rsidR="00923A29">
        <w:rPr>
          <w:rFonts w:cstheme="minorHAnsi"/>
          <w:bCs/>
        </w:rPr>
        <w:t>.</w:t>
      </w:r>
    </w:p>
    <w:p w14:paraId="73CA9421" w14:textId="68F11B97" w:rsidR="00A6102D" w:rsidRDefault="0088236B" w:rsidP="00A0288D">
      <w:pPr>
        <w:pStyle w:val="NoSpacing"/>
        <w:spacing w:line="480" w:lineRule="auto"/>
        <w:ind w:firstLine="720"/>
        <w:rPr>
          <w:rFonts w:cstheme="minorHAnsi"/>
          <w:bCs/>
        </w:rPr>
      </w:pPr>
      <w:r>
        <w:rPr>
          <w:rFonts w:cstheme="minorHAnsi"/>
          <w:bCs/>
        </w:rPr>
        <w:t>To triangulate this data,</w:t>
      </w:r>
      <w:r w:rsidR="00035097">
        <w:rPr>
          <w:rFonts w:cstheme="minorHAnsi"/>
          <w:bCs/>
        </w:rPr>
        <w:t xml:space="preserve"> Lesson Study 1 supported our research question</w:t>
      </w:r>
      <w:r w:rsidR="00A6102D">
        <w:rPr>
          <w:rFonts w:cstheme="minorHAnsi"/>
          <w:bCs/>
        </w:rPr>
        <w:t>,</w:t>
      </w:r>
      <w:r w:rsidR="00035097">
        <w:rPr>
          <w:rFonts w:cstheme="minorHAnsi"/>
          <w:bCs/>
        </w:rPr>
        <w:t xml:space="preserve"> that a mini-plenary mid-way through a lesson does improve pupil’s involvement in a Key Stage 2 classroom. However, Lesson Study 2 did not. </w:t>
      </w:r>
      <w:r w:rsidR="00A6102D">
        <w:rPr>
          <w:rFonts w:cstheme="minorHAnsi"/>
          <w:bCs/>
        </w:rPr>
        <w:t>The different outcomes of the Lesson Studies and the age difference between both classes suggests that a mid-way plenary benefits upper Key Stage 2 rather than lower</w:t>
      </w:r>
      <w:r w:rsidR="001F10A1">
        <w:rPr>
          <w:rFonts w:cstheme="minorHAnsi"/>
          <w:bCs/>
        </w:rPr>
        <w:t xml:space="preserve"> Key Stage 2</w:t>
      </w:r>
      <w:r w:rsidR="00A6102D">
        <w:rPr>
          <w:rFonts w:cstheme="minorHAnsi"/>
          <w:bCs/>
        </w:rPr>
        <w:t xml:space="preserve">. Based on the empirical evidence previously discussed within the literature, it is apparent that for my class (Year 6) formative assessment strategies clarify the learning intentions and share the criteria for success. </w:t>
      </w:r>
      <w:r w:rsidR="001759E1">
        <w:rPr>
          <w:rFonts w:cstheme="minorHAnsi"/>
          <w:bCs/>
        </w:rPr>
        <w:t>The mini-plenary engineered effective classroom discussion and provided feedback that moved the learning forward for the lesson. The semi-structured interview identifies how the formative assessment strategy in Lesson Study 1 allowed the children to be owners of their own learning by sharing ideas as a class and taking part in verbal peer assessment opportunities to improve their own work. As the teacher of an upper Key Stage 2 class I will use this research to develop my teaching further by carrying out mid-way plenaries in other lessons and areas of learning to identify whether this formative assessment strategy works for other subjects.</w:t>
      </w:r>
      <w:r w:rsidR="004E0982">
        <w:rPr>
          <w:rFonts w:cstheme="minorHAnsi"/>
          <w:bCs/>
        </w:rPr>
        <w:t xml:space="preserve"> Further research and use of mini-plenaries within my teaching will allow me to identify whether the success of Lesson Study 1 was actually because of the mini-plenary or whether it was the lesson itself.</w:t>
      </w:r>
    </w:p>
    <w:p w14:paraId="7C50B027" w14:textId="25CF89AA" w:rsidR="00A6102D" w:rsidRDefault="001759E1" w:rsidP="00A0288D">
      <w:pPr>
        <w:pStyle w:val="NoSpacing"/>
        <w:spacing w:line="480" w:lineRule="auto"/>
        <w:ind w:firstLine="720"/>
        <w:rPr>
          <w:rFonts w:cstheme="minorHAnsi"/>
          <w:bCs/>
        </w:rPr>
      </w:pPr>
      <w:r>
        <w:rPr>
          <w:rFonts w:cstheme="minorHAnsi"/>
          <w:bCs/>
        </w:rPr>
        <w:lastRenderedPageBreak/>
        <w:t xml:space="preserve">However, my research partner suggested how she will perform a mini-plenary again in another lesson to identify whether it was the group work task that the pupils were not involved in or whether it was the AFL strategy that did not benefit their </w:t>
      </w:r>
      <w:r w:rsidR="00043B4E">
        <w:rPr>
          <w:rFonts w:cstheme="minorHAnsi"/>
          <w:bCs/>
        </w:rPr>
        <w:t xml:space="preserve">involvement in the </w:t>
      </w:r>
      <w:r>
        <w:rPr>
          <w:rFonts w:cstheme="minorHAnsi"/>
          <w:bCs/>
        </w:rPr>
        <w:t xml:space="preserve">learning. In regards to the literature, it will allow my research partner to demonstrate whether her pupils do not work well in group work </w:t>
      </w:r>
      <w:r w:rsidR="004E0982">
        <w:rPr>
          <w:rFonts w:cstheme="minorHAnsi"/>
          <w:bCs/>
        </w:rPr>
        <w:t>situations</w:t>
      </w:r>
      <w:r>
        <w:rPr>
          <w:rFonts w:cstheme="minorHAnsi"/>
          <w:bCs/>
        </w:rPr>
        <w:t xml:space="preserve"> or whether it is the age of the pupils that </w:t>
      </w:r>
      <w:r w:rsidR="004E0982">
        <w:rPr>
          <w:rFonts w:cstheme="minorHAnsi"/>
          <w:bCs/>
        </w:rPr>
        <w:t xml:space="preserve">resulted in the ineffective use of a mini-plenary. In despite of this, myself and my research partner questioned whether her lower Key Stage 2 class would benefit from shorter more frequent mini-plenaries throughout a lesson rather that one extensive plenary mid-way </w:t>
      </w:r>
      <w:r w:rsidR="006547A1">
        <w:rPr>
          <w:rFonts w:cstheme="minorHAnsi"/>
          <w:bCs/>
        </w:rPr>
        <w:t xml:space="preserve">in </w:t>
      </w:r>
      <w:r w:rsidR="004E0982">
        <w:rPr>
          <w:rFonts w:cstheme="minorHAnsi"/>
          <w:bCs/>
        </w:rPr>
        <w:t>a lesson. Therefore, this question could be researched within another Lesson Study.</w:t>
      </w:r>
    </w:p>
    <w:p w14:paraId="1864328E" w14:textId="55896A21" w:rsidR="007B6A50" w:rsidRDefault="004E0982" w:rsidP="00A0288D">
      <w:pPr>
        <w:pStyle w:val="NoSpacing"/>
        <w:spacing w:line="480" w:lineRule="auto"/>
        <w:ind w:firstLine="720"/>
        <w:rPr>
          <w:rFonts w:cstheme="minorHAnsi"/>
          <w:bCs/>
        </w:rPr>
      </w:pPr>
      <w:r>
        <w:rPr>
          <w:rFonts w:cstheme="minorHAnsi"/>
          <w:bCs/>
        </w:rPr>
        <w:t>To conclude</w:t>
      </w:r>
      <w:r w:rsidR="00177F2A">
        <w:rPr>
          <w:rFonts w:cstheme="minorHAnsi"/>
          <w:bCs/>
        </w:rPr>
        <w:t xml:space="preserve"> the data findings and results to our Lesson Study research, it can be seen that the methodology used was reliable as it provided us with the opportunity to observe and collect valid information based on the study’s research question. The observational method (Leuven Scale Checklist for Involvement) was beneficial to identify the children’s involvement using the </w:t>
      </w:r>
      <w:r w:rsidR="000B4F26">
        <w:rPr>
          <w:rFonts w:cstheme="minorHAnsi"/>
          <w:bCs/>
        </w:rPr>
        <w:t xml:space="preserve">measurement </w:t>
      </w:r>
      <w:r w:rsidR="00177F2A">
        <w:rPr>
          <w:rFonts w:cstheme="minorHAnsi"/>
          <w:bCs/>
        </w:rPr>
        <w:t xml:space="preserve">scale and our addition of a comments box allowed qualitative data to be collected. However, myself and my research partner concluded that this observational method </w:t>
      </w:r>
      <w:r w:rsidR="004D1201">
        <w:rPr>
          <w:rFonts w:cstheme="minorHAnsi"/>
          <w:bCs/>
        </w:rPr>
        <w:t>resulted in us observing a substantial amount during an approximate 20-minute time period both pre and post plenary. Therefore, we believe a time sample observation may have allowed us to pin point specific parts during shorter time samples in regards to the children</w:t>
      </w:r>
      <w:r w:rsidR="006547A1">
        <w:rPr>
          <w:rFonts w:cstheme="minorHAnsi"/>
          <w:bCs/>
        </w:rPr>
        <w:t>’s</w:t>
      </w:r>
      <w:r w:rsidR="004D1201">
        <w:rPr>
          <w:rFonts w:cstheme="minorHAnsi"/>
          <w:bCs/>
        </w:rPr>
        <w:t xml:space="preserve"> involvement throughout the lesson.</w:t>
      </w:r>
      <w:r w:rsidR="00B750A9">
        <w:rPr>
          <w:rFonts w:cstheme="minorHAnsi"/>
          <w:bCs/>
        </w:rPr>
        <w:t xml:space="preserve"> </w:t>
      </w:r>
    </w:p>
    <w:p w14:paraId="709FB3B5" w14:textId="77777777" w:rsidR="000B1289" w:rsidRDefault="00B750A9" w:rsidP="007B6A50">
      <w:pPr>
        <w:pStyle w:val="NoSpacing"/>
        <w:spacing w:line="480" w:lineRule="auto"/>
        <w:ind w:firstLine="720"/>
      </w:pPr>
      <w:r>
        <w:rPr>
          <w:rFonts w:cstheme="minorHAnsi"/>
          <w:bCs/>
        </w:rPr>
        <w:t xml:space="preserve">Furthermore, the </w:t>
      </w:r>
      <w:r w:rsidR="007B6A50">
        <w:rPr>
          <w:rFonts w:cstheme="minorHAnsi"/>
          <w:bCs/>
        </w:rPr>
        <w:t>method</w:t>
      </w:r>
      <w:r>
        <w:rPr>
          <w:rFonts w:cstheme="minorHAnsi"/>
          <w:bCs/>
        </w:rPr>
        <w:t xml:space="preserve"> of semi-structured interviews and audio recording</w:t>
      </w:r>
      <w:r w:rsidR="007B6A50">
        <w:rPr>
          <w:rFonts w:cstheme="minorHAnsi"/>
          <w:bCs/>
        </w:rPr>
        <w:t>s</w:t>
      </w:r>
      <w:r>
        <w:rPr>
          <w:rFonts w:cstheme="minorHAnsi"/>
          <w:bCs/>
        </w:rPr>
        <w:t xml:space="preserve"> provided our research wit</w:t>
      </w:r>
      <w:r w:rsidR="007B6A50">
        <w:rPr>
          <w:rFonts w:cstheme="minorHAnsi"/>
          <w:bCs/>
        </w:rPr>
        <w:t xml:space="preserve">h </w:t>
      </w:r>
      <w:r w:rsidR="000B1289">
        <w:rPr>
          <w:rFonts w:cstheme="minorHAnsi"/>
          <w:bCs/>
        </w:rPr>
        <w:t xml:space="preserve">the use </w:t>
      </w:r>
      <w:r w:rsidR="007B6A50">
        <w:rPr>
          <w:rFonts w:cstheme="minorHAnsi"/>
          <w:bCs/>
        </w:rPr>
        <w:t xml:space="preserve">valid data methods, </w:t>
      </w:r>
      <w:r>
        <w:rPr>
          <w:rFonts w:cstheme="minorHAnsi"/>
          <w:bCs/>
        </w:rPr>
        <w:t xml:space="preserve">however due to the age of the </w:t>
      </w:r>
      <w:r w:rsidR="000B1289">
        <w:rPr>
          <w:rFonts w:cstheme="minorHAnsi"/>
          <w:bCs/>
        </w:rPr>
        <w:t>pupils</w:t>
      </w:r>
      <w:r>
        <w:rPr>
          <w:rFonts w:cstheme="minorHAnsi"/>
          <w:bCs/>
        </w:rPr>
        <w:t xml:space="preserve"> in </w:t>
      </w:r>
      <w:r w:rsidR="007B6A50">
        <w:rPr>
          <w:rFonts w:cstheme="minorHAnsi"/>
          <w:bCs/>
        </w:rPr>
        <w:t xml:space="preserve">the Lesson Study 2 focus group it resulted in discussions that were unreliable and biased due to the children wanted to feedback what they thought would be ‘correct’. It is </w:t>
      </w:r>
      <w:r w:rsidR="007B6A50">
        <w:rPr>
          <w:rFonts w:cstheme="minorHAnsi"/>
          <w:bCs/>
        </w:rPr>
        <w:lastRenderedPageBreak/>
        <w:t xml:space="preserve">identified that the findings from this research cannot be generalised as they are reflections based on the particular class, pupils and teacher which therefore cannot be an overall conclusion to our research question. This is why further research needs to be carried out to identify whether mini-plenaries are an effective formative assessment strategy to use within the classroom. To improve the strengths of the methods used within a Lesson Study, I believe piloting the methods is beneficial to the research. As mentioned within the literature, </w:t>
      </w:r>
      <w:r w:rsidR="007B6A50">
        <w:t xml:space="preserve">even though conducting a pilot study does not guarantee success in the main Lesson Study, we felt it would increase the likelihood of success if we piloted our questions and data collection method beforehand. </w:t>
      </w:r>
    </w:p>
    <w:p w14:paraId="649504BD" w14:textId="62BB0592" w:rsidR="007B6A50" w:rsidRDefault="000B1289" w:rsidP="007B6A50">
      <w:pPr>
        <w:pStyle w:val="NoSpacing"/>
        <w:spacing w:line="480" w:lineRule="auto"/>
        <w:ind w:firstLine="720"/>
      </w:pPr>
      <w:r>
        <w:t>To learn and move forward from this Lesson Study experience</w:t>
      </w:r>
      <w:r w:rsidR="000B4F26">
        <w:t xml:space="preserve">, </w:t>
      </w:r>
      <w:r>
        <w:t>myself and my research partner suggest that the two lessons being taught need to be similar to highlight a true comparison within the Lesson Study. To reflect on this, Lesson Study 1 was an independent writing task whereas Lesson Study 2 was a group work writing task, therefore we found it difficult to identify whether the difference between the results for both classes w</w:t>
      </w:r>
      <w:r w:rsidR="000B4F26">
        <w:t>ere</w:t>
      </w:r>
      <w:r>
        <w:t xml:space="preserve"> because of the different types of lessons or whether a mid-way mini-plenary is not beneficial for pupil’s involvement in a lower Key Stage 2 class. </w:t>
      </w:r>
      <w:r w:rsidR="000C386E">
        <w:t>In light of our Lesson Study research</w:t>
      </w:r>
      <w:r w:rsidR="000B4F26">
        <w:t>,</w:t>
      </w:r>
      <w:r w:rsidR="000C386E">
        <w:t xml:space="preserve"> to inform future research</w:t>
      </w:r>
      <w:r w:rsidR="00972ED1">
        <w:t xml:space="preserve"> I would consider using specific AFL strategies within the mini-plenary. Reflecting on </w:t>
      </w:r>
      <w:r w:rsidR="000B4F26">
        <w:t xml:space="preserve">our </w:t>
      </w:r>
      <w:r w:rsidR="00972ED1">
        <w:t>Lesson Study, our mini-plenar</w:t>
      </w:r>
      <w:r w:rsidR="000B4F26">
        <w:t>ies</w:t>
      </w:r>
      <w:r w:rsidR="00972ED1">
        <w:t xml:space="preserve"> used a range of AFL (questioning, success criteria, peer assessment) to encourage pupil involvement in the lesson which is therefore more difficult to identify which strategy was most beneficial to the pupil’s involvement. Even though the focus group in Lesson Study 1 reflected positively on using peer assessment within the mid-way plenary, it did not provide us with enough information and feedback based on whether the use of questioning and reflecting on the success criteria was also beneficial</w:t>
      </w:r>
      <w:r w:rsidR="000B4F26">
        <w:t xml:space="preserve"> to use in a mini-plenary.</w:t>
      </w:r>
    </w:p>
    <w:p w14:paraId="266E4802" w14:textId="76C77167" w:rsidR="00972ED1" w:rsidRDefault="0088236B" w:rsidP="007B6A50">
      <w:pPr>
        <w:pStyle w:val="NoSpacing"/>
        <w:spacing w:line="480" w:lineRule="auto"/>
        <w:ind w:firstLine="720"/>
      </w:pPr>
      <w:r>
        <w:lastRenderedPageBreak/>
        <w:t>Reflecting on the research evidence and critical an</w:t>
      </w:r>
      <w:r w:rsidR="008411D6">
        <w:t xml:space="preserve">alysis </w:t>
      </w:r>
      <w:r>
        <w:t xml:space="preserve">of the methodology </w:t>
      </w:r>
      <w:r w:rsidR="00B120F1">
        <w:t>if I did Lesson Study research again, I would consider the strengths and limitations I have identified within this research and the empirical evidence based on literature that has been discussed. To share the good practice for future Lesson Studies I would highlight the importance of piloting observational methods and the need for lesson styles to be similar to identify a true comparison to support the stud</w:t>
      </w:r>
      <w:r w:rsidR="000B4F26">
        <w:t>y’s</w:t>
      </w:r>
      <w:r w:rsidR="00B120F1">
        <w:t xml:space="preserve"> research question.</w:t>
      </w:r>
    </w:p>
    <w:p w14:paraId="7940FEC0" w14:textId="1FA3A23A" w:rsidR="00177F2A" w:rsidRDefault="00177F2A" w:rsidP="000B1289">
      <w:pPr>
        <w:pStyle w:val="NoSpacing"/>
        <w:spacing w:line="480" w:lineRule="auto"/>
        <w:rPr>
          <w:rFonts w:cstheme="minorHAnsi"/>
          <w:bCs/>
        </w:rPr>
      </w:pPr>
    </w:p>
    <w:p w14:paraId="5EE1591C" w14:textId="77777777" w:rsidR="00177F2A" w:rsidRDefault="00177F2A" w:rsidP="00A0288D">
      <w:pPr>
        <w:pStyle w:val="NoSpacing"/>
        <w:spacing w:line="480" w:lineRule="auto"/>
        <w:ind w:firstLine="720"/>
        <w:rPr>
          <w:rFonts w:cstheme="minorHAnsi"/>
          <w:bCs/>
        </w:rPr>
      </w:pPr>
    </w:p>
    <w:p w14:paraId="2AC0577E" w14:textId="77777777" w:rsidR="00D70368" w:rsidRDefault="00D70368" w:rsidP="003C0995">
      <w:pPr>
        <w:pStyle w:val="NoSpacing"/>
        <w:spacing w:line="480" w:lineRule="auto"/>
        <w:rPr>
          <w:rFonts w:cstheme="minorHAnsi"/>
          <w:bCs/>
        </w:rPr>
      </w:pPr>
    </w:p>
    <w:p w14:paraId="54F0C06A" w14:textId="77777777" w:rsidR="00D70368" w:rsidRDefault="00D70368" w:rsidP="00D70368">
      <w:pPr>
        <w:pStyle w:val="NoSpacing"/>
        <w:spacing w:line="480" w:lineRule="auto"/>
        <w:ind w:firstLine="720"/>
        <w:rPr>
          <w:rFonts w:cstheme="minorHAnsi"/>
          <w:bCs/>
        </w:rPr>
      </w:pPr>
    </w:p>
    <w:p w14:paraId="1634C467" w14:textId="36715AF0" w:rsidR="00954B0C" w:rsidRDefault="00954B0C" w:rsidP="00F64E52">
      <w:pPr>
        <w:pStyle w:val="NoSpacing"/>
        <w:spacing w:line="480" w:lineRule="auto"/>
        <w:ind w:firstLine="720"/>
        <w:rPr>
          <w:rFonts w:cstheme="minorHAnsi"/>
          <w:bCs/>
        </w:rPr>
      </w:pPr>
    </w:p>
    <w:p w14:paraId="1513CBE6" w14:textId="2A7F2474" w:rsidR="005605B7" w:rsidRDefault="005605B7" w:rsidP="004976B4">
      <w:pPr>
        <w:pStyle w:val="NoSpacing"/>
        <w:spacing w:line="360" w:lineRule="auto"/>
        <w:rPr>
          <w:rFonts w:cstheme="minorHAnsi"/>
          <w:bCs/>
        </w:rPr>
      </w:pPr>
    </w:p>
    <w:p w14:paraId="6AA6482F" w14:textId="082C2F4F" w:rsidR="003B1D99" w:rsidRDefault="003B1D99" w:rsidP="004976B4">
      <w:pPr>
        <w:pStyle w:val="NoSpacing"/>
        <w:spacing w:line="360" w:lineRule="auto"/>
        <w:rPr>
          <w:rFonts w:cstheme="minorHAnsi"/>
          <w:bCs/>
        </w:rPr>
      </w:pPr>
    </w:p>
    <w:p w14:paraId="221FA352" w14:textId="32C94E6A" w:rsidR="003B1D99" w:rsidRDefault="003B1D99" w:rsidP="004976B4">
      <w:pPr>
        <w:pStyle w:val="NoSpacing"/>
        <w:spacing w:line="360" w:lineRule="auto"/>
        <w:rPr>
          <w:rFonts w:cstheme="minorHAnsi"/>
          <w:bCs/>
        </w:rPr>
      </w:pPr>
    </w:p>
    <w:p w14:paraId="6FD2193D" w14:textId="6A1F261B" w:rsidR="003B1D99" w:rsidRDefault="003B1D99" w:rsidP="004976B4">
      <w:pPr>
        <w:pStyle w:val="NoSpacing"/>
        <w:spacing w:line="360" w:lineRule="auto"/>
        <w:rPr>
          <w:rFonts w:cstheme="minorHAnsi"/>
          <w:bCs/>
        </w:rPr>
      </w:pPr>
    </w:p>
    <w:p w14:paraId="4805B7D8" w14:textId="1E6AB1BD" w:rsidR="003B1D99" w:rsidRDefault="003B1D99" w:rsidP="004976B4">
      <w:pPr>
        <w:pStyle w:val="NoSpacing"/>
        <w:spacing w:line="360" w:lineRule="auto"/>
        <w:rPr>
          <w:rFonts w:cstheme="minorHAnsi"/>
          <w:bCs/>
        </w:rPr>
      </w:pPr>
    </w:p>
    <w:p w14:paraId="7E315215" w14:textId="4526F932" w:rsidR="003B1D99" w:rsidRDefault="003B1D99" w:rsidP="004976B4">
      <w:pPr>
        <w:pStyle w:val="NoSpacing"/>
        <w:spacing w:line="360" w:lineRule="auto"/>
        <w:rPr>
          <w:rFonts w:cstheme="minorHAnsi"/>
          <w:bCs/>
        </w:rPr>
      </w:pPr>
    </w:p>
    <w:p w14:paraId="0332DFE4" w14:textId="51C3D072" w:rsidR="003B1D99" w:rsidRDefault="003B1D99" w:rsidP="004976B4">
      <w:pPr>
        <w:pStyle w:val="NoSpacing"/>
        <w:spacing w:line="360" w:lineRule="auto"/>
        <w:rPr>
          <w:rFonts w:cstheme="minorHAnsi"/>
          <w:bCs/>
        </w:rPr>
      </w:pPr>
    </w:p>
    <w:p w14:paraId="60207C1B" w14:textId="59460EB8" w:rsidR="003B1D99" w:rsidRDefault="003B1D99" w:rsidP="004976B4">
      <w:pPr>
        <w:pStyle w:val="NoSpacing"/>
        <w:spacing w:line="360" w:lineRule="auto"/>
        <w:rPr>
          <w:rFonts w:cstheme="minorHAnsi"/>
          <w:bCs/>
        </w:rPr>
      </w:pPr>
    </w:p>
    <w:p w14:paraId="6FAF8CCC" w14:textId="3CB953CA" w:rsidR="003B1D99" w:rsidRDefault="003B1D99" w:rsidP="004976B4">
      <w:pPr>
        <w:pStyle w:val="NoSpacing"/>
        <w:spacing w:line="360" w:lineRule="auto"/>
        <w:rPr>
          <w:rFonts w:cstheme="minorHAnsi"/>
          <w:bCs/>
        </w:rPr>
      </w:pPr>
    </w:p>
    <w:p w14:paraId="2CD03298" w14:textId="73E5428F" w:rsidR="003B1D99" w:rsidRDefault="003B1D99" w:rsidP="004976B4">
      <w:pPr>
        <w:pStyle w:val="NoSpacing"/>
        <w:spacing w:line="360" w:lineRule="auto"/>
        <w:rPr>
          <w:rFonts w:cstheme="minorHAnsi"/>
          <w:bCs/>
        </w:rPr>
      </w:pPr>
    </w:p>
    <w:p w14:paraId="3D374DB4" w14:textId="0DACBFA5" w:rsidR="002833AC" w:rsidRDefault="002833AC" w:rsidP="004976B4">
      <w:pPr>
        <w:pStyle w:val="NoSpacing"/>
        <w:spacing w:line="360" w:lineRule="auto"/>
        <w:rPr>
          <w:rFonts w:cstheme="minorHAnsi"/>
          <w:bCs/>
        </w:rPr>
      </w:pPr>
    </w:p>
    <w:p w14:paraId="3740DAD5" w14:textId="4E17F891" w:rsidR="002833AC" w:rsidRDefault="002833AC" w:rsidP="004976B4">
      <w:pPr>
        <w:pStyle w:val="NoSpacing"/>
        <w:spacing w:line="360" w:lineRule="auto"/>
        <w:rPr>
          <w:rFonts w:cstheme="minorHAnsi"/>
          <w:bCs/>
        </w:rPr>
      </w:pPr>
    </w:p>
    <w:p w14:paraId="08A7AEB1" w14:textId="23E571E0" w:rsidR="002833AC" w:rsidRDefault="002833AC" w:rsidP="004976B4">
      <w:pPr>
        <w:pStyle w:val="NoSpacing"/>
        <w:spacing w:line="360" w:lineRule="auto"/>
        <w:rPr>
          <w:rFonts w:cstheme="minorHAnsi"/>
          <w:bCs/>
        </w:rPr>
      </w:pPr>
    </w:p>
    <w:p w14:paraId="344E7358" w14:textId="40ABD00F" w:rsidR="002833AC" w:rsidRDefault="002833AC" w:rsidP="004976B4">
      <w:pPr>
        <w:pStyle w:val="NoSpacing"/>
        <w:spacing w:line="360" w:lineRule="auto"/>
        <w:rPr>
          <w:rFonts w:cstheme="minorHAnsi"/>
          <w:bCs/>
        </w:rPr>
      </w:pPr>
    </w:p>
    <w:p w14:paraId="1A59A82B" w14:textId="77777777" w:rsidR="002833AC" w:rsidRDefault="002833AC" w:rsidP="004976B4">
      <w:pPr>
        <w:pStyle w:val="NoSpacing"/>
        <w:spacing w:line="360" w:lineRule="auto"/>
        <w:rPr>
          <w:rFonts w:cstheme="minorHAnsi"/>
          <w:bCs/>
        </w:rPr>
      </w:pPr>
    </w:p>
    <w:p w14:paraId="6EAA6545" w14:textId="1EC0BFC8" w:rsidR="003B1D99" w:rsidRDefault="003B1D99" w:rsidP="004976B4">
      <w:pPr>
        <w:pStyle w:val="NoSpacing"/>
        <w:spacing w:line="360" w:lineRule="auto"/>
        <w:rPr>
          <w:rFonts w:cstheme="minorHAnsi"/>
          <w:bCs/>
        </w:rPr>
      </w:pPr>
    </w:p>
    <w:p w14:paraId="316319C0" w14:textId="77777777" w:rsidR="002E2661" w:rsidRDefault="002E2661" w:rsidP="004976B4">
      <w:pPr>
        <w:pStyle w:val="NoSpacing"/>
        <w:spacing w:line="360" w:lineRule="auto"/>
        <w:rPr>
          <w:rFonts w:cstheme="minorHAnsi"/>
        </w:rPr>
      </w:pPr>
    </w:p>
    <w:p w14:paraId="0281CF77" w14:textId="0AAEAAAD" w:rsidR="00712C1F" w:rsidRPr="00651D1D" w:rsidRDefault="003605DD" w:rsidP="00AC3459">
      <w:pPr>
        <w:pStyle w:val="NoSpacing"/>
        <w:spacing w:line="360" w:lineRule="auto"/>
        <w:jc w:val="center"/>
        <w:rPr>
          <w:rFonts w:cstheme="minorHAnsi"/>
          <w:b/>
          <w:u w:val="single"/>
        </w:rPr>
      </w:pPr>
      <w:r w:rsidRPr="00651D1D">
        <w:rPr>
          <w:rFonts w:cstheme="minorHAnsi"/>
          <w:b/>
          <w:u w:val="single"/>
        </w:rPr>
        <w:lastRenderedPageBreak/>
        <w:t>Reference List</w:t>
      </w:r>
    </w:p>
    <w:p w14:paraId="10E9E271" w14:textId="77777777" w:rsidR="00AC3459" w:rsidRDefault="00AC3459" w:rsidP="00AC3459">
      <w:pPr>
        <w:pStyle w:val="NoSpacing"/>
        <w:spacing w:line="360" w:lineRule="auto"/>
        <w:rPr>
          <w:rFonts w:cstheme="minorHAnsi"/>
          <w:color w:val="000000" w:themeColor="text1"/>
          <w:shd w:val="clear" w:color="auto" w:fill="FFFFFF"/>
        </w:rPr>
      </w:pPr>
      <w:r w:rsidRPr="00402645">
        <w:rPr>
          <w:rFonts w:cstheme="minorHAnsi"/>
          <w:color w:val="000000" w:themeColor="text1"/>
        </w:rPr>
        <w:t xml:space="preserve">Assessment Reform Group (2002) </w:t>
      </w:r>
      <w:r w:rsidRPr="00402645">
        <w:rPr>
          <w:rFonts w:cstheme="minorHAnsi"/>
          <w:i/>
          <w:color w:val="000000" w:themeColor="text1"/>
          <w:shd w:val="clear" w:color="auto" w:fill="FFFFFF"/>
        </w:rPr>
        <w:t>Assessment for learning: 10 principles - research-based principles to guide classroom practice.</w:t>
      </w:r>
      <w:r w:rsidRPr="00402645">
        <w:rPr>
          <w:rFonts w:cstheme="minorHAnsi"/>
          <w:color w:val="000000" w:themeColor="text1"/>
          <w:shd w:val="clear" w:color="auto" w:fill="FFFFFF"/>
        </w:rPr>
        <w:t xml:space="preserve"> Available at:</w:t>
      </w:r>
      <w:r>
        <w:rPr>
          <w:rFonts w:cstheme="minorHAnsi"/>
          <w:color w:val="000000" w:themeColor="text1"/>
          <w:shd w:val="clear" w:color="auto" w:fill="FFFFFF"/>
        </w:rPr>
        <w:t xml:space="preserve"> </w:t>
      </w:r>
      <w:r w:rsidRPr="00402645">
        <w:rPr>
          <w:rFonts w:cstheme="minorHAnsi"/>
          <w:color w:val="000000" w:themeColor="text1"/>
          <w:shd w:val="clear" w:color="auto" w:fill="FFFFFF"/>
        </w:rPr>
        <w:t>https://www.aaia.org.uk/content/uploads/2010/06/Assessment-for-Learning-10-principles.pdf (Accessed: 25 February 2019)</w:t>
      </w:r>
    </w:p>
    <w:p w14:paraId="2838F252" w14:textId="77777777" w:rsidR="00AC3459" w:rsidRDefault="00AC3459" w:rsidP="00AC3459">
      <w:pPr>
        <w:pStyle w:val="NoSpacing"/>
        <w:spacing w:line="360" w:lineRule="auto"/>
      </w:pPr>
    </w:p>
    <w:p w14:paraId="77A0C67D" w14:textId="64839D5D" w:rsidR="00AC3459" w:rsidRDefault="00AC3459" w:rsidP="00AC3459">
      <w:pPr>
        <w:pStyle w:val="NoSpacing"/>
        <w:spacing w:line="360" w:lineRule="auto"/>
      </w:pPr>
      <w:r>
        <w:t xml:space="preserve">Baines, E. Blatchford, P. Kutnick, P. (2016) </w:t>
      </w:r>
      <w:r w:rsidRPr="00756333">
        <w:rPr>
          <w:i/>
        </w:rPr>
        <w:t>Promoting Effective Group Work in the Primary Classroom: A Handbook for Teachers and Practitioners (2</w:t>
      </w:r>
      <w:r w:rsidRPr="00756333">
        <w:rPr>
          <w:i/>
          <w:vertAlign w:val="superscript"/>
        </w:rPr>
        <w:t>nd</w:t>
      </w:r>
      <w:r w:rsidRPr="00756333">
        <w:rPr>
          <w:i/>
        </w:rPr>
        <w:t xml:space="preserve"> edn). </w:t>
      </w:r>
      <w:r>
        <w:t>London: Routledge.</w:t>
      </w:r>
    </w:p>
    <w:p w14:paraId="59AB0440" w14:textId="77777777" w:rsidR="00AC3459" w:rsidRDefault="00AC3459" w:rsidP="00AC3459">
      <w:pPr>
        <w:pStyle w:val="NoSpacing"/>
        <w:spacing w:line="360" w:lineRule="auto"/>
        <w:rPr>
          <w:rFonts w:eastAsia="Times New Roman"/>
          <w:color w:val="000000" w:themeColor="text1"/>
        </w:rPr>
      </w:pPr>
    </w:p>
    <w:p w14:paraId="6DEBA783" w14:textId="2BB4FF18" w:rsidR="00AC3459" w:rsidRDefault="00AC3459" w:rsidP="00AC3459">
      <w:pPr>
        <w:pStyle w:val="NoSpacing"/>
        <w:spacing w:line="360" w:lineRule="auto"/>
        <w:rPr>
          <w:rFonts w:eastAsia="Times New Roman"/>
          <w:color w:val="000000" w:themeColor="text1"/>
        </w:rPr>
      </w:pPr>
      <w:r w:rsidRPr="004976B4">
        <w:rPr>
          <w:rFonts w:eastAsia="Times New Roman"/>
          <w:color w:val="000000" w:themeColor="text1"/>
        </w:rPr>
        <w:t xml:space="preserve">Bennett, R. (2011). Formative assessment: A critical review, </w:t>
      </w:r>
      <w:r w:rsidRPr="004976B4">
        <w:rPr>
          <w:rFonts w:eastAsia="Times New Roman"/>
          <w:i/>
          <w:iCs/>
          <w:color w:val="000000" w:themeColor="text1"/>
        </w:rPr>
        <w:t>Assessment in Education</w:t>
      </w:r>
      <w:r w:rsidRPr="004976B4">
        <w:rPr>
          <w:rFonts w:eastAsia="Times New Roman"/>
          <w:color w:val="000000" w:themeColor="text1"/>
        </w:rPr>
        <w:t>, 18(1).</w:t>
      </w:r>
    </w:p>
    <w:p w14:paraId="6B3A8068" w14:textId="77777777" w:rsidR="00AC3459" w:rsidRDefault="00AC3459" w:rsidP="00AC3459">
      <w:pPr>
        <w:pStyle w:val="NoSpacing"/>
        <w:spacing w:line="360" w:lineRule="auto"/>
      </w:pPr>
    </w:p>
    <w:p w14:paraId="04864168" w14:textId="10CEDE80" w:rsidR="00AC3459" w:rsidRDefault="00AC3459" w:rsidP="00AC3459">
      <w:pPr>
        <w:pStyle w:val="NoSpacing"/>
        <w:spacing w:line="360" w:lineRule="auto"/>
      </w:pPr>
      <w:r>
        <w:t>Bergin, C.C and Bergin, D.A. (2014)</w:t>
      </w:r>
      <w:r w:rsidRPr="00C55441">
        <w:rPr>
          <w:i/>
        </w:rPr>
        <w:t xml:space="preserve"> Child and Adolescent Development in Your Classroom (2</w:t>
      </w:r>
      <w:r w:rsidRPr="00C55441">
        <w:rPr>
          <w:i/>
          <w:vertAlign w:val="superscript"/>
        </w:rPr>
        <w:t>nd</w:t>
      </w:r>
      <w:r w:rsidRPr="00C55441">
        <w:rPr>
          <w:i/>
        </w:rPr>
        <w:t xml:space="preserve"> edn).</w:t>
      </w:r>
      <w:r>
        <w:t xml:space="preserve"> United States: Cengage Learning.</w:t>
      </w:r>
    </w:p>
    <w:p w14:paraId="10EB1B49" w14:textId="77777777" w:rsidR="00AC3459" w:rsidRDefault="00AC3459" w:rsidP="00AC3459">
      <w:pPr>
        <w:pStyle w:val="NoSpacing"/>
        <w:spacing w:line="360" w:lineRule="auto"/>
        <w:rPr>
          <w:rFonts w:cstheme="minorHAnsi"/>
          <w:color w:val="000000"/>
        </w:rPr>
      </w:pPr>
    </w:p>
    <w:p w14:paraId="2D87ED27" w14:textId="3E5D008E" w:rsidR="00AC3459" w:rsidRPr="00BE6354" w:rsidRDefault="00AC3459" w:rsidP="00AC3459">
      <w:pPr>
        <w:pStyle w:val="NoSpacing"/>
        <w:spacing w:line="360" w:lineRule="auto"/>
        <w:rPr>
          <w:rFonts w:cstheme="minorHAnsi"/>
        </w:rPr>
      </w:pPr>
      <w:r w:rsidRPr="00BE6354">
        <w:rPr>
          <w:rFonts w:cstheme="minorHAnsi"/>
          <w:color w:val="000000"/>
        </w:rPr>
        <w:t xml:space="preserve">Black, P and Wiliam, D (2006) </w:t>
      </w:r>
      <w:r w:rsidRPr="00BE6354">
        <w:rPr>
          <w:rFonts w:cstheme="minorHAnsi"/>
          <w:i/>
          <w:color w:val="000000"/>
        </w:rPr>
        <w:t>Inside the Black Box: Raising Standards Through Classroom Assessment</w:t>
      </w:r>
      <w:r>
        <w:rPr>
          <w:rFonts w:cstheme="minorHAnsi"/>
          <w:color w:val="000000"/>
        </w:rPr>
        <w:t>.</w:t>
      </w:r>
      <w:r w:rsidRPr="00BE6354">
        <w:rPr>
          <w:rFonts w:cstheme="minorHAnsi"/>
          <w:color w:val="000000"/>
        </w:rPr>
        <w:t xml:space="preserve"> </w:t>
      </w:r>
      <w:r>
        <w:rPr>
          <w:rFonts w:cstheme="minorHAnsi"/>
          <w:color w:val="000000"/>
        </w:rPr>
        <w:t>London: King’s College London.</w:t>
      </w:r>
    </w:p>
    <w:p w14:paraId="74E4596B" w14:textId="77777777" w:rsidR="00AC3459" w:rsidRDefault="00AC3459" w:rsidP="00AC3459">
      <w:pPr>
        <w:pStyle w:val="NoSpacing"/>
        <w:spacing w:line="360" w:lineRule="auto"/>
        <w:rPr>
          <w:rFonts w:cstheme="minorHAnsi"/>
          <w:color w:val="000000" w:themeColor="text1"/>
        </w:rPr>
      </w:pPr>
    </w:p>
    <w:p w14:paraId="52A1B7C0" w14:textId="26826EE0" w:rsidR="00AC3459" w:rsidRPr="005775CB" w:rsidRDefault="00AC3459" w:rsidP="00AC3459">
      <w:pPr>
        <w:pStyle w:val="NoSpacing"/>
        <w:spacing w:line="360" w:lineRule="auto"/>
        <w:rPr>
          <w:rFonts w:cstheme="minorHAnsi"/>
          <w:color w:val="000000" w:themeColor="text1"/>
        </w:rPr>
      </w:pPr>
      <w:r w:rsidRPr="005775CB">
        <w:rPr>
          <w:rFonts w:cstheme="minorHAnsi"/>
          <w:color w:val="000000" w:themeColor="text1"/>
        </w:rPr>
        <w:t xml:space="preserve">Bloom, B.S. (1969). Some theoretical issues relating to educational evaluation. In R. W. Tyler (Ed.), </w:t>
      </w:r>
      <w:r w:rsidRPr="005775CB">
        <w:rPr>
          <w:rFonts w:cstheme="minorHAnsi"/>
          <w:i/>
          <w:iCs/>
          <w:color w:val="000000" w:themeColor="text1"/>
        </w:rPr>
        <w:t>Educational evaluation: New roles, new means: the 68th yearbook of the National Society for the Study of Education</w:t>
      </w:r>
      <w:r w:rsidRPr="005775CB">
        <w:rPr>
          <w:rFonts w:cstheme="minorHAnsi"/>
          <w:color w:val="000000" w:themeColor="text1"/>
        </w:rPr>
        <w:t>, 68(2). Chicago</w:t>
      </w:r>
      <w:r>
        <w:rPr>
          <w:rFonts w:cstheme="minorHAnsi"/>
          <w:color w:val="000000" w:themeColor="text1"/>
        </w:rPr>
        <w:t>:</w:t>
      </w:r>
      <w:r w:rsidRPr="005775CB">
        <w:rPr>
          <w:rFonts w:cstheme="minorHAnsi"/>
          <w:color w:val="000000" w:themeColor="text1"/>
        </w:rPr>
        <w:t xml:space="preserve"> University of Chicago Press.</w:t>
      </w:r>
    </w:p>
    <w:p w14:paraId="07587795" w14:textId="77777777" w:rsidR="00AC3459" w:rsidRDefault="00AC3459" w:rsidP="00AC3459">
      <w:pPr>
        <w:pStyle w:val="NoSpacing"/>
        <w:spacing w:line="360" w:lineRule="auto"/>
        <w:rPr>
          <w:rFonts w:eastAsia="Times New Roman" w:cstheme="minorHAnsi"/>
          <w:color w:val="000000" w:themeColor="text1"/>
        </w:rPr>
      </w:pPr>
    </w:p>
    <w:p w14:paraId="21131EA3" w14:textId="77475A19"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Boon, S.I. (2016) ‘How can peer assessment be used in way which enhance the quality of younger children’s learning in primary schools?’, </w:t>
      </w:r>
      <w:r>
        <w:rPr>
          <w:rFonts w:eastAsia="Times New Roman" w:cstheme="minorHAnsi"/>
          <w:i/>
          <w:color w:val="000000" w:themeColor="text1"/>
        </w:rPr>
        <w:t xml:space="preserve">University of Leicester, </w:t>
      </w:r>
      <w:r>
        <w:rPr>
          <w:rFonts w:eastAsia="Times New Roman" w:cstheme="minorHAnsi"/>
          <w:color w:val="000000" w:themeColor="text1"/>
        </w:rPr>
        <w:t xml:space="preserve">Available at: </w:t>
      </w:r>
      <w:r w:rsidRPr="00BB5967">
        <w:rPr>
          <w:rFonts w:eastAsia="Times New Roman" w:cstheme="minorHAnsi"/>
          <w:color w:val="000000" w:themeColor="text1"/>
        </w:rPr>
        <w:t>https://lra.le.ac.uk/bitstream/2381/38029/1/2016BOONSEdD.pdf</w:t>
      </w:r>
      <w:r>
        <w:rPr>
          <w:rFonts w:eastAsia="Times New Roman" w:cstheme="minorHAnsi"/>
          <w:color w:val="000000" w:themeColor="text1"/>
        </w:rPr>
        <w:t xml:space="preserve"> (Accessed: 27 February 2019).</w:t>
      </w:r>
    </w:p>
    <w:p w14:paraId="077D02E1" w14:textId="77777777" w:rsidR="00AC3459" w:rsidRDefault="00AC3459" w:rsidP="00AC3459">
      <w:pPr>
        <w:pStyle w:val="NoSpacing"/>
        <w:spacing w:line="360" w:lineRule="auto"/>
        <w:rPr>
          <w:rFonts w:eastAsia="Times New Roman" w:cstheme="minorHAnsi"/>
          <w:color w:val="000000" w:themeColor="text1"/>
        </w:rPr>
      </w:pPr>
    </w:p>
    <w:p w14:paraId="758B1D8A" w14:textId="67F04467"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British Educational Research Association (2018) </w:t>
      </w:r>
      <w:r w:rsidRPr="00414532">
        <w:rPr>
          <w:rFonts w:eastAsia="Times New Roman" w:cstheme="minorHAnsi"/>
          <w:i/>
          <w:color w:val="000000" w:themeColor="text1"/>
        </w:rPr>
        <w:t>Ethical Guidelines for Educational Research (4</w:t>
      </w:r>
      <w:r w:rsidRPr="00414532">
        <w:rPr>
          <w:rFonts w:eastAsia="Times New Roman" w:cstheme="minorHAnsi"/>
          <w:i/>
          <w:color w:val="000000" w:themeColor="text1"/>
          <w:vertAlign w:val="superscript"/>
        </w:rPr>
        <w:t>th</w:t>
      </w:r>
      <w:r w:rsidRPr="00414532">
        <w:rPr>
          <w:rFonts w:eastAsia="Times New Roman" w:cstheme="minorHAnsi"/>
          <w:i/>
          <w:color w:val="000000" w:themeColor="text1"/>
        </w:rPr>
        <w:t xml:space="preserve"> edn). </w:t>
      </w:r>
      <w:r>
        <w:rPr>
          <w:rFonts w:eastAsia="Times New Roman" w:cstheme="minorHAnsi"/>
          <w:color w:val="000000" w:themeColor="text1"/>
        </w:rPr>
        <w:t>London: BERA.</w:t>
      </w:r>
    </w:p>
    <w:p w14:paraId="0AD0257F" w14:textId="77777777" w:rsidR="00AC3459" w:rsidRDefault="00AC3459" w:rsidP="00AC3459">
      <w:pPr>
        <w:pStyle w:val="NoSpacing"/>
        <w:spacing w:line="360" w:lineRule="auto"/>
        <w:rPr>
          <w:rFonts w:eastAsia="Times New Roman" w:cstheme="minorHAnsi"/>
          <w:color w:val="000000" w:themeColor="text1"/>
        </w:rPr>
      </w:pPr>
    </w:p>
    <w:p w14:paraId="74F93E86" w14:textId="61E434F2"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Brookfield, S. (1995) </w:t>
      </w:r>
      <w:r w:rsidRPr="00642411">
        <w:rPr>
          <w:rFonts w:eastAsia="Times New Roman" w:cstheme="minorHAnsi"/>
          <w:i/>
          <w:color w:val="000000" w:themeColor="text1"/>
        </w:rPr>
        <w:t>Becoming a Critically Reflective Teacher</w:t>
      </w:r>
      <w:r>
        <w:rPr>
          <w:rFonts w:eastAsia="Times New Roman" w:cstheme="minorHAnsi"/>
          <w:color w:val="000000" w:themeColor="text1"/>
        </w:rPr>
        <w:t>. United Kingdom: John Wiley &amp; Sons Inc.</w:t>
      </w:r>
    </w:p>
    <w:p w14:paraId="18E0A394" w14:textId="77777777" w:rsidR="00AC3459" w:rsidRDefault="00AC3459" w:rsidP="00AC3459">
      <w:pPr>
        <w:pStyle w:val="NoSpacing"/>
        <w:spacing w:line="360" w:lineRule="auto"/>
        <w:rPr>
          <w:rFonts w:eastAsia="Times New Roman" w:cstheme="minorHAnsi"/>
          <w:bCs/>
          <w:color w:val="000000" w:themeColor="text1"/>
        </w:rPr>
      </w:pPr>
      <w:r>
        <w:rPr>
          <w:rFonts w:eastAsia="Times New Roman" w:cstheme="minorHAnsi"/>
          <w:bCs/>
          <w:color w:val="000000" w:themeColor="text1"/>
        </w:rPr>
        <w:lastRenderedPageBreak/>
        <w:t xml:space="preserve">Brown, K. (2009) </w:t>
      </w:r>
      <w:r w:rsidRPr="00EE7C59">
        <w:rPr>
          <w:rFonts w:eastAsia="Times New Roman" w:cstheme="minorHAnsi"/>
          <w:bCs/>
          <w:i/>
          <w:color w:val="000000" w:themeColor="text1"/>
        </w:rPr>
        <w:t>Classroom Starters &amp; Plenaries, Creative Ideas for Use Across the Curriculum.</w:t>
      </w:r>
      <w:r>
        <w:rPr>
          <w:rFonts w:eastAsia="Times New Roman" w:cstheme="minorHAnsi"/>
          <w:bCs/>
          <w:color w:val="000000" w:themeColor="text1"/>
        </w:rPr>
        <w:t xml:space="preserve"> London: Continuum.  </w:t>
      </w:r>
    </w:p>
    <w:p w14:paraId="71A3B841" w14:textId="77777777" w:rsidR="00AC3459" w:rsidRDefault="00AC3459" w:rsidP="00AC3459">
      <w:pPr>
        <w:pStyle w:val="NoSpacing"/>
        <w:spacing w:line="360" w:lineRule="auto"/>
        <w:rPr>
          <w:rFonts w:eastAsia="Times New Roman" w:cstheme="minorHAnsi"/>
          <w:color w:val="000000" w:themeColor="text1"/>
        </w:rPr>
      </w:pPr>
    </w:p>
    <w:p w14:paraId="7CF012D8" w14:textId="6E3B3D18"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Chassels, C. (2009) ‘Collaborative, Reflective and Integrative Japanese Lesson Study in an Initial Teacher Education Program: Benefits and Challenges’, </w:t>
      </w:r>
      <w:r>
        <w:rPr>
          <w:rFonts w:eastAsia="Times New Roman" w:cstheme="minorHAnsi"/>
          <w:i/>
          <w:color w:val="000000" w:themeColor="text1"/>
        </w:rPr>
        <w:t xml:space="preserve">Canadian Journal of Education, </w:t>
      </w:r>
      <w:r>
        <w:rPr>
          <w:rFonts w:eastAsia="Times New Roman" w:cstheme="minorHAnsi"/>
          <w:color w:val="000000" w:themeColor="text1"/>
        </w:rPr>
        <w:t>32(4), pp. 734-763.</w:t>
      </w:r>
    </w:p>
    <w:p w14:paraId="2F316F18" w14:textId="77777777" w:rsidR="00AC3459" w:rsidRDefault="00AC3459" w:rsidP="00AC3459">
      <w:pPr>
        <w:pStyle w:val="NoSpacing"/>
        <w:spacing w:line="360" w:lineRule="auto"/>
        <w:rPr>
          <w:rFonts w:cstheme="minorHAnsi"/>
        </w:rPr>
      </w:pPr>
    </w:p>
    <w:p w14:paraId="210FDD82" w14:textId="30E07D3E" w:rsidR="00AC3459" w:rsidRDefault="00AC3459" w:rsidP="00AC3459">
      <w:pPr>
        <w:pStyle w:val="NoSpacing"/>
        <w:spacing w:line="360" w:lineRule="auto"/>
        <w:rPr>
          <w:rFonts w:cstheme="minorHAnsi"/>
        </w:rPr>
      </w:pPr>
      <w:r>
        <w:rPr>
          <w:rFonts w:cstheme="minorHAnsi"/>
        </w:rPr>
        <w:t xml:space="preserve">Cremin, T and Arthur, J (2014) </w:t>
      </w:r>
      <w:r w:rsidRPr="00376959">
        <w:rPr>
          <w:rFonts w:cstheme="minorHAnsi"/>
          <w:i/>
        </w:rPr>
        <w:t>Learning to Teach in the Primary School.</w:t>
      </w:r>
      <w:r>
        <w:rPr>
          <w:rFonts w:cstheme="minorHAnsi"/>
        </w:rPr>
        <w:t xml:space="preserve"> (3</w:t>
      </w:r>
      <w:r w:rsidRPr="00376959">
        <w:rPr>
          <w:rFonts w:cstheme="minorHAnsi"/>
          <w:vertAlign w:val="superscript"/>
        </w:rPr>
        <w:t>rd</w:t>
      </w:r>
      <w:r>
        <w:rPr>
          <w:rFonts w:cstheme="minorHAnsi"/>
        </w:rPr>
        <w:t xml:space="preserve"> edn). London: Routledge. </w:t>
      </w:r>
    </w:p>
    <w:p w14:paraId="3B5E1811" w14:textId="77777777" w:rsidR="00AC3459" w:rsidRDefault="00AC3459" w:rsidP="00AC3459">
      <w:pPr>
        <w:pStyle w:val="NoSpacing"/>
        <w:spacing w:line="360" w:lineRule="auto"/>
        <w:rPr>
          <w:rFonts w:eastAsia="Times New Roman" w:cstheme="minorHAnsi"/>
          <w:color w:val="000000" w:themeColor="text1"/>
        </w:rPr>
      </w:pPr>
    </w:p>
    <w:p w14:paraId="78B19393" w14:textId="167FAEB5"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Dewey, J. (2007) </w:t>
      </w:r>
      <w:r w:rsidRPr="00990680">
        <w:rPr>
          <w:rFonts w:eastAsia="Times New Roman" w:cstheme="minorHAnsi"/>
          <w:i/>
          <w:color w:val="000000" w:themeColor="text1"/>
        </w:rPr>
        <w:t>Experience and Education</w:t>
      </w:r>
      <w:r>
        <w:rPr>
          <w:rFonts w:eastAsia="Times New Roman" w:cstheme="minorHAnsi"/>
          <w:color w:val="000000" w:themeColor="text1"/>
        </w:rPr>
        <w:t>. New York. Touchstone.</w:t>
      </w:r>
    </w:p>
    <w:p w14:paraId="33F5418D" w14:textId="77777777" w:rsidR="00AC3459" w:rsidRDefault="00AC3459" w:rsidP="00AC3459">
      <w:pPr>
        <w:pStyle w:val="NoSpacing"/>
        <w:spacing w:line="360" w:lineRule="auto"/>
        <w:rPr>
          <w:rFonts w:cstheme="minorHAnsi"/>
          <w:color w:val="000000" w:themeColor="text1"/>
        </w:rPr>
      </w:pPr>
    </w:p>
    <w:p w14:paraId="4F7755F4" w14:textId="23CE1480" w:rsidR="00AC3459" w:rsidRPr="00AA511F" w:rsidRDefault="00AC3459" w:rsidP="00AC3459">
      <w:pPr>
        <w:pStyle w:val="NoSpacing"/>
        <w:spacing w:line="360" w:lineRule="auto"/>
        <w:rPr>
          <w:rFonts w:cstheme="minorHAnsi"/>
          <w:color w:val="000000" w:themeColor="text1"/>
        </w:rPr>
      </w:pPr>
      <w:r w:rsidRPr="00AA511F">
        <w:rPr>
          <w:rFonts w:cstheme="minorHAnsi"/>
          <w:color w:val="000000" w:themeColor="text1"/>
        </w:rPr>
        <w:t xml:space="preserve">Donaldson, G. (2015) </w:t>
      </w:r>
      <w:r w:rsidRPr="00AA511F">
        <w:rPr>
          <w:rFonts w:cstheme="minorHAnsi"/>
          <w:i/>
          <w:color w:val="000000" w:themeColor="text1"/>
        </w:rPr>
        <w:t>Successful Futures: Independent Review of Curriculum and Assessment Arrangements in Wales.</w:t>
      </w:r>
      <w:r w:rsidRPr="00AA511F">
        <w:rPr>
          <w:rFonts w:cstheme="minorHAnsi"/>
          <w:color w:val="000000" w:themeColor="text1"/>
        </w:rPr>
        <w:t xml:space="preserve"> United Kingdom: OGL.</w:t>
      </w:r>
    </w:p>
    <w:p w14:paraId="5B1727ED" w14:textId="77777777" w:rsidR="00AC3459" w:rsidRDefault="00AC3459" w:rsidP="00AC3459">
      <w:pPr>
        <w:pStyle w:val="NoSpacing"/>
        <w:spacing w:line="360" w:lineRule="auto"/>
        <w:rPr>
          <w:rFonts w:eastAsia="Times New Roman" w:cstheme="minorHAnsi"/>
          <w:color w:val="000000" w:themeColor="text1"/>
        </w:rPr>
      </w:pPr>
    </w:p>
    <w:p w14:paraId="30294CAE" w14:textId="62E089E6"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Dudley, P. (2015) </w:t>
      </w:r>
      <w:r w:rsidRPr="001426FF">
        <w:rPr>
          <w:rFonts w:eastAsia="Times New Roman" w:cstheme="minorHAnsi"/>
          <w:i/>
          <w:color w:val="000000" w:themeColor="text1"/>
        </w:rPr>
        <w:t>Lesson Study: Professional Learning for our Time.</w:t>
      </w:r>
      <w:r>
        <w:rPr>
          <w:rFonts w:eastAsia="Times New Roman" w:cstheme="minorHAnsi"/>
          <w:color w:val="000000" w:themeColor="text1"/>
        </w:rPr>
        <w:t xml:space="preserve"> London: Routledge.</w:t>
      </w:r>
    </w:p>
    <w:p w14:paraId="61357D97" w14:textId="77777777" w:rsidR="00AC3459" w:rsidRDefault="00AC3459" w:rsidP="00AC3459">
      <w:pPr>
        <w:pStyle w:val="NoSpacing"/>
        <w:spacing w:line="360" w:lineRule="auto"/>
        <w:rPr>
          <w:rFonts w:cstheme="minorHAnsi"/>
          <w:color w:val="000000" w:themeColor="text1"/>
          <w:shd w:val="clear" w:color="auto" w:fill="FFFFFF"/>
        </w:rPr>
      </w:pPr>
    </w:p>
    <w:p w14:paraId="3B6F7D49" w14:textId="2263941A" w:rsidR="00AC3459" w:rsidRPr="00941526" w:rsidRDefault="00AC3459" w:rsidP="00AC3459">
      <w:pPr>
        <w:pStyle w:val="NoSpacing"/>
        <w:spacing w:line="360" w:lineRule="auto"/>
        <w:rPr>
          <w:rFonts w:cstheme="minorHAnsi"/>
          <w:color w:val="000000" w:themeColor="text1"/>
          <w:shd w:val="clear" w:color="auto" w:fill="FFFFFF"/>
        </w:rPr>
      </w:pPr>
      <w:r>
        <w:rPr>
          <w:rFonts w:cstheme="minorHAnsi"/>
          <w:color w:val="000000" w:themeColor="text1"/>
          <w:shd w:val="clear" w:color="auto" w:fill="FFFFFF"/>
        </w:rPr>
        <w:t xml:space="preserve">Efron, S.E. and Ravid, R. (2013) </w:t>
      </w:r>
      <w:r w:rsidRPr="00C17891">
        <w:rPr>
          <w:rFonts w:cstheme="minorHAnsi"/>
          <w:i/>
          <w:color w:val="000000" w:themeColor="text1"/>
          <w:shd w:val="clear" w:color="auto" w:fill="FFFFFF"/>
        </w:rPr>
        <w:t>Action Research in Education: A Practical Guide</w:t>
      </w:r>
      <w:r>
        <w:rPr>
          <w:rFonts w:cstheme="minorHAnsi"/>
          <w:color w:val="000000" w:themeColor="text1"/>
          <w:shd w:val="clear" w:color="auto" w:fill="FFFFFF"/>
        </w:rPr>
        <w:t xml:space="preserve">. New York: The Guilford Press. </w:t>
      </w:r>
    </w:p>
    <w:p w14:paraId="4E551680" w14:textId="77777777" w:rsidR="00AC3459" w:rsidRDefault="00AC3459" w:rsidP="00AC3459">
      <w:pPr>
        <w:pStyle w:val="NoSpacing"/>
        <w:spacing w:line="360" w:lineRule="auto"/>
      </w:pPr>
    </w:p>
    <w:p w14:paraId="3F263DB3" w14:textId="5C1FE305" w:rsidR="00AC3459" w:rsidRDefault="00AC3459" w:rsidP="00AC3459">
      <w:pPr>
        <w:pStyle w:val="NoSpacing"/>
        <w:spacing w:line="360" w:lineRule="auto"/>
      </w:pPr>
      <w:r>
        <w:t xml:space="preserve">French, L.R. Walker, C.L. Shore, B.M. (2011) ‘Do Gifted Students Really Prefer to Work Alone?’ </w:t>
      </w:r>
      <w:r>
        <w:rPr>
          <w:i/>
        </w:rPr>
        <w:t xml:space="preserve">Roeper Review, </w:t>
      </w:r>
      <w:r>
        <w:t>33(3), pp.145-159.</w:t>
      </w:r>
    </w:p>
    <w:p w14:paraId="72B6EC40" w14:textId="77777777" w:rsidR="00AC3459" w:rsidRDefault="00AC3459" w:rsidP="00AC3459">
      <w:pPr>
        <w:pStyle w:val="NoSpacing"/>
        <w:spacing w:line="360" w:lineRule="auto"/>
        <w:rPr>
          <w:rFonts w:cstheme="minorHAnsi"/>
          <w:color w:val="000000" w:themeColor="text1"/>
          <w:shd w:val="clear" w:color="auto" w:fill="FFFFFF"/>
        </w:rPr>
      </w:pPr>
    </w:p>
    <w:p w14:paraId="3919D03F" w14:textId="314D049E" w:rsidR="00AC3459" w:rsidRDefault="00AC3459" w:rsidP="00AC3459">
      <w:pPr>
        <w:pStyle w:val="NoSpacing"/>
        <w:spacing w:line="360" w:lineRule="auto"/>
        <w:rPr>
          <w:rFonts w:cstheme="minorHAnsi"/>
          <w:color w:val="000000" w:themeColor="text1"/>
          <w:shd w:val="clear" w:color="auto" w:fill="FFFFFF"/>
        </w:rPr>
      </w:pPr>
      <w:r>
        <w:rPr>
          <w:rFonts w:cstheme="minorHAnsi"/>
          <w:color w:val="000000" w:themeColor="text1"/>
          <w:shd w:val="clear" w:color="auto" w:fill="FFFFFF"/>
        </w:rPr>
        <w:t xml:space="preserve">Gardner, J. (2012) </w:t>
      </w:r>
      <w:r w:rsidRPr="00F61173">
        <w:rPr>
          <w:rFonts w:cstheme="minorHAnsi"/>
          <w:i/>
          <w:color w:val="000000" w:themeColor="text1"/>
          <w:shd w:val="clear" w:color="auto" w:fill="FFFFFF"/>
        </w:rPr>
        <w:t>Assessment and Learning (2</w:t>
      </w:r>
      <w:r w:rsidRPr="00F61173">
        <w:rPr>
          <w:rFonts w:cstheme="minorHAnsi"/>
          <w:i/>
          <w:color w:val="000000" w:themeColor="text1"/>
          <w:shd w:val="clear" w:color="auto" w:fill="FFFFFF"/>
          <w:vertAlign w:val="superscript"/>
        </w:rPr>
        <w:t>nd</w:t>
      </w:r>
      <w:r w:rsidRPr="00F61173">
        <w:rPr>
          <w:rFonts w:cstheme="minorHAnsi"/>
          <w:i/>
          <w:color w:val="000000" w:themeColor="text1"/>
          <w:shd w:val="clear" w:color="auto" w:fill="FFFFFF"/>
        </w:rPr>
        <w:t xml:space="preserve"> edn)</w:t>
      </w:r>
      <w:r>
        <w:rPr>
          <w:rFonts w:cstheme="minorHAnsi"/>
          <w:color w:val="000000" w:themeColor="text1"/>
          <w:shd w:val="clear" w:color="auto" w:fill="FFFFFF"/>
        </w:rPr>
        <w:t xml:space="preserve"> London: SAGE.</w:t>
      </w:r>
    </w:p>
    <w:p w14:paraId="7B7C1EC8" w14:textId="77777777" w:rsidR="00AC3459" w:rsidRDefault="00AC3459" w:rsidP="00AC3459">
      <w:pPr>
        <w:pStyle w:val="NoSpacing"/>
        <w:spacing w:line="360" w:lineRule="auto"/>
        <w:rPr>
          <w:rFonts w:eastAsia="Times New Roman" w:cstheme="minorHAnsi"/>
          <w:color w:val="000000" w:themeColor="text1"/>
        </w:rPr>
      </w:pPr>
    </w:p>
    <w:p w14:paraId="2E56E105" w14:textId="6E923EB2"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Gov UK (2018) General Data Protection Regulations. Available at: </w:t>
      </w:r>
      <w:r w:rsidRPr="00F75959">
        <w:rPr>
          <w:rFonts w:eastAsia="Times New Roman" w:cstheme="minorHAnsi"/>
          <w:color w:val="000000" w:themeColor="text1"/>
        </w:rPr>
        <w:t>https://www.gov.uk/government/publications/guide-to-the-general-data-protection-regulation</w:t>
      </w:r>
      <w:r>
        <w:rPr>
          <w:rFonts w:eastAsia="Times New Roman" w:cstheme="minorHAnsi"/>
          <w:color w:val="000000" w:themeColor="text1"/>
        </w:rPr>
        <w:t xml:space="preserve"> (Accessed: 26 February 2019).</w:t>
      </w:r>
    </w:p>
    <w:p w14:paraId="53D4686D" w14:textId="77777777" w:rsidR="00AC3459" w:rsidRDefault="00AC3459" w:rsidP="00AC3459">
      <w:pPr>
        <w:pStyle w:val="NoSpacing"/>
        <w:spacing w:line="360" w:lineRule="auto"/>
      </w:pPr>
    </w:p>
    <w:p w14:paraId="56035861" w14:textId="63B5E30D" w:rsidR="00AC3459" w:rsidRDefault="00AC3459" w:rsidP="00AC3459">
      <w:pPr>
        <w:pStyle w:val="NoSpacing"/>
        <w:spacing w:line="360" w:lineRule="auto"/>
      </w:pPr>
      <w:r>
        <w:t xml:space="preserve">Gresham, F.M (2018) </w:t>
      </w:r>
      <w:r w:rsidRPr="0060081F">
        <w:rPr>
          <w:i/>
        </w:rPr>
        <w:t>Effective Interventions for Social-Emotional Learning</w:t>
      </w:r>
      <w:r>
        <w:t xml:space="preserve">. New York: The Guilford Press. </w:t>
      </w:r>
    </w:p>
    <w:p w14:paraId="596259BA" w14:textId="77777777"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lastRenderedPageBreak/>
        <w:t xml:space="preserve">Griggs, S. (1987) ‘Analysing qualitative data’, </w:t>
      </w:r>
      <w:r>
        <w:rPr>
          <w:rFonts w:eastAsia="Times New Roman" w:cstheme="minorHAnsi"/>
          <w:i/>
          <w:color w:val="000000" w:themeColor="text1"/>
        </w:rPr>
        <w:t xml:space="preserve">Journal of the Market Research Society, </w:t>
      </w:r>
      <w:r>
        <w:rPr>
          <w:rFonts w:eastAsia="Times New Roman" w:cstheme="minorHAnsi"/>
          <w:color w:val="000000" w:themeColor="text1"/>
        </w:rPr>
        <w:t>29(1), pp. 15-34.</w:t>
      </w:r>
    </w:p>
    <w:p w14:paraId="05226B26" w14:textId="77777777" w:rsidR="00AC3459" w:rsidRDefault="00AC3459" w:rsidP="00AC3459">
      <w:pPr>
        <w:pStyle w:val="NoSpacing"/>
        <w:spacing w:line="360" w:lineRule="auto"/>
        <w:rPr>
          <w:rFonts w:eastAsia="Times New Roman"/>
          <w:color w:val="000000" w:themeColor="text1"/>
        </w:rPr>
      </w:pPr>
    </w:p>
    <w:p w14:paraId="2D192244" w14:textId="16B6FD5C" w:rsidR="00AC3459" w:rsidRPr="004976B4" w:rsidRDefault="00AC3459" w:rsidP="00AC3459">
      <w:pPr>
        <w:pStyle w:val="NoSpacing"/>
        <w:spacing w:line="360" w:lineRule="auto"/>
        <w:rPr>
          <w:rFonts w:eastAsia="Times New Roman"/>
          <w:color w:val="000000" w:themeColor="text1"/>
        </w:rPr>
      </w:pPr>
      <w:r w:rsidRPr="004976B4">
        <w:rPr>
          <w:rFonts w:eastAsia="Times New Roman"/>
          <w:color w:val="000000" w:themeColor="text1"/>
        </w:rPr>
        <w:t xml:space="preserve">Hargreaves, E. (2013). Inquiring into children’s experiences of teacher feedback: Reconceptualising Assessment for Learning, </w:t>
      </w:r>
      <w:r w:rsidRPr="004976B4">
        <w:rPr>
          <w:rFonts w:eastAsia="Times New Roman"/>
          <w:i/>
          <w:iCs/>
          <w:color w:val="000000" w:themeColor="text1"/>
        </w:rPr>
        <w:t>Oxford Review of Education</w:t>
      </w:r>
      <w:r w:rsidRPr="004976B4">
        <w:rPr>
          <w:rFonts w:eastAsia="Times New Roman"/>
          <w:color w:val="000000" w:themeColor="text1"/>
        </w:rPr>
        <w:t>, 39(2).</w:t>
      </w:r>
    </w:p>
    <w:p w14:paraId="6EEC50CE" w14:textId="77777777" w:rsidR="00AC3459" w:rsidRDefault="00AC3459" w:rsidP="00AC3459">
      <w:pPr>
        <w:pStyle w:val="NoSpacing"/>
        <w:spacing w:line="360" w:lineRule="auto"/>
        <w:rPr>
          <w:rFonts w:eastAsia="Times New Roman" w:cstheme="minorHAnsi"/>
          <w:color w:val="000000" w:themeColor="text1"/>
        </w:rPr>
      </w:pPr>
    </w:p>
    <w:p w14:paraId="3844618C" w14:textId="1475312D"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Harrison, C. (2013) ‘Assessment for learning: are you using it effectively in your classroom’, The Guardian, 29 August, Available at: </w:t>
      </w:r>
      <w:r w:rsidRPr="00C53D38">
        <w:rPr>
          <w:rFonts w:eastAsia="Times New Roman" w:cstheme="minorHAnsi"/>
          <w:color w:val="000000" w:themeColor="text1"/>
        </w:rPr>
        <w:t>https://www.theguardian.com/teacher-network/teacher-blog/2013/aug/29/assessment-for-learing-effective-classroom</w:t>
      </w:r>
      <w:r>
        <w:rPr>
          <w:rFonts w:eastAsia="Times New Roman" w:cstheme="minorHAnsi"/>
          <w:color w:val="000000" w:themeColor="text1"/>
        </w:rPr>
        <w:t xml:space="preserve"> (Accessed: 25 February 2019)</w:t>
      </w:r>
    </w:p>
    <w:p w14:paraId="3823ED74" w14:textId="77777777" w:rsidR="00AC3459" w:rsidRDefault="00AC3459" w:rsidP="00AC3459">
      <w:pPr>
        <w:pStyle w:val="NoSpacing"/>
        <w:spacing w:line="360" w:lineRule="auto"/>
      </w:pPr>
    </w:p>
    <w:p w14:paraId="325EFF58" w14:textId="7AE4D748" w:rsidR="00AC3459" w:rsidRDefault="00AC3459" w:rsidP="00AC3459">
      <w:pPr>
        <w:pStyle w:val="NoSpacing"/>
        <w:spacing w:line="360" w:lineRule="auto"/>
      </w:pPr>
      <w:r w:rsidRPr="00EA728A">
        <w:t xml:space="preserve">Havnes, A. Smith, K. Dysthe, O. and Ludvigsen, K. (2012) ‘Formative </w:t>
      </w:r>
      <w:r>
        <w:t>a</w:t>
      </w:r>
      <w:r w:rsidRPr="00EA728A">
        <w:t xml:space="preserve">ssessment and </w:t>
      </w:r>
      <w:r>
        <w:t>f</w:t>
      </w:r>
      <w:r w:rsidRPr="00EA728A">
        <w:t xml:space="preserve">eedback: Making </w:t>
      </w:r>
      <w:r>
        <w:t>l</w:t>
      </w:r>
      <w:r w:rsidRPr="00EA728A">
        <w:t xml:space="preserve">earning </w:t>
      </w:r>
      <w:r>
        <w:t>v</w:t>
      </w:r>
      <w:r w:rsidRPr="00EA728A">
        <w:t>isible’, </w:t>
      </w:r>
      <w:r w:rsidRPr="00EA728A">
        <w:rPr>
          <w:i/>
          <w:iCs/>
        </w:rPr>
        <w:t>Studies in Educational Evaluation, </w:t>
      </w:r>
      <w:r w:rsidRPr="00EA728A">
        <w:t>38(1), pp. 21-27. Available at:</w:t>
      </w:r>
      <w:r>
        <w:t xml:space="preserve"> </w:t>
      </w:r>
      <w:r w:rsidRPr="00EA728A">
        <w:t>https://wwwsciencedirectcom.ezproxy.uwtsd.ac.uk/science/article/pii/S0191491X12000193</w:t>
      </w:r>
      <w:r>
        <w:t xml:space="preserve"> (Accessed: 27 February 2019).</w:t>
      </w:r>
    </w:p>
    <w:p w14:paraId="5BB41A2B" w14:textId="77777777" w:rsidR="00AC3459" w:rsidRDefault="00AC3459" w:rsidP="00AC3459">
      <w:pPr>
        <w:pStyle w:val="NoSpacing"/>
        <w:spacing w:line="360" w:lineRule="auto"/>
        <w:rPr>
          <w:rFonts w:eastAsia="Times New Roman" w:cstheme="minorHAnsi"/>
          <w:color w:val="000000" w:themeColor="text1"/>
        </w:rPr>
      </w:pPr>
    </w:p>
    <w:p w14:paraId="01769163" w14:textId="55593E33"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Hayes, T. and Mattimoe, R. (2004) ‘To tape or not to tape, that is the question: reflections on methods of data collection’, </w:t>
      </w:r>
      <w:r>
        <w:rPr>
          <w:rFonts w:eastAsia="Times New Roman" w:cstheme="minorHAnsi"/>
          <w:i/>
          <w:color w:val="000000" w:themeColor="text1"/>
        </w:rPr>
        <w:t xml:space="preserve">Dublin City University Business School, </w:t>
      </w:r>
      <w:r>
        <w:rPr>
          <w:rFonts w:eastAsia="Times New Roman" w:cstheme="minorHAnsi"/>
          <w:color w:val="000000" w:themeColor="text1"/>
        </w:rPr>
        <w:t xml:space="preserve">Available at: </w:t>
      </w:r>
      <w:r w:rsidRPr="00E009B3">
        <w:rPr>
          <w:rFonts w:eastAsia="Times New Roman" w:cstheme="minorHAnsi"/>
          <w:color w:val="000000" w:themeColor="text1"/>
        </w:rPr>
        <w:t>https://core.ac.uk/download/pdf/30934564.pdf</w:t>
      </w:r>
      <w:r>
        <w:rPr>
          <w:rFonts w:eastAsia="Times New Roman" w:cstheme="minorHAnsi"/>
          <w:color w:val="000000" w:themeColor="text1"/>
        </w:rPr>
        <w:t xml:space="preserve"> (Accessed: 26 February 2019).</w:t>
      </w:r>
    </w:p>
    <w:p w14:paraId="2F91BEDD" w14:textId="77777777" w:rsidR="00AC3459" w:rsidRDefault="00AC3459" w:rsidP="00AC3459">
      <w:pPr>
        <w:pStyle w:val="NoSpacing"/>
        <w:spacing w:line="360" w:lineRule="auto"/>
        <w:rPr>
          <w:rFonts w:eastAsia="Times New Roman" w:cstheme="minorHAnsi"/>
          <w:color w:val="000000" w:themeColor="text1"/>
        </w:rPr>
      </w:pPr>
    </w:p>
    <w:p w14:paraId="3CB44234" w14:textId="275CD630"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Heritage, M (2010) </w:t>
      </w:r>
      <w:r w:rsidRPr="00F96968">
        <w:rPr>
          <w:rFonts w:eastAsia="Times New Roman" w:cstheme="minorHAnsi"/>
          <w:i/>
          <w:color w:val="000000" w:themeColor="text1"/>
        </w:rPr>
        <w:t>Formative Assessment: Making it Happen in the Classroom.</w:t>
      </w:r>
      <w:r>
        <w:rPr>
          <w:rFonts w:eastAsia="Times New Roman" w:cstheme="minorHAnsi"/>
          <w:color w:val="000000" w:themeColor="text1"/>
        </w:rPr>
        <w:t xml:space="preserve"> California: Corwin. </w:t>
      </w:r>
    </w:p>
    <w:p w14:paraId="7FA281D0" w14:textId="77777777" w:rsidR="00AC3459" w:rsidRDefault="00AC3459" w:rsidP="00AC3459">
      <w:pPr>
        <w:pStyle w:val="NoSpacing"/>
        <w:spacing w:line="360" w:lineRule="auto"/>
        <w:rPr>
          <w:rFonts w:cstheme="minorHAnsi"/>
          <w:color w:val="000000" w:themeColor="text1"/>
        </w:rPr>
      </w:pPr>
    </w:p>
    <w:p w14:paraId="6A5CAA6B" w14:textId="0553EC72" w:rsidR="00AC3459" w:rsidRDefault="00AC3459" w:rsidP="00AC3459">
      <w:pPr>
        <w:pStyle w:val="NoSpacing"/>
        <w:spacing w:line="360" w:lineRule="auto"/>
        <w:rPr>
          <w:rFonts w:eastAsia="Times New Roman" w:cstheme="minorHAnsi"/>
          <w:bCs/>
          <w:color w:val="000000" w:themeColor="text1"/>
        </w:rPr>
      </w:pPr>
      <w:r w:rsidRPr="008B757E">
        <w:rPr>
          <w:rFonts w:cstheme="minorHAnsi"/>
          <w:color w:val="000000" w:themeColor="text1"/>
        </w:rPr>
        <w:t xml:space="preserve">Joyce-Gibbons, A. (2015) </w:t>
      </w:r>
      <w:r w:rsidRPr="008B757E">
        <w:rPr>
          <w:rFonts w:eastAsia="Times New Roman" w:cstheme="minorHAnsi"/>
          <w:bCs/>
          <w:color w:val="000000" w:themeColor="text1"/>
        </w:rPr>
        <w:t>Observe, interact and act: teachers’ initiation of mini-plenaries to scaffold small-group collaboration</w:t>
      </w:r>
      <w:r>
        <w:rPr>
          <w:rFonts w:eastAsia="Times New Roman" w:cstheme="minorHAnsi"/>
          <w:bCs/>
          <w:color w:val="000000" w:themeColor="text1"/>
        </w:rPr>
        <w:t xml:space="preserve">. </w:t>
      </w:r>
      <w:r w:rsidRPr="008B757E">
        <w:rPr>
          <w:rFonts w:eastAsia="Times New Roman" w:cstheme="minorHAnsi"/>
          <w:bCs/>
          <w:i/>
          <w:color w:val="000000" w:themeColor="text1"/>
        </w:rPr>
        <w:t>Technology, Pedagogy and Education</w:t>
      </w:r>
      <w:r>
        <w:rPr>
          <w:rFonts w:eastAsia="Times New Roman" w:cstheme="minorHAnsi"/>
          <w:bCs/>
          <w:i/>
          <w:color w:val="000000" w:themeColor="text1"/>
        </w:rPr>
        <w:t xml:space="preserve">, </w:t>
      </w:r>
      <w:r>
        <w:rPr>
          <w:rFonts w:eastAsia="Times New Roman" w:cstheme="minorHAnsi"/>
          <w:bCs/>
          <w:color w:val="000000" w:themeColor="text1"/>
        </w:rPr>
        <w:t>26(1), pp. 51-68.</w:t>
      </w:r>
    </w:p>
    <w:p w14:paraId="79604272" w14:textId="77777777" w:rsidR="00AC3459" w:rsidRDefault="00AC3459" w:rsidP="00AC3459">
      <w:pPr>
        <w:pStyle w:val="NoSpacing"/>
        <w:spacing w:line="360" w:lineRule="auto"/>
      </w:pPr>
    </w:p>
    <w:p w14:paraId="0002B4E6" w14:textId="185B15CE" w:rsidR="00AC3459" w:rsidRDefault="00AC3459" w:rsidP="00AC3459">
      <w:pPr>
        <w:pStyle w:val="NoSpacing"/>
        <w:spacing w:line="360" w:lineRule="auto"/>
      </w:pPr>
      <w:r>
        <w:t xml:space="preserve">Kanevsky, L. (2015) ‘Do High ability Learners Enjoy Learning Alone “or” in Groups? It Depends…’ </w:t>
      </w:r>
      <w:r>
        <w:rPr>
          <w:i/>
        </w:rPr>
        <w:t xml:space="preserve">International Journal of Special Education, </w:t>
      </w:r>
      <w:r>
        <w:t>30(2), pp. 32-43.</w:t>
      </w:r>
    </w:p>
    <w:p w14:paraId="047E749B" w14:textId="77777777" w:rsidR="00AC3459" w:rsidRDefault="00AC3459" w:rsidP="00AC3459">
      <w:pPr>
        <w:pStyle w:val="NoSpacing"/>
        <w:spacing w:line="360" w:lineRule="auto"/>
      </w:pPr>
    </w:p>
    <w:p w14:paraId="02E28FDC" w14:textId="7CE1FB9B" w:rsidR="00AC3459" w:rsidRDefault="00AC3459" w:rsidP="00AC3459">
      <w:pPr>
        <w:pStyle w:val="NoSpacing"/>
        <w:spacing w:line="360" w:lineRule="auto"/>
      </w:pPr>
      <w:r>
        <w:t xml:space="preserve">Kazragyte, V. and Kudinoviene, J. (2018) </w:t>
      </w:r>
      <w:r w:rsidRPr="006D411F">
        <w:rPr>
          <w:i/>
        </w:rPr>
        <w:t>‘Formative Assessment in Arts Education Lesson: Episodic or Integrated with Effective Teaching?’</w:t>
      </w:r>
      <w:r>
        <w:t xml:space="preserve"> Available at: </w:t>
      </w:r>
      <w:r w:rsidRPr="006D411F">
        <w:lastRenderedPageBreak/>
        <w:t>http://pedagogika.leu.lt/index.php/Pedagogika/article/view/989</w:t>
      </w:r>
      <w:r>
        <w:t xml:space="preserve"> (Accessed: 28 February 2019).</w:t>
      </w:r>
    </w:p>
    <w:p w14:paraId="35CB1C3D" w14:textId="77777777" w:rsidR="00AC3459" w:rsidRDefault="00AC3459" w:rsidP="00AC3459">
      <w:pPr>
        <w:pStyle w:val="NoSpacing"/>
        <w:spacing w:line="360" w:lineRule="auto"/>
        <w:rPr>
          <w:rFonts w:eastAsia="Times New Roman"/>
          <w:color w:val="000000" w:themeColor="text1"/>
        </w:rPr>
      </w:pPr>
    </w:p>
    <w:p w14:paraId="48B59628" w14:textId="3B1BD51A" w:rsidR="00AC3459" w:rsidRDefault="00AC3459" w:rsidP="00AC3459">
      <w:pPr>
        <w:pStyle w:val="NoSpacing"/>
        <w:spacing w:line="360" w:lineRule="auto"/>
        <w:rPr>
          <w:rFonts w:eastAsia="Times New Roman"/>
          <w:color w:val="000000" w:themeColor="text1"/>
        </w:rPr>
      </w:pPr>
      <w:r w:rsidRPr="004976B4">
        <w:rPr>
          <w:rFonts w:eastAsia="Times New Roman"/>
          <w:color w:val="000000" w:themeColor="text1"/>
        </w:rPr>
        <w:t xml:space="preserve">Klenowski, V. (2009). Assessment for Learning revisited: An Asia-Pacific perspective, </w:t>
      </w:r>
      <w:r w:rsidRPr="004976B4">
        <w:rPr>
          <w:rFonts w:eastAsia="Times New Roman"/>
          <w:i/>
          <w:iCs/>
          <w:color w:val="000000" w:themeColor="text1"/>
        </w:rPr>
        <w:t>Assessment in Education</w:t>
      </w:r>
      <w:r w:rsidRPr="004976B4">
        <w:rPr>
          <w:rFonts w:eastAsia="Times New Roman"/>
          <w:color w:val="000000" w:themeColor="text1"/>
        </w:rPr>
        <w:t>, 16(3).</w:t>
      </w:r>
    </w:p>
    <w:p w14:paraId="49C37518" w14:textId="77777777" w:rsidR="00AC3459" w:rsidRDefault="00AC3459" w:rsidP="00AC3459">
      <w:pPr>
        <w:pStyle w:val="NoSpacing"/>
        <w:spacing w:line="360" w:lineRule="auto"/>
        <w:rPr>
          <w:rFonts w:cstheme="minorHAnsi"/>
          <w:color w:val="000000" w:themeColor="text1"/>
          <w:shd w:val="clear" w:color="auto" w:fill="FFFFFF"/>
        </w:rPr>
      </w:pPr>
    </w:p>
    <w:p w14:paraId="794E5CC9" w14:textId="4C07292D" w:rsidR="00AC3459" w:rsidRPr="00E009B3" w:rsidRDefault="00AC3459" w:rsidP="00AC3459">
      <w:pPr>
        <w:pStyle w:val="NoSpacing"/>
        <w:spacing w:line="360" w:lineRule="auto"/>
        <w:rPr>
          <w:rFonts w:cstheme="minorHAnsi"/>
          <w:color w:val="000000" w:themeColor="text1"/>
        </w:rPr>
      </w:pPr>
      <w:r w:rsidRPr="00E009B3">
        <w:rPr>
          <w:rFonts w:cstheme="minorHAnsi"/>
          <w:color w:val="000000" w:themeColor="text1"/>
          <w:shd w:val="clear" w:color="auto" w:fill="FFFFFF"/>
        </w:rPr>
        <w:t>Kolb, D. A. (1984) </w:t>
      </w:r>
      <w:r w:rsidRPr="00E009B3">
        <w:rPr>
          <w:rFonts w:cstheme="minorHAnsi"/>
          <w:i/>
          <w:iCs/>
          <w:color w:val="000000" w:themeColor="text1"/>
        </w:rPr>
        <w:t>Experiential learning: Experience as the source of learning and development</w:t>
      </w:r>
      <w:r w:rsidRPr="00E009B3">
        <w:rPr>
          <w:rFonts w:cstheme="minorHAnsi"/>
          <w:color w:val="000000" w:themeColor="text1"/>
          <w:shd w:val="clear" w:color="auto" w:fill="FFFFFF"/>
        </w:rPr>
        <w:t>. Englewood Cliffs, NJ: Prentice-Hall.</w:t>
      </w:r>
    </w:p>
    <w:p w14:paraId="64D99B5E" w14:textId="77777777" w:rsidR="00AC3459" w:rsidRDefault="00AC3459" w:rsidP="00AC3459">
      <w:pPr>
        <w:pStyle w:val="NoSpacing"/>
        <w:spacing w:line="360" w:lineRule="auto"/>
        <w:rPr>
          <w:rFonts w:eastAsia="Times New Roman" w:cstheme="minorHAnsi"/>
          <w:color w:val="000000" w:themeColor="text1"/>
        </w:rPr>
      </w:pPr>
    </w:p>
    <w:p w14:paraId="4E4A841A" w14:textId="6A6FFA13"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Laevers, F. (1994) </w:t>
      </w:r>
      <w:r w:rsidRPr="004E0C63">
        <w:rPr>
          <w:rFonts w:eastAsia="Times New Roman" w:cstheme="minorHAnsi"/>
          <w:i/>
          <w:color w:val="000000" w:themeColor="text1"/>
        </w:rPr>
        <w:t>The Leuven Involvement Scale for Young Children.</w:t>
      </w:r>
      <w:r>
        <w:rPr>
          <w:rFonts w:eastAsia="Times New Roman" w:cstheme="minorHAnsi"/>
          <w:color w:val="000000" w:themeColor="text1"/>
        </w:rPr>
        <w:t xml:space="preserve"> Belgium: Centre for Experiential Education. </w:t>
      </w:r>
    </w:p>
    <w:p w14:paraId="7270F708" w14:textId="77777777" w:rsidR="00AC3459" w:rsidRDefault="00AC3459" w:rsidP="00AC3459">
      <w:pPr>
        <w:pStyle w:val="NoSpacing"/>
        <w:spacing w:line="360" w:lineRule="auto"/>
      </w:pPr>
    </w:p>
    <w:p w14:paraId="1BBAC7AB" w14:textId="0B2A57A4" w:rsidR="00AC3459" w:rsidRDefault="00AC3459" w:rsidP="00AC3459">
      <w:pPr>
        <w:pStyle w:val="NoSpacing"/>
        <w:spacing w:line="360" w:lineRule="auto"/>
      </w:pPr>
      <w:r>
        <w:t xml:space="preserve">McWilliam, R.A. Scarborough, A.A. Kim, H. (2003) ‘Adult Interactions and Child Engagement’, </w:t>
      </w:r>
      <w:r>
        <w:rPr>
          <w:i/>
        </w:rPr>
        <w:t xml:space="preserve">Early Education and Development, </w:t>
      </w:r>
      <w:r>
        <w:t xml:space="preserve">14(1), pp. 7-28. </w:t>
      </w:r>
    </w:p>
    <w:p w14:paraId="12D03168" w14:textId="77777777" w:rsidR="00AC3459" w:rsidRDefault="00AC3459" w:rsidP="00AC3459">
      <w:pPr>
        <w:pStyle w:val="NoSpacing"/>
        <w:spacing w:line="360" w:lineRule="auto"/>
        <w:rPr>
          <w:rFonts w:cstheme="minorHAnsi"/>
          <w:color w:val="000000"/>
          <w:szCs w:val="22"/>
        </w:rPr>
      </w:pPr>
    </w:p>
    <w:p w14:paraId="678AA603" w14:textId="72C1E08B" w:rsidR="00AC3459" w:rsidRPr="0013176C" w:rsidRDefault="00AC3459" w:rsidP="00AC3459">
      <w:pPr>
        <w:pStyle w:val="NoSpacing"/>
        <w:spacing w:line="360" w:lineRule="auto"/>
        <w:rPr>
          <w:rFonts w:cstheme="minorHAnsi"/>
          <w:color w:val="000000"/>
          <w:szCs w:val="22"/>
        </w:rPr>
      </w:pPr>
      <w:r w:rsidRPr="0013176C">
        <w:rPr>
          <w:rFonts w:cstheme="minorHAnsi"/>
          <w:color w:val="000000"/>
          <w:szCs w:val="22"/>
        </w:rPr>
        <w:t>Meusen-Beekman, K. Brinke, D. and Boshuiszen, H. (2016) ‘Effects of formative assessments to develop self-regulation among sixth grade rtudents: Results from a randomized controlled intervention’, </w:t>
      </w:r>
      <w:r w:rsidRPr="0013176C">
        <w:rPr>
          <w:rFonts w:cstheme="minorHAnsi"/>
          <w:i/>
          <w:iCs/>
          <w:color w:val="000000"/>
          <w:szCs w:val="22"/>
        </w:rPr>
        <w:t>Studies in Educational Evaluation, </w:t>
      </w:r>
      <w:r w:rsidRPr="0013176C">
        <w:rPr>
          <w:rFonts w:cstheme="minorHAnsi"/>
          <w:color w:val="000000"/>
          <w:szCs w:val="22"/>
        </w:rPr>
        <w:t>51, pp. 126-136.</w:t>
      </w:r>
      <w:r>
        <w:rPr>
          <w:rFonts w:cstheme="minorHAnsi"/>
          <w:color w:val="000000"/>
          <w:szCs w:val="22"/>
        </w:rPr>
        <w:t xml:space="preserve"> </w:t>
      </w:r>
      <w:r w:rsidRPr="0013176C">
        <w:rPr>
          <w:rFonts w:cstheme="minorHAnsi"/>
          <w:color w:val="000000"/>
          <w:szCs w:val="22"/>
        </w:rPr>
        <w:t>Available at: https://www-sciencedirect-com.ezproxy.uwtsd.ac.uk/science/article/pii/S0191491X15300353#sec0100 (Accessed: 27 February 2019)</w:t>
      </w:r>
    </w:p>
    <w:p w14:paraId="2EABC11A" w14:textId="77777777" w:rsidR="00AC3459" w:rsidRDefault="00AC3459" w:rsidP="00AC3459">
      <w:pPr>
        <w:pStyle w:val="NoSpacing"/>
        <w:spacing w:line="360" w:lineRule="auto"/>
        <w:rPr>
          <w:rFonts w:eastAsia="Times New Roman" w:cstheme="minorHAnsi"/>
          <w:color w:val="000000" w:themeColor="text1"/>
        </w:rPr>
      </w:pPr>
    </w:p>
    <w:p w14:paraId="4D0FB873" w14:textId="58040E77"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Nyumba, T.O. Wilson, K. Derrick, C.J. Mukherjee, N. (2018) ‘The use of focus group discussion methodology: Insights from two decades of application in conservation’, </w:t>
      </w:r>
      <w:r>
        <w:rPr>
          <w:rFonts w:eastAsia="Times New Roman" w:cstheme="minorHAnsi"/>
          <w:i/>
          <w:color w:val="000000" w:themeColor="text1"/>
        </w:rPr>
        <w:t xml:space="preserve">Methods in Ecology and Evolution, </w:t>
      </w:r>
      <w:r>
        <w:rPr>
          <w:rFonts w:eastAsia="Times New Roman" w:cstheme="minorHAnsi"/>
          <w:color w:val="000000" w:themeColor="text1"/>
        </w:rPr>
        <w:t>9(1), pp. 20-21.</w:t>
      </w:r>
    </w:p>
    <w:p w14:paraId="590AA5CD" w14:textId="77777777" w:rsidR="00AC3459" w:rsidRDefault="00AC3459" w:rsidP="00AC3459">
      <w:pPr>
        <w:pStyle w:val="NoSpacing"/>
        <w:spacing w:line="360" w:lineRule="auto"/>
        <w:rPr>
          <w:rFonts w:eastAsia="Times New Roman"/>
          <w:color w:val="000000" w:themeColor="text1"/>
        </w:rPr>
      </w:pPr>
    </w:p>
    <w:p w14:paraId="6F23FB2D" w14:textId="0E1BBC12" w:rsidR="00AC3459" w:rsidRDefault="00AC3459" w:rsidP="00AC3459">
      <w:pPr>
        <w:pStyle w:val="NoSpacing"/>
        <w:spacing w:line="360" w:lineRule="auto"/>
        <w:rPr>
          <w:rFonts w:eastAsia="Times New Roman"/>
          <w:color w:val="000000" w:themeColor="text1"/>
        </w:rPr>
      </w:pPr>
      <w:r w:rsidRPr="004976B4">
        <w:rPr>
          <w:rFonts w:eastAsia="Times New Roman"/>
          <w:color w:val="000000" w:themeColor="text1"/>
        </w:rPr>
        <w:t xml:space="preserve">Organisation for Economic Co-operation and Development (OECD) (2013). </w:t>
      </w:r>
      <w:r w:rsidRPr="004976B4">
        <w:rPr>
          <w:rFonts w:eastAsia="Times New Roman"/>
          <w:i/>
          <w:iCs/>
          <w:color w:val="000000" w:themeColor="text1"/>
        </w:rPr>
        <w:t xml:space="preserve">Synergies for Better Learning: An International Perspective on Evaluation and Assessment, </w:t>
      </w:r>
      <w:r w:rsidRPr="004976B4">
        <w:rPr>
          <w:rFonts w:eastAsia="Times New Roman"/>
          <w:color w:val="000000" w:themeColor="text1"/>
        </w:rPr>
        <w:t xml:space="preserve">Paris: OECD Publishing. </w:t>
      </w:r>
    </w:p>
    <w:p w14:paraId="52CDD9D6" w14:textId="77777777" w:rsidR="00AC3459" w:rsidRDefault="00AC3459" w:rsidP="00AC3459">
      <w:pPr>
        <w:pStyle w:val="NoSpacing"/>
        <w:spacing w:line="360" w:lineRule="auto"/>
        <w:rPr>
          <w:rFonts w:eastAsia="Times New Roman" w:cstheme="minorHAnsi"/>
          <w:color w:val="000000" w:themeColor="text1"/>
        </w:rPr>
      </w:pPr>
    </w:p>
    <w:p w14:paraId="5267E0A9" w14:textId="08878A35"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Packer, N. (2016) </w:t>
      </w:r>
      <w:r w:rsidRPr="0061169E">
        <w:rPr>
          <w:rFonts w:eastAsia="Times New Roman" w:cstheme="minorHAnsi"/>
          <w:i/>
          <w:color w:val="000000" w:themeColor="text1"/>
        </w:rPr>
        <w:t>The Teacher’s Guide to SEN</w:t>
      </w:r>
      <w:r>
        <w:rPr>
          <w:rFonts w:eastAsia="Times New Roman" w:cstheme="minorHAnsi"/>
          <w:color w:val="000000" w:themeColor="text1"/>
        </w:rPr>
        <w:t>. United Kingdom: Crown House Publishing.</w:t>
      </w:r>
    </w:p>
    <w:p w14:paraId="7622A236" w14:textId="77777777" w:rsidR="00AC3459" w:rsidRDefault="00AC3459" w:rsidP="00AC3459">
      <w:pPr>
        <w:pStyle w:val="NoSpacing"/>
        <w:spacing w:line="360" w:lineRule="auto"/>
      </w:pPr>
      <w:r>
        <w:lastRenderedPageBreak/>
        <w:t xml:space="preserve">Palaiologou, I. Needham, D. Male, T. (2016) </w:t>
      </w:r>
      <w:r w:rsidRPr="00FB27EB">
        <w:rPr>
          <w:i/>
        </w:rPr>
        <w:t>Doing Research in Education: Theory and Practice.</w:t>
      </w:r>
      <w:r>
        <w:t xml:space="preserve"> London: SAGE.</w:t>
      </w:r>
    </w:p>
    <w:p w14:paraId="09C61ED2" w14:textId="77777777" w:rsidR="00AC3459" w:rsidRDefault="00AC3459" w:rsidP="00AC3459">
      <w:pPr>
        <w:pStyle w:val="NoSpacing"/>
        <w:spacing w:line="360" w:lineRule="auto"/>
        <w:rPr>
          <w:rFonts w:eastAsia="Times New Roman" w:cstheme="minorHAnsi"/>
          <w:color w:val="000000" w:themeColor="text1"/>
        </w:rPr>
      </w:pPr>
    </w:p>
    <w:p w14:paraId="29B5E442" w14:textId="3E2AC4A1"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Pound, L. (2017) </w:t>
      </w:r>
      <w:r w:rsidRPr="00AF0A96">
        <w:rPr>
          <w:rFonts w:eastAsia="Times New Roman" w:cstheme="minorHAnsi"/>
          <w:i/>
          <w:color w:val="000000" w:themeColor="text1"/>
        </w:rPr>
        <w:t>How Children Learn - Book 3: Contemporary Thinking and Theorists.</w:t>
      </w:r>
      <w:r>
        <w:rPr>
          <w:rFonts w:eastAsia="Times New Roman" w:cstheme="minorHAnsi"/>
          <w:color w:val="000000" w:themeColor="text1"/>
        </w:rPr>
        <w:t xml:space="preserve"> London: Ma Education Ltd.</w:t>
      </w:r>
    </w:p>
    <w:p w14:paraId="5C5F5175" w14:textId="77777777" w:rsidR="00AC3459" w:rsidRDefault="00AC3459" w:rsidP="00AC3459">
      <w:pPr>
        <w:pStyle w:val="NoSpacing"/>
        <w:spacing w:line="360" w:lineRule="auto"/>
        <w:rPr>
          <w:rFonts w:eastAsia="Times New Roman" w:cstheme="minorHAnsi"/>
          <w:color w:val="000000" w:themeColor="text1"/>
        </w:rPr>
      </w:pPr>
    </w:p>
    <w:p w14:paraId="42028E85" w14:textId="109918F6"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Riddall-Leech, S. (2005) </w:t>
      </w:r>
      <w:r w:rsidRPr="005F5F83">
        <w:rPr>
          <w:rFonts w:eastAsia="Times New Roman" w:cstheme="minorHAnsi"/>
          <w:i/>
          <w:color w:val="000000" w:themeColor="text1"/>
        </w:rPr>
        <w:t>How to Observe Children</w:t>
      </w:r>
      <w:r>
        <w:rPr>
          <w:rFonts w:eastAsia="Times New Roman" w:cstheme="minorHAnsi"/>
          <w:color w:val="000000" w:themeColor="text1"/>
        </w:rPr>
        <w:t xml:space="preserve">. Oxford: Heinemann. </w:t>
      </w:r>
    </w:p>
    <w:p w14:paraId="5035C7E5" w14:textId="77777777" w:rsidR="00AC3459" w:rsidRDefault="00AC3459" w:rsidP="00AC3459">
      <w:pPr>
        <w:pStyle w:val="NoSpacing"/>
        <w:spacing w:line="360" w:lineRule="auto"/>
        <w:rPr>
          <w:rFonts w:eastAsia="Times New Roman"/>
          <w:color w:val="000000" w:themeColor="text1"/>
        </w:rPr>
      </w:pPr>
    </w:p>
    <w:p w14:paraId="77225649" w14:textId="4FC4E944" w:rsidR="00AC3459" w:rsidRPr="004976B4" w:rsidRDefault="00AC3459" w:rsidP="00AC3459">
      <w:pPr>
        <w:pStyle w:val="NoSpacing"/>
        <w:spacing w:line="360" w:lineRule="auto"/>
        <w:rPr>
          <w:rFonts w:eastAsia="Times New Roman"/>
          <w:color w:val="000000" w:themeColor="text1"/>
        </w:rPr>
      </w:pPr>
      <w:r w:rsidRPr="004976B4">
        <w:rPr>
          <w:rFonts w:eastAsia="Times New Roman"/>
          <w:color w:val="000000" w:themeColor="text1"/>
        </w:rPr>
        <w:t xml:space="preserve">Swaffield, S. (2011). Getting to the heart of authentic Assessment for Learning, </w:t>
      </w:r>
      <w:r w:rsidRPr="004976B4">
        <w:rPr>
          <w:rFonts w:eastAsia="Times New Roman"/>
          <w:i/>
          <w:iCs/>
          <w:color w:val="000000" w:themeColor="text1"/>
        </w:rPr>
        <w:t>Assessment in Education</w:t>
      </w:r>
      <w:r w:rsidRPr="004976B4">
        <w:rPr>
          <w:rFonts w:eastAsia="Times New Roman"/>
          <w:color w:val="000000" w:themeColor="text1"/>
        </w:rPr>
        <w:t>, 18(4).</w:t>
      </w:r>
    </w:p>
    <w:p w14:paraId="21AE6E7A" w14:textId="77777777" w:rsidR="00AC3459" w:rsidRDefault="00AC3459" w:rsidP="00AC3459">
      <w:pPr>
        <w:pStyle w:val="NoSpacing"/>
        <w:spacing w:line="360" w:lineRule="auto"/>
        <w:rPr>
          <w:rFonts w:eastAsia="Times New Roman" w:cstheme="minorHAnsi"/>
          <w:color w:val="000000" w:themeColor="text1"/>
        </w:rPr>
      </w:pPr>
    </w:p>
    <w:p w14:paraId="7B5523C7" w14:textId="3A426F23"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Teijlingen, E.V. Hundley, V. (2002) ‘The importance of pilot studies’, </w:t>
      </w:r>
      <w:r>
        <w:rPr>
          <w:rFonts w:eastAsia="Times New Roman" w:cstheme="minorHAnsi"/>
          <w:i/>
          <w:color w:val="000000" w:themeColor="text1"/>
        </w:rPr>
        <w:t xml:space="preserve">Nursing Standard, </w:t>
      </w:r>
      <w:r>
        <w:rPr>
          <w:rFonts w:eastAsia="Times New Roman" w:cstheme="minorHAnsi"/>
          <w:color w:val="000000" w:themeColor="text1"/>
        </w:rPr>
        <w:t>16(40).</w:t>
      </w:r>
    </w:p>
    <w:p w14:paraId="5EDAF71A" w14:textId="77777777" w:rsidR="00AC3459" w:rsidRDefault="00AC3459" w:rsidP="00AC3459">
      <w:pPr>
        <w:pStyle w:val="NoSpacing"/>
        <w:spacing w:line="360" w:lineRule="auto"/>
        <w:rPr>
          <w:rFonts w:eastAsia="Times New Roman" w:cstheme="minorHAnsi"/>
          <w:color w:val="000000" w:themeColor="text1"/>
        </w:rPr>
      </w:pPr>
    </w:p>
    <w:p w14:paraId="0C4A93D7" w14:textId="3BD11337"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Tessier, S. (2012) ‘From Field Notes, to Transcripts, to Tape Recordings: Evolution or Combination?’ </w:t>
      </w:r>
      <w:r>
        <w:rPr>
          <w:rFonts w:eastAsia="Times New Roman" w:cstheme="minorHAnsi"/>
          <w:i/>
          <w:color w:val="000000" w:themeColor="text1"/>
        </w:rPr>
        <w:t xml:space="preserve">International Journal of Qualitative Methods, </w:t>
      </w:r>
      <w:r>
        <w:rPr>
          <w:rFonts w:eastAsia="Times New Roman" w:cstheme="minorHAnsi"/>
          <w:color w:val="000000" w:themeColor="text1"/>
        </w:rPr>
        <w:t>11(4) pp. 446-457.</w:t>
      </w:r>
    </w:p>
    <w:p w14:paraId="58410F04" w14:textId="77777777" w:rsidR="00AC3459" w:rsidRDefault="00AC3459" w:rsidP="00AC3459">
      <w:pPr>
        <w:pStyle w:val="NoSpacing"/>
        <w:spacing w:line="360" w:lineRule="auto"/>
        <w:rPr>
          <w:rFonts w:eastAsia="Times New Roman" w:cstheme="minorHAnsi"/>
          <w:color w:val="000000" w:themeColor="text1"/>
        </w:rPr>
      </w:pPr>
    </w:p>
    <w:p w14:paraId="24164D0A" w14:textId="11467D49"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Thabane, L. Ma, J. Chu, R. Ismaila, A. Rios, L.P. Ronson, R, Thabane, M. Giangregorio, L. Goldsmith, C.H. (2010) ‘A tutorial on pilot studies: the what, why and how’, </w:t>
      </w:r>
      <w:r>
        <w:rPr>
          <w:rFonts w:eastAsia="Times New Roman" w:cstheme="minorHAnsi"/>
          <w:i/>
          <w:color w:val="000000" w:themeColor="text1"/>
        </w:rPr>
        <w:t xml:space="preserve">BMC Medical Research Methodology, </w:t>
      </w:r>
      <w:r>
        <w:rPr>
          <w:rFonts w:eastAsia="Times New Roman" w:cstheme="minorHAnsi"/>
          <w:color w:val="000000" w:themeColor="text1"/>
        </w:rPr>
        <w:t>10(1).</w:t>
      </w:r>
    </w:p>
    <w:p w14:paraId="6EBC7C73" w14:textId="77777777" w:rsidR="00AC3459" w:rsidRDefault="00AC3459" w:rsidP="00AC3459">
      <w:pPr>
        <w:pStyle w:val="NoSpacing"/>
        <w:spacing w:line="360" w:lineRule="auto"/>
        <w:rPr>
          <w:rFonts w:cstheme="minorHAnsi"/>
        </w:rPr>
      </w:pPr>
    </w:p>
    <w:p w14:paraId="06963960" w14:textId="02AE2B37" w:rsidR="00AC3459" w:rsidRDefault="00AC3459" w:rsidP="00AC3459">
      <w:pPr>
        <w:pStyle w:val="NoSpacing"/>
        <w:spacing w:line="360" w:lineRule="auto"/>
        <w:rPr>
          <w:rFonts w:cstheme="minorHAnsi"/>
        </w:rPr>
      </w:pPr>
      <w:r w:rsidRPr="004976B4">
        <w:rPr>
          <w:rFonts w:cstheme="minorHAnsi"/>
        </w:rPr>
        <w:t xml:space="preserve">Torrance, H. (2012). Formative assessment at the crossroads: Conformative, deformative and transformative assessment, </w:t>
      </w:r>
      <w:r w:rsidRPr="004976B4">
        <w:rPr>
          <w:rFonts w:cstheme="minorHAnsi"/>
          <w:i/>
          <w:iCs/>
        </w:rPr>
        <w:t>Oxford Review of Education</w:t>
      </w:r>
      <w:r w:rsidRPr="004976B4">
        <w:rPr>
          <w:rFonts w:cstheme="minorHAnsi"/>
        </w:rPr>
        <w:t>, 38.</w:t>
      </w:r>
    </w:p>
    <w:p w14:paraId="4C23C8F4" w14:textId="77777777"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University of Wales Trinity Saint David (2017-2020) </w:t>
      </w:r>
      <w:r w:rsidRPr="003526C4">
        <w:rPr>
          <w:rFonts w:eastAsia="Times New Roman" w:cstheme="minorHAnsi"/>
          <w:i/>
          <w:color w:val="000000" w:themeColor="text1"/>
        </w:rPr>
        <w:t>Research Ethics &amp; Integrity Code of Practice.</w:t>
      </w:r>
      <w:r>
        <w:rPr>
          <w:rFonts w:eastAsia="Times New Roman" w:cstheme="minorHAnsi"/>
          <w:color w:val="000000" w:themeColor="text1"/>
        </w:rPr>
        <w:t xml:space="preserve"> Available at: </w:t>
      </w:r>
      <w:r w:rsidRPr="003526C4">
        <w:rPr>
          <w:rFonts w:eastAsia="Times New Roman" w:cstheme="minorHAnsi"/>
          <w:color w:val="000000" w:themeColor="text1"/>
        </w:rPr>
        <w:t>https://www.uwtsd.ac.uk/media/uwtsd-website/content-assets/documents/research/research-ethics-integrity-code-practice.pdf</w:t>
      </w:r>
      <w:r>
        <w:rPr>
          <w:rFonts w:eastAsia="Times New Roman" w:cstheme="minorHAnsi"/>
          <w:color w:val="000000" w:themeColor="text1"/>
        </w:rPr>
        <w:t xml:space="preserve"> (Accessed: 26 February 2019).</w:t>
      </w:r>
    </w:p>
    <w:p w14:paraId="0B62FFF0" w14:textId="77777777" w:rsidR="00AC3459" w:rsidRDefault="00AC3459" w:rsidP="00AC3459">
      <w:pPr>
        <w:pStyle w:val="NoSpacing"/>
        <w:spacing w:line="360" w:lineRule="auto"/>
      </w:pPr>
    </w:p>
    <w:p w14:paraId="13E11182" w14:textId="4FFF2CB5" w:rsidR="00AC3459" w:rsidRDefault="00AC3459" w:rsidP="00AC3459">
      <w:pPr>
        <w:pStyle w:val="NoSpacing"/>
        <w:spacing w:line="360" w:lineRule="auto"/>
      </w:pPr>
      <w:r>
        <w:t xml:space="preserve">Welsh Government (2016) </w:t>
      </w:r>
      <w:r w:rsidRPr="006F5F2F">
        <w:rPr>
          <w:i/>
        </w:rPr>
        <w:t xml:space="preserve">More Able and Talented Learners: Guidance for the Further Education Sector in Wales. </w:t>
      </w:r>
      <w:r>
        <w:t>Wales: OGL.</w:t>
      </w:r>
    </w:p>
    <w:p w14:paraId="7C35AE20" w14:textId="77777777" w:rsidR="00AC3459" w:rsidRDefault="00AC3459" w:rsidP="00AC3459">
      <w:pPr>
        <w:pStyle w:val="NoSpacing"/>
        <w:spacing w:line="360" w:lineRule="auto"/>
        <w:rPr>
          <w:rFonts w:eastAsia="Times New Roman" w:cstheme="minorHAnsi"/>
          <w:color w:val="000000" w:themeColor="text1"/>
        </w:rPr>
      </w:pPr>
    </w:p>
    <w:p w14:paraId="3C696C0A" w14:textId="7001480A"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t xml:space="preserve">Wiliam, D (2011) </w:t>
      </w:r>
      <w:r w:rsidRPr="006101D7">
        <w:rPr>
          <w:rFonts w:eastAsia="Times New Roman" w:cstheme="minorHAnsi"/>
          <w:i/>
          <w:color w:val="000000" w:themeColor="text1"/>
        </w:rPr>
        <w:t>Embedded Formative Assessment.</w:t>
      </w:r>
      <w:r>
        <w:rPr>
          <w:rFonts w:eastAsia="Times New Roman" w:cstheme="minorHAnsi"/>
          <w:i/>
          <w:color w:val="000000" w:themeColor="text1"/>
        </w:rPr>
        <w:t xml:space="preserve"> </w:t>
      </w:r>
      <w:r>
        <w:rPr>
          <w:rFonts w:eastAsia="Times New Roman" w:cstheme="minorHAnsi"/>
          <w:color w:val="000000" w:themeColor="text1"/>
        </w:rPr>
        <w:t>United States:</w:t>
      </w:r>
      <w:r w:rsidRPr="006101D7">
        <w:rPr>
          <w:rFonts w:eastAsia="Times New Roman" w:cstheme="minorHAnsi"/>
          <w:i/>
          <w:color w:val="000000" w:themeColor="text1"/>
        </w:rPr>
        <w:t xml:space="preserve"> </w:t>
      </w:r>
      <w:r>
        <w:rPr>
          <w:rFonts w:eastAsia="Times New Roman" w:cstheme="minorHAnsi"/>
          <w:color w:val="000000" w:themeColor="text1"/>
        </w:rPr>
        <w:t xml:space="preserve">Solution Tree Press. </w:t>
      </w:r>
    </w:p>
    <w:p w14:paraId="33627DDF" w14:textId="659BC42E" w:rsidR="00AC3459" w:rsidRDefault="00AC3459" w:rsidP="00AC3459">
      <w:pPr>
        <w:pStyle w:val="NoSpacing"/>
        <w:spacing w:line="360" w:lineRule="auto"/>
        <w:rPr>
          <w:rFonts w:eastAsia="Times New Roman" w:cstheme="minorHAnsi"/>
          <w:color w:val="000000" w:themeColor="text1"/>
        </w:rPr>
      </w:pPr>
      <w:r>
        <w:rPr>
          <w:rFonts w:eastAsia="Times New Roman" w:cstheme="minorHAnsi"/>
          <w:color w:val="000000" w:themeColor="text1"/>
        </w:rPr>
        <w:lastRenderedPageBreak/>
        <w:t xml:space="preserve">Williford, A.P. Maier, M.F. Downer, J.T. Pianta, R.C. Howes, C. (2013) ‘Understanding how children’s engagement and teachers’ interactions combine to predict school readiness’, </w:t>
      </w:r>
      <w:r>
        <w:rPr>
          <w:rFonts w:eastAsia="Times New Roman" w:cstheme="minorHAnsi"/>
          <w:i/>
          <w:color w:val="000000" w:themeColor="text1"/>
        </w:rPr>
        <w:t xml:space="preserve">J Appl Dev Psychol, </w:t>
      </w:r>
      <w:r>
        <w:rPr>
          <w:rFonts w:eastAsia="Times New Roman" w:cstheme="minorHAnsi"/>
          <w:color w:val="000000" w:themeColor="text1"/>
        </w:rPr>
        <w:t>34(6), pp.299-309</w:t>
      </w:r>
      <w:r w:rsidR="008F03A4">
        <w:rPr>
          <w:rFonts w:eastAsia="Times New Roman" w:cstheme="minorHAnsi"/>
          <w:color w:val="000000" w:themeColor="text1"/>
        </w:rPr>
        <w:t>.</w:t>
      </w:r>
    </w:p>
    <w:p w14:paraId="3E88645E" w14:textId="5AE2047F" w:rsidR="00C55441" w:rsidRPr="00407B91" w:rsidRDefault="00C55441" w:rsidP="00AF15C5">
      <w:pPr>
        <w:pStyle w:val="NoSpacing"/>
        <w:spacing w:line="360" w:lineRule="auto"/>
      </w:pPr>
    </w:p>
    <w:sectPr w:rsidR="00C55441" w:rsidRPr="00407B91" w:rsidSect="00D9385F">
      <w:headerReference w:type="default" r:id="rId7"/>
      <w:footerReference w:type="even" r:id="rId8"/>
      <w:footerReference w:type="default" r:id="rId9"/>
      <w:pgSz w:w="11900" w:h="16840"/>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9DB56" w14:textId="77777777" w:rsidR="00A9174A" w:rsidRDefault="00A9174A" w:rsidP="008E434B">
      <w:r>
        <w:separator/>
      </w:r>
    </w:p>
  </w:endnote>
  <w:endnote w:type="continuationSeparator" w:id="0">
    <w:p w14:paraId="29EF63A7" w14:textId="77777777" w:rsidR="00A9174A" w:rsidRDefault="00A9174A" w:rsidP="008E4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53724869"/>
      <w:docPartObj>
        <w:docPartGallery w:val="Page Numbers (Bottom of Page)"/>
        <w:docPartUnique/>
      </w:docPartObj>
    </w:sdtPr>
    <w:sdtContent>
      <w:p w14:paraId="5411B5A2" w14:textId="77777777" w:rsidR="00043B4E" w:rsidRDefault="00043B4E" w:rsidP="00CB4B5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71F16D" w14:textId="77777777" w:rsidR="00043B4E" w:rsidRDefault="00043B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22"/>
      </w:rPr>
      <w:id w:val="-51780773"/>
      <w:docPartObj>
        <w:docPartGallery w:val="Page Numbers (Bottom of Page)"/>
        <w:docPartUnique/>
      </w:docPartObj>
    </w:sdtPr>
    <w:sdtContent>
      <w:p w14:paraId="06B04AE4" w14:textId="77777777" w:rsidR="00043B4E" w:rsidRPr="008E434B" w:rsidRDefault="00043B4E" w:rsidP="00CB4B53">
        <w:pPr>
          <w:pStyle w:val="Footer"/>
          <w:framePr w:wrap="none" w:vAnchor="text" w:hAnchor="margin" w:xAlign="center" w:y="1"/>
          <w:rPr>
            <w:rStyle w:val="PageNumber"/>
            <w:sz w:val="22"/>
          </w:rPr>
        </w:pPr>
        <w:r w:rsidRPr="008E434B">
          <w:rPr>
            <w:rStyle w:val="PageNumber"/>
            <w:sz w:val="22"/>
          </w:rPr>
          <w:fldChar w:fldCharType="begin"/>
        </w:r>
        <w:r w:rsidRPr="008E434B">
          <w:rPr>
            <w:rStyle w:val="PageNumber"/>
            <w:sz w:val="22"/>
          </w:rPr>
          <w:instrText xml:space="preserve"> PAGE </w:instrText>
        </w:r>
        <w:r w:rsidRPr="008E434B">
          <w:rPr>
            <w:rStyle w:val="PageNumber"/>
            <w:sz w:val="22"/>
          </w:rPr>
          <w:fldChar w:fldCharType="separate"/>
        </w:r>
        <w:r w:rsidRPr="008E434B">
          <w:rPr>
            <w:rStyle w:val="PageNumber"/>
            <w:noProof/>
            <w:sz w:val="22"/>
          </w:rPr>
          <w:t>1</w:t>
        </w:r>
        <w:r w:rsidRPr="008E434B">
          <w:rPr>
            <w:rStyle w:val="PageNumber"/>
            <w:sz w:val="22"/>
          </w:rPr>
          <w:fldChar w:fldCharType="end"/>
        </w:r>
      </w:p>
    </w:sdtContent>
  </w:sdt>
  <w:p w14:paraId="3435B6A4" w14:textId="77777777" w:rsidR="00043B4E" w:rsidRDefault="00043B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379BA" w14:textId="77777777" w:rsidR="00A9174A" w:rsidRDefault="00A9174A" w:rsidP="008E434B">
      <w:r>
        <w:separator/>
      </w:r>
    </w:p>
  </w:footnote>
  <w:footnote w:type="continuationSeparator" w:id="0">
    <w:p w14:paraId="6587613F" w14:textId="77777777" w:rsidR="00A9174A" w:rsidRDefault="00A9174A" w:rsidP="008E4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FCD46" w14:textId="77777777" w:rsidR="00043B4E" w:rsidRDefault="00043B4E">
    <w:pPr>
      <w:pStyle w:val="Header"/>
    </w:pPr>
    <w:r>
      <w:t>1500726</w:t>
    </w:r>
    <w:r>
      <w:tab/>
    </w:r>
    <w:r>
      <w:tab/>
      <w:t>Group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B01A0"/>
    <w:multiLevelType w:val="hybridMultilevel"/>
    <w:tmpl w:val="F5EC0E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81A2580"/>
    <w:multiLevelType w:val="hybridMultilevel"/>
    <w:tmpl w:val="8D6029A2"/>
    <w:lvl w:ilvl="0" w:tplc="8C7E63B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BB2AE2"/>
    <w:multiLevelType w:val="multilevel"/>
    <w:tmpl w:val="AA3C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0C669F"/>
    <w:multiLevelType w:val="multilevel"/>
    <w:tmpl w:val="5D48FC8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34B"/>
    <w:rsid w:val="00027C53"/>
    <w:rsid w:val="00035097"/>
    <w:rsid w:val="00043B4E"/>
    <w:rsid w:val="000479F0"/>
    <w:rsid w:val="00072C2C"/>
    <w:rsid w:val="000A0092"/>
    <w:rsid w:val="000B1289"/>
    <w:rsid w:val="000B4F26"/>
    <w:rsid w:val="000C13CB"/>
    <w:rsid w:val="000C386E"/>
    <w:rsid w:val="000C4681"/>
    <w:rsid w:val="000D7BA8"/>
    <w:rsid w:val="000F4737"/>
    <w:rsid w:val="000F64AB"/>
    <w:rsid w:val="00120CE7"/>
    <w:rsid w:val="00124E16"/>
    <w:rsid w:val="0012577B"/>
    <w:rsid w:val="0013176C"/>
    <w:rsid w:val="001357DB"/>
    <w:rsid w:val="001426FF"/>
    <w:rsid w:val="0014405D"/>
    <w:rsid w:val="001535C0"/>
    <w:rsid w:val="001759E1"/>
    <w:rsid w:val="0017733B"/>
    <w:rsid w:val="00177F2A"/>
    <w:rsid w:val="00183048"/>
    <w:rsid w:val="0018422A"/>
    <w:rsid w:val="00191FD6"/>
    <w:rsid w:val="00193E24"/>
    <w:rsid w:val="001B6354"/>
    <w:rsid w:val="001D0FBE"/>
    <w:rsid w:val="001E5639"/>
    <w:rsid w:val="001F10A1"/>
    <w:rsid w:val="00225C72"/>
    <w:rsid w:val="0023755F"/>
    <w:rsid w:val="00240E3A"/>
    <w:rsid w:val="002432D3"/>
    <w:rsid w:val="00252E9D"/>
    <w:rsid w:val="00260DF7"/>
    <w:rsid w:val="002833AC"/>
    <w:rsid w:val="002923E8"/>
    <w:rsid w:val="00292D56"/>
    <w:rsid w:val="002B5318"/>
    <w:rsid w:val="002C1380"/>
    <w:rsid w:val="002C711D"/>
    <w:rsid w:val="002D57BF"/>
    <w:rsid w:val="002E2661"/>
    <w:rsid w:val="003011AA"/>
    <w:rsid w:val="00301DDD"/>
    <w:rsid w:val="00307CE5"/>
    <w:rsid w:val="00344EF4"/>
    <w:rsid w:val="003459D3"/>
    <w:rsid w:val="003511D9"/>
    <w:rsid w:val="003526C4"/>
    <w:rsid w:val="003533FE"/>
    <w:rsid w:val="00357191"/>
    <w:rsid w:val="003605DD"/>
    <w:rsid w:val="00376959"/>
    <w:rsid w:val="0038369C"/>
    <w:rsid w:val="003A07CA"/>
    <w:rsid w:val="003B1D99"/>
    <w:rsid w:val="003B2944"/>
    <w:rsid w:val="003C0995"/>
    <w:rsid w:val="003C1BAA"/>
    <w:rsid w:val="003C55FC"/>
    <w:rsid w:val="003E6EC5"/>
    <w:rsid w:val="00400072"/>
    <w:rsid w:val="00402645"/>
    <w:rsid w:val="00407B91"/>
    <w:rsid w:val="00414532"/>
    <w:rsid w:val="00424719"/>
    <w:rsid w:val="0043047A"/>
    <w:rsid w:val="00453919"/>
    <w:rsid w:val="0045393E"/>
    <w:rsid w:val="00454763"/>
    <w:rsid w:val="004571E6"/>
    <w:rsid w:val="0047379D"/>
    <w:rsid w:val="004763C3"/>
    <w:rsid w:val="00481A46"/>
    <w:rsid w:val="004976B4"/>
    <w:rsid w:val="004C55FB"/>
    <w:rsid w:val="004D1201"/>
    <w:rsid w:val="004E0982"/>
    <w:rsid w:val="004E0C63"/>
    <w:rsid w:val="00507BC0"/>
    <w:rsid w:val="005110B7"/>
    <w:rsid w:val="005474F1"/>
    <w:rsid w:val="00552F9E"/>
    <w:rsid w:val="00553405"/>
    <w:rsid w:val="005575C6"/>
    <w:rsid w:val="005605B7"/>
    <w:rsid w:val="005775CB"/>
    <w:rsid w:val="00580706"/>
    <w:rsid w:val="00587161"/>
    <w:rsid w:val="00594085"/>
    <w:rsid w:val="005A50C2"/>
    <w:rsid w:val="005C789F"/>
    <w:rsid w:val="005E13F9"/>
    <w:rsid w:val="005E2FCF"/>
    <w:rsid w:val="005F570E"/>
    <w:rsid w:val="005F5F83"/>
    <w:rsid w:val="0060081F"/>
    <w:rsid w:val="00604141"/>
    <w:rsid w:val="00606327"/>
    <w:rsid w:val="006101D7"/>
    <w:rsid w:val="0061169E"/>
    <w:rsid w:val="00620FD4"/>
    <w:rsid w:val="00642411"/>
    <w:rsid w:val="00651D1D"/>
    <w:rsid w:val="006547A1"/>
    <w:rsid w:val="00666223"/>
    <w:rsid w:val="00677265"/>
    <w:rsid w:val="006778BC"/>
    <w:rsid w:val="006909F4"/>
    <w:rsid w:val="00691960"/>
    <w:rsid w:val="00693532"/>
    <w:rsid w:val="006A72D6"/>
    <w:rsid w:val="006B36B8"/>
    <w:rsid w:val="006C3A3F"/>
    <w:rsid w:val="006D4034"/>
    <w:rsid w:val="006D411F"/>
    <w:rsid w:val="006F5F2F"/>
    <w:rsid w:val="00712C1F"/>
    <w:rsid w:val="00724A99"/>
    <w:rsid w:val="00737852"/>
    <w:rsid w:val="00756333"/>
    <w:rsid w:val="0076167F"/>
    <w:rsid w:val="00764008"/>
    <w:rsid w:val="00783690"/>
    <w:rsid w:val="007A515A"/>
    <w:rsid w:val="007B6A50"/>
    <w:rsid w:val="007C25EE"/>
    <w:rsid w:val="007C6DD6"/>
    <w:rsid w:val="007D47CD"/>
    <w:rsid w:val="007E3B90"/>
    <w:rsid w:val="00811D04"/>
    <w:rsid w:val="008277DE"/>
    <w:rsid w:val="0083186C"/>
    <w:rsid w:val="008411D6"/>
    <w:rsid w:val="0088236B"/>
    <w:rsid w:val="00884260"/>
    <w:rsid w:val="0088542E"/>
    <w:rsid w:val="00893F09"/>
    <w:rsid w:val="008A71DF"/>
    <w:rsid w:val="008B757E"/>
    <w:rsid w:val="008C79B9"/>
    <w:rsid w:val="008E37EE"/>
    <w:rsid w:val="008E434B"/>
    <w:rsid w:val="008F03A4"/>
    <w:rsid w:val="00901C9F"/>
    <w:rsid w:val="00914A6B"/>
    <w:rsid w:val="00921062"/>
    <w:rsid w:val="00923A29"/>
    <w:rsid w:val="00940DBB"/>
    <w:rsid w:val="00941526"/>
    <w:rsid w:val="00943446"/>
    <w:rsid w:val="00954B0C"/>
    <w:rsid w:val="00955EE1"/>
    <w:rsid w:val="00964F3E"/>
    <w:rsid w:val="00972ED1"/>
    <w:rsid w:val="009778C8"/>
    <w:rsid w:val="00990680"/>
    <w:rsid w:val="00990E78"/>
    <w:rsid w:val="009B5D55"/>
    <w:rsid w:val="009C1897"/>
    <w:rsid w:val="009D306B"/>
    <w:rsid w:val="009D59D0"/>
    <w:rsid w:val="009E725E"/>
    <w:rsid w:val="00A0288D"/>
    <w:rsid w:val="00A05B15"/>
    <w:rsid w:val="00A23B4A"/>
    <w:rsid w:val="00A3205C"/>
    <w:rsid w:val="00A36735"/>
    <w:rsid w:val="00A368D0"/>
    <w:rsid w:val="00A40328"/>
    <w:rsid w:val="00A601FA"/>
    <w:rsid w:val="00A6102D"/>
    <w:rsid w:val="00A80875"/>
    <w:rsid w:val="00A861DE"/>
    <w:rsid w:val="00A86366"/>
    <w:rsid w:val="00A9174A"/>
    <w:rsid w:val="00A95833"/>
    <w:rsid w:val="00AA1BBC"/>
    <w:rsid w:val="00AA3FB6"/>
    <w:rsid w:val="00AB02B8"/>
    <w:rsid w:val="00AC3459"/>
    <w:rsid w:val="00AC78D7"/>
    <w:rsid w:val="00AD55C1"/>
    <w:rsid w:val="00AF0A96"/>
    <w:rsid w:val="00AF15C5"/>
    <w:rsid w:val="00B120F1"/>
    <w:rsid w:val="00B14E52"/>
    <w:rsid w:val="00B2353C"/>
    <w:rsid w:val="00B32C32"/>
    <w:rsid w:val="00B352F3"/>
    <w:rsid w:val="00B40B36"/>
    <w:rsid w:val="00B4113D"/>
    <w:rsid w:val="00B41771"/>
    <w:rsid w:val="00B455A1"/>
    <w:rsid w:val="00B50722"/>
    <w:rsid w:val="00B64C3C"/>
    <w:rsid w:val="00B72EE5"/>
    <w:rsid w:val="00B750A9"/>
    <w:rsid w:val="00B76A5A"/>
    <w:rsid w:val="00B80010"/>
    <w:rsid w:val="00B855A8"/>
    <w:rsid w:val="00B93C56"/>
    <w:rsid w:val="00B955C0"/>
    <w:rsid w:val="00BA3A3F"/>
    <w:rsid w:val="00BA758F"/>
    <w:rsid w:val="00BB5967"/>
    <w:rsid w:val="00BD4250"/>
    <w:rsid w:val="00BD7298"/>
    <w:rsid w:val="00BE0180"/>
    <w:rsid w:val="00BE0A1D"/>
    <w:rsid w:val="00BE2C35"/>
    <w:rsid w:val="00BE4C46"/>
    <w:rsid w:val="00BE6354"/>
    <w:rsid w:val="00BE767A"/>
    <w:rsid w:val="00BF11C2"/>
    <w:rsid w:val="00C031CF"/>
    <w:rsid w:val="00C03255"/>
    <w:rsid w:val="00C04BBE"/>
    <w:rsid w:val="00C06839"/>
    <w:rsid w:val="00C12426"/>
    <w:rsid w:val="00C145DD"/>
    <w:rsid w:val="00C17891"/>
    <w:rsid w:val="00C35AB4"/>
    <w:rsid w:val="00C53D38"/>
    <w:rsid w:val="00C55441"/>
    <w:rsid w:val="00C81E05"/>
    <w:rsid w:val="00C97D34"/>
    <w:rsid w:val="00CB2B63"/>
    <w:rsid w:val="00CB4B53"/>
    <w:rsid w:val="00CC41E2"/>
    <w:rsid w:val="00CE4595"/>
    <w:rsid w:val="00CE5F31"/>
    <w:rsid w:val="00D014FF"/>
    <w:rsid w:val="00D025A6"/>
    <w:rsid w:val="00D07E10"/>
    <w:rsid w:val="00D21C42"/>
    <w:rsid w:val="00D31A8B"/>
    <w:rsid w:val="00D340F4"/>
    <w:rsid w:val="00D371B7"/>
    <w:rsid w:val="00D441F3"/>
    <w:rsid w:val="00D44607"/>
    <w:rsid w:val="00D4519A"/>
    <w:rsid w:val="00D50764"/>
    <w:rsid w:val="00D70368"/>
    <w:rsid w:val="00D736FE"/>
    <w:rsid w:val="00D9385F"/>
    <w:rsid w:val="00D95036"/>
    <w:rsid w:val="00DA31B0"/>
    <w:rsid w:val="00DE098C"/>
    <w:rsid w:val="00DE79BE"/>
    <w:rsid w:val="00DE7F5A"/>
    <w:rsid w:val="00E009B3"/>
    <w:rsid w:val="00E07228"/>
    <w:rsid w:val="00E10E44"/>
    <w:rsid w:val="00E16D6F"/>
    <w:rsid w:val="00E407B5"/>
    <w:rsid w:val="00E6670A"/>
    <w:rsid w:val="00E87472"/>
    <w:rsid w:val="00EA0A1B"/>
    <w:rsid w:val="00EA6381"/>
    <w:rsid w:val="00EA728A"/>
    <w:rsid w:val="00EC0FDB"/>
    <w:rsid w:val="00EE1FBA"/>
    <w:rsid w:val="00EE36E1"/>
    <w:rsid w:val="00EE4482"/>
    <w:rsid w:val="00EE7C59"/>
    <w:rsid w:val="00EF05A5"/>
    <w:rsid w:val="00F122FD"/>
    <w:rsid w:val="00F17063"/>
    <w:rsid w:val="00F46350"/>
    <w:rsid w:val="00F467CD"/>
    <w:rsid w:val="00F47963"/>
    <w:rsid w:val="00F5058C"/>
    <w:rsid w:val="00F61173"/>
    <w:rsid w:val="00F62525"/>
    <w:rsid w:val="00F64E52"/>
    <w:rsid w:val="00F71705"/>
    <w:rsid w:val="00F75959"/>
    <w:rsid w:val="00F77D3E"/>
    <w:rsid w:val="00F84AAD"/>
    <w:rsid w:val="00F92866"/>
    <w:rsid w:val="00F96968"/>
    <w:rsid w:val="00F970F3"/>
    <w:rsid w:val="00FA4A10"/>
    <w:rsid w:val="00FA4BB9"/>
    <w:rsid w:val="00FA784A"/>
    <w:rsid w:val="00FB09FA"/>
    <w:rsid w:val="00FB27EB"/>
    <w:rsid w:val="00FD4455"/>
    <w:rsid w:val="00FD7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929DB"/>
  <w15:chartTrackingRefBased/>
  <w15:docId w15:val="{58A2D4B3-61D0-CE46-95FC-4B4BBBFAA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F17063"/>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434B"/>
    <w:pPr>
      <w:tabs>
        <w:tab w:val="center" w:pos="4680"/>
        <w:tab w:val="right" w:pos="9360"/>
      </w:tabs>
    </w:pPr>
  </w:style>
  <w:style w:type="character" w:customStyle="1" w:styleId="HeaderChar">
    <w:name w:val="Header Char"/>
    <w:basedOn w:val="DefaultParagraphFont"/>
    <w:link w:val="Header"/>
    <w:uiPriority w:val="99"/>
    <w:rsid w:val="008E434B"/>
  </w:style>
  <w:style w:type="paragraph" w:styleId="Footer">
    <w:name w:val="footer"/>
    <w:basedOn w:val="Normal"/>
    <w:link w:val="FooterChar"/>
    <w:uiPriority w:val="99"/>
    <w:unhideWhenUsed/>
    <w:rsid w:val="008E434B"/>
    <w:pPr>
      <w:tabs>
        <w:tab w:val="center" w:pos="4680"/>
        <w:tab w:val="right" w:pos="9360"/>
      </w:tabs>
    </w:pPr>
  </w:style>
  <w:style w:type="character" w:customStyle="1" w:styleId="FooterChar">
    <w:name w:val="Footer Char"/>
    <w:basedOn w:val="DefaultParagraphFont"/>
    <w:link w:val="Footer"/>
    <w:uiPriority w:val="99"/>
    <w:rsid w:val="008E434B"/>
  </w:style>
  <w:style w:type="character" w:styleId="PageNumber">
    <w:name w:val="page number"/>
    <w:basedOn w:val="DefaultParagraphFont"/>
    <w:uiPriority w:val="99"/>
    <w:semiHidden/>
    <w:unhideWhenUsed/>
    <w:rsid w:val="008E434B"/>
  </w:style>
  <w:style w:type="paragraph" w:styleId="NoSpacing">
    <w:name w:val="No Spacing"/>
    <w:uiPriority w:val="1"/>
    <w:qFormat/>
    <w:rsid w:val="008E434B"/>
  </w:style>
  <w:style w:type="paragraph" w:styleId="ListParagraph">
    <w:name w:val="List Paragraph"/>
    <w:basedOn w:val="Normal"/>
    <w:uiPriority w:val="34"/>
    <w:qFormat/>
    <w:rsid w:val="005110B7"/>
    <w:pPr>
      <w:ind w:left="720"/>
      <w:contextualSpacing/>
    </w:pPr>
  </w:style>
  <w:style w:type="character" w:styleId="CommentReference">
    <w:name w:val="annotation reference"/>
    <w:basedOn w:val="DefaultParagraphFont"/>
    <w:uiPriority w:val="99"/>
    <w:semiHidden/>
    <w:unhideWhenUsed/>
    <w:rsid w:val="00301DDD"/>
    <w:rPr>
      <w:sz w:val="16"/>
      <w:szCs w:val="16"/>
    </w:rPr>
  </w:style>
  <w:style w:type="paragraph" w:styleId="CommentText">
    <w:name w:val="annotation text"/>
    <w:basedOn w:val="Normal"/>
    <w:link w:val="CommentTextChar"/>
    <w:uiPriority w:val="99"/>
    <w:semiHidden/>
    <w:unhideWhenUsed/>
    <w:rsid w:val="00301DDD"/>
    <w:pPr>
      <w:spacing w:after="160"/>
    </w:pPr>
    <w:rPr>
      <w:sz w:val="20"/>
      <w:szCs w:val="20"/>
    </w:rPr>
  </w:style>
  <w:style w:type="character" w:customStyle="1" w:styleId="CommentTextChar">
    <w:name w:val="Comment Text Char"/>
    <w:basedOn w:val="DefaultParagraphFont"/>
    <w:link w:val="CommentText"/>
    <w:uiPriority w:val="99"/>
    <w:semiHidden/>
    <w:rsid w:val="00301DDD"/>
    <w:rPr>
      <w:sz w:val="20"/>
      <w:szCs w:val="20"/>
    </w:rPr>
  </w:style>
  <w:style w:type="paragraph" w:styleId="BalloonText">
    <w:name w:val="Balloon Text"/>
    <w:basedOn w:val="Normal"/>
    <w:link w:val="BalloonTextChar"/>
    <w:uiPriority w:val="99"/>
    <w:semiHidden/>
    <w:unhideWhenUsed/>
    <w:rsid w:val="00301DD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01DDD"/>
    <w:rPr>
      <w:rFonts w:ascii="Times New Roman" w:hAnsi="Times New Roman" w:cs="Times New Roman"/>
      <w:sz w:val="18"/>
      <w:szCs w:val="18"/>
    </w:rPr>
  </w:style>
  <w:style w:type="character" w:customStyle="1" w:styleId="apple-converted-space">
    <w:name w:val="apple-converted-space"/>
    <w:basedOn w:val="DefaultParagraphFont"/>
    <w:rsid w:val="00301DDD"/>
  </w:style>
  <w:style w:type="character" w:styleId="Hyperlink">
    <w:name w:val="Hyperlink"/>
    <w:basedOn w:val="DefaultParagraphFont"/>
    <w:uiPriority w:val="99"/>
    <w:unhideWhenUsed/>
    <w:rsid w:val="00453919"/>
    <w:rPr>
      <w:color w:val="0563C1" w:themeColor="hyperlink"/>
      <w:u w:val="single"/>
    </w:rPr>
  </w:style>
  <w:style w:type="character" w:styleId="UnresolvedMention">
    <w:name w:val="Unresolved Mention"/>
    <w:basedOn w:val="DefaultParagraphFont"/>
    <w:uiPriority w:val="99"/>
    <w:semiHidden/>
    <w:unhideWhenUsed/>
    <w:rsid w:val="00453919"/>
    <w:rPr>
      <w:color w:val="605E5C"/>
      <w:shd w:val="clear" w:color="auto" w:fill="E1DFDD"/>
    </w:rPr>
  </w:style>
  <w:style w:type="paragraph" w:styleId="NormalWeb">
    <w:name w:val="Normal (Web)"/>
    <w:basedOn w:val="Normal"/>
    <w:uiPriority w:val="99"/>
    <w:semiHidden/>
    <w:unhideWhenUsed/>
    <w:rsid w:val="00CB4B53"/>
    <w:pPr>
      <w:spacing w:before="100" w:beforeAutospacing="1" w:after="100" w:afterAutospacing="1"/>
    </w:pPr>
    <w:rPr>
      <w:rFonts w:ascii="Times New Roman" w:eastAsia="Times New Roman" w:hAnsi="Times New Roman" w:cs="Times New Roman"/>
    </w:rPr>
  </w:style>
  <w:style w:type="character" w:customStyle="1" w:styleId="Heading2Char">
    <w:name w:val="Heading 2 Char"/>
    <w:basedOn w:val="DefaultParagraphFont"/>
    <w:link w:val="Heading2"/>
    <w:uiPriority w:val="9"/>
    <w:rsid w:val="00F17063"/>
    <w:rPr>
      <w:rFonts w:ascii="Times New Roman" w:eastAsia="Times New Roman" w:hAnsi="Times New Roman" w:cs="Times New Roman"/>
      <w:b/>
      <w:bCs/>
      <w:sz w:val="36"/>
      <w:szCs w:val="36"/>
    </w:rPr>
  </w:style>
  <w:style w:type="character" w:styleId="Emphasis">
    <w:name w:val="Emphasis"/>
    <w:basedOn w:val="DefaultParagraphFont"/>
    <w:uiPriority w:val="20"/>
    <w:qFormat/>
    <w:rsid w:val="00F17063"/>
    <w:rPr>
      <w:i/>
      <w:iCs/>
    </w:rPr>
  </w:style>
  <w:style w:type="character" w:styleId="Strong">
    <w:name w:val="Strong"/>
    <w:basedOn w:val="DefaultParagraphFont"/>
    <w:uiPriority w:val="22"/>
    <w:qFormat/>
    <w:rsid w:val="004E0C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762158">
      <w:bodyDiv w:val="1"/>
      <w:marLeft w:val="0"/>
      <w:marRight w:val="0"/>
      <w:marTop w:val="0"/>
      <w:marBottom w:val="0"/>
      <w:divBdr>
        <w:top w:val="none" w:sz="0" w:space="0" w:color="auto"/>
        <w:left w:val="none" w:sz="0" w:space="0" w:color="auto"/>
        <w:bottom w:val="none" w:sz="0" w:space="0" w:color="auto"/>
        <w:right w:val="none" w:sz="0" w:space="0" w:color="auto"/>
      </w:divBdr>
      <w:divsChild>
        <w:div w:id="917713854">
          <w:marLeft w:val="0"/>
          <w:marRight w:val="0"/>
          <w:marTop w:val="0"/>
          <w:marBottom w:val="0"/>
          <w:divBdr>
            <w:top w:val="none" w:sz="0" w:space="0" w:color="auto"/>
            <w:left w:val="none" w:sz="0" w:space="0" w:color="auto"/>
            <w:bottom w:val="none" w:sz="0" w:space="0" w:color="auto"/>
            <w:right w:val="none" w:sz="0" w:space="0" w:color="auto"/>
          </w:divBdr>
          <w:divsChild>
            <w:div w:id="1123502950">
              <w:marLeft w:val="0"/>
              <w:marRight w:val="0"/>
              <w:marTop w:val="0"/>
              <w:marBottom w:val="0"/>
              <w:divBdr>
                <w:top w:val="none" w:sz="0" w:space="0" w:color="auto"/>
                <w:left w:val="none" w:sz="0" w:space="0" w:color="auto"/>
                <w:bottom w:val="none" w:sz="0" w:space="0" w:color="auto"/>
                <w:right w:val="none" w:sz="0" w:space="0" w:color="auto"/>
              </w:divBdr>
              <w:divsChild>
                <w:div w:id="94754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410682">
      <w:bodyDiv w:val="1"/>
      <w:marLeft w:val="0"/>
      <w:marRight w:val="0"/>
      <w:marTop w:val="0"/>
      <w:marBottom w:val="0"/>
      <w:divBdr>
        <w:top w:val="none" w:sz="0" w:space="0" w:color="auto"/>
        <w:left w:val="none" w:sz="0" w:space="0" w:color="auto"/>
        <w:bottom w:val="none" w:sz="0" w:space="0" w:color="auto"/>
        <w:right w:val="none" w:sz="0" w:space="0" w:color="auto"/>
      </w:divBdr>
    </w:div>
    <w:div w:id="376011239">
      <w:bodyDiv w:val="1"/>
      <w:marLeft w:val="0"/>
      <w:marRight w:val="0"/>
      <w:marTop w:val="0"/>
      <w:marBottom w:val="0"/>
      <w:divBdr>
        <w:top w:val="none" w:sz="0" w:space="0" w:color="auto"/>
        <w:left w:val="none" w:sz="0" w:space="0" w:color="auto"/>
        <w:bottom w:val="none" w:sz="0" w:space="0" w:color="auto"/>
        <w:right w:val="none" w:sz="0" w:space="0" w:color="auto"/>
      </w:divBdr>
      <w:divsChild>
        <w:div w:id="1338146161">
          <w:marLeft w:val="0"/>
          <w:marRight w:val="0"/>
          <w:marTop w:val="0"/>
          <w:marBottom w:val="0"/>
          <w:divBdr>
            <w:top w:val="none" w:sz="0" w:space="0" w:color="auto"/>
            <w:left w:val="none" w:sz="0" w:space="0" w:color="auto"/>
            <w:bottom w:val="none" w:sz="0" w:space="0" w:color="auto"/>
            <w:right w:val="none" w:sz="0" w:space="0" w:color="auto"/>
          </w:divBdr>
          <w:divsChild>
            <w:div w:id="1443525669">
              <w:marLeft w:val="0"/>
              <w:marRight w:val="0"/>
              <w:marTop w:val="0"/>
              <w:marBottom w:val="0"/>
              <w:divBdr>
                <w:top w:val="none" w:sz="0" w:space="0" w:color="auto"/>
                <w:left w:val="none" w:sz="0" w:space="0" w:color="auto"/>
                <w:bottom w:val="none" w:sz="0" w:space="0" w:color="auto"/>
                <w:right w:val="none" w:sz="0" w:space="0" w:color="auto"/>
              </w:divBdr>
              <w:divsChild>
                <w:div w:id="204991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272439">
      <w:bodyDiv w:val="1"/>
      <w:marLeft w:val="0"/>
      <w:marRight w:val="0"/>
      <w:marTop w:val="0"/>
      <w:marBottom w:val="0"/>
      <w:divBdr>
        <w:top w:val="none" w:sz="0" w:space="0" w:color="auto"/>
        <w:left w:val="none" w:sz="0" w:space="0" w:color="auto"/>
        <w:bottom w:val="none" w:sz="0" w:space="0" w:color="auto"/>
        <w:right w:val="none" w:sz="0" w:space="0" w:color="auto"/>
      </w:divBdr>
    </w:div>
    <w:div w:id="787430786">
      <w:bodyDiv w:val="1"/>
      <w:marLeft w:val="0"/>
      <w:marRight w:val="0"/>
      <w:marTop w:val="0"/>
      <w:marBottom w:val="0"/>
      <w:divBdr>
        <w:top w:val="none" w:sz="0" w:space="0" w:color="auto"/>
        <w:left w:val="none" w:sz="0" w:space="0" w:color="auto"/>
        <w:bottom w:val="none" w:sz="0" w:space="0" w:color="auto"/>
        <w:right w:val="none" w:sz="0" w:space="0" w:color="auto"/>
      </w:divBdr>
      <w:divsChild>
        <w:div w:id="1752581299">
          <w:marLeft w:val="0"/>
          <w:marRight w:val="0"/>
          <w:marTop w:val="0"/>
          <w:marBottom w:val="0"/>
          <w:divBdr>
            <w:top w:val="none" w:sz="0" w:space="0" w:color="auto"/>
            <w:left w:val="none" w:sz="0" w:space="0" w:color="auto"/>
            <w:bottom w:val="none" w:sz="0" w:space="0" w:color="auto"/>
            <w:right w:val="none" w:sz="0" w:space="0" w:color="auto"/>
          </w:divBdr>
          <w:divsChild>
            <w:div w:id="786892396">
              <w:marLeft w:val="0"/>
              <w:marRight w:val="0"/>
              <w:marTop w:val="0"/>
              <w:marBottom w:val="0"/>
              <w:divBdr>
                <w:top w:val="none" w:sz="0" w:space="0" w:color="auto"/>
                <w:left w:val="none" w:sz="0" w:space="0" w:color="auto"/>
                <w:bottom w:val="none" w:sz="0" w:space="0" w:color="auto"/>
                <w:right w:val="none" w:sz="0" w:space="0" w:color="auto"/>
              </w:divBdr>
              <w:divsChild>
                <w:div w:id="167394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968670">
      <w:bodyDiv w:val="1"/>
      <w:marLeft w:val="0"/>
      <w:marRight w:val="0"/>
      <w:marTop w:val="0"/>
      <w:marBottom w:val="0"/>
      <w:divBdr>
        <w:top w:val="none" w:sz="0" w:space="0" w:color="auto"/>
        <w:left w:val="none" w:sz="0" w:space="0" w:color="auto"/>
        <w:bottom w:val="none" w:sz="0" w:space="0" w:color="auto"/>
        <w:right w:val="none" w:sz="0" w:space="0" w:color="auto"/>
      </w:divBdr>
      <w:divsChild>
        <w:div w:id="1944608829">
          <w:marLeft w:val="0"/>
          <w:marRight w:val="0"/>
          <w:marTop w:val="0"/>
          <w:marBottom w:val="0"/>
          <w:divBdr>
            <w:top w:val="none" w:sz="0" w:space="0" w:color="auto"/>
            <w:left w:val="none" w:sz="0" w:space="0" w:color="auto"/>
            <w:bottom w:val="none" w:sz="0" w:space="0" w:color="auto"/>
            <w:right w:val="none" w:sz="0" w:space="0" w:color="auto"/>
          </w:divBdr>
          <w:divsChild>
            <w:div w:id="392970204">
              <w:marLeft w:val="0"/>
              <w:marRight w:val="0"/>
              <w:marTop w:val="0"/>
              <w:marBottom w:val="0"/>
              <w:divBdr>
                <w:top w:val="none" w:sz="0" w:space="0" w:color="auto"/>
                <w:left w:val="none" w:sz="0" w:space="0" w:color="auto"/>
                <w:bottom w:val="none" w:sz="0" w:space="0" w:color="auto"/>
                <w:right w:val="none" w:sz="0" w:space="0" w:color="auto"/>
              </w:divBdr>
              <w:divsChild>
                <w:div w:id="183818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481263">
      <w:bodyDiv w:val="1"/>
      <w:marLeft w:val="0"/>
      <w:marRight w:val="0"/>
      <w:marTop w:val="0"/>
      <w:marBottom w:val="0"/>
      <w:divBdr>
        <w:top w:val="none" w:sz="0" w:space="0" w:color="auto"/>
        <w:left w:val="none" w:sz="0" w:space="0" w:color="auto"/>
        <w:bottom w:val="none" w:sz="0" w:space="0" w:color="auto"/>
        <w:right w:val="none" w:sz="0" w:space="0" w:color="auto"/>
      </w:divBdr>
      <w:divsChild>
        <w:div w:id="734666362">
          <w:marLeft w:val="0"/>
          <w:marRight w:val="0"/>
          <w:marTop w:val="0"/>
          <w:marBottom w:val="0"/>
          <w:divBdr>
            <w:top w:val="none" w:sz="0" w:space="0" w:color="auto"/>
            <w:left w:val="none" w:sz="0" w:space="0" w:color="auto"/>
            <w:bottom w:val="none" w:sz="0" w:space="0" w:color="auto"/>
            <w:right w:val="none" w:sz="0" w:space="0" w:color="auto"/>
          </w:divBdr>
          <w:divsChild>
            <w:div w:id="671025527">
              <w:marLeft w:val="0"/>
              <w:marRight w:val="0"/>
              <w:marTop w:val="0"/>
              <w:marBottom w:val="0"/>
              <w:divBdr>
                <w:top w:val="none" w:sz="0" w:space="0" w:color="auto"/>
                <w:left w:val="none" w:sz="0" w:space="0" w:color="auto"/>
                <w:bottom w:val="none" w:sz="0" w:space="0" w:color="auto"/>
                <w:right w:val="none" w:sz="0" w:space="0" w:color="auto"/>
              </w:divBdr>
              <w:divsChild>
                <w:div w:id="58637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596180">
      <w:bodyDiv w:val="1"/>
      <w:marLeft w:val="0"/>
      <w:marRight w:val="0"/>
      <w:marTop w:val="0"/>
      <w:marBottom w:val="0"/>
      <w:divBdr>
        <w:top w:val="none" w:sz="0" w:space="0" w:color="auto"/>
        <w:left w:val="none" w:sz="0" w:space="0" w:color="auto"/>
        <w:bottom w:val="none" w:sz="0" w:space="0" w:color="auto"/>
        <w:right w:val="none" w:sz="0" w:space="0" w:color="auto"/>
      </w:divBdr>
    </w:div>
    <w:div w:id="1037390356">
      <w:bodyDiv w:val="1"/>
      <w:marLeft w:val="0"/>
      <w:marRight w:val="0"/>
      <w:marTop w:val="0"/>
      <w:marBottom w:val="0"/>
      <w:divBdr>
        <w:top w:val="none" w:sz="0" w:space="0" w:color="auto"/>
        <w:left w:val="none" w:sz="0" w:space="0" w:color="auto"/>
        <w:bottom w:val="none" w:sz="0" w:space="0" w:color="auto"/>
        <w:right w:val="none" w:sz="0" w:space="0" w:color="auto"/>
      </w:divBdr>
      <w:divsChild>
        <w:div w:id="1584024406">
          <w:marLeft w:val="0"/>
          <w:marRight w:val="0"/>
          <w:marTop w:val="0"/>
          <w:marBottom w:val="0"/>
          <w:divBdr>
            <w:top w:val="none" w:sz="0" w:space="0" w:color="auto"/>
            <w:left w:val="none" w:sz="0" w:space="0" w:color="auto"/>
            <w:bottom w:val="none" w:sz="0" w:space="0" w:color="auto"/>
            <w:right w:val="none" w:sz="0" w:space="0" w:color="auto"/>
          </w:divBdr>
          <w:divsChild>
            <w:div w:id="1588540415">
              <w:marLeft w:val="0"/>
              <w:marRight w:val="0"/>
              <w:marTop w:val="0"/>
              <w:marBottom w:val="0"/>
              <w:divBdr>
                <w:top w:val="none" w:sz="0" w:space="0" w:color="auto"/>
                <w:left w:val="none" w:sz="0" w:space="0" w:color="auto"/>
                <w:bottom w:val="none" w:sz="0" w:space="0" w:color="auto"/>
                <w:right w:val="none" w:sz="0" w:space="0" w:color="auto"/>
              </w:divBdr>
              <w:divsChild>
                <w:div w:id="150582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468207">
      <w:bodyDiv w:val="1"/>
      <w:marLeft w:val="0"/>
      <w:marRight w:val="0"/>
      <w:marTop w:val="0"/>
      <w:marBottom w:val="0"/>
      <w:divBdr>
        <w:top w:val="none" w:sz="0" w:space="0" w:color="auto"/>
        <w:left w:val="none" w:sz="0" w:space="0" w:color="auto"/>
        <w:bottom w:val="none" w:sz="0" w:space="0" w:color="auto"/>
        <w:right w:val="none" w:sz="0" w:space="0" w:color="auto"/>
      </w:divBdr>
    </w:div>
    <w:div w:id="1126780391">
      <w:bodyDiv w:val="1"/>
      <w:marLeft w:val="0"/>
      <w:marRight w:val="0"/>
      <w:marTop w:val="0"/>
      <w:marBottom w:val="0"/>
      <w:divBdr>
        <w:top w:val="none" w:sz="0" w:space="0" w:color="auto"/>
        <w:left w:val="none" w:sz="0" w:space="0" w:color="auto"/>
        <w:bottom w:val="none" w:sz="0" w:space="0" w:color="auto"/>
        <w:right w:val="none" w:sz="0" w:space="0" w:color="auto"/>
      </w:divBdr>
    </w:div>
    <w:div w:id="1294018530">
      <w:bodyDiv w:val="1"/>
      <w:marLeft w:val="0"/>
      <w:marRight w:val="0"/>
      <w:marTop w:val="0"/>
      <w:marBottom w:val="0"/>
      <w:divBdr>
        <w:top w:val="none" w:sz="0" w:space="0" w:color="auto"/>
        <w:left w:val="none" w:sz="0" w:space="0" w:color="auto"/>
        <w:bottom w:val="none" w:sz="0" w:space="0" w:color="auto"/>
        <w:right w:val="none" w:sz="0" w:space="0" w:color="auto"/>
      </w:divBdr>
    </w:div>
    <w:div w:id="1335765505">
      <w:bodyDiv w:val="1"/>
      <w:marLeft w:val="0"/>
      <w:marRight w:val="0"/>
      <w:marTop w:val="0"/>
      <w:marBottom w:val="0"/>
      <w:divBdr>
        <w:top w:val="none" w:sz="0" w:space="0" w:color="auto"/>
        <w:left w:val="none" w:sz="0" w:space="0" w:color="auto"/>
        <w:bottom w:val="none" w:sz="0" w:space="0" w:color="auto"/>
        <w:right w:val="none" w:sz="0" w:space="0" w:color="auto"/>
      </w:divBdr>
      <w:divsChild>
        <w:div w:id="282468997">
          <w:marLeft w:val="0"/>
          <w:marRight w:val="0"/>
          <w:marTop w:val="0"/>
          <w:marBottom w:val="0"/>
          <w:divBdr>
            <w:top w:val="none" w:sz="0" w:space="0" w:color="auto"/>
            <w:left w:val="none" w:sz="0" w:space="0" w:color="auto"/>
            <w:bottom w:val="none" w:sz="0" w:space="0" w:color="auto"/>
            <w:right w:val="none" w:sz="0" w:space="0" w:color="auto"/>
          </w:divBdr>
          <w:divsChild>
            <w:div w:id="369301072">
              <w:marLeft w:val="0"/>
              <w:marRight w:val="0"/>
              <w:marTop w:val="0"/>
              <w:marBottom w:val="0"/>
              <w:divBdr>
                <w:top w:val="none" w:sz="0" w:space="0" w:color="auto"/>
                <w:left w:val="none" w:sz="0" w:space="0" w:color="auto"/>
                <w:bottom w:val="none" w:sz="0" w:space="0" w:color="auto"/>
                <w:right w:val="none" w:sz="0" w:space="0" w:color="auto"/>
              </w:divBdr>
              <w:divsChild>
                <w:div w:id="32061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701955">
      <w:bodyDiv w:val="1"/>
      <w:marLeft w:val="0"/>
      <w:marRight w:val="0"/>
      <w:marTop w:val="0"/>
      <w:marBottom w:val="0"/>
      <w:divBdr>
        <w:top w:val="none" w:sz="0" w:space="0" w:color="auto"/>
        <w:left w:val="none" w:sz="0" w:space="0" w:color="auto"/>
        <w:bottom w:val="none" w:sz="0" w:space="0" w:color="auto"/>
        <w:right w:val="none" w:sz="0" w:space="0" w:color="auto"/>
      </w:divBdr>
      <w:divsChild>
        <w:div w:id="479923383">
          <w:marLeft w:val="0"/>
          <w:marRight w:val="0"/>
          <w:marTop w:val="0"/>
          <w:marBottom w:val="0"/>
          <w:divBdr>
            <w:top w:val="none" w:sz="0" w:space="0" w:color="auto"/>
            <w:left w:val="none" w:sz="0" w:space="0" w:color="auto"/>
            <w:bottom w:val="none" w:sz="0" w:space="0" w:color="auto"/>
            <w:right w:val="none" w:sz="0" w:space="0" w:color="auto"/>
          </w:divBdr>
          <w:divsChild>
            <w:div w:id="549999946">
              <w:marLeft w:val="0"/>
              <w:marRight w:val="0"/>
              <w:marTop w:val="0"/>
              <w:marBottom w:val="0"/>
              <w:divBdr>
                <w:top w:val="none" w:sz="0" w:space="0" w:color="auto"/>
                <w:left w:val="none" w:sz="0" w:space="0" w:color="auto"/>
                <w:bottom w:val="none" w:sz="0" w:space="0" w:color="auto"/>
                <w:right w:val="none" w:sz="0" w:space="0" w:color="auto"/>
              </w:divBdr>
              <w:divsChild>
                <w:div w:id="115818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994482">
      <w:bodyDiv w:val="1"/>
      <w:marLeft w:val="0"/>
      <w:marRight w:val="0"/>
      <w:marTop w:val="0"/>
      <w:marBottom w:val="0"/>
      <w:divBdr>
        <w:top w:val="none" w:sz="0" w:space="0" w:color="auto"/>
        <w:left w:val="none" w:sz="0" w:space="0" w:color="auto"/>
        <w:bottom w:val="none" w:sz="0" w:space="0" w:color="auto"/>
        <w:right w:val="none" w:sz="0" w:space="0" w:color="auto"/>
      </w:divBdr>
    </w:div>
    <w:div w:id="1562132611">
      <w:bodyDiv w:val="1"/>
      <w:marLeft w:val="0"/>
      <w:marRight w:val="0"/>
      <w:marTop w:val="0"/>
      <w:marBottom w:val="0"/>
      <w:divBdr>
        <w:top w:val="none" w:sz="0" w:space="0" w:color="auto"/>
        <w:left w:val="none" w:sz="0" w:space="0" w:color="auto"/>
        <w:bottom w:val="none" w:sz="0" w:space="0" w:color="auto"/>
        <w:right w:val="none" w:sz="0" w:space="0" w:color="auto"/>
      </w:divBdr>
    </w:div>
    <w:div w:id="1629117640">
      <w:bodyDiv w:val="1"/>
      <w:marLeft w:val="0"/>
      <w:marRight w:val="0"/>
      <w:marTop w:val="0"/>
      <w:marBottom w:val="0"/>
      <w:divBdr>
        <w:top w:val="none" w:sz="0" w:space="0" w:color="auto"/>
        <w:left w:val="none" w:sz="0" w:space="0" w:color="auto"/>
        <w:bottom w:val="none" w:sz="0" w:space="0" w:color="auto"/>
        <w:right w:val="none" w:sz="0" w:space="0" w:color="auto"/>
      </w:divBdr>
      <w:divsChild>
        <w:div w:id="307126625">
          <w:marLeft w:val="0"/>
          <w:marRight w:val="0"/>
          <w:marTop w:val="0"/>
          <w:marBottom w:val="0"/>
          <w:divBdr>
            <w:top w:val="none" w:sz="0" w:space="0" w:color="auto"/>
            <w:left w:val="none" w:sz="0" w:space="0" w:color="auto"/>
            <w:bottom w:val="none" w:sz="0" w:space="0" w:color="auto"/>
            <w:right w:val="none" w:sz="0" w:space="0" w:color="auto"/>
          </w:divBdr>
          <w:divsChild>
            <w:div w:id="1748922386">
              <w:marLeft w:val="0"/>
              <w:marRight w:val="0"/>
              <w:marTop w:val="0"/>
              <w:marBottom w:val="0"/>
              <w:divBdr>
                <w:top w:val="none" w:sz="0" w:space="0" w:color="auto"/>
                <w:left w:val="none" w:sz="0" w:space="0" w:color="auto"/>
                <w:bottom w:val="none" w:sz="0" w:space="0" w:color="auto"/>
                <w:right w:val="none" w:sz="0" w:space="0" w:color="auto"/>
              </w:divBdr>
              <w:divsChild>
                <w:div w:id="60970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527154">
      <w:bodyDiv w:val="1"/>
      <w:marLeft w:val="0"/>
      <w:marRight w:val="0"/>
      <w:marTop w:val="0"/>
      <w:marBottom w:val="0"/>
      <w:divBdr>
        <w:top w:val="none" w:sz="0" w:space="0" w:color="auto"/>
        <w:left w:val="none" w:sz="0" w:space="0" w:color="auto"/>
        <w:bottom w:val="none" w:sz="0" w:space="0" w:color="auto"/>
        <w:right w:val="none" w:sz="0" w:space="0" w:color="auto"/>
      </w:divBdr>
    </w:div>
    <w:div w:id="1863008593">
      <w:bodyDiv w:val="1"/>
      <w:marLeft w:val="0"/>
      <w:marRight w:val="0"/>
      <w:marTop w:val="0"/>
      <w:marBottom w:val="0"/>
      <w:divBdr>
        <w:top w:val="none" w:sz="0" w:space="0" w:color="auto"/>
        <w:left w:val="none" w:sz="0" w:space="0" w:color="auto"/>
        <w:bottom w:val="none" w:sz="0" w:space="0" w:color="auto"/>
        <w:right w:val="none" w:sz="0" w:space="0" w:color="auto"/>
      </w:divBdr>
    </w:div>
    <w:div w:id="1977298911">
      <w:bodyDiv w:val="1"/>
      <w:marLeft w:val="0"/>
      <w:marRight w:val="0"/>
      <w:marTop w:val="0"/>
      <w:marBottom w:val="0"/>
      <w:divBdr>
        <w:top w:val="none" w:sz="0" w:space="0" w:color="auto"/>
        <w:left w:val="none" w:sz="0" w:space="0" w:color="auto"/>
        <w:bottom w:val="none" w:sz="0" w:space="0" w:color="auto"/>
        <w:right w:val="none" w:sz="0" w:space="0" w:color="auto"/>
      </w:divBdr>
    </w:div>
    <w:div w:id="2007241729">
      <w:bodyDiv w:val="1"/>
      <w:marLeft w:val="0"/>
      <w:marRight w:val="0"/>
      <w:marTop w:val="0"/>
      <w:marBottom w:val="0"/>
      <w:divBdr>
        <w:top w:val="none" w:sz="0" w:space="0" w:color="auto"/>
        <w:left w:val="none" w:sz="0" w:space="0" w:color="auto"/>
        <w:bottom w:val="none" w:sz="0" w:space="0" w:color="auto"/>
        <w:right w:val="none" w:sz="0" w:space="0" w:color="auto"/>
      </w:divBdr>
      <w:divsChild>
        <w:div w:id="1797722623">
          <w:marLeft w:val="0"/>
          <w:marRight w:val="0"/>
          <w:marTop w:val="0"/>
          <w:marBottom w:val="0"/>
          <w:divBdr>
            <w:top w:val="none" w:sz="0" w:space="0" w:color="auto"/>
            <w:left w:val="none" w:sz="0" w:space="0" w:color="auto"/>
            <w:bottom w:val="none" w:sz="0" w:space="0" w:color="auto"/>
            <w:right w:val="none" w:sz="0" w:space="0" w:color="auto"/>
          </w:divBdr>
          <w:divsChild>
            <w:div w:id="1658655094">
              <w:marLeft w:val="0"/>
              <w:marRight w:val="0"/>
              <w:marTop w:val="0"/>
              <w:marBottom w:val="0"/>
              <w:divBdr>
                <w:top w:val="none" w:sz="0" w:space="0" w:color="auto"/>
                <w:left w:val="none" w:sz="0" w:space="0" w:color="auto"/>
                <w:bottom w:val="none" w:sz="0" w:space="0" w:color="auto"/>
                <w:right w:val="none" w:sz="0" w:space="0" w:color="auto"/>
              </w:divBdr>
              <w:divsChild>
                <w:div w:id="1317877593">
                  <w:marLeft w:val="0"/>
                  <w:marRight w:val="0"/>
                  <w:marTop w:val="0"/>
                  <w:marBottom w:val="0"/>
                  <w:divBdr>
                    <w:top w:val="none" w:sz="0" w:space="0" w:color="auto"/>
                    <w:left w:val="none" w:sz="0" w:space="0" w:color="auto"/>
                    <w:bottom w:val="none" w:sz="0" w:space="0" w:color="auto"/>
                    <w:right w:val="none" w:sz="0" w:space="0" w:color="auto"/>
                  </w:divBdr>
                  <w:divsChild>
                    <w:div w:id="88089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392909">
      <w:bodyDiv w:val="1"/>
      <w:marLeft w:val="0"/>
      <w:marRight w:val="0"/>
      <w:marTop w:val="0"/>
      <w:marBottom w:val="0"/>
      <w:divBdr>
        <w:top w:val="none" w:sz="0" w:space="0" w:color="auto"/>
        <w:left w:val="none" w:sz="0" w:space="0" w:color="auto"/>
        <w:bottom w:val="none" w:sz="0" w:space="0" w:color="auto"/>
        <w:right w:val="none" w:sz="0" w:space="0" w:color="auto"/>
      </w:divBdr>
      <w:divsChild>
        <w:div w:id="1609042197">
          <w:marLeft w:val="0"/>
          <w:marRight w:val="0"/>
          <w:marTop w:val="0"/>
          <w:marBottom w:val="0"/>
          <w:divBdr>
            <w:top w:val="none" w:sz="0" w:space="0" w:color="auto"/>
            <w:left w:val="none" w:sz="0" w:space="0" w:color="auto"/>
            <w:bottom w:val="none" w:sz="0" w:space="0" w:color="auto"/>
            <w:right w:val="none" w:sz="0" w:space="0" w:color="auto"/>
          </w:divBdr>
          <w:divsChild>
            <w:div w:id="160005411">
              <w:marLeft w:val="0"/>
              <w:marRight w:val="0"/>
              <w:marTop w:val="0"/>
              <w:marBottom w:val="0"/>
              <w:divBdr>
                <w:top w:val="none" w:sz="0" w:space="0" w:color="auto"/>
                <w:left w:val="none" w:sz="0" w:space="0" w:color="auto"/>
                <w:bottom w:val="none" w:sz="0" w:space="0" w:color="auto"/>
                <w:right w:val="none" w:sz="0" w:space="0" w:color="auto"/>
              </w:divBdr>
              <w:divsChild>
                <w:div w:id="200081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1373</TotalTime>
  <Pages>28</Pages>
  <Words>7247</Words>
  <Characters>41313</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Thomas</dc:creator>
  <cp:keywords/>
  <dc:description/>
  <cp:lastModifiedBy>Harriet Thomas</cp:lastModifiedBy>
  <cp:revision>138</cp:revision>
  <dcterms:created xsi:type="dcterms:W3CDTF">2019-01-16T10:30:00Z</dcterms:created>
  <dcterms:modified xsi:type="dcterms:W3CDTF">2019-03-04T14:39:00Z</dcterms:modified>
</cp:coreProperties>
</file>