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0A9AC" w14:textId="5D9D233A" w:rsidR="00222EBC" w:rsidRDefault="00000000" w:rsidP="00222EBC">
      <w:pPr>
        <w:spacing w:after="0" w:line="240" w:lineRule="auto"/>
        <w:jc w:val="left"/>
        <w:rPr>
          <w:sz w:val="72"/>
        </w:rPr>
      </w:pPr>
      <w:r>
        <w:rPr>
          <w:sz w:val="72"/>
        </w:rPr>
        <w:t xml:space="preserve">Assessment 2: </w:t>
      </w:r>
    </w:p>
    <w:p w14:paraId="19933DBE" w14:textId="61FAE1AE" w:rsidR="00E74BF6" w:rsidRDefault="00000000" w:rsidP="00222EBC">
      <w:pPr>
        <w:spacing w:after="0" w:line="240" w:lineRule="auto"/>
        <w:jc w:val="left"/>
      </w:pPr>
      <w:r>
        <w:rPr>
          <w:sz w:val="72"/>
        </w:rPr>
        <w:t>Bibliography &amp; report</w:t>
      </w:r>
      <w:r>
        <w:rPr>
          <w:color w:val="404040"/>
          <w:sz w:val="72"/>
        </w:rPr>
        <w:t xml:space="preserve"> </w:t>
      </w:r>
    </w:p>
    <w:p w14:paraId="40B46B61" w14:textId="77777777" w:rsidR="00E74BF6" w:rsidRDefault="00000000">
      <w:pPr>
        <w:spacing w:after="195" w:line="259" w:lineRule="auto"/>
        <w:ind w:left="3707" w:firstLine="0"/>
        <w:jc w:val="left"/>
      </w:pPr>
      <w:r>
        <w:rPr>
          <w:rFonts w:ascii="Calibri" w:eastAsia="Calibri" w:hAnsi="Calibri" w:cs="Calibri"/>
          <w:color w:val="404040"/>
          <w:sz w:val="36"/>
        </w:rPr>
        <w:t xml:space="preserve"> </w:t>
      </w:r>
    </w:p>
    <w:p w14:paraId="64883B68" w14:textId="77777777" w:rsidR="00E74BF6" w:rsidRDefault="00000000">
      <w:pPr>
        <w:spacing w:after="21" w:line="265" w:lineRule="auto"/>
        <w:jc w:val="left"/>
      </w:pPr>
      <w:r>
        <w:rPr>
          <w:rFonts w:ascii="Calibri" w:eastAsia="Calibri" w:hAnsi="Calibri" w:cs="Calibri"/>
          <w:b/>
          <w:color w:val="404040"/>
          <w:sz w:val="36"/>
        </w:rPr>
        <w:t>Module title</w:t>
      </w:r>
      <w:r>
        <w:rPr>
          <w:rFonts w:ascii="Calibri" w:eastAsia="Calibri" w:hAnsi="Calibri" w:cs="Calibri"/>
          <w:color w:val="404040"/>
          <w:sz w:val="36"/>
        </w:rPr>
        <w:t xml:space="preserve">: Psychology in Health and </w:t>
      </w:r>
    </w:p>
    <w:p w14:paraId="595BF672" w14:textId="77777777" w:rsidR="00E74BF6" w:rsidRDefault="00000000">
      <w:pPr>
        <w:spacing w:after="184" w:line="265" w:lineRule="auto"/>
        <w:jc w:val="left"/>
      </w:pPr>
      <w:r>
        <w:rPr>
          <w:rFonts w:ascii="Calibri" w:eastAsia="Calibri" w:hAnsi="Calibri" w:cs="Calibri"/>
          <w:color w:val="404040"/>
          <w:sz w:val="36"/>
        </w:rPr>
        <w:t xml:space="preserve">Social Care </w:t>
      </w:r>
    </w:p>
    <w:p w14:paraId="380A624F" w14:textId="77777777" w:rsidR="00E74BF6" w:rsidRDefault="00000000" w:rsidP="00222EBC">
      <w:pPr>
        <w:spacing w:after="195" w:line="259" w:lineRule="auto"/>
        <w:jc w:val="left"/>
      </w:pPr>
      <w:r>
        <w:rPr>
          <w:rFonts w:ascii="Calibri" w:eastAsia="Calibri" w:hAnsi="Calibri" w:cs="Calibri"/>
          <w:b/>
          <w:color w:val="404040"/>
          <w:sz w:val="36"/>
        </w:rPr>
        <w:t>Module code</w:t>
      </w:r>
      <w:r>
        <w:rPr>
          <w:rFonts w:ascii="Calibri" w:eastAsia="Calibri" w:hAnsi="Calibri" w:cs="Calibri"/>
          <w:color w:val="404040"/>
          <w:sz w:val="36"/>
        </w:rPr>
        <w:t xml:space="preserve">: LCHS4010 </w:t>
      </w:r>
    </w:p>
    <w:p w14:paraId="016A43F3" w14:textId="77777777" w:rsidR="00E74BF6" w:rsidRDefault="00000000">
      <w:pPr>
        <w:spacing w:after="196" w:line="259" w:lineRule="auto"/>
        <w:ind w:left="3707" w:firstLine="0"/>
        <w:jc w:val="left"/>
      </w:pPr>
      <w:r>
        <w:rPr>
          <w:rFonts w:ascii="Calibri" w:eastAsia="Calibri" w:hAnsi="Calibri" w:cs="Calibri"/>
          <w:color w:val="404040"/>
          <w:sz w:val="36"/>
        </w:rPr>
        <w:t xml:space="preserve"> </w:t>
      </w:r>
    </w:p>
    <w:p w14:paraId="64BD6D2F" w14:textId="0499DEA2" w:rsidR="00E74BF6" w:rsidRDefault="00000000">
      <w:pPr>
        <w:spacing w:after="184" w:line="265" w:lineRule="auto"/>
        <w:jc w:val="left"/>
      </w:pPr>
      <w:r>
        <w:rPr>
          <w:rFonts w:ascii="Calibri" w:eastAsia="Calibri" w:hAnsi="Calibri" w:cs="Calibri"/>
          <w:color w:val="404040"/>
          <w:sz w:val="36"/>
        </w:rPr>
        <w:t xml:space="preserve">Student name: </w:t>
      </w:r>
      <w:r w:rsidR="00222EBC">
        <w:rPr>
          <w:rFonts w:ascii="Calibri" w:eastAsia="Calibri" w:hAnsi="Calibri" w:cs="Calibri"/>
          <w:color w:val="404040"/>
          <w:sz w:val="36"/>
        </w:rPr>
        <w:t>Nasreen Akhtar Ahmed</w:t>
      </w:r>
    </w:p>
    <w:p w14:paraId="52128ED9" w14:textId="357D3A01" w:rsidR="00E74BF6" w:rsidRDefault="00000000">
      <w:pPr>
        <w:spacing w:after="184" w:line="265" w:lineRule="auto"/>
        <w:jc w:val="left"/>
        <w:rPr>
          <w:rFonts w:ascii="Calibri" w:eastAsia="Calibri" w:hAnsi="Calibri" w:cs="Calibri"/>
          <w:color w:val="404040"/>
          <w:sz w:val="36"/>
        </w:rPr>
      </w:pPr>
      <w:r>
        <w:rPr>
          <w:rFonts w:ascii="Calibri" w:eastAsia="Calibri" w:hAnsi="Calibri" w:cs="Calibri"/>
          <w:color w:val="404040"/>
          <w:sz w:val="36"/>
        </w:rPr>
        <w:t xml:space="preserve">Student ID: </w:t>
      </w:r>
      <w:r w:rsidR="00222EBC">
        <w:rPr>
          <w:rFonts w:ascii="Calibri" w:eastAsia="Calibri" w:hAnsi="Calibri" w:cs="Calibri"/>
          <w:color w:val="404040"/>
          <w:sz w:val="36"/>
        </w:rPr>
        <w:t>2428725</w:t>
      </w:r>
    </w:p>
    <w:p w14:paraId="3E3155C9" w14:textId="1B57ED7B" w:rsidR="00222EBC" w:rsidRDefault="00222EBC">
      <w:pPr>
        <w:spacing w:after="184" w:line="265" w:lineRule="auto"/>
        <w:jc w:val="left"/>
      </w:pPr>
      <w:r>
        <w:rPr>
          <w:rFonts w:ascii="Calibri" w:eastAsia="Calibri" w:hAnsi="Calibri" w:cs="Calibri"/>
          <w:color w:val="404040"/>
          <w:sz w:val="36"/>
        </w:rPr>
        <w:t>Module name: Assessment 2 Bibliography &amp; report</w:t>
      </w:r>
    </w:p>
    <w:p w14:paraId="2CFEF9EB" w14:textId="3DC4E527" w:rsidR="00E74BF6" w:rsidRPr="00222EBC" w:rsidRDefault="00000000" w:rsidP="00222EBC">
      <w:pPr>
        <w:spacing w:after="0" w:line="366" w:lineRule="auto"/>
        <w:ind w:left="0" w:right="5585" w:firstLine="0"/>
        <w:jc w:val="left"/>
        <w:rPr>
          <w:rFonts w:ascii="Calibri" w:eastAsia="Calibri" w:hAnsi="Calibri" w:cs="Calibri"/>
          <w:color w:val="404040"/>
          <w:sz w:val="36"/>
        </w:rPr>
      </w:pPr>
      <w:r>
        <w:rPr>
          <w:rFonts w:ascii="Calibri" w:eastAsia="Calibri" w:hAnsi="Calibri" w:cs="Calibri"/>
          <w:color w:val="404040"/>
          <w:sz w:val="36"/>
        </w:rPr>
        <w:t xml:space="preserve">  </w:t>
      </w:r>
      <w:r w:rsidR="00222EBC">
        <w:rPr>
          <w:rFonts w:ascii="Calibri" w:eastAsia="Calibri" w:hAnsi="Calibri" w:cs="Calibri"/>
          <w:color w:val="404040"/>
          <w:sz w:val="36"/>
        </w:rPr>
        <w:t>Date: 12/03/2026</w:t>
      </w:r>
    </w:p>
    <w:p w14:paraId="4CC6731A" w14:textId="41E56678" w:rsidR="00E74BF6" w:rsidRDefault="00000000" w:rsidP="00222EBC">
      <w:pPr>
        <w:spacing w:after="2112" w:line="265" w:lineRule="auto"/>
        <w:ind w:left="0" w:firstLine="0"/>
        <w:jc w:val="left"/>
      </w:pPr>
      <w:r>
        <w:rPr>
          <w:rFonts w:ascii="Calibri" w:eastAsia="Calibri" w:hAnsi="Calibri" w:cs="Calibri"/>
          <w:color w:val="404040"/>
          <w:sz w:val="36"/>
        </w:rPr>
        <w:t xml:space="preserve">Lecturer’s name:  </w:t>
      </w:r>
      <w:r w:rsidR="00222EBC">
        <w:rPr>
          <w:rFonts w:ascii="Calibri" w:eastAsia="Calibri" w:hAnsi="Calibri" w:cs="Calibri"/>
          <w:color w:val="404040"/>
          <w:sz w:val="36"/>
        </w:rPr>
        <w:t>Alice Dayton</w:t>
      </w:r>
    </w:p>
    <w:p w14:paraId="743A9844" w14:textId="77777777" w:rsidR="00E74BF6" w:rsidRDefault="00000000">
      <w:pPr>
        <w:spacing w:after="0" w:line="259" w:lineRule="auto"/>
        <w:ind w:left="3707" w:firstLine="0"/>
        <w:jc w:val="left"/>
      </w:pPr>
      <w:r>
        <w:rPr>
          <w:rFonts w:ascii="Calibri" w:eastAsia="Calibri" w:hAnsi="Calibri" w:cs="Calibri"/>
          <w:color w:val="4472C4"/>
          <w:sz w:val="26"/>
        </w:rPr>
        <w:t xml:space="preserve"> </w:t>
      </w:r>
    </w:p>
    <w:p w14:paraId="06F05128" w14:textId="77777777" w:rsidR="00E74BF6" w:rsidRDefault="00000000">
      <w:pPr>
        <w:pStyle w:val="Heading1"/>
        <w:spacing w:after="187"/>
        <w:ind w:left="-5"/>
      </w:pPr>
      <w:r>
        <w:t xml:space="preserve">Part A: Annotated Bibliography </w:t>
      </w:r>
    </w:p>
    <w:p w14:paraId="4C662719" w14:textId="77777777" w:rsidR="00E74BF6" w:rsidRDefault="00000000">
      <w:pPr>
        <w:spacing w:after="267" w:line="259" w:lineRule="auto"/>
        <w:ind w:left="0" w:firstLine="0"/>
        <w:jc w:val="left"/>
      </w:pPr>
      <w:r>
        <w:t xml:space="preserve"> </w:t>
      </w:r>
    </w:p>
    <w:p w14:paraId="05F6D36F" w14:textId="77777777" w:rsidR="00E74BF6" w:rsidRDefault="00000000">
      <w:pPr>
        <w:ind w:left="706" w:right="4" w:hanging="721"/>
      </w:pPr>
      <w:r>
        <w:t xml:space="preserve">McLeod, S. (2025). </w:t>
      </w:r>
      <w:r>
        <w:rPr>
          <w:i/>
        </w:rPr>
        <w:t>Erik Erikson’s Stages of Psychosocial Development</w:t>
      </w:r>
      <w:r>
        <w:t xml:space="preserve">. [online] Simply Psychology. Available at: https://www.simplypsychology.org/Erik-Erikson.html. </w:t>
      </w:r>
    </w:p>
    <w:p w14:paraId="691A0BA2" w14:textId="77777777" w:rsidR="00E74BF6" w:rsidRDefault="00000000">
      <w:pPr>
        <w:ind w:left="-5" w:right="4"/>
      </w:pPr>
      <w:r>
        <w:t xml:space="preserve">This source presents Erikson's psychosocial theory of development, with particular attention to the final stage of life, ego integrity versus despair. According to Erikson, in late adulthood, people </w:t>
      </w:r>
      <w:r>
        <w:lastRenderedPageBreak/>
        <w:t xml:space="preserve">may reflect on their lives and determine whether they have been fulfilling and worthwhile. Having ego integrity goes hand in hand with acceptance, wisdom, and psychological well-being, and failure to accomplish this stage can result in despair, regret, and fear of death. According to the source, this phase is highly affected by self-reflection, interpersonal relations, and accepting life failures and wins throughout life. </w:t>
      </w:r>
    </w:p>
    <w:p w14:paraId="273D3C8A" w14:textId="77777777" w:rsidR="00E74BF6" w:rsidRDefault="00000000">
      <w:pPr>
        <w:ind w:left="-5" w:right="4"/>
      </w:pPr>
      <w:r>
        <w:t xml:space="preserve">The source is very applicable to the health and social care practice because it offers a theoretical model relating to the emotional and psychological needs of older adults. In residential care, most people lose independence, social roles, and identity, factors that could heighten despondency. The theory by Erikson allows professionals to identify these emotional issues and the need to encourage the older adults to look back at their lives positively. The only disadvantage of this theory, though, is that it presupposes that people possess the mental capacity to review their lives, but this is not necessarily true of dementia or severely impaired persons. </w:t>
      </w:r>
    </w:p>
    <w:p w14:paraId="7348492E" w14:textId="77777777" w:rsidR="00E74BF6" w:rsidRDefault="00000000">
      <w:pPr>
        <w:spacing w:after="267" w:line="259" w:lineRule="auto"/>
        <w:ind w:left="0" w:firstLine="0"/>
        <w:jc w:val="left"/>
      </w:pPr>
      <w:r>
        <w:t xml:space="preserve"> </w:t>
      </w:r>
    </w:p>
    <w:p w14:paraId="372C5BC1" w14:textId="77777777" w:rsidR="00E74BF6" w:rsidRDefault="00000000">
      <w:pPr>
        <w:ind w:left="706" w:right="4" w:hanging="721"/>
      </w:pPr>
      <w:r>
        <w:t xml:space="preserve">Bueno-Pacheco, A., </w:t>
      </w:r>
      <w:proofErr w:type="spellStart"/>
      <w:r>
        <w:t>Satorres</w:t>
      </w:r>
      <w:proofErr w:type="spellEnd"/>
      <w:r>
        <w:t xml:space="preserve">, E., </w:t>
      </w:r>
      <w:proofErr w:type="spellStart"/>
      <w:r>
        <w:t>Delhom</w:t>
      </w:r>
      <w:proofErr w:type="spellEnd"/>
      <w:r>
        <w:t xml:space="preserve">, I. and Meléndez, J.C. (2021). Ego-integrity and its relationship with sense of coherence, satisfaction, self-efficacy, and depression. </w:t>
      </w:r>
      <w:r>
        <w:rPr>
          <w:i/>
        </w:rPr>
        <w:t>Current Psychology</w:t>
      </w:r>
      <w:r>
        <w:t xml:space="preserve">, 42(8). </w:t>
      </w:r>
      <w:proofErr w:type="spellStart"/>
      <w:proofErr w:type="gramStart"/>
      <w:r>
        <w:t>doi:https</w:t>
      </w:r>
      <w:proofErr w:type="spellEnd"/>
      <w:r>
        <w:t>://doi.org/10.1007/s12144-021-01978-z</w:t>
      </w:r>
      <w:proofErr w:type="gramEnd"/>
      <w:r>
        <w:t xml:space="preserve">. </w:t>
      </w:r>
    </w:p>
    <w:p w14:paraId="3BC8C046" w14:textId="77777777" w:rsidR="00E74BF6" w:rsidRDefault="00000000">
      <w:pPr>
        <w:ind w:left="-5" w:right="4"/>
      </w:pPr>
      <w:r>
        <w:t xml:space="preserve">This article explores the relationship of ego-integrity, which is the last phase of the </w:t>
      </w:r>
      <w:proofErr w:type="spellStart"/>
      <w:r>
        <w:t>Eriksonian</w:t>
      </w:r>
      <w:proofErr w:type="spellEnd"/>
      <w:r>
        <w:t xml:space="preserve"> theory of psychosocial development, with various psychological variables among older adults. Ego integrity, according to Erikson, is the sense of coherence in accepting your life story and fulfilment, and the other, which is despair, is regret and dissatisfaction. The paper was intended to confirm a scale of ego integrity and to investigate the relationship between ego integrity and sense of coherence, life satisfaction, self-efficacy, and depression in elderly people. </w:t>
      </w:r>
    </w:p>
    <w:p w14:paraId="1F850A02" w14:textId="77777777" w:rsidR="00E74BF6" w:rsidRDefault="00000000">
      <w:pPr>
        <w:ind w:left="-5" w:right="4"/>
      </w:pPr>
      <w:r>
        <w:t xml:space="preserve">A group of 394 elderly people had to answer a series of psychological tests, and these tests were experimentation of ego integrity, depression, self-efficacy, life satisfaction, and sense of coherence. The hierarchical model developed in the study indicated that the neurotic robustness was highly linked to increased life satisfaction, self-efficacy, and sense of coherence in the sense that the older adults who report that their lives have some sense to them are those who believe in their power and abilities. On the other hand, ego integrity was negatively associated with depression, whereas despair was positively associated with depression. </w:t>
      </w:r>
    </w:p>
    <w:p w14:paraId="4DDDBAA1" w14:textId="77777777" w:rsidR="00E74BF6" w:rsidRDefault="00000000">
      <w:pPr>
        <w:ind w:left="-5" w:right="4"/>
      </w:pPr>
      <w:r>
        <w:lastRenderedPageBreak/>
        <w:t xml:space="preserve">The authors find that encouraging such psychological assets as meaningfulness and self-efficacy can positively support successful ageing through ego integrity and depressive moods in older adults. </w:t>
      </w:r>
    </w:p>
    <w:p w14:paraId="4E4D8C67" w14:textId="77777777" w:rsidR="00E74BF6" w:rsidRDefault="00000000">
      <w:pPr>
        <w:spacing w:after="267" w:line="259" w:lineRule="auto"/>
        <w:ind w:left="0" w:firstLine="0"/>
        <w:jc w:val="left"/>
      </w:pPr>
      <w:r>
        <w:t xml:space="preserve"> </w:t>
      </w:r>
    </w:p>
    <w:p w14:paraId="10102410" w14:textId="77777777" w:rsidR="00E74BF6" w:rsidRDefault="00000000">
      <w:pPr>
        <w:ind w:left="706" w:right="4" w:hanging="721"/>
      </w:pPr>
      <w:proofErr w:type="spellStart"/>
      <w:r>
        <w:t>Stelcer</w:t>
      </w:r>
      <w:proofErr w:type="spellEnd"/>
      <w:r>
        <w:t xml:space="preserve">, B., </w:t>
      </w:r>
      <w:proofErr w:type="spellStart"/>
      <w:r>
        <w:t>Bendowska</w:t>
      </w:r>
      <w:proofErr w:type="spellEnd"/>
      <w:r>
        <w:t xml:space="preserve">, A., </w:t>
      </w:r>
      <w:proofErr w:type="spellStart"/>
      <w:r>
        <w:t>Karkowska</w:t>
      </w:r>
      <w:proofErr w:type="spellEnd"/>
      <w:r>
        <w:t xml:space="preserve">, D. and Baum, E. (2023). Supporting elderly patients in strengthening their personal and spiritual health resources. </w:t>
      </w:r>
      <w:r>
        <w:rPr>
          <w:i/>
        </w:rPr>
        <w:t>Frontiers in Psychology</w:t>
      </w:r>
      <w:r>
        <w:t xml:space="preserve">, [online] 14. </w:t>
      </w:r>
      <w:proofErr w:type="spellStart"/>
      <w:proofErr w:type="gramStart"/>
      <w:r>
        <w:t>doi:https</w:t>
      </w:r>
      <w:proofErr w:type="spellEnd"/>
      <w:r>
        <w:t>://doi.org/10.3389/fpsyg.2023.1237138</w:t>
      </w:r>
      <w:proofErr w:type="gramEnd"/>
      <w:r>
        <w:t xml:space="preserve">. </w:t>
      </w:r>
    </w:p>
    <w:p w14:paraId="564428B7" w14:textId="77777777" w:rsidR="00E74BF6" w:rsidRDefault="00000000">
      <w:pPr>
        <w:ind w:left="-5" w:right="4"/>
      </w:pPr>
      <w:r>
        <w:t xml:space="preserve">The article entitled Supporting elderly patients in strengthening their personal and spiritual health resources deals with the way psychological and spiritual elements affect the well-being of older adults in such situations as illness, ageing, and end-of-life care. It highlights that effective </w:t>
      </w:r>
      <w:proofErr w:type="gramStart"/>
      <w:r>
        <w:t>ageing</w:t>
      </w:r>
      <w:proofErr w:type="gramEnd"/>
      <w:r>
        <w:t xml:space="preserve"> and emotional resiliency cannot be attained in physical health alone but by also focusing on existential resources, which include meaning, purpose, hope, and spirituality, to help persons deal with losses related to ageing and chronic illnesses. The authors are reviewing literature that indicates that spirituality and personal meaning may serve as psychological resources to counteract stress, to improve coping, and to enhance the sense of wholeness even during significant life transitions. They contend that care workers should not just look at the management of the symptoms, but they must also seek to support the spiritual well-being and life values of the clients. In practical terms, this may include interventions to promote reflection, association with sources of meaning, and non-interference with personal belief systems, which are all consistent with Erikson's concept of ego integrity, which is the acceptance of life as meaningful and complete. </w:t>
      </w:r>
    </w:p>
    <w:p w14:paraId="0FDAE972" w14:textId="77777777" w:rsidR="00E74BF6" w:rsidRDefault="00000000">
      <w:pPr>
        <w:spacing w:after="267" w:line="259" w:lineRule="auto"/>
        <w:ind w:left="0" w:firstLine="0"/>
        <w:jc w:val="left"/>
      </w:pPr>
      <w:r>
        <w:t xml:space="preserve"> </w:t>
      </w:r>
    </w:p>
    <w:p w14:paraId="5C3A82A5" w14:textId="77777777" w:rsidR="00E74BF6" w:rsidRDefault="00000000">
      <w:pPr>
        <w:ind w:left="706" w:right="4" w:hanging="721"/>
      </w:pPr>
      <w:r>
        <w:t xml:space="preserve">Abbasi, M., Radfar, M., Hossein Jafarizadeh, and Hamidreza </w:t>
      </w:r>
      <w:proofErr w:type="spellStart"/>
      <w:r>
        <w:t>Khalkhali</w:t>
      </w:r>
      <w:proofErr w:type="spellEnd"/>
      <w:r>
        <w:t xml:space="preserve"> (2024). Does life story work based on Erikson’s theory enhance psychological well-being in elderly residents of nursing homes? A randomized controlled trial. </w:t>
      </w:r>
      <w:r>
        <w:rPr>
          <w:i/>
        </w:rPr>
        <w:t>Geriatric Nursing</w:t>
      </w:r>
      <w:r>
        <w:t xml:space="preserve">, 61, pp.140–148. </w:t>
      </w:r>
      <w:proofErr w:type="spellStart"/>
      <w:proofErr w:type="gramStart"/>
      <w:r>
        <w:t>doi:https</w:t>
      </w:r>
      <w:proofErr w:type="spellEnd"/>
      <w:r>
        <w:t>://doi.org/10.1016/j.gerinurse.2024.10.066</w:t>
      </w:r>
      <w:proofErr w:type="gramEnd"/>
      <w:r>
        <w:t xml:space="preserve">. </w:t>
      </w:r>
    </w:p>
    <w:p w14:paraId="4BB2D1AD" w14:textId="77777777" w:rsidR="00E74BF6" w:rsidRDefault="00000000">
      <w:pPr>
        <w:ind w:left="-5" w:right="4"/>
      </w:pPr>
      <w:r>
        <w:t xml:space="preserve">The researchers explore how life story work that is explicitly grounded in Erikson's psychosocial theory can influence the psychological well-being of older adults. Life story work is a highly organized intervention in which members share significant life histories as a form of therapy based on relating previous roles and accomplishments to the current image. It was a quasi-experimental trial, randomized, which randomly treated 60 elderly individuals to care as usual or a life story work group, attending six weekly meetings based on Erikson's ideas of life review and ego </w:t>
      </w:r>
      <w:r>
        <w:lastRenderedPageBreak/>
        <w:t xml:space="preserve">integrity. The Ryff Psychological Well-Being Scale was used to measure psychological well-being before and after the intervention. The findings revealed that the life story work group participants made significant improvement in overall well-being just after such a program and at a follow-up period of two months, which indicated long-term gains. There were improvements in satisfaction with life, emotional regulation, and coherence. The authors conclude that life story work based on Erikson's theory can be a useful intervention to achieve well-being in older adults in care environments, which should support the psychosocial focus on the ability to merge past experiences into a consistent sense of self. </w:t>
      </w:r>
    </w:p>
    <w:p w14:paraId="2622BC9B" w14:textId="77777777" w:rsidR="00E74BF6" w:rsidRDefault="00000000">
      <w:pPr>
        <w:spacing w:after="267" w:line="259" w:lineRule="auto"/>
        <w:ind w:left="0" w:firstLine="0"/>
        <w:jc w:val="left"/>
      </w:pPr>
      <w:r>
        <w:t xml:space="preserve"> </w:t>
      </w:r>
    </w:p>
    <w:p w14:paraId="1DAA4939" w14:textId="77777777" w:rsidR="00E74BF6" w:rsidRDefault="00000000">
      <w:pPr>
        <w:spacing w:after="264" w:line="259" w:lineRule="auto"/>
        <w:ind w:left="-5"/>
        <w:jc w:val="left"/>
      </w:pPr>
      <w:r>
        <w:rPr>
          <w:b/>
        </w:rPr>
        <w:t xml:space="preserve">Part B: Short Report </w:t>
      </w:r>
    </w:p>
    <w:p w14:paraId="28C7CB0D" w14:textId="77777777" w:rsidR="00E74BF6" w:rsidRDefault="00000000">
      <w:pPr>
        <w:pStyle w:val="Heading1"/>
        <w:ind w:left="-5"/>
      </w:pPr>
      <w:r>
        <w:t xml:space="preserve">Introduction </w:t>
      </w:r>
    </w:p>
    <w:p w14:paraId="13C5862B" w14:textId="77777777" w:rsidR="00E74BF6" w:rsidRDefault="00000000">
      <w:pPr>
        <w:ind w:left="-5" w:right="4"/>
      </w:pPr>
      <w:r>
        <w:t xml:space="preserve">Quality of life among older adults in residential care facilities is an element that greatly depends on psychological well-being. In addition to physical health issues, most elderly individuals experience loss of independence, bereavement, social isolation, and identity changes, which could adversely impact mental health (Reynolds et al., 2022). The psychosocial theory of development offers a framework that can be used in the study of the emotional and psychological needs of an elderly person. Specifically, the last developmental phase, ego integrity versus despair, revolves around the way people look back on their lives and accept in old age and death (Stokke, 2024). The report discusses the application of Erikson's theory to the care home of older adults to improve psychological well-being and presents this through a real-life case scenario, a challenge that a professional might encounter, and a solution that can be adopted to resolve the challenge. </w:t>
      </w:r>
    </w:p>
    <w:p w14:paraId="1BB8EE4C" w14:textId="77777777" w:rsidR="00E74BF6" w:rsidRDefault="00000000">
      <w:pPr>
        <w:pStyle w:val="Heading1"/>
        <w:ind w:left="-5"/>
      </w:pPr>
      <w:r>
        <w:t xml:space="preserve">Erikson’s Ego Integrity versus Despair </w:t>
      </w:r>
    </w:p>
    <w:p w14:paraId="209AA8D0" w14:textId="77777777" w:rsidR="00E74BF6" w:rsidRDefault="00000000">
      <w:pPr>
        <w:ind w:left="-5" w:right="4"/>
      </w:pPr>
      <w:r>
        <w:t xml:space="preserve">Late adulthood is a psychosocial conflict between ego integrity and despair (Van Der </w:t>
      </w:r>
      <w:proofErr w:type="spellStart"/>
      <w:r>
        <w:t>KaapDeeder</w:t>
      </w:r>
      <w:proofErr w:type="spellEnd"/>
      <w:r>
        <w:t xml:space="preserve"> et al., 2021). Ego integrity happens when a person can look back on their life with acceptance, meaning, and satisfaction, being able to see both their successes and failures as elements of a consistent life narrative. On the contrary, hopelessness occurs when people develop regret, disappointment, or bitterness over their past, which is usually supported by fear of death and lack of hope (Kwong, 2023). Positive psychological effects of ego integrity achievement, such as emotional stability, wisdom, and life satisfaction, and despair, have been related to depression, anxiety, and poorer well-being. The phase is especially applicable in residential care where elderly </w:t>
      </w:r>
      <w:r>
        <w:lastRenderedPageBreak/>
        <w:t xml:space="preserve">adults might have more time to reflect, and furthermore, they might experience more losses, which can cause feelings of desperation if they are not treated properly (Majid Yousefi </w:t>
      </w:r>
      <w:proofErr w:type="spellStart"/>
      <w:r>
        <w:t>Afrashteh</w:t>
      </w:r>
      <w:proofErr w:type="spellEnd"/>
      <w:r>
        <w:t xml:space="preserve"> et al., 2024). </w:t>
      </w:r>
    </w:p>
    <w:p w14:paraId="684AE6D0" w14:textId="77777777" w:rsidR="00E74BF6" w:rsidRDefault="00000000">
      <w:pPr>
        <w:pStyle w:val="Heading1"/>
        <w:ind w:left="-5"/>
      </w:pPr>
      <w:r>
        <w:t xml:space="preserve">Applying Erikson’s Theory in Residential Care </w:t>
      </w:r>
    </w:p>
    <w:p w14:paraId="1C859CB2" w14:textId="77777777" w:rsidR="00E74BF6" w:rsidRDefault="00000000">
      <w:pPr>
        <w:ind w:left="-5" w:right="4"/>
      </w:pPr>
      <w:r>
        <w:t xml:space="preserve">Health and social care professionals can use Erikson's theory by providing opportunities for seniors to reflect, </w:t>
      </w:r>
      <w:proofErr w:type="gramStart"/>
      <w:r>
        <w:t>meaning-making</w:t>
      </w:r>
      <w:proofErr w:type="gramEnd"/>
      <w:r>
        <w:t xml:space="preserve">, and identity preservation (Dent, 2025). One approach that works well is the use of life review or reminiscence activities, in which residents are asked to share memories and talk about significant life events and reflect on their personal values and achievements. These activities can be taught in one-to-one situations, through group discussions, or by using creative approaches (memory book, photographs, or storytelling). </w:t>
      </w:r>
    </w:p>
    <w:p w14:paraId="4CD9180E" w14:textId="77777777" w:rsidR="00E74BF6" w:rsidRDefault="00000000">
      <w:pPr>
        <w:ind w:left="-5" w:right="4"/>
      </w:pPr>
      <w:r>
        <w:t xml:space="preserve">Supporting ego integrity also means supporting dignity, respect, and autonomy in the day-to-day care. Allowing residents to make their own choices, acknowledging their life experiences, and including them in meaningful activity can help to reinforce a sense of purpose and self-worth (Hughes, 2023). By using Erikson's theory in this manner, care professionals can support residents in positively assimilating their life experiences, with fewer feelings of despair and greater emotional well-being (Abbasi et al., 2024). </w:t>
      </w:r>
    </w:p>
    <w:p w14:paraId="3F7C9E30" w14:textId="77777777" w:rsidR="00E74BF6" w:rsidRDefault="00000000">
      <w:pPr>
        <w:pStyle w:val="Heading1"/>
        <w:ind w:left="-5"/>
      </w:pPr>
      <w:r>
        <w:t xml:space="preserve">Case Scenario </w:t>
      </w:r>
    </w:p>
    <w:p w14:paraId="2ACD6DC2" w14:textId="77777777" w:rsidR="00E74BF6" w:rsidRDefault="00000000">
      <w:pPr>
        <w:ind w:left="-5" w:right="4"/>
      </w:pPr>
      <w:r>
        <w:t xml:space="preserve">Mrs A is an 82-year-old resident of a residential care facility after experiencing the deterioration of mobility. She is no longer outgoing since she moved into the house and has been known on many occasions repenting of the choices she made and how she feels her life did not mean much. Care workers present an organized review of life intervention as a theory proposed by Erikson, under which Mrs A meets her key worker once a week and talks with him about various life periods, including her career, family, and personal success. With informed thought, Mrs A starts to realise the worth of her input as a parent and a member of the community. With time, she starts to get occupied in social life and states that she feels more content with her life. The case demonstrates that the promotion of ego integrity may result in better psychological health among elderly individuals. </w:t>
      </w:r>
    </w:p>
    <w:p w14:paraId="25F8688C" w14:textId="77777777" w:rsidR="00E74BF6" w:rsidRDefault="00000000">
      <w:pPr>
        <w:pStyle w:val="Heading1"/>
        <w:ind w:left="-5"/>
      </w:pPr>
      <w:r>
        <w:t xml:space="preserve">Challenge and Strategy </w:t>
      </w:r>
    </w:p>
    <w:p w14:paraId="45CF77C2" w14:textId="77777777" w:rsidR="00E74BF6" w:rsidRDefault="00000000">
      <w:pPr>
        <w:ind w:left="-5" w:right="4"/>
      </w:pPr>
      <w:r>
        <w:t xml:space="preserve">One potential challenge for professionals in applying Erikson's theory may be cognitive impairment, such as dementia, which may challenge an individual's capacity for structured </w:t>
      </w:r>
      <w:r>
        <w:lastRenderedPageBreak/>
        <w:t>reflection (Mazaheri and Norberg, 2021). This may make traditional life review activities difficult or frustrating for some of the residents. To tackle this challenge, care professionals can modify interventions to include adapted, simplified forms that use sensory approaches, such as music, familiar objects, pictures, or brief prompts that elicit positive emotions (as opposed to detailed narratives). Involvement of family members as well as taking a flexible, person-centred approach can also help ensure that all residents, regardless of cognitive ability, are supported in a way that promotes emotional comfort and dignity (</w:t>
      </w:r>
      <w:proofErr w:type="spellStart"/>
      <w:r>
        <w:t>Roos</w:t>
      </w:r>
      <w:proofErr w:type="spellEnd"/>
      <w:r>
        <w:t xml:space="preserve"> et al., 2022). </w:t>
      </w:r>
    </w:p>
    <w:p w14:paraId="43323075" w14:textId="77777777" w:rsidR="00E74BF6" w:rsidRDefault="00000000">
      <w:pPr>
        <w:pStyle w:val="Heading1"/>
        <w:ind w:left="-5"/>
      </w:pPr>
      <w:r>
        <w:t xml:space="preserve">Conclusion </w:t>
      </w:r>
    </w:p>
    <w:p w14:paraId="7779D051" w14:textId="77777777" w:rsidR="00E74BF6" w:rsidRDefault="00000000">
      <w:pPr>
        <w:ind w:left="-5" w:right="4"/>
      </w:pPr>
      <w:r>
        <w:t xml:space="preserve">Erikson's psychosocial theory provides a useful framework for understanding and promoting the psychological well-being of older people in residential care (Abbasi et al., 2024). By encouraging ego integrity through reflective and person-centred practices, care professionals can help to reduce despair and improve emotional well-being. Despite the challenges, such as cognitive decline, the adaptation of intervention can ensure that Erikson's theory still holds relevance and usefulness in health and social care contexts. </w:t>
      </w:r>
    </w:p>
    <w:p w14:paraId="1739AF23" w14:textId="77777777" w:rsidR="00E74BF6" w:rsidRDefault="00000000">
      <w:pPr>
        <w:pStyle w:val="Heading1"/>
        <w:ind w:left="-5"/>
      </w:pPr>
      <w:r>
        <w:t xml:space="preserve">Reference list </w:t>
      </w:r>
    </w:p>
    <w:p w14:paraId="1B0080FF" w14:textId="77777777" w:rsidR="00E74BF6" w:rsidRDefault="00000000">
      <w:pPr>
        <w:ind w:left="706" w:right="4" w:hanging="721"/>
      </w:pPr>
      <w:r>
        <w:t xml:space="preserve">Abbasi, M., Radfar, M., Hossein Jafarizadeh, and Hamidreza </w:t>
      </w:r>
      <w:proofErr w:type="spellStart"/>
      <w:r>
        <w:t>Khalkhali</w:t>
      </w:r>
      <w:proofErr w:type="spellEnd"/>
      <w:r>
        <w:t xml:space="preserve"> (2024). Does life story work based on Erikson’s theory enhance psychological well-being in elderly residents of nursing homes? A randomized controlled trial. </w:t>
      </w:r>
      <w:r>
        <w:rPr>
          <w:i/>
        </w:rPr>
        <w:t>Geriatric Nursing</w:t>
      </w:r>
      <w:r>
        <w:t xml:space="preserve">, 61, pp.140–148. </w:t>
      </w:r>
      <w:proofErr w:type="spellStart"/>
      <w:proofErr w:type="gramStart"/>
      <w:r>
        <w:t>doi:https</w:t>
      </w:r>
      <w:proofErr w:type="spellEnd"/>
      <w:r>
        <w:t>://doi.org/10.1016/j.gerinurse.2024.10.066</w:t>
      </w:r>
      <w:proofErr w:type="gramEnd"/>
      <w:r>
        <w:t xml:space="preserve">. </w:t>
      </w:r>
    </w:p>
    <w:p w14:paraId="7D6181B6" w14:textId="77777777" w:rsidR="00E74BF6" w:rsidRDefault="00000000">
      <w:pPr>
        <w:spacing w:after="127" w:line="259" w:lineRule="auto"/>
        <w:ind w:left="-15" w:right="-4" w:firstLine="0"/>
        <w:jc w:val="left"/>
      </w:pPr>
      <w:r>
        <w:t xml:space="preserve">Dent, L. (2025). </w:t>
      </w:r>
      <w:r>
        <w:rPr>
          <w:i/>
        </w:rPr>
        <w:t xml:space="preserve">Guided Integrity-Focused Template: Making Meaning for Older Adults in </w:t>
      </w:r>
    </w:p>
    <w:p w14:paraId="20BA2379" w14:textId="77777777" w:rsidR="00E74BF6" w:rsidRDefault="00000000">
      <w:pPr>
        <w:tabs>
          <w:tab w:val="center" w:pos="1262"/>
          <w:tab w:val="center" w:pos="2828"/>
          <w:tab w:val="center" w:pos="4207"/>
          <w:tab w:val="center" w:pos="6026"/>
          <w:tab w:val="center" w:pos="7915"/>
          <w:tab w:val="right" w:pos="9373"/>
        </w:tabs>
        <w:spacing w:after="114" w:line="259" w:lineRule="auto"/>
        <w:ind w:left="0" w:firstLine="0"/>
        <w:jc w:val="left"/>
      </w:pPr>
      <w:r>
        <w:rPr>
          <w:rFonts w:ascii="Calibri" w:eastAsia="Calibri" w:hAnsi="Calibri" w:cs="Calibri"/>
        </w:rPr>
        <w:tab/>
      </w:r>
      <w:r>
        <w:rPr>
          <w:i/>
        </w:rPr>
        <w:t xml:space="preserve">Residential </w:t>
      </w:r>
      <w:r>
        <w:rPr>
          <w:i/>
        </w:rPr>
        <w:tab/>
        <w:t>Care</w:t>
      </w:r>
      <w:r>
        <w:t xml:space="preserve">. </w:t>
      </w:r>
      <w:r>
        <w:tab/>
        <w:t xml:space="preserve">[online] </w:t>
      </w:r>
      <w:r>
        <w:tab/>
        <w:t xml:space="preserve">Proquest.com. </w:t>
      </w:r>
      <w:r>
        <w:tab/>
        <w:t xml:space="preserve">Available </w:t>
      </w:r>
      <w:r>
        <w:tab/>
        <w:t xml:space="preserve">at: </w:t>
      </w:r>
    </w:p>
    <w:p w14:paraId="1FEF9248" w14:textId="77777777" w:rsidR="00E74BF6" w:rsidRDefault="00000000">
      <w:pPr>
        <w:ind w:left="731" w:right="4"/>
      </w:pPr>
      <w:r>
        <w:t xml:space="preserve">https://search.proquest.com/openview/4a4a34cd3071990cf649410e4c06d25f/1?pqorigsite=gscholar&amp;cbl=18750&amp;diss=y. </w:t>
      </w:r>
    </w:p>
    <w:p w14:paraId="44CB85E9" w14:textId="77777777" w:rsidR="00E74BF6" w:rsidRDefault="00000000">
      <w:pPr>
        <w:ind w:left="706" w:right="4" w:hanging="721"/>
      </w:pPr>
      <w:r>
        <w:t xml:space="preserve">Hughes, S. (2023). </w:t>
      </w:r>
      <w:r>
        <w:rPr>
          <w:i/>
        </w:rPr>
        <w:t>Domiciliary care, self, and older age</w:t>
      </w:r>
      <w:r>
        <w:t xml:space="preserve">. [online] aru.figshare.com. Available at: https://aru.figshare.com/articles/thesis/Domiciliary_care_self_and_older_age/23760969. </w:t>
      </w:r>
    </w:p>
    <w:p w14:paraId="4EDD067F" w14:textId="77777777" w:rsidR="00E74BF6" w:rsidRDefault="00000000">
      <w:pPr>
        <w:ind w:left="706" w:right="4" w:hanging="721"/>
      </w:pPr>
      <w:r>
        <w:t xml:space="preserve">Kwong, J.M.C. (2023). Despair and Hopelessness. </w:t>
      </w:r>
      <w:r>
        <w:rPr>
          <w:i/>
        </w:rPr>
        <w:t>Journal of the American Philosophical Association</w:t>
      </w:r>
      <w:r>
        <w:t xml:space="preserve">, [online] pp.1–18. </w:t>
      </w:r>
      <w:proofErr w:type="spellStart"/>
      <w:proofErr w:type="gramStart"/>
      <w:r>
        <w:t>doi:https</w:t>
      </w:r>
      <w:proofErr w:type="spellEnd"/>
      <w:r>
        <w:t>://doi.org/10.1017/apa.2022.50</w:t>
      </w:r>
      <w:proofErr w:type="gramEnd"/>
      <w:r>
        <w:t xml:space="preserve">. </w:t>
      </w:r>
    </w:p>
    <w:p w14:paraId="104F2196" w14:textId="77777777" w:rsidR="00E74BF6" w:rsidRDefault="00000000">
      <w:pPr>
        <w:spacing w:after="18"/>
        <w:ind w:left="706" w:right="4" w:hanging="721"/>
      </w:pPr>
      <w:r>
        <w:t xml:space="preserve">Majid Yousefi Afrashteh, Mohammad Reza Majzoobi, Parisa Janjani, and </w:t>
      </w:r>
      <w:proofErr w:type="spellStart"/>
      <w:r>
        <w:t>Forstmeier</w:t>
      </w:r>
      <w:proofErr w:type="spellEnd"/>
      <w:r>
        <w:t xml:space="preserve">, S. (2024). The Relationship between the Meaning of Life, Psychological Well-Being, Self-Care, and Social Capital, with Depression and Death Anxiety in the Elderly Living in Nursing Homes: </w:t>
      </w:r>
    </w:p>
    <w:p w14:paraId="46C83D1A" w14:textId="77777777" w:rsidR="00E74BF6" w:rsidRDefault="00000000">
      <w:pPr>
        <w:ind w:left="731" w:right="4"/>
      </w:pPr>
      <w:r>
        <w:lastRenderedPageBreak/>
        <w:t xml:space="preserve">The </w:t>
      </w:r>
      <w:r>
        <w:tab/>
        <w:t xml:space="preserve">Mediating </w:t>
      </w:r>
      <w:r>
        <w:tab/>
        <w:t xml:space="preserve">Role </w:t>
      </w:r>
      <w:r>
        <w:tab/>
        <w:t xml:space="preserve">of </w:t>
      </w:r>
      <w:r>
        <w:tab/>
        <w:t xml:space="preserve">Loneliness. </w:t>
      </w:r>
      <w:r>
        <w:tab/>
      </w:r>
      <w:proofErr w:type="spellStart"/>
      <w:r>
        <w:rPr>
          <w:i/>
        </w:rPr>
        <w:t>Heliyon</w:t>
      </w:r>
      <w:proofErr w:type="spellEnd"/>
      <w:r>
        <w:t xml:space="preserve">, </w:t>
      </w:r>
      <w:r>
        <w:tab/>
      </w:r>
      <w:proofErr w:type="gramStart"/>
      <w:r>
        <w:t>pp.e</w:t>
      </w:r>
      <w:proofErr w:type="gramEnd"/>
      <w:r>
        <w:t xml:space="preserve">30124–e30124. </w:t>
      </w:r>
      <w:proofErr w:type="spellStart"/>
      <w:proofErr w:type="gramStart"/>
      <w:r>
        <w:t>doi:https</w:t>
      </w:r>
      <w:proofErr w:type="spellEnd"/>
      <w:r>
        <w:t>://doi.org/10.1016/j.heliyon.2024.e30124</w:t>
      </w:r>
      <w:proofErr w:type="gramEnd"/>
      <w:r>
        <w:t xml:space="preserve">. </w:t>
      </w:r>
    </w:p>
    <w:p w14:paraId="0ADCDE79" w14:textId="77777777" w:rsidR="00E74BF6" w:rsidRDefault="00000000">
      <w:pPr>
        <w:ind w:left="706" w:right="4" w:hanging="721"/>
      </w:pPr>
      <w:r>
        <w:t xml:space="preserve">Mazaheri, M., Kihlgren, M. and Norberg, A. (2021). Applying the theory of human development by Erik and Joan Erikson when communicating with persons with advanced dementia diseases. </w:t>
      </w:r>
      <w:r>
        <w:rPr>
          <w:i/>
        </w:rPr>
        <w:t>Nordic Journal of Nursing Research</w:t>
      </w:r>
      <w:r>
        <w:t xml:space="preserve">, 42(4), p.205715852110482. </w:t>
      </w:r>
      <w:proofErr w:type="spellStart"/>
      <w:proofErr w:type="gramStart"/>
      <w:r>
        <w:t>doi:https</w:t>
      </w:r>
      <w:proofErr w:type="spellEnd"/>
      <w:r>
        <w:t>://doi.org/10.1177/20571585211048280</w:t>
      </w:r>
      <w:proofErr w:type="gramEnd"/>
      <w:r>
        <w:t xml:space="preserve">. </w:t>
      </w:r>
    </w:p>
    <w:p w14:paraId="564F7B22" w14:textId="77777777" w:rsidR="00E74BF6" w:rsidRDefault="00000000">
      <w:pPr>
        <w:ind w:left="706" w:right="4" w:hanging="721"/>
      </w:pPr>
      <w:r>
        <w:t xml:space="preserve">Reynolds, C.F., </w:t>
      </w:r>
      <w:proofErr w:type="spellStart"/>
      <w:r>
        <w:t>Jeste</w:t>
      </w:r>
      <w:proofErr w:type="spellEnd"/>
      <w:r>
        <w:t xml:space="preserve">, D.V., Sachdev, P.S., and Blazer, D.G. (2022). Mental health care for older adults: Recent advances and new directions in clinical practice and research. </w:t>
      </w:r>
      <w:r>
        <w:rPr>
          <w:i/>
        </w:rPr>
        <w:t>World Psychiatry</w:t>
      </w:r>
      <w:r>
        <w:t xml:space="preserve">, 21(3), pp.336–363. </w:t>
      </w:r>
      <w:proofErr w:type="spellStart"/>
      <w:proofErr w:type="gramStart"/>
      <w:r>
        <w:t>doi:https</w:t>
      </w:r>
      <w:proofErr w:type="spellEnd"/>
      <w:r>
        <w:t>://doi.org/10.1002/wps.20996</w:t>
      </w:r>
      <w:proofErr w:type="gramEnd"/>
      <w:r>
        <w:t xml:space="preserve">. </w:t>
      </w:r>
    </w:p>
    <w:p w14:paraId="4233A383" w14:textId="77777777" w:rsidR="00E74BF6" w:rsidRDefault="00000000">
      <w:pPr>
        <w:ind w:left="706" w:right="4" w:hanging="721"/>
      </w:pPr>
      <w:proofErr w:type="spellStart"/>
      <w:r>
        <w:t>Roos</w:t>
      </w:r>
      <w:proofErr w:type="spellEnd"/>
      <w:r>
        <w:t xml:space="preserve">, C., Swall, A., </w:t>
      </w:r>
      <w:proofErr w:type="spellStart"/>
      <w:r>
        <w:t>Marmstål</w:t>
      </w:r>
      <w:proofErr w:type="spellEnd"/>
      <w:r>
        <w:t xml:space="preserve"> Hammar, L., Boström, A.-M. and Skytt, B. (2022). Promoting the person-centred Aspects of Dignity and well-being: Learning from Older Persons’ Experiences of Living in Residential Care Facilities. </w:t>
      </w:r>
      <w:r>
        <w:rPr>
          <w:i/>
        </w:rPr>
        <w:t>Working with Older People</w:t>
      </w:r>
      <w:r>
        <w:t xml:space="preserve">, 27(3), pp.219–229. </w:t>
      </w:r>
      <w:proofErr w:type="spellStart"/>
      <w:proofErr w:type="gramStart"/>
      <w:r>
        <w:t>doi:https</w:t>
      </w:r>
      <w:proofErr w:type="spellEnd"/>
      <w:r>
        <w:t>://doi.org/10.1108/wwop-08-2022-0034</w:t>
      </w:r>
      <w:proofErr w:type="gramEnd"/>
      <w:r>
        <w:t xml:space="preserve">. </w:t>
      </w:r>
    </w:p>
    <w:p w14:paraId="5214C276" w14:textId="77777777" w:rsidR="00E74BF6" w:rsidRDefault="00000000">
      <w:pPr>
        <w:spacing w:after="0" w:line="361" w:lineRule="auto"/>
        <w:ind w:left="716" w:right="-4" w:hanging="731"/>
        <w:jc w:val="left"/>
      </w:pPr>
      <w:r>
        <w:t xml:space="preserve">Stokke, M. (2024). </w:t>
      </w:r>
      <w:r>
        <w:rPr>
          <w:i/>
        </w:rPr>
        <w:t>Fearing the Reaper: How Ego Integrity and Perceived Health Status Predict Death Anxiety in Older Adults - ProQuest</w:t>
      </w:r>
      <w:r>
        <w:t xml:space="preserve">. [online] Proquest.com. Available at: </w:t>
      </w:r>
    </w:p>
    <w:p w14:paraId="01751BF6" w14:textId="77777777" w:rsidR="00E74BF6" w:rsidRDefault="00000000">
      <w:pPr>
        <w:ind w:left="731" w:right="4"/>
      </w:pPr>
      <w:r>
        <w:t xml:space="preserve">https://search.proquest.com/openview/6df4c2b30690ba24abaccd73703a00d6/1?pqorigsite=gscholar&amp;cbl=18750&amp;diss=y. </w:t>
      </w:r>
    </w:p>
    <w:p w14:paraId="04BE5FD9" w14:textId="77777777" w:rsidR="00E74BF6" w:rsidRDefault="00000000">
      <w:pPr>
        <w:ind w:left="706" w:right="4" w:hanging="721"/>
      </w:pPr>
      <w:r>
        <w:t xml:space="preserve">Van Der </w:t>
      </w:r>
      <w:proofErr w:type="spellStart"/>
      <w:r>
        <w:t>Kaap-Deeder</w:t>
      </w:r>
      <w:proofErr w:type="spellEnd"/>
      <w:r>
        <w:t xml:space="preserve">, J., </w:t>
      </w:r>
      <w:proofErr w:type="spellStart"/>
      <w:r>
        <w:t>Vermote</w:t>
      </w:r>
      <w:proofErr w:type="spellEnd"/>
      <w:r>
        <w:t xml:space="preserve">, B., </w:t>
      </w:r>
      <w:proofErr w:type="spellStart"/>
      <w:r>
        <w:t>Waterschoot</w:t>
      </w:r>
      <w:proofErr w:type="spellEnd"/>
      <w:r>
        <w:t xml:space="preserve">, J., </w:t>
      </w:r>
      <w:proofErr w:type="spellStart"/>
      <w:r>
        <w:t>Soenens</w:t>
      </w:r>
      <w:proofErr w:type="spellEnd"/>
      <w:r>
        <w:t xml:space="preserve">, B., </w:t>
      </w:r>
      <w:proofErr w:type="spellStart"/>
      <w:r>
        <w:t>Morbée</w:t>
      </w:r>
      <w:proofErr w:type="spellEnd"/>
      <w:r>
        <w:t xml:space="preserve">, S. and Vansteenkiste, M. (2021). The role of ego integrity and despair in older adults’ well-being during the COVID-19 crisis: the mediating role of need-based experiences. </w:t>
      </w:r>
      <w:r>
        <w:rPr>
          <w:i/>
        </w:rPr>
        <w:t>European Journal of Ageing</w:t>
      </w:r>
      <w:r>
        <w:t xml:space="preserve">, [online] 19(1), pp.117–129. </w:t>
      </w:r>
      <w:proofErr w:type="spellStart"/>
      <w:proofErr w:type="gramStart"/>
      <w:r>
        <w:t>doi:https</w:t>
      </w:r>
      <w:proofErr w:type="spellEnd"/>
      <w:r>
        <w:t>://doi.org/10.1007/s10433-02100610-0</w:t>
      </w:r>
      <w:proofErr w:type="gramEnd"/>
      <w:r>
        <w:t xml:space="preserve">. </w:t>
      </w:r>
    </w:p>
    <w:p w14:paraId="166FB325" w14:textId="77777777" w:rsidR="00E74BF6" w:rsidRDefault="00000000">
      <w:pPr>
        <w:spacing w:after="0" w:line="259" w:lineRule="auto"/>
        <w:ind w:left="0" w:firstLine="0"/>
        <w:jc w:val="left"/>
      </w:pPr>
      <w:r>
        <w:t xml:space="preserve"> </w:t>
      </w:r>
    </w:p>
    <w:sectPr w:rsidR="00E74BF6">
      <w:headerReference w:type="even" r:id="rId6"/>
      <w:headerReference w:type="default" r:id="rId7"/>
      <w:headerReference w:type="first" r:id="rId8"/>
      <w:pgSz w:w="12240" w:h="15840"/>
      <w:pgMar w:top="1490" w:right="1426" w:bottom="1554" w:left="1441"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E981D" w14:textId="77777777" w:rsidR="00C2084C" w:rsidRDefault="00C2084C">
      <w:pPr>
        <w:spacing w:after="0" w:line="240" w:lineRule="auto"/>
      </w:pPr>
      <w:r>
        <w:separator/>
      </w:r>
    </w:p>
  </w:endnote>
  <w:endnote w:type="continuationSeparator" w:id="0">
    <w:p w14:paraId="37367736" w14:textId="77777777" w:rsidR="00C2084C" w:rsidRDefault="00C20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00986" w14:textId="77777777" w:rsidR="00C2084C" w:rsidRDefault="00C2084C">
      <w:pPr>
        <w:spacing w:after="0" w:line="240" w:lineRule="auto"/>
      </w:pPr>
      <w:r>
        <w:separator/>
      </w:r>
    </w:p>
  </w:footnote>
  <w:footnote w:type="continuationSeparator" w:id="0">
    <w:p w14:paraId="5F6CCC90" w14:textId="77777777" w:rsidR="00C2084C" w:rsidRDefault="00C208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1D1915" w14:textId="77777777" w:rsidR="00E74BF6" w:rsidRDefault="00000000">
    <w:pPr>
      <w:spacing w:after="0" w:line="259" w:lineRule="auto"/>
      <w:ind w:left="0" w:right="8" w:firstLine="0"/>
      <w:jc w:val="right"/>
    </w:pPr>
    <w:r>
      <w:fldChar w:fldCharType="begin"/>
    </w:r>
    <w:r>
      <w:instrText xml:space="preserve"> PAGE   \* MERGEFORMAT </w:instrText>
    </w:r>
    <w:r>
      <w:fldChar w:fldCharType="separate"/>
    </w:r>
    <w:r>
      <w:rPr>
        <w:rFonts w:ascii="Calibri" w:eastAsia="Calibri" w:hAnsi="Calibri" w:cs="Calibri"/>
        <w:sz w:val="24"/>
      </w:rPr>
      <w:t>2</w:t>
    </w:r>
    <w:r>
      <w:rPr>
        <w:rFonts w:ascii="Calibri" w:eastAsia="Calibri" w:hAnsi="Calibri" w:cs="Calibri"/>
        <w:sz w:val="24"/>
      </w:rPr>
      <w:fldChar w:fldCharType="end"/>
    </w:r>
    <w:r>
      <w:rPr>
        <w:rFonts w:ascii="Calibri" w:eastAsia="Calibri" w:hAnsi="Calibri" w:cs="Calibri"/>
        <w:sz w:val="24"/>
      </w:rPr>
      <w:t xml:space="preserve"> </w:t>
    </w:r>
  </w:p>
  <w:p w14:paraId="70581AE9" w14:textId="77777777" w:rsidR="00E74BF6" w:rsidRDefault="00000000">
    <w:pPr>
      <w:spacing w:after="0" w:line="259" w:lineRule="auto"/>
      <w:ind w:left="0" w:firstLine="0"/>
      <w:jc w:val="left"/>
    </w:pPr>
    <w:r>
      <w:rPr>
        <w:rFonts w:ascii="Calibri" w:eastAsia="Calibri" w:hAnsi="Calibri" w:cs="Calibri"/>
        <w:sz w:val="2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48C9B1" w14:textId="77777777" w:rsidR="00E74BF6" w:rsidRDefault="00000000">
    <w:pPr>
      <w:spacing w:after="0" w:line="259" w:lineRule="auto"/>
      <w:ind w:left="0" w:right="8" w:firstLine="0"/>
      <w:jc w:val="right"/>
    </w:pPr>
    <w:r>
      <w:fldChar w:fldCharType="begin"/>
    </w:r>
    <w:r>
      <w:instrText xml:space="preserve"> PAGE   \* MERGEFORMAT </w:instrText>
    </w:r>
    <w:r>
      <w:fldChar w:fldCharType="separate"/>
    </w:r>
    <w:r>
      <w:rPr>
        <w:rFonts w:ascii="Calibri" w:eastAsia="Calibri" w:hAnsi="Calibri" w:cs="Calibri"/>
        <w:sz w:val="24"/>
      </w:rPr>
      <w:t>2</w:t>
    </w:r>
    <w:r>
      <w:rPr>
        <w:rFonts w:ascii="Calibri" w:eastAsia="Calibri" w:hAnsi="Calibri" w:cs="Calibri"/>
        <w:sz w:val="24"/>
      </w:rPr>
      <w:fldChar w:fldCharType="end"/>
    </w:r>
    <w:r>
      <w:rPr>
        <w:rFonts w:ascii="Calibri" w:eastAsia="Calibri" w:hAnsi="Calibri" w:cs="Calibri"/>
        <w:sz w:val="24"/>
      </w:rPr>
      <w:t xml:space="preserve"> </w:t>
    </w:r>
  </w:p>
  <w:p w14:paraId="726E5374" w14:textId="77777777" w:rsidR="00E74BF6" w:rsidRDefault="00000000">
    <w:pPr>
      <w:spacing w:after="0" w:line="259" w:lineRule="auto"/>
      <w:ind w:left="0" w:firstLine="0"/>
      <w:jc w:val="left"/>
    </w:pPr>
    <w:r>
      <w:rPr>
        <w:rFonts w:ascii="Calibri" w:eastAsia="Calibri" w:hAnsi="Calibri" w:cs="Calibri"/>
        <w:sz w:val="2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1FEC18" w14:textId="77777777" w:rsidR="00E74BF6" w:rsidRDefault="00E74BF6">
    <w:pPr>
      <w:spacing w:after="160" w:line="259" w:lineRule="auto"/>
      <w:ind w:left="0" w:firstLine="0"/>
      <w:jc w:val="lef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4BF6"/>
    <w:rsid w:val="00222EBC"/>
    <w:rsid w:val="00A33A51"/>
    <w:rsid w:val="00C2084C"/>
    <w:rsid w:val="00E74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97F64"/>
  <w15:docId w15:val="{549BCBB8-7C9D-4D1F-86E2-D5065A1D0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6" w:line="363" w:lineRule="auto"/>
      <w:ind w:left="10"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264" w:line="259" w:lineRule="auto"/>
      <w:ind w:left="10" w:hanging="10"/>
      <w:outlineLvl w:val="0"/>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2212</Words>
  <Characters>12609</Characters>
  <DocSecurity>0</DocSecurity>
  <Lines>105</Lines>
  <Paragraphs>29</Paragraphs>
  <ScaleCrop>false</ScaleCrop>
  <Company/>
  <LinksUpToDate>false</LinksUpToDate>
  <CharactersWithSpaces>14792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terms:created xsi:type="dcterms:W3CDTF">2026-03-08T14:38:00Z</dcterms:created>
  <dcterms:modified xsi:type="dcterms:W3CDTF">2026-03-08T14:38:00Z</dcterms:modified>
</cp:coreProperties>
</file>