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ADE90" w14:textId="77777777" w:rsidR="0070788D" w:rsidRDefault="0070788D" w:rsidP="0070788D">
      <w:pPr>
        <w:spacing w:line="360" w:lineRule="auto"/>
        <w:jc w:val="center"/>
        <w:rPr>
          <w:rFonts w:ascii="Arial" w:hAnsi="Arial" w:cs="Arial"/>
          <w:bCs/>
          <w:sz w:val="56"/>
          <w:szCs w:val="56"/>
        </w:rPr>
      </w:pPr>
      <w:r w:rsidRPr="003823E3">
        <w:rPr>
          <w:rFonts w:ascii="Arial" w:eastAsiaTheme="majorEastAsia" w:hAnsi="Arial" w:cs="Arial"/>
          <w:color w:val="171717" w:themeColor="background2" w:themeShade="1A"/>
          <w:kern w:val="24"/>
          <w:sz w:val="56"/>
          <w:szCs w:val="56"/>
        </w:rPr>
        <w:t xml:space="preserve">Carona Ottey </w:t>
      </w:r>
      <w:r w:rsidRPr="003823E3">
        <w:rPr>
          <w:rFonts w:ascii="Arial" w:eastAsiaTheme="majorEastAsia" w:hAnsi="Arial" w:cs="Arial"/>
          <w:color w:val="171717" w:themeColor="background2" w:themeShade="1A"/>
          <w:kern w:val="24"/>
          <w:sz w:val="56"/>
          <w:szCs w:val="56"/>
        </w:rPr>
        <w:br/>
        <w:t>Student number: 1918348</w:t>
      </w:r>
      <w:r w:rsidRPr="003823E3">
        <w:rPr>
          <w:rFonts w:ascii="Arial" w:eastAsiaTheme="majorEastAsia" w:hAnsi="Arial" w:cs="Arial"/>
          <w:color w:val="171717" w:themeColor="background2" w:themeShade="1A"/>
          <w:kern w:val="24"/>
          <w:sz w:val="56"/>
          <w:szCs w:val="56"/>
        </w:rPr>
        <w:br/>
        <w:t>Lecturer name: Alice Clayton</w:t>
      </w:r>
      <w:r w:rsidRPr="003823E3">
        <w:rPr>
          <w:rFonts w:ascii="Arial" w:eastAsiaTheme="majorEastAsia" w:hAnsi="Arial" w:cs="Arial"/>
          <w:color w:val="171717" w:themeColor="background2" w:themeShade="1A"/>
          <w:kern w:val="24"/>
          <w:sz w:val="56"/>
          <w:szCs w:val="56"/>
        </w:rPr>
        <w:br/>
        <w:t xml:space="preserve">Module name: </w:t>
      </w:r>
      <w:r w:rsidRPr="003823E3">
        <w:rPr>
          <w:rFonts w:ascii="Arial" w:eastAsiaTheme="majorEastAsia" w:hAnsi="Arial" w:cs="Arial"/>
          <w:color w:val="171717" w:themeColor="background2" w:themeShade="1A"/>
          <w:kern w:val="24"/>
          <w:sz w:val="56"/>
          <w:szCs w:val="56"/>
          <w:lang w:val="en-US"/>
        </w:rPr>
        <w:t>Psychology in Health and Social Care</w:t>
      </w:r>
      <w:r w:rsidRPr="003823E3">
        <w:rPr>
          <w:rFonts w:ascii="Arial" w:eastAsiaTheme="majorEastAsia" w:hAnsi="Arial" w:cs="Arial"/>
          <w:color w:val="171717" w:themeColor="background2" w:themeShade="1A"/>
          <w:kern w:val="24"/>
          <w:sz w:val="56"/>
          <w:szCs w:val="56"/>
        </w:rPr>
        <w:br/>
        <w:t xml:space="preserve">Module code: </w:t>
      </w:r>
      <w:r w:rsidRPr="003823E3">
        <w:rPr>
          <w:rFonts w:ascii="Arial" w:eastAsiaTheme="majorEastAsia" w:hAnsi="Arial" w:cs="Arial"/>
          <w:color w:val="171717" w:themeColor="background2" w:themeShade="1A"/>
          <w:kern w:val="24"/>
          <w:sz w:val="56"/>
          <w:szCs w:val="56"/>
          <w:lang w:val="en-US"/>
        </w:rPr>
        <w:t>LCHS4010</w:t>
      </w:r>
      <w:r w:rsidRPr="003823E3">
        <w:rPr>
          <w:rFonts w:ascii="Arial" w:eastAsiaTheme="majorEastAsia" w:hAnsi="Arial" w:cs="Arial"/>
          <w:color w:val="171717" w:themeColor="background2" w:themeShade="1A"/>
          <w:kern w:val="24"/>
          <w:sz w:val="56"/>
          <w:szCs w:val="56"/>
        </w:rPr>
        <w:br/>
        <w:t xml:space="preserve">Assessment title: </w:t>
      </w:r>
      <w:r w:rsidRPr="003823E3">
        <w:rPr>
          <w:rFonts w:ascii="Arial" w:hAnsi="Arial" w:cs="Arial"/>
          <w:bCs/>
          <w:sz w:val="56"/>
          <w:szCs w:val="56"/>
        </w:rPr>
        <w:t>Assessment</w:t>
      </w:r>
      <w:r w:rsidRPr="003823E3">
        <w:rPr>
          <w:rFonts w:ascii="Arial" w:hAnsi="Arial" w:cs="Arial"/>
          <w:bCs/>
          <w:spacing w:val="-16"/>
          <w:sz w:val="56"/>
          <w:szCs w:val="56"/>
        </w:rPr>
        <w:t xml:space="preserve"> </w:t>
      </w:r>
      <w:r w:rsidRPr="003823E3">
        <w:rPr>
          <w:rFonts w:ascii="Arial" w:hAnsi="Arial" w:cs="Arial"/>
          <w:bCs/>
          <w:sz w:val="56"/>
          <w:szCs w:val="56"/>
        </w:rPr>
        <w:t>2 - Bibliography &amp; report</w:t>
      </w:r>
    </w:p>
    <w:p w14:paraId="79690A2F" w14:textId="77777777" w:rsidR="0070788D" w:rsidRDefault="0070788D" w:rsidP="0070788D">
      <w:pPr>
        <w:spacing w:line="360" w:lineRule="auto"/>
        <w:jc w:val="center"/>
        <w:rPr>
          <w:rFonts w:ascii="Arial" w:hAnsi="Arial" w:cs="Arial"/>
          <w:bCs/>
          <w:sz w:val="56"/>
          <w:szCs w:val="56"/>
        </w:rPr>
      </w:pPr>
    </w:p>
    <w:p w14:paraId="4DB89F0A" w14:textId="77777777" w:rsidR="0070788D" w:rsidRDefault="0070788D" w:rsidP="0070788D">
      <w:pPr>
        <w:spacing w:line="360" w:lineRule="auto"/>
        <w:jc w:val="center"/>
        <w:rPr>
          <w:rFonts w:ascii="Arial" w:hAnsi="Arial" w:cs="Arial"/>
          <w:bCs/>
          <w:sz w:val="56"/>
          <w:szCs w:val="56"/>
        </w:rPr>
      </w:pPr>
    </w:p>
    <w:p w14:paraId="1CBB569C" w14:textId="77777777" w:rsidR="0070788D" w:rsidRDefault="0070788D" w:rsidP="0070788D">
      <w:pPr>
        <w:spacing w:line="360" w:lineRule="auto"/>
        <w:jc w:val="center"/>
        <w:rPr>
          <w:rFonts w:ascii="Arial" w:hAnsi="Arial" w:cs="Arial"/>
          <w:bCs/>
          <w:sz w:val="56"/>
          <w:szCs w:val="56"/>
        </w:rPr>
      </w:pPr>
    </w:p>
    <w:p w14:paraId="5E325A01" w14:textId="77777777" w:rsidR="0070788D" w:rsidRDefault="0070788D" w:rsidP="0070788D">
      <w:pPr>
        <w:spacing w:line="360" w:lineRule="auto"/>
        <w:jc w:val="center"/>
        <w:rPr>
          <w:rFonts w:ascii="Arial" w:hAnsi="Arial" w:cs="Arial"/>
          <w:bCs/>
          <w:sz w:val="56"/>
          <w:szCs w:val="56"/>
        </w:rPr>
      </w:pPr>
    </w:p>
    <w:p w14:paraId="2621370C" w14:textId="77777777" w:rsidR="0070788D" w:rsidRDefault="0070788D" w:rsidP="0070788D">
      <w:pPr>
        <w:spacing w:line="360" w:lineRule="auto"/>
        <w:jc w:val="center"/>
        <w:rPr>
          <w:rFonts w:ascii="Arial" w:hAnsi="Arial" w:cs="Arial"/>
          <w:bCs/>
          <w:sz w:val="56"/>
          <w:szCs w:val="56"/>
        </w:rPr>
      </w:pPr>
    </w:p>
    <w:p w14:paraId="1589EEF3" w14:textId="77777777" w:rsidR="0070788D" w:rsidRDefault="0070788D" w:rsidP="0070788D">
      <w:pPr>
        <w:spacing w:line="360" w:lineRule="auto"/>
        <w:rPr>
          <w:rFonts w:ascii="Arial" w:hAnsi="Arial" w:cs="Arial"/>
          <w:bCs/>
          <w:sz w:val="22"/>
          <w:szCs w:val="22"/>
        </w:rPr>
      </w:pPr>
    </w:p>
    <w:p w14:paraId="6E66ECB2" w14:textId="678D755E" w:rsidR="005439E9" w:rsidRPr="005649B8" w:rsidRDefault="0070788D" w:rsidP="005649B8">
      <w:pPr>
        <w:spacing w:line="360" w:lineRule="auto"/>
        <w:rPr>
          <w:rFonts w:ascii="Arial" w:hAnsi="Arial" w:cs="Arial"/>
          <w:b/>
          <w:bCs/>
          <w:sz w:val="22"/>
          <w:szCs w:val="22"/>
        </w:rPr>
      </w:pPr>
      <w:r w:rsidRPr="005649B8">
        <w:rPr>
          <w:rFonts w:ascii="Arial" w:hAnsi="Arial" w:cs="Arial"/>
          <w:b/>
          <w:bCs/>
          <w:sz w:val="22"/>
          <w:szCs w:val="22"/>
        </w:rPr>
        <w:lastRenderedPageBreak/>
        <w:t>Part A</w:t>
      </w:r>
      <w:r w:rsidR="00814BAB" w:rsidRPr="005649B8">
        <w:rPr>
          <w:rFonts w:ascii="Arial" w:hAnsi="Arial" w:cs="Arial"/>
          <w:b/>
          <w:bCs/>
          <w:sz w:val="22"/>
          <w:szCs w:val="22"/>
        </w:rPr>
        <w:t xml:space="preserve">: </w:t>
      </w:r>
      <w:r w:rsidRPr="005649B8">
        <w:rPr>
          <w:rFonts w:ascii="Arial" w:hAnsi="Arial" w:cs="Arial"/>
          <w:b/>
          <w:bCs/>
          <w:sz w:val="22"/>
          <w:szCs w:val="22"/>
        </w:rPr>
        <w:t>Annotated Bibliography</w:t>
      </w:r>
    </w:p>
    <w:p w14:paraId="59BF5528" w14:textId="38435DAC" w:rsidR="00814BAB" w:rsidRPr="005649B8" w:rsidRDefault="00814BAB" w:rsidP="005649B8">
      <w:pPr>
        <w:pStyle w:val="NormalWeb"/>
        <w:spacing w:before="0" w:beforeAutospacing="0" w:after="0" w:afterAutospacing="0" w:line="360" w:lineRule="auto"/>
        <w:rPr>
          <w:rFonts w:ascii="Arial" w:hAnsi="Arial" w:cs="Arial"/>
          <w:b/>
          <w:bCs/>
          <w:sz w:val="22"/>
          <w:szCs w:val="22"/>
          <w:u w:val="single"/>
        </w:rPr>
      </w:pPr>
      <w:r w:rsidRPr="005649B8">
        <w:rPr>
          <w:rFonts w:ascii="Arial" w:hAnsi="Arial" w:cs="Arial"/>
          <w:b/>
          <w:bCs/>
          <w:sz w:val="22"/>
          <w:szCs w:val="22"/>
          <w:u w:val="single"/>
        </w:rPr>
        <w:t>Source 1</w:t>
      </w:r>
    </w:p>
    <w:p w14:paraId="14654112" w14:textId="77777777" w:rsidR="00DC6D02" w:rsidRPr="005649B8" w:rsidRDefault="00DC6D02" w:rsidP="005649B8">
      <w:pPr>
        <w:pStyle w:val="NormalWeb"/>
        <w:spacing w:line="360" w:lineRule="auto"/>
        <w:rPr>
          <w:rFonts w:ascii="Arial" w:hAnsi="Arial" w:cs="Arial"/>
          <w:color w:val="000000"/>
          <w:sz w:val="22"/>
          <w:szCs w:val="22"/>
        </w:rPr>
      </w:pPr>
      <w:r w:rsidRPr="005649B8">
        <w:rPr>
          <w:rFonts w:ascii="Arial" w:hAnsi="Arial" w:cs="Arial"/>
          <w:color w:val="000000"/>
          <w:sz w:val="22"/>
          <w:szCs w:val="22"/>
        </w:rPr>
        <w:t>Havighurst, R.J. (1961). Successful Aging. </w:t>
      </w:r>
      <w:r w:rsidRPr="005649B8">
        <w:rPr>
          <w:rFonts w:ascii="Arial" w:hAnsi="Arial" w:cs="Arial"/>
          <w:i/>
          <w:iCs/>
          <w:color w:val="000000"/>
          <w:sz w:val="22"/>
          <w:szCs w:val="22"/>
        </w:rPr>
        <w:t>The Gerontologist</w:t>
      </w:r>
      <w:r w:rsidRPr="005649B8">
        <w:rPr>
          <w:rFonts w:ascii="Arial" w:hAnsi="Arial" w:cs="Arial"/>
          <w:color w:val="000000"/>
          <w:sz w:val="22"/>
          <w:szCs w:val="22"/>
        </w:rPr>
        <w:t>, [online] 1(1), pp.8–13. doi:https://doi.org/10.1093/geront/1.1.8.</w:t>
      </w:r>
    </w:p>
    <w:p w14:paraId="2B1AC351" w14:textId="0CC59EAE" w:rsidR="001A3B6D" w:rsidRPr="005649B8" w:rsidRDefault="004B1BE5" w:rsidP="005649B8">
      <w:pPr>
        <w:pStyle w:val="NormalWeb"/>
        <w:spacing w:line="360" w:lineRule="auto"/>
        <w:rPr>
          <w:rFonts w:ascii="Arial" w:hAnsi="Arial" w:cs="Arial"/>
          <w:color w:val="000000"/>
          <w:sz w:val="22"/>
          <w:szCs w:val="22"/>
        </w:rPr>
      </w:pPr>
      <w:r w:rsidRPr="005649B8">
        <w:rPr>
          <w:rFonts w:ascii="Arial" w:hAnsi="Arial" w:cs="Arial"/>
          <w:sz w:val="22"/>
          <w:szCs w:val="22"/>
        </w:rPr>
        <w:t>Activity theory serves as a solid foundation to encourage independence and involvement in health and social care professions. It urges staff members to support safe involvement, not to restrict the extent to which active activities for older adults with mobility impairment can support and encourage them. However, the theory supposes that all older adults have an equal capacity to remain active and that active individuals have the same opportunity. This ensures they are in equal strength to engage in activities that may not take account of the barriers created by disabilities, long-term health problems, or economic hardships. Also, care plans need to align risk management with personalised and meaningful activities</w:t>
      </w:r>
      <w:r w:rsidR="007A6F29" w:rsidRPr="005649B8">
        <w:rPr>
          <w:rFonts w:ascii="Arial" w:hAnsi="Arial" w:cs="Arial"/>
          <w:sz w:val="22"/>
          <w:szCs w:val="22"/>
        </w:rPr>
        <w:t xml:space="preserve"> </w:t>
      </w:r>
      <w:r w:rsidR="007A6F29" w:rsidRPr="005649B8">
        <w:rPr>
          <w:rFonts w:ascii="Arial" w:hAnsi="Arial" w:cs="Arial"/>
          <w:sz w:val="22"/>
          <w:szCs w:val="22"/>
          <w:shd w:val="clear" w:color="auto" w:fill="FFFFFF"/>
        </w:rPr>
        <w:t>(Havighurst, 1961).</w:t>
      </w:r>
    </w:p>
    <w:p w14:paraId="7C1B2951" w14:textId="3CC3BE3D" w:rsidR="007A6F29" w:rsidRPr="005649B8" w:rsidRDefault="00C92DA8"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b/>
          <w:bCs/>
          <w:sz w:val="22"/>
          <w:szCs w:val="22"/>
          <w:shd w:val="clear" w:color="auto" w:fill="FFFFFF"/>
        </w:rPr>
        <w:t xml:space="preserve">Summary </w:t>
      </w:r>
    </w:p>
    <w:p w14:paraId="3A421C62" w14:textId="77777777" w:rsidR="00DB4302" w:rsidRPr="005649B8" w:rsidRDefault="001E5E21" w:rsidP="005649B8">
      <w:pPr>
        <w:pStyle w:val="NormalWeb"/>
        <w:spacing w:line="360" w:lineRule="auto"/>
        <w:rPr>
          <w:rFonts w:ascii="Arial" w:hAnsi="Arial" w:cs="Arial"/>
          <w:sz w:val="22"/>
          <w:szCs w:val="22"/>
          <w:shd w:val="clear" w:color="auto" w:fill="FFFFFF"/>
        </w:rPr>
      </w:pPr>
      <w:r w:rsidRPr="005649B8">
        <w:rPr>
          <w:rFonts w:ascii="Arial" w:hAnsi="Arial" w:cs="Arial"/>
          <w:sz w:val="22"/>
          <w:szCs w:val="22"/>
        </w:rPr>
        <w:t>Havighurst’s original article introduces Activity Theory, arguing that older adults experience greater life satisfaction when they maintain social roles, physical activity and meaningful engagement. The theory positions ageing not as a passive decline but as a stage where continued participation supports psychological wellbeing. Havighurst contrasts this with disengagement theory, suggesting that withdrawal from society is not inevitable but often a result of external barriers rather than personal preference</w:t>
      </w:r>
      <w:r w:rsidR="00766791" w:rsidRPr="005649B8">
        <w:rPr>
          <w:rFonts w:ascii="Arial" w:hAnsi="Arial" w:cs="Arial"/>
          <w:sz w:val="22"/>
          <w:szCs w:val="22"/>
        </w:rPr>
        <w:t xml:space="preserve"> </w:t>
      </w:r>
      <w:r w:rsidR="00766791" w:rsidRPr="005649B8">
        <w:rPr>
          <w:rFonts w:ascii="Arial" w:hAnsi="Arial" w:cs="Arial"/>
          <w:sz w:val="22"/>
          <w:szCs w:val="22"/>
          <w:shd w:val="clear" w:color="auto" w:fill="FFFFFF"/>
        </w:rPr>
        <w:t>(Havighurst, 1961).</w:t>
      </w:r>
      <w:r w:rsidR="00DB4302" w:rsidRPr="005649B8">
        <w:rPr>
          <w:rFonts w:ascii="Arial" w:hAnsi="Arial" w:cs="Arial"/>
          <w:sz w:val="22"/>
          <w:szCs w:val="22"/>
          <w:shd w:val="clear" w:color="auto" w:fill="FFFFFF"/>
        </w:rPr>
        <w:t xml:space="preserve"> </w:t>
      </w:r>
    </w:p>
    <w:p w14:paraId="33BCB45F" w14:textId="77777777" w:rsidR="00B55366" w:rsidRPr="005649B8" w:rsidRDefault="00B55366" w:rsidP="005649B8">
      <w:pPr>
        <w:pStyle w:val="NormalWeb"/>
        <w:spacing w:line="360" w:lineRule="auto"/>
        <w:rPr>
          <w:rFonts w:ascii="Arial" w:hAnsi="Arial" w:cs="Arial"/>
          <w:b/>
          <w:bCs/>
          <w:sz w:val="22"/>
          <w:szCs w:val="22"/>
          <w:u w:val="single"/>
          <w:shd w:val="clear" w:color="auto" w:fill="FFFFFF"/>
        </w:rPr>
      </w:pPr>
      <w:r w:rsidRPr="005649B8">
        <w:rPr>
          <w:rFonts w:ascii="Arial" w:hAnsi="Arial" w:cs="Arial"/>
          <w:b/>
          <w:bCs/>
          <w:sz w:val="22"/>
          <w:szCs w:val="22"/>
          <w:u w:val="single"/>
          <w:shd w:val="clear" w:color="auto" w:fill="FFFFFF"/>
        </w:rPr>
        <w:t>Source 2</w:t>
      </w:r>
    </w:p>
    <w:p w14:paraId="5250694C" w14:textId="77777777" w:rsidR="00B55366" w:rsidRPr="005649B8" w:rsidRDefault="00B55366" w:rsidP="005649B8">
      <w:pPr>
        <w:pStyle w:val="NormalWeb"/>
        <w:spacing w:line="360" w:lineRule="auto"/>
        <w:rPr>
          <w:rFonts w:ascii="Arial" w:hAnsi="Arial" w:cs="Arial"/>
          <w:b/>
          <w:bCs/>
          <w:sz w:val="22"/>
          <w:szCs w:val="22"/>
          <w:u w:val="single"/>
          <w:shd w:val="clear" w:color="auto" w:fill="FFFFFF"/>
        </w:rPr>
      </w:pPr>
      <w:r w:rsidRPr="005649B8">
        <w:rPr>
          <w:rFonts w:ascii="Arial" w:hAnsi="Arial" w:cs="Arial"/>
          <w:color w:val="000000"/>
          <w:sz w:val="22"/>
          <w:szCs w:val="22"/>
        </w:rPr>
        <w:t>Ryff, C.D. (2014). Psychological Well-Being Revisited: Advances in the Science and Practice of Eudaimonia. </w:t>
      </w:r>
      <w:r w:rsidRPr="005649B8">
        <w:rPr>
          <w:rFonts w:ascii="Arial" w:hAnsi="Arial" w:cs="Arial"/>
          <w:i/>
          <w:iCs/>
          <w:color w:val="000000"/>
          <w:sz w:val="22"/>
          <w:szCs w:val="22"/>
        </w:rPr>
        <w:t>Psychotherapy and Psychosomatics</w:t>
      </w:r>
      <w:r w:rsidRPr="005649B8">
        <w:rPr>
          <w:rFonts w:ascii="Arial" w:hAnsi="Arial" w:cs="Arial"/>
          <w:color w:val="000000"/>
          <w:sz w:val="22"/>
          <w:szCs w:val="22"/>
        </w:rPr>
        <w:t>, 83(1), pp.10–28. doi:https://doi.org/10.1159/000353263.</w:t>
      </w:r>
    </w:p>
    <w:p w14:paraId="408813AC" w14:textId="77777777" w:rsidR="000F3489" w:rsidRDefault="004C50ED" w:rsidP="005649B8">
      <w:pPr>
        <w:pStyle w:val="NormalWeb"/>
        <w:spacing w:line="360" w:lineRule="auto"/>
        <w:rPr>
          <w:rFonts w:ascii="Arial" w:hAnsi="Arial" w:cs="Arial"/>
          <w:b/>
          <w:bCs/>
          <w:sz w:val="22"/>
          <w:szCs w:val="22"/>
          <w:u w:val="single"/>
          <w:shd w:val="clear" w:color="auto" w:fill="FFFFFF"/>
        </w:rPr>
      </w:pPr>
      <w:r w:rsidRPr="005649B8">
        <w:rPr>
          <w:rFonts w:ascii="Arial" w:hAnsi="Arial" w:cs="Arial"/>
          <w:sz w:val="22"/>
          <w:szCs w:val="22"/>
        </w:rPr>
        <w:t xml:space="preserve">Ryff’s (2014) framework is well-known in the gerontology profession and provides a strong foundation for promoting elderly well-being. The ideas of environmental understanding and autonomy are critically essential for individuals who may experience issues with mobility and for practitioners. The focus should be on maintaining dignity without compromising safe independence. Not only this, but the model gives a strong emphasis to meaningful connections and the value of self-acceptance, which can reduce the experience of loss due </w:t>
      </w:r>
      <w:r w:rsidRPr="005649B8">
        <w:rPr>
          <w:rFonts w:ascii="Arial" w:hAnsi="Arial" w:cs="Arial"/>
          <w:sz w:val="22"/>
          <w:szCs w:val="22"/>
        </w:rPr>
        <w:lastRenderedPageBreak/>
        <w:t>to distress. One limitation is that the model might not express enough socioeconomic factors that can influence well-being (Ryff, 2014).</w:t>
      </w:r>
    </w:p>
    <w:p w14:paraId="32209AFC" w14:textId="1EE7DFF9" w:rsidR="00602155" w:rsidRPr="000F3489" w:rsidRDefault="00FE4143" w:rsidP="005649B8">
      <w:pPr>
        <w:pStyle w:val="NormalWeb"/>
        <w:spacing w:line="360" w:lineRule="auto"/>
        <w:rPr>
          <w:rFonts w:ascii="Arial" w:hAnsi="Arial" w:cs="Arial"/>
          <w:b/>
          <w:bCs/>
          <w:sz w:val="22"/>
          <w:szCs w:val="22"/>
          <w:u w:val="single"/>
          <w:shd w:val="clear" w:color="auto" w:fill="FFFFFF"/>
        </w:rPr>
      </w:pPr>
      <w:r w:rsidRPr="005649B8">
        <w:rPr>
          <w:rFonts w:ascii="Arial" w:hAnsi="Arial" w:cs="Arial"/>
          <w:b/>
          <w:bCs/>
          <w:sz w:val="22"/>
          <w:szCs w:val="22"/>
          <w:shd w:val="clear" w:color="auto" w:fill="FFFFFF"/>
        </w:rPr>
        <w:t>Summary</w:t>
      </w:r>
      <w:r w:rsidR="00FF25C6" w:rsidRPr="005649B8">
        <w:rPr>
          <w:rFonts w:ascii="Arial" w:hAnsi="Arial" w:cs="Arial"/>
          <w:b/>
          <w:bCs/>
          <w:sz w:val="22"/>
          <w:szCs w:val="22"/>
          <w:shd w:val="clear" w:color="auto" w:fill="FFFFFF"/>
        </w:rPr>
        <w:t xml:space="preserve"> </w:t>
      </w:r>
    </w:p>
    <w:p w14:paraId="4C437AA8" w14:textId="4B08F80B" w:rsidR="00DE64A1" w:rsidRPr="005649B8" w:rsidRDefault="00DE64A1" w:rsidP="005649B8">
      <w:pPr>
        <w:pStyle w:val="NormalWeb"/>
        <w:spacing w:line="360" w:lineRule="auto"/>
        <w:rPr>
          <w:rFonts w:ascii="Arial" w:hAnsi="Arial" w:cs="Arial"/>
          <w:sz w:val="22"/>
          <w:szCs w:val="22"/>
        </w:rPr>
      </w:pPr>
      <w:r w:rsidRPr="005649B8">
        <w:rPr>
          <w:rFonts w:ascii="Arial" w:hAnsi="Arial" w:cs="Arial"/>
          <w:sz w:val="22"/>
          <w:szCs w:val="22"/>
        </w:rPr>
        <w:t>Ryff elaborates on her six-dimensional model of psychological well-being, including purpose in life, autonomy, personal growth, environmental mastery, positive relationships, and self-acceptance. Although they deal with physical or social barriers, older adults can still reach growth, meaning and fulfilment. Ryff argues that well-being in old age depends on a blend of inner psychological strengths and external social conditions (Ryff, 2014).</w:t>
      </w:r>
    </w:p>
    <w:p w14:paraId="6CEE7C3D" w14:textId="29AEB5FF" w:rsidR="003621A6" w:rsidRPr="005649B8" w:rsidRDefault="003621A6" w:rsidP="005649B8">
      <w:pPr>
        <w:pStyle w:val="NormalWeb"/>
        <w:spacing w:line="360" w:lineRule="auto"/>
        <w:rPr>
          <w:rFonts w:ascii="Arial" w:hAnsi="Arial" w:cs="Arial"/>
          <w:b/>
          <w:bCs/>
          <w:color w:val="000000"/>
          <w:sz w:val="22"/>
          <w:szCs w:val="22"/>
          <w:u w:val="single"/>
        </w:rPr>
      </w:pPr>
      <w:r w:rsidRPr="005649B8">
        <w:rPr>
          <w:rFonts w:ascii="Arial" w:hAnsi="Arial" w:cs="Arial"/>
          <w:b/>
          <w:bCs/>
          <w:color w:val="000000"/>
          <w:sz w:val="22"/>
          <w:szCs w:val="22"/>
          <w:u w:val="single"/>
        </w:rPr>
        <w:t>Source 3</w:t>
      </w:r>
    </w:p>
    <w:p w14:paraId="27B55728" w14:textId="34243ABF" w:rsidR="003621A6" w:rsidRPr="005649B8" w:rsidRDefault="003621A6" w:rsidP="005649B8">
      <w:pPr>
        <w:pStyle w:val="NormalWeb"/>
        <w:spacing w:line="360" w:lineRule="auto"/>
        <w:rPr>
          <w:rFonts w:ascii="Arial" w:hAnsi="Arial" w:cs="Arial"/>
          <w:color w:val="000000"/>
          <w:sz w:val="22"/>
          <w:szCs w:val="22"/>
        </w:rPr>
      </w:pPr>
      <w:r w:rsidRPr="005649B8">
        <w:rPr>
          <w:rFonts w:ascii="Arial" w:hAnsi="Arial" w:cs="Arial"/>
          <w:color w:val="000000"/>
          <w:sz w:val="22"/>
          <w:szCs w:val="22"/>
        </w:rPr>
        <w:t>Perry, T.E., Ruggiano, N., Shtompel, N. and Hassevoort, L. (2018). Applying Erikson’s Wisdom to Self-Management Practices of Older Adults. </w:t>
      </w:r>
      <w:r w:rsidRPr="005649B8">
        <w:rPr>
          <w:rFonts w:ascii="Arial" w:hAnsi="Arial" w:cs="Arial"/>
          <w:i/>
          <w:iCs/>
          <w:color w:val="000000"/>
          <w:sz w:val="22"/>
          <w:szCs w:val="22"/>
        </w:rPr>
        <w:t>Research on Aging</w:t>
      </w:r>
      <w:r w:rsidRPr="005649B8">
        <w:rPr>
          <w:rFonts w:ascii="Arial" w:hAnsi="Arial" w:cs="Arial"/>
          <w:color w:val="000000"/>
          <w:sz w:val="22"/>
          <w:szCs w:val="22"/>
        </w:rPr>
        <w:t>, [online] 37(3), pp.253–274. doi:https://doi.org/10.1177/0164027514527974.</w:t>
      </w:r>
    </w:p>
    <w:p w14:paraId="6DC62C5A" w14:textId="77777777" w:rsidR="00BF7EFE" w:rsidRPr="005649B8" w:rsidRDefault="00DB7E57"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t>Health and social</w:t>
      </w:r>
      <w:r w:rsidR="00BE3DF1" w:rsidRPr="005649B8">
        <w:rPr>
          <w:rFonts w:ascii="Arial" w:hAnsi="Arial" w:cs="Arial"/>
          <w:sz w:val="22"/>
          <w:szCs w:val="22"/>
        </w:rPr>
        <w:t xml:space="preserve"> </w:t>
      </w:r>
      <w:r w:rsidRPr="005649B8">
        <w:rPr>
          <w:rFonts w:ascii="Arial" w:hAnsi="Arial" w:cs="Arial"/>
          <w:sz w:val="22"/>
          <w:szCs w:val="22"/>
        </w:rPr>
        <w:t>care</w:t>
      </w:r>
      <w:r w:rsidR="00BE3DF1" w:rsidRPr="005649B8">
        <w:rPr>
          <w:rFonts w:ascii="Arial" w:hAnsi="Arial" w:cs="Arial"/>
          <w:sz w:val="22"/>
          <w:szCs w:val="22"/>
        </w:rPr>
        <w:t xml:space="preserve"> </w:t>
      </w:r>
      <w:r w:rsidRPr="005649B8">
        <w:rPr>
          <w:rFonts w:ascii="Arial" w:hAnsi="Arial" w:cs="Arial"/>
          <w:sz w:val="22"/>
          <w:szCs w:val="22"/>
        </w:rPr>
        <w:t xml:space="preserve">related practices are the focus of this article. </w:t>
      </w:r>
      <w:r w:rsidR="00BE3DF1" w:rsidRPr="005649B8">
        <w:rPr>
          <w:rFonts w:ascii="Arial" w:hAnsi="Arial" w:cs="Arial"/>
          <w:sz w:val="22"/>
          <w:szCs w:val="22"/>
        </w:rPr>
        <w:t xml:space="preserve">According to </w:t>
      </w:r>
      <w:r w:rsidR="00EE4623" w:rsidRPr="005649B8">
        <w:rPr>
          <w:rFonts w:ascii="Arial" w:hAnsi="Arial" w:cs="Arial"/>
          <w:sz w:val="22"/>
          <w:szCs w:val="22"/>
        </w:rPr>
        <w:t>Perry (2018) i</w:t>
      </w:r>
      <w:r w:rsidRPr="005649B8">
        <w:rPr>
          <w:rFonts w:ascii="Arial" w:hAnsi="Arial" w:cs="Arial"/>
          <w:sz w:val="22"/>
          <w:szCs w:val="22"/>
        </w:rPr>
        <w:t>t focuses on the need for care that is dignified, affirming of feelings, and offers time to reflect. Erikson’s framework can help practitioners understand how reduced mobility might promote feelings of hopelessness in older adults who experience loss of independence. However, one d</w:t>
      </w:r>
      <w:r w:rsidR="00221079" w:rsidRPr="005649B8">
        <w:rPr>
          <w:rFonts w:ascii="Arial" w:hAnsi="Arial" w:cs="Arial"/>
          <w:sz w:val="22"/>
          <w:szCs w:val="22"/>
        </w:rPr>
        <w:t>isadvan</w:t>
      </w:r>
      <w:r w:rsidR="00FC7551" w:rsidRPr="005649B8">
        <w:rPr>
          <w:rFonts w:ascii="Arial" w:hAnsi="Arial" w:cs="Arial"/>
          <w:sz w:val="22"/>
          <w:szCs w:val="22"/>
        </w:rPr>
        <w:t>tage</w:t>
      </w:r>
      <w:r w:rsidRPr="005649B8">
        <w:rPr>
          <w:rFonts w:ascii="Arial" w:hAnsi="Arial" w:cs="Arial"/>
          <w:sz w:val="22"/>
          <w:szCs w:val="22"/>
        </w:rPr>
        <w:t xml:space="preserve"> is that Erikson’s stage model might simplify the complex nature of ageing experiences</w:t>
      </w:r>
      <w:r w:rsidR="00FC7551" w:rsidRPr="005649B8">
        <w:rPr>
          <w:rFonts w:ascii="Arial" w:hAnsi="Arial" w:cs="Arial"/>
          <w:sz w:val="22"/>
          <w:szCs w:val="22"/>
        </w:rPr>
        <w:t xml:space="preserve"> </w:t>
      </w:r>
      <w:r w:rsidR="002B39B6" w:rsidRPr="005649B8">
        <w:rPr>
          <w:rFonts w:ascii="Arial" w:hAnsi="Arial" w:cs="Arial"/>
          <w:sz w:val="22"/>
          <w:szCs w:val="22"/>
          <w:shd w:val="clear" w:color="auto" w:fill="FFFFFF"/>
        </w:rPr>
        <w:t>(Perry et al., 2018)</w:t>
      </w:r>
      <w:r w:rsidR="00FC7551" w:rsidRPr="005649B8">
        <w:rPr>
          <w:rFonts w:ascii="Arial" w:hAnsi="Arial" w:cs="Arial"/>
          <w:sz w:val="22"/>
          <w:szCs w:val="22"/>
          <w:shd w:val="clear" w:color="auto" w:fill="FFFFFF"/>
        </w:rPr>
        <w:t>.</w:t>
      </w:r>
    </w:p>
    <w:p w14:paraId="322EA533" w14:textId="77777777" w:rsidR="00BF7EFE" w:rsidRPr="005649B8" w:rsidRDefault="00BF7EFE" w:rsidP="005649B8">
      <w:pPr>
        <w:pStyle w:val="NormalWeb"/>
        <w:spacing w:before="0" w:beforeAutospacing="0" w:after="0" w:afterAutospacing="0" w:line="360" w:lineRule="auto"/>
        <w:rPr>
          <w:rFonts w:ascii="Arial" w:hAnsi="Arial" w:cs="Arial"/>
          <w:sz w:val="22"/>
          <w:szCs w:val="22"/>
          <w:shd w:val="clear" w:color="auto" w:fill="FFFFFF"/>
        </w:rPr>
      </w:pPr>
    </w:p>
    <w:p w14:paraId="1B8ED21A" w14:textId="66A06424" w:rsidR="00C55B6B" w:rsidRPr="005649B8" w:rsidRDefault="00C55B6B"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b/>
          <w:bCs/>
          <w:sz w:val="22"/>
          <w:szCs w:val="22"/>
          <w:shd w:val="clear" w:color="auto" w:fill="FFFFFF"/>
        </w:rPr>
        <w:t xml:space="preserve">Summary </w:t>
      </w:r>
    </w:p>
    <w:p w14:paraId="6E4F53B4" w14:textId="77777777" w:rsidR="00BF7EFE" w:rsidRPr="005649B8" w:rsidRDefault="00BF7EFE" w:rsidP="005649B8">
      <w:pPr>
        <w:pStyle w:val="NormalWeb"/>
        <w:spacing w:before="0" w:beforeAutospacing="0" w:after="0" w:afterAutospacing="0" w:line="360" w:lineRule="auto"/>
        <w:rPr>
          <w:rFonts w:ascii="Arial" w:hAnsi="Arial" w:cs="Arial"/>
          <w:sz w:val="22"/>
          <w:szCs w:val="22"/>
        </w:rPr>
      </w:pPr>
    </w:p>
    <w:p w14:paraId="062F2ED0" w14:textId="4284737D" w:rsidR="001A3B6D" w:rsidRPr="005649B8" w:rsidRDefault="00236963"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t>Perry (</w:t>
      </w:r>
      <w:r w:rsidR="005F45F7" w:rsidRPr="005649B8">
        <w:rPr>
          <w:rFonts w:ascii="Arial" w:hAnsi="Arial" w:cs="Arial"/>
          <w:sz w:val="22"/>
          <w:szCs w:val="22"/>
        </w:rPr>
        <w:t xml:space="preserve">2018) mentioned </w:t>
      </w:r>
      <w:r w:rsidR="00CE4A7C" w:rsidRPr="005649B8">
        <w:rPr>
          <w:rFonts w:ascii="Arial" w:hAnsi="Arial" w:cs="Arial"/>
          <w:sz w:val="22"/>
          <w:szCs w:val="22"/>
        </w:rPr>
        <w:t>Knight is using Erikson’s psychosocial approach to work with older adults in her therapeutic work, emphasising identity, life reflection, and emotional distress. The evaluation traces the ways in which the elderly navigate the conflict between integrity and connection, especially in the event of physical deterioration, loss, or significant life changes. To advocate for wellbeing more generally in the later stages of life, Knight suggests promoting autonomy, meaning, and expression of emotions</w:t>
      </w:r>
      <w:r w:rsidR="001A3B6D" w:rsidRPr="005649B8">
        <w:rPr>
          <w:rFonts w:ascii="Arial" w:hAnsi="Arial" w:cs="Arial"/>
          <w:sz w:val="22"/>
          <w:szCs w:val="22"/>
        </w:rPr>
        <w:t xml:space="preserve"> </w:t>
      </w:r>
      <w:r w:rsidR="001A3B6D" w:rsidRPr="005649B8">
        <w:rPr>
          <w:rFonts w:ascii="Arial" w:hAnsi="Arial" w:cs="Arial"/>
          <w:sz w:val="22"/>
          <w:szCs w:val="22"/>
          <w:shd w:val="clear" w:color="auto" w:fill="FFFFFF"/>
        </w:rPr>
        <w:t>(Perry et al., 2018).</w:t>
      </w:r>
    </w:p>
    <w:p w14:paraId="0F8F0548" w14:textId="5F50699D" w:rsidR="00BF7EFE" w:rsidRPr="005649B8" w:rsidRDefault="00BF7EFE" w:rsidP="005649B8">
      <w:pPr>
        <w:pStyle w:val="NormalWeb"/>
        <w:spacing w:line="360" w:lineRule="auto"/>
        <w:rPr>
          <w:rFonts w:ascii="Arial" w:hAnsi="Arial" w:cs="Arial"/>
          <w:b/>
          <w:bCs/>
          <w:sz w:val="22"/>
          <w:szCs w:val="22"/>
          <w:u w:val="single"/>
        </w:rPr>
      </w:pPr>
      <w:r w:rsidRPr="005649B8">
        <w:rPr>
          <w:rFonts w:ascii="Arial" w:hAnsi="Arial" w:cs="Arial"/>
          <w:b/>
          <w:bCs/>
          <w:sz w:val="22"/>
          <w:szCs w:val="22"/>
          <w:u w:val="single"/>
        </w:rPr>
        <w:t>Source 4</w:t>
      </w:r>
    </w:p>
    <w:p w14:paraId="31067CC7" w14:textId="77777777" w:rsidR="005649B8" w:rsidRPr="005649B8" w:rsidRDefault="005649B8" w:rsidP="005649B8">
      <w:pPr>
        <w:pStyle w:val="NormalWeb"/>
        <w:spacing w:line="360" w:lineRule="auto"/>
        <w:rPr>
          <w:rFonts w:ascii="Arial" w:hAnsi="Arial" w:cs="Arial"/>
          <w:color w:val="000000"/>
          <w:sz w:val="22"/>
          <w:szCs w:val="22"/>
        </w:rPr>
      </w:pPr>
      <w:r w:rsidRPr="005649B8">
        <w:rPr>
          <w:rFonts w:ascii="Arial" w:hAnsi="Arial" w:cs="Arial"/>
          <w:color w:val="000000"/>
          <w:sz w:val="22"/>
          <w:szCs w:val="22"/>
        </w:rPr>
        <w:t>Rodway, C. and Spencer, R. (2025). Attachment in Old Age: A Fundamental Pillar for Public Health and Wellbeing. </w:t>
      </w:r>
      <w:r w:rsidRPr="005649B8">
        <w:rPr>
          <w:rFonts w:ascii="Arial" w:hAnsi="Arial" w:cs="Arial"/>
          <w:i/>
          <w:iCs/>
          <w:color w:val="000000"/>
          <w:sz w:val="22"/>
          <w:szCs w:val="22"/>
        </w:rPr>
        <w:t>International Journal of Public Health</w:t>
      </w:r>
      <w:r w:rsidRPr="005649B8">
        <w:rPr>
          <w:rFonts w:ascii="Arial" w:hAnsi="Arial" w:cs="Arial"/>
          <w:color w:val="000000"/>
          <w:sz w:val="22"/>
          <w:szCs w:val="22"/>
        </w:rPr>
        <w:t>, 70. doi:https://doi.org/10.3389/ijph.2025.1607770.</w:t>
      </w:r>
    </w:p>
    <w:p w14:paraId="1FD8CC88" w14:textId="68D0064F" w:rsidR="00CE4A7C" w:rsidRPr="005649B8" w:rsidRDefault="001E2B41" w:rsidP="005649B8">
      <w:pPr>
        <w:pStyle w:val="NormalWeb"/>
        <w:spacing w:line="360" w:lineRule="auto"/>
        <w:rPr>
          <w:rFonts w:ascii="Arial" w:hAnsi="Arial" w:cs="Arial"/>
          <w:sz w:val="22"/>
          <w:szCs w:val="22"/>
        </w:rPr>
      </w:pPr>
      <w:r w:rsidRPr="005649B8">
        <w:rPr>
          <w:rFonts w:ascii="Arial" w:hAnsi="Arial" w:cs="Arial"/>
          <w:sz w:val="22"/>
          <w:szCs w:val="22"/>
        </w:rPr>
        <w:lastRenderedPageBreak/>
        <w:t>This source has many affluent details surrounding the relational aspects of caregiving. Older adults living with mobility issues may feel vulnerable or fearful, and secure attachment relationships with carers can enhance their confidence and openness to receiving assistance. Nevertheless, it is worth noting that the article is more theoretical than factual, making practitioners better advised to combine insights into practice as well as rely on evidence-based practices. It also examines the risks of fractured care, where frequent staff changes can undermine attachment security</w:t>
      </w:r>
      <w:r w:rsidR="006604B9" w:rsidRPr="005649B8">
        <w:rPr>
          <w:rFonts w:ascii="Arial" w:hAnsi="Arial" w:cs="Arial"/>
          <w:sz w:val="22"/>
          <w:szCs w:val="22"/>
        </w:rPr>
        <w:t xml:space="preserve"> </w:t>
      </w:r>
      <w:r w:rsidR="006604B9" w:rsidRPr="005649B8">
        <w:rPr>
          <w:rFonts w:ascii="Arial" w:hAnsi="Arial" w:cs="Arial"/>
          <w:sz w:val="22"/>
          <w:szCs w:val="22"/>
          <w:shd w:val="clear" w:color="auto" w:fill="FFFFFF"/>
        </w:rPr>
        <w:t>(Rodway and Spencer, 2025).</w:t>
      </w:r>
    </w:p>
    <w:p w14:paraId="6C7EEE9A" w14:textId="7A8E7EA1" w:rsidR="001E2B41" w:rsidRPr="005649B8" w:rsidRDefault="001E2B41" w:rsidP="005649B8">
      <w:pPr>
        <w:pStyle w:val="NormalWeb"/>
        <w:spacing w:line="360" w:lineRule="auto"/>
        <w:rPr>
          <w:rFonts w:ascii="Arial" w:hAnsi="Arial" w:cs="Arial"/>
          <w:b/>
          <w:bCs/>
          <w:sz w:val="22"/>
          <w:szCs w:val="22"/>
        </w:rPr>
      </w:pPr>
      <w:r w:rsidRPr="005649B8">
        <w:rPr>
          <w:rFonts w:ascii="Arial" w:hAnsi="Arial" w:cs="Arial"/>
          <w:b/>
          <w:bCs/>
          <w:sz w:val="22"/>
          <w:szCs w:val="22"/>
        </w:rPr>
        <w:t xml:space="preserve">Summary </w:t>
      </w:r>
    </w:p>
    <w:p w14:paraId="188C0797" w14:textId="523BE11D" w:rsidR="00D558BF" w:rsidRPr="005649B8" w:rsidRDefault="00623D36"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t xml:space="preserve">Rodway argues that attachment dynamics are key in all aspects of life, but this is particularly important in later adulthood. In this way, increased dependence and ill health increase the need for secure and trusting relationships. According to Rodaway and Spencer (2025), Bowlby’s theory, the article emphasises the role of stable and emotionally responsive carers in fostering emotional regulation, </w:t>
      </w:r>
      <w:r w:rsidR="00A26AE1" w:rsidRPr="005649B8">
        <w:rPr>
          <w:rFonts w:ascii="Arial" w:hAnsi="Arial" w:cs="Arial"/>
          <w:sz w:val="22"/>
          <w:szCs w:val="22"/>
        </w:rPr>
        <w:t>reduc</w:t>
      </w:r>
      <w:r w:rsidRPr="005649B8">
        <w:rPr>
          <w:rFonts w:ascii="Arial" w:hAnsi="Arial" w:cs="Arial"/>
          <w:sz w:val="22"/>
          <w:szCs w:val="22"/>
        </w:rPr>
        <w:t>ing anxiety, and enhancing overall wellbeing among older adults</w:t>
      </w:r>
      <w:r w:rsidR="00D558BF" w:rsidRPr="005649B8">
        <w:rPr>
          <w:rFonts w:ascii="Arial" w:hAnsi="Arial" w:cs="Arial"/>
          <w:sz w:val="22"/>
          <w:szCs w:val="22"/>
        </w:rPr>
        <w:t xml:space="preserve"> </w:t>
      </w:r>
      <w:r w:rsidR="00D558BF" w:rsidRPr="005649B8">
        <w:rPr>
          <w:rFonts w:ascii="Arial" w:hAnsi="Arial" w:cs="Arial"/>
          <w:sz w:val="22"/>
          <w:szCs w:val="22"/>
          <w:shd w:val="clear" w:color="auto" w:fill="FFFFFF"/>
        </w:rPr>
        <w:t>(Rodway and Spencer, 2025)</w:t>
      </w:r>
      <w:r w:rsidR="002449A6" w:rsidRPr="005649B8">
        <w:rPr>
          <w:rFonts w:ascii="Arial" w:hAnsi="Arial" w:cs="Arial"/>
          <w:sz w:val="22"/>
          <w:szCs w:val="22"/>
          <w:shd w:val="clear" w:color="auto" w:fill="FFFFFF"/>
        </w:rPr>
        <w:t>.</w:t>
      </w:r>
    </w:p>
    <w:p w14:paraId="4E65C74D" w14:textId="594E31D9" w:rsidR="00ED1B0B" w:rsidRPr="005649B8" w:rsidRDefault="00237326" w:rsidP="005649B8">
      <w:pPr>
        <w:pStyle w:val="NormalWeb"/>
        <w:spacing w:line="360" w:lineRule="auto"/>
        <w:rPr>
          <w:rFonts w:ascii="Arial" w:hAnsi="Arial" w:cs="Arial"/>
          <w:b/>
          <w:bCs/>
          <w:sz w:val="22"/>
          <w:szCs w:val="22"/>
        </w:rPr>
      </w:pPr>
      <w:r w:rsidRPr="005649B8">
        <w:rPr>
          <w:rFonts w:ascii="Arial" w:hAnsi="Arial" w:cs="Arial"/>
          <w:b/>
          <w:bCs/>
          <w:sz w:val="22"/>
          <w:szCs w:val="22"/>
        </w:rPr>
        <w:t>Part B</w:t>
      </w:r>
    </w:p>
    <w:p w14:paraId="6705CE17" w14:textId="77777777" w:rsidR="00176DD9" w:rsidRPr="005649B8" w:rsidRDefault="00176DD9" w:rsidP="005649B8">
      <w:pPr>
        <w:spacing w:line="360" w:lineRule="auto"/>
        <w:rPr>
          <w:rFonts w:ascii="Arial" w:hAnsi="Arial" w:cs="Arial"/>
          <w:b/>
          <w:bCs/>
          <w:sz w:val="22"/>
          <w:szCs w:val="22"/>
        </w:rPr>
      </w:pPr>
      <w:r w:rsidRPr="005649B8">
        <w:rPr>
          <w:rFonts w:ascii="Arial" w:hAnsi="Arial" w:cs="Arial"/>
          <w:b/>
          <w:bCs/>
          <w:sz w:val="22"/>
          <w:szCs w:val="22"/>
        </w:rPr>
        <w:t>Erikson’s Psychosocial Theory and Psychological Wellbeing in Older Adult Residential Care</w:t>
      </w:r>
    </w:p>
    <w:p w14:paraId="0C1491FF" w14:textId="77777777" w:rsidR="001F3533" w:rsidRPr="005649B8" w:rsidRDefault="00237326" w:rsidP="005649B8">
      <w:pPr>
        <w:spacing w:line="360" w:lineRule="auto"/>
        <w:rPr>
          <w:rFonts w:ascii="Arial" w:hAnsi="Arial" w:cs="Arial"/>
          <w:b/>
          <w:bCs/>
          <w:sz w:val="22"/>
          <w:szCs w:val="22"/>
        </w:rPr>
      </w:pPr>
      <w:r w:rsidRPr="005649B8">
        <w:rPr>
          <w:rFonts w:ascii="Arial" w:hAnsi="Arial" w:cs="Arial"/>
          <w:b/>
          <w:bCs/>
          <w:sz w:val="22"/>
          <w:szCs w:val="22"/>
        </w:rPr>
        <w:t xml:space="preserve">Introduction </w:t>
      </w:r>
    </w:p>
    <w:p w14:paraId="1FB0659B" w14:textId="14E113EF" w:rsidR="005641C2" w:rsidRPr="005649B8" w:rsidRDefault="001F3533" w:rsidP="005649B8">
      <w:pPr>
        <w:pStyle w:val="NormalWeb"/>
        <w:spacing w:before="0" w:beforeAutospacing="0" w:after="0" w:afterAutospacing="0" w:line="360" w:lineRule="auto"/>
        <w:rPr>
          <w:rFonts w:ascii="Arial" w:hAnsi="Arial" w:cs="Arial"/>
          <w:sz w:val="22"/>
          <w:szCs w:val="22"/>
        </w:rPr>
      </w:pPr>
      <w:r w:rsidRPr="005649B8">
        <w:rPr>
          <w:rFonts w:ascii="Arial" w:hAnsi="Arial" w:cs="Arial"/>
          <w:sz w:val="22"/>
          <w:szCs w:val="22"/>
        </w:rPr>
        <w:t>Providing psychological support for older people living in residential care is an essential commitment. In adulthood our identity, independence and social roles change significantly. According to Cherry (2025), Erikson’s psychosocial theory is an important perspective for understanding these adjustments, particularly through his final period of development, Ego Integrity versus Despair. The following essay will investigate the role of Erikson's theory in improving wellbeing in residential care settings, using a case study to illustrate its application and discuss a major challenge encountered by practitioners in using this framework.</w:t>
      </w:r>
      <w:r w:rsidR="005641C2" w:rsidRPr="005649B8">
        <w:rPr>
          <w:rFonts w:ascii="Arial" w:hAnsi="Arial" w:cs="Arial"/>
          <w:color w:val="2C3E50"/>
          <w:sz w:val="22"/>
          <w:szCs w:val="22"/>
          <w:shd w:val="clear" w:color="auto" w:fill="FFFFFF"/>
        </w:rPr>
        <w:t xml:space="preserve"> </w:t>
      </w:r>
      <w:r w:rsidR="005641C2" w:rsidRPr="005649B8">
        <w:rPr>
          <w:rFonts w:ascii="Arial" w:hAnsi="Arial" w:cs="Arial"/>
          <w:sz w:val="22"/>
          <w:szCs w:val="22"/>
          <w:shd w:val="clear" w:color="auto" w:fill="FFFFFF"/>
        </w:rPr>
        <w:t>(Cherry, 2025).</w:t>
      </w:r>
    </w:p>
    <w:p w14:paraId="59CE93D5" w14:textId="4D36A514" w:rsidR="001F3533" w:rsidRPr="005649B8" w:rsidRDefault="001F3533" w:rsidP="005649B8">
      <w:pPr>
        <w:spacing w:line="360" w:lineRule="auto"/>
        <w:rPr>
          <w:rFonts w:ascii="Arial" w:hAnsi="Arial" w:cs="Arial"/>
          <w:b/>
          <w:bCs/>
          <w:sz w:val="22"/>
          <w:szCs w:val="22"/>
        </w:rPr>
      </w:pPr>
    </w:p>
    <w:p w14:paraId="1B51AC3B" w14:textId="056679DF" w:rsidR="003957BF" w:rsidRPr="005649B8" w:rsidRDefault="00C346A0" w:rsidP="005649B8">
      <w:pPr>
        <w:pStyle w:val="NormalWeb"/>
        <w:spacing w:before="0" w:beforeAutospacing="0" w:after="0" w:afterAutospacing="0" w:line="360" w:lineRule="auto"/>
        <w:rPr>
          <w:rFonts w:ascii="Arial" w:hAnsi="Arial" w:cs="Arial"/>
          <w:color w:val="000000"/>
          <w:sz w:val="22"/>
          <w:szCs w:val="22"/>
        </w:rPr>
      </w:pPr>
      <w:r w:rsidRPr="005649B8">
        <w:rPr>
          <w:rFonts w:ascii="Arial" w:hAnsi="Arial" w:cs="Arial"/>
          <w:sz w:val="22"/>
          <w:szCs w:val="22"/>
        </w:rPr>
        <w:t xml:space="preserve">According to Erikson, seniors reflect on their lives, assessing whether they have lived with meaning and intent. The positive result of this reflection contributes to ego honour and is characterised as having acceptance, fulfilment, and emotional stability. Unfulfilled regrets and feelings of wanting, on the other hand, are more likely to become despairing and cause hopelessness, social withdrawal, or even fear of death </w:t>
      </w:r>
      <w:r w:rsidR="003957BF" w:rsidRPr="005649B8">
        <w:rPr>
          <w:rFonts w:ascii="Arial" w:hAnsi="Arial" w:cs="Arial"/>
          <w:sz w:val="22"/>
          <w:szCs w:val="22"/>
          <w:shd w:val="clear" w:color="auto" w:fill="FFFFFF"/>
        </w:rPr>
        <w:t>(Lumen Learning, 2024).</w:t>
      </w:r>
    </w:p>
    <w:p w14:paraId="5184FF23" w14:textId="14B2EFB3" w:rsidR="00056DC2" w:rsidRPr="005649B8" w:rsidRDefault="00C346A0"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lastRenderedPageBreak/>
        <w:t>Based on the above theories, health and social care professionals could utilise one of these theories to plan interventions to improve the dignity and identity of the person and their feeling of being capable of emotional resilience</w:t>
      </w:r>
      <w:r w:rsidR="006C1AD5" w:rsidRPr="005649B8">
        <w:rPr>
          <w:rFonts w:ascii="Arial" w:hAnsi="Arial" w:cs="Arial"/>
          <w:sz w:val="22"/>
          <w:szCs w:val="22"/>
        </w:rPr>
        <w:t xml:space="preserve"> </w:t>
      </w:r>
      <w:r w:rsidR="006C1AD5" w:rsidRPr="005649B8">
        <w:rPr>
          <w:rFonts w:ascii="Arial" w:hAnsi="Arial" w:cs="Arial"/>
          <w:sz w:val="22"/>
          <w:szCs w:val="22"/>
          <w:shd w:val="clear" w:color="auto" w:fill="FFFFFF"/>
        </w:rPr>
        <w:t>(Chen et al., 2021).</w:t>
      </w:r>
      <w:r w:rsidR="006C1AD5" w:rsidRPr="005649B8">
        <w:rPr>
          <w:rFonts w:ascii="Arial" w:hAnsi="Arial" w:cs="Arial"/>
          <w:sz w:val="22"/>
          <w:szCs w:val="22"/>
        </w:rPr>
        <w:t xml:space="preserve"> Erikson</w:t>
      </w:r>
      <w:r w:rsidRPr="005649B8">
        <w:rPr>
          <w:rFonts w:ascii="Arial" w:hAnsi="Arial" w:cs="Arial"/>
          <w:sz w:val="22"/>
          <w:szCs w:val="22"/>
        </w:rPr>
        <w:t xml:space="preserve"> emphasised the importance of agency and direction in life. Even in old age, preserving autonomy is essential for psychological health. Care workers can help bring this to life by allowing residents to participate in daily decision-making and to be involved in day-to-day choices, from selecting meals to planning activities to adapting their living environment. Encouraging participation in meaningful roles such as playing a role in contributing to community activities or doing community things like joining a group or pursuing hobbies or helping with other people's lives in social events enhances purpose and competence</w:t>
      </w:r>
      <w:r w:rsidR="00056DC2" w:rsidRPr="005649B8">
        <w:rPr>
          <w:rFonts w:ascii="Arial" w:hAnsi="Arial" w:cs="Arial"/>
          <w:sz w:val="22"/>
          <w:szCs w:val="22"/>
        </w:rPr>
        <w:t xml:space="preserve"> </w:t>
      </w:r>
      <w:r w:rsidR="00056DC2" w:rsidRPr="005649B8">
        <w:rPr>
          <w:rFonts w:ascii="Arial" w:hAnsi="Arial" w:cs="Arial"/>
          <w:sz w:val="22"/>
          <w:szCs w:val="22"/>
          <w:shd w:val="clear" w:color="auto" w:fill="FFFFFF"/>
        </w:rPr>
        <w:t>(SCIE, 2023).</w:t>
      </w:r>
    </w:p>
    <w:p w14:paraId="4569F605" w14:textId="657F6FB0" w:rsidR="00E94195" w:rsidRPr="005649B8" w:rsidRDefault="00D644D8"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t>Social bonds act as a safeguard against despair. Residential care-based environments can improve this by encouraging group activities, building peer support structures, and providing family engagement opportunities. This sense of belonging to group activities is supported by intergenerational programmes, communal dining, and social clubs for residents’ sense of belonging and personal identity. These interactions foster ego integrity by declaring an individual's worth within the community</w:t>
      </w:r>
      <w:r w:rsidR="00E94195" w:rsidRPr="005649B8">
        <w:rPr>
          <w:rFonts w:ascii="Arial" w:hAnsi="Arial" w:cs="Arial"/>
          <w:sz w:val="22"/>
          <w:szCs w:val="22"/>
        </w:rPr>
        <w:t xml:space="preserve"> </w:t>
      </w:r>
      <w:r w:rsidR="00E94195" w:rsidRPr="005649B8">
        <w:rPr>
          <w:rFonts w:ascii="Arial" w:hAnsi="Arial" w:cs="Arial"/>
          <w:sz w:val="22"/>
          <w:szCs w:val="22"/>
          <w:shd w:val="clear" w:color="auto" w:fill="FFFFFF"/>
        </w:rPr>
        <w:t>(Search, 2020).</w:t>
      </w:r>
    </w:p>
    <w:p w14:paraId="5616133F" w14:textId="500AAFA6" w:rsidR="0060315C" w:rsidRPr="005649B8" w:rsidRDefault="0060315C" w:rsidP="005649B8">
      <w:pPr>
        <w:pStyle w:val="NormalWeb"/>
        <w:spacing w:line="360" w:lineRule="auto"/>
        <w:rPr>
          <w:rStyle w:val="Strong"/>
          <w:rFonts w:ascii="Arial" w:hAnsi="Arial" w:cs="Arial"/>
          <w:b w:val="0"/>
          <w:bCs w:val="0"/>
          <w:sz w:val="22"/>
          <w:szCs w:val="22"/>
        </w:rPr>
      </w:pPr>
      <w:r w:rsidRPr="005649B8">
        <w:rPr>
          <w:rFonts w:ascii="Arial" w:hAnsi="Arial" w:cs="Arial"/>
          <w:b/>
          <w:bCs/>
          <w:sz w:val="22"/>
          <w:szCs w:val="22"/>
        </w:rPr>
        <w:t>Case Scenario: Applying Erikson’s Theory</w:t>
      </w:r>
    </w:p>
    <w:p w14:paraId="654E634D" w14:textId="1C70210E" w:rsidR="00835EA8" w:rsidRPr="005649B8" w:rsidRDefault="00F818B5" w:rsidP="005649B8">
      <w:pPr>
        <w:pStyle w:val="NormalWeb"/>
        <w:spacing w:before="0" w:beforeAutospacing="0" w:after="0" w:afterAutospacing="0" w:line="360" w:lineRule="auto"/>
        <w:rPr>
          <w:rFonts w:ascii="Arial" w:hAnsi="Arial" w:cs="Arial"/>
          <w:sz w:val="22"/>
          <w:szCs w:val="22"/>
          <w:shd w:val="clear" w:color="auto" w:fill="FFFFFF"/>
        </w:rPr>
      </w:pPr>
      <w:r w:rsidRPr="005649B8">
        <w:rPr>
          <w:rFonts w:ascii="Arial" w:hAnsi="Arial" w:cs="Arial"/>
          <w:sz w:val="22"/>
          <w:szCs w:val="22"/>
        </w:rPr>
        <w:t>Mrs Patel, an 84-year-old woman, moved into a residential care facility due to reduced mobility. She appeared withdrawn at first, feeling worthless to a degree that suggested a shift towards despair. The staff realised the significance of assisting her through Erikson's final developmental stage and set up a structured life review programme. Mrs Patel was also invited to recount stories from her career in teaching, her migration process, and her interactions with her family. Staff helped her to form a memory book along with photographs and personal notes. Then, she conducted weekly reading sessions with other residents using her teaching abilities. Gradually Mrs Patel was more socially active and took pride in her achievements throughout life. She gained new connections and noted feeling more comfortable in the care home. This case provides a framework to apply Erikson's theory in relation to interventions to restore meaning, identity, and psychological health</w:t>
      </w:r>
      <w:r w:rsidR="00835EA8" w:rsidRPr="005649B8">
        <w:rPr>
          <w:rFonts w:ascii="Arial" w:hAnsi="Arial" w:cs="Arial"/>
          <w:sz w:val="22"/>
          <w:szCs w:val="22"/>
        </w:rPr>
        <w:t xml:space="preserve"> </w:t>
      </w:r>
      <w:r w:rsidR="00835EA8" w:rsidRPr="005649B8">
        <w:rPr>
          <w:rFonts w:ascii="Arial" w:hAnsi="Arial" w:cs="Arial"/>
          <w:sz w:val="22"/>
          <w:szCs w:val="22"/>
          <w:shd w:val="clear" w:color="auto" w:fill="FFFFFF"/>
        </w:rPr>
        <w:t>(www.teaching.unsw.edu.au, n.d.).</w:t>
      </w:r>
    </w:p>
    <w:p w14:paraId="018B250A" w14:textId="77777777" w:rsidR="00FF6ABD" w:rsidRPr="005649B8" w:rsidRDefault="00FF6ABD" w:rsidP="005649B8">
      <w:pPr>
        <w:pStyle w:val="NormalWeb"/>
        <w:spacing w:line="360" w:lineRule="auto"/>
        <w:rPr>
          <w:rFonts w:ascii="Arial" w:hAnsi="Arial" w:cs="Arial"/>
          <w:sz w:val="22"/>
          <w:szCs w:val="22"/>
        </w:rPr>
      </w:pPr>
      <w:r w:rsidRPr="005649B8">
        <w:rPr>
          <w:rStyle w:val="Strong"/>
          <w:rFonts w:ascii="Arial" w:eastAsiaTheme="majorEastAsia" w:hAnsi="Arial" w:cs="Arial"/>
          <w:sz w:val="22"/>
          <w:szCs w:val="22"/>
        </w:rPr>
        <w:t xml:space="preserve">Challenge </w:t>
      </w:r>
    </w:p>
    <w:p w14:paraId="5218ADEC" w14:textId="172D9865" w:rsidR="00FF6ABD" w:rsidRPr="005649B8" w:rsidRDefault="00FF6ABD" w:rsidP="005649B8">
      <w:pPr>
        <w:pStyle w:val="NormalWeb"/>
        <w:spacing w:line="360" w:lineRule="auto"/>
        <w:rPr>
          <w:rFonts w:ascii="Arial" w:hAnsi="Arial" w:cs="Arial"/>
          <w:sz w:val="22"/>
          <w:szCs w:val="22"/>
        </w:rPr>
      </w:pPr>
      <w:r w:rsidRPr="005649B8">
        <w:rPr>
          <w:rFonts w:ascii="Arial" w:hAnsi="Arial" w:cs="Arial"/>
          <w:sz w:val="22"/>
          <w:szCs w:val="22"/>
        </w:rPr>
        <w:t xml:space="preserve">While Erikson’s theory has advantages, it also has some limitations. Life review activities can raise disturbing memories, past trauma, or grief. As a result, some residents may experience emotional turmoil, become tearful or be reluctant to go on. This emotional sensitivity also makes it challenging for staff members to walk the line between supporting </w:t>
      </w:r>
      <w:r w:rsidRPr="005649B8">
        <w:rPr>
          <w:rFonts w:ascii="Arial" w:hAnsi="Arial" w:cs="Arial"/>
          <w:sz w:val="22"/>
          <w:szCs w:val="22"/>
        </w:rPr>
        <w:lastRenderedPageBreak/>
        <w:t>therapeutic reflection that fosters therapeutic thinking and emotional safety</w:t>
      </w:r>
      <w:r w:rsidR="008169F5" w:rsidRPr="005649B8">
        <w:rPr>
          <w:rFonts w:ascii="Arial" w:hAnsi="Arial" w:cs="Arial"/>
          <w:color w:val="2C3E50"/>
          <w:sz w:val="22"/>
          <w:szCs w:val="22"/>
          <w:shd w:val="clear" w:color="auto" w:fill="FFFFFF"/>
        </w:rPr>
        <w:t xml:space="preserve"> </w:t>
      </w:r>
      <w:r w:rsidR="008169F5" w:rsidRPr="005649B8">
        <w:rPr>
          <w:rFonts w:ascii="Arial" w:hAnsi="Arial" w:cs="Arial"/>
          <w:sz w:val="22"/>
          <w:szCs w:val="22"/>
          <w:shd w:val="clear" w:color="auto" w:fill="FFFFFF"/>
        </w:rPr>
        <w:t>(Mind.org.uk, 2019).</w:t>
      </w:r>
    </w:p>
    <w:p w14:paraId="17D526E8" w14:textId="77777777" w:rsidR="00FF6ABD" w:rsidRPr="005649B8" w:rsidRDefault="00FF6ABD" w:rsidP="005649B8">
      <w:pPr>
        <w:pStyle w:val="NormalWeb"/>
        <w:spacing w:line="360" w:lineRule="auto"/>
        <w:rPr>
          <w:rFonts w:ascii="Arial" w:hAnsi="Arial" w:cs="Arial"/>
          <w:sz w:val="22"/>
          <w:szCs w:val="22"/>
        </w:rPr>
      </w:pPr>
      <w:r w:rsidRPr="005649B8">
        <w:rPr>
          <w:rStyle w:val="Strong"/>
          <w:rFonts w:ascii="Arial" w:eastAsiaTheme="majorEastAsia" w:hAnsi="Arial" w:cs="Arial"/>
          <w:sz w:val="22"/>
          <w:szCs w:val="22"/>
        </w:rPr>
        <w:t>Strategy to Overcome the Challenge</w:t>
      </w:r>
    </w:p>
    <w:p w14:paraId="45B0B99A" w14:textId="77777777" w:rsidR="00075318" w:rsidRPr="005649B8" w:rsidRDefault="00FF6ABD" w:rsidP="005649B8">
      <w:pPr>
        <w:pStyle w:val="NormalWeb"/>
        <w:spacing w:line="360" w:lineRule="auto"/>
        <w:rPr>
          <w:rFonts w:ascii="Arial" w:hAnsi="Arial" w:cs="Arial"/>
          <w:sz w:val="22"/>
          <w:szCs w:val="22"/>
        </w:rPr>
      </w:pPr>
      <w:r w:rsidRPr="005649B8">
        <w:rPr>
          <w:rFonts w:ascii="Arial" w:hAnsi="Arial" w:cs="Arial"/>
          <w:sz w:val="22"/>
          <w:szCs w:val="22"/>
        </w:rPr>
        <w:t>Applying a trauma-informed, person-centred approach can effectively address this challenge. Professionals must allow residents to control their pace and depth of conversation, creating an atmosphere that is accepting and validates residents and that fosters a positive atmosphere. Crucial steps include active listening, validating emotions, and giving breaks when appropriate. Staff must also be trained to recognise signs of distress and to collaborate with mental health clinicians. The use of this process keeps the life review process supportive without becoming overwhelming.</w:t>
      </w:r>
      <w:r w:rsidR="008169F5" w:rsidRPr="005649B8">
        <w:rPr>
          <w:rFonts w:ascii="Arial" w:hAnsi="Arial" w:cs="Arial"/>
          <w:color w:val="2C3E50"/>
          <w:sz w:val="22"/>
          <w:szCs w:val="22"/>
          <w:shd w:val="clear" w:color="auto" w:fill="FFFFFF"/>
        </w:rPr>
        <w:t xml:space="preserve"> </w:t>
      </w:r>
      <w:r w:rsidR="008169F5" w:rsidRPr="005649B8">
        <w:rPr>
          <w:rFonts w:ascii="Arial" w:hAnsi="Arial" w:cs="Arial"/>
          <w:sz w:val="22"/>
          <w:szCs w:val="22"/>
          <w:shd w:val="clear" w:color="auto" w:fill="FFFFFF"/>
        </w:rPr>
        <w:t>(Mind.org.uk, 2019)</w:t>
      </w:r>
    </w:p>
    <w:p w14:paraId="120BB789" w14:textId="47DEDC6E" w:rsidR="00E732DA" w:rsidRPr="005649B8" w:rsidRDefault="00E92E1E" w:rsidP="005649B8">
      <w:pPr>
        <w:pStyle w:val="NormalWeb"/>
        <w:spacing w:line="360" w:lineRule="auto"/>
        <w:rPr>
          <w:rFonts w:ascii="Arial" w:hAnsi="Arial" w:cs="Arial"/>
          <w:sz w:val="22"/>
          <w:szCs w:val="22"/>
        </w:rPr>
      </w:pPr>
      <w:r w:rsidRPr="005649B8">
        <w:rPr>
          <w:rFonts w:ascii="Arial" w:hAnsi="Arial" w:cs="Arial"/>
          <w:b/>
          <w:bCs/>
          <w:sz w:val="22"/>
          <w:szCs w:val="22"/>
        </w:rPr>
        <w:t xml:space="preserve">Conclusion </w:t>
      </w:r>
    </w:p>
    <w:p w14:paraId="2C5CEFFC" w14:textId="3395B9F5" w:rsidR="00E732DA" w:rsidRPr="005649B8" w:rsidRDefault="00E732DA" w:rsidP="005649B8">
      <w:pPr>
        <w:pStyle w:val="NormalWeb"/>
        <w:spacing w:line="360" w:lineRule="auto"/>
        <w:rPr>
          <w:rFonts w:ascii="Arial" w:hAnsi="Arial" w:cs="Arial"/>
          <w:sz w:val="22"/>
          <w:szCs w:val="22"/>
        </w:rPr>
      </w:pPr>
      <w:r w:rsidRPr="005649B8">
        <w:rPr>
          <w:rFonts w:ascii="Arial" w:hAnsi="Arial" w:cs="Arial"/>
          <w:sz w:val="22"/>
          <w:szCs w:val="22"/>
        </w:rPr>
        <w:t>In residential service work settings where elderly residents live, Erikson's psychosocial theory provides useful insights into the emotional needs. Carers can help residents to achieve ego integrity and improve their psychological health by engaging the residents to reflect over life, empower independent living and strengthen their social relations. Although reflective action can raise distress of the affective variety, staff practice a trauma-informed framework to respond to such situations in a sensitive manner and with intention. Erikson's theory can greatly inform the practice of more compassionate, person-centred care.</w:t>
      </w:r>
    </w:p>
    <w:p w14:paraId="1E010698" w14:textId="77777777" w:rsidR="00E743DC" w:rsidRPr="005649B8" w:rsidRDefault="00E743DC" w:rsidP="005649B8">
      <w:pPr>
        <w:pStyle w:val="NormalWeb"/>
        <w:spacing w:line="360" w:lineRule="auto"/>
        <w:rPr>
          <w:rFonts w:ascii="Arial" w:hAnsi="Arial" w:cs="Arial"/>
          <w:sz w:val="22"/>
          <w:szCs w:val="22"/>
        </w:rPr>
      </w:pPr>
    </w:p>
    <w:p w14:paraId="07D52A26" w14:textId="4F025974" w:rsidR="00E743DC" w:rsidRPr="005649B8" w:rsidRDefault="00353C21" w:rsidP="005649B8">
      <w:pPr>
        <w:pStyle w:val="NormalWeb"/>
        <w:tabs>
          <w:tab w:val="left" w:pos="8324"/>
        </w:tabs>
        <w:spacing w:line="360" w:lineRule="auto"/>
        <w:rPr>
          <w:rFonts w:ascii="Arial" w:hAnsi="Arial" w:cs="Arial"/>
          <w:sz w:val="22"/>
          <w:szCs w:val="22"/>
        </w:rPr>
      </w:pPr>
      <w:r w:rsidRPr="005649B8">
        <w:rPr>
          <w:rFonts w:ascii="Arial" w:hAnsi="Arial" w:cs="Arial"/>
          <w:sz w:val="22"/>
          <w:szCs w:val="22"/>
        </w:rPr>
        <w:tab/>
      </w:r>
    </w:p>
    <w:p w14:paraId="05ABE349" w14:textId="77777777" w:rsidR="00E743DC" w:rsidRPr="005649B8" w:rsidRDefault="00E743DC" w:rsidP="005649B8">
      <w:pPr>
        <w:pStyle w:val="NormalWeb"/>
        <w:spacing w:line="360" w:lineRule="auto"/>
        <w:rPr>
          <w:rFonts w:ascii="Arial" w:hAnsi="Arial" w:cs="Arial"/>
          <w:sz w:val="22"/>
          <w:szCs w:val="22"/>
        </w:rPr>
      </w:pPr>
    </w:p>
    <w:p w14:paraId="2A59D366" w14:textId="77777777" w:rsidR="00E743DC" w:rsidRPr="005649B8" w:rsidRDefault="00E743DC" w:rsidP="005649B8">
      <w:pPr>
        <w:pStyle w:val="NormalWeb"/>
        <w:spacing w:line="360" w:lineRule="auto"/>
        <w:rPr>
          <w:rFonts w:ascii="Arial" w:hAnsi="Arial" w:cs="Arial"/>
          <w:sz w:val="22"/>
          <w:szCs w:val="22"/>
        </w:rPr>
      </w:pPr>
    </w:p>
    <w:p w14:paraId="1EC4333F" w14:textId="77777777" w:rsidR="00E743DC" w:rsidRPr="005649B8" w:rsidRDefault="00E743DC" w:rsidP="005649B8">
      <w:pPr>
        <w:pStyle w:val="NormalWeb"/>
        <w:spacing w:line="360" w:lineRule="auto"/>
        <w:rPr>
          <w:rFonts w:ascii="Arial" w:hAnsi="Arial" w:cs="Arial"/>
          <w:sz w:val="22"/>
          <w:szCs w:val="22"/>
        </w:rPr>
      </w:pPr>
    </w:p>
    <w:p w14:paraId="4CBA833B" w14:textId="77777777" w:rsidR="00E743DC" w:rsidRPr="005649B8" w:rsidRDefault="00E743DC" w:rsidP="005649B8">
      <w:pPr>
        <w:pStyle w:val="NormalWeb"/>
        <w:spacing w:line="360" w:lineRule="auto"/>
        <w:rPr>
          <w:rFonts w:ascii="Arial" w:hAnsi="Arial" w:cs="Arial"/>
          <w:sz w:val="22"/>
          <w:szCs w:val="22"/>
        </w:rPr>
      </w:pPr>
    </w:p>
    <w:p w14:paraId="56BD0A3E" w14:textId="77777777" w:rsidR="00E743DC" w:rsidRPr="005649B8" w:rsidRDefault="00E743DC" w:rsidP="005649B8">
      <w:pPr>
        <w:pStyle w:val="NormalWeb"/>
        <w:spacing w:line="360" w:lineRule="auto"/>
        <w:rPr>
          <w:rFonts w:ascii="Arial" w:hAnsi="Arial" w:cs="Arial"/>
          <w:sz w:val="22"/>
          <w:szCs w:val="22"/>
        </w:rPr>
      </w:pPr>
    </w:p>
    <w:p w14:paraId="5BA5F6F5" w14:textId="77777777" w:rsidR="00E743DC" w:rsidRPr="005649B8" w:rsidRDefault="00E743DC" w:rsidP="005649B8">
      <w:pPr>
        <w:pStyle w:val="NormalWeb"/>
        <w:spacing w:line="360" w:lineRule="auto"/>
        <w:rPr>
          <w:rFonts w:ascii="Arial" w:hAnsi="Arial" w:cs="Arial"/>
          <w:sz w:val="22"/>
          <w:szCs w:val="22"/>
        </w:rPr>
      </w:pPr>
    </w:p>
    <w:p w14:paraId="6F6444DF" w14:textId="77777777" w:rsidR="000F3489" w:rsidRDefault="000F3489" w:rsidP="00FF76CA">
      <w:pPr>
        <w:pStyle w:val="NormalWeb"/>
        <w:spacing w:line="360" w:lineRule="auto"/>
        <w:rPr>
          <w:rFonts w:ascii="Arial" w:hAnsi="Arial" w:cs="Arial"/>
          <w:sz w:val="22"/>
          <w:szCs w:val="22"/>
        </w:rPr>
      </w:pPr>
    </w:p>
    <w:p w14:paraId="27257683" w14:textId="21DB2697" w:rsidR="00E743DC" w:rsidRPr="00871943" w:rsidRDefault="00D10EC1" w:rsidP="00797B5E">
      <w:pPr>
        <w:pStyle w:val="NormalWeb"/>
        <w:spacing w:line="360" w:lineRule="auto"/>
        <w:rPr>
          <w:rFonts w:ascii="Arial" w:hAnsi="Arial" w:cs="Arial"/>
          <w:b/>
          <w:bCs/>
          <w:sz w:val="22"/>
          <w:szCs w:val="22"/>
        </w:rPr>
      </w:pPr>
      <w:r w:rsidRPr="00871943">
        <w:rPr>
          <w:rFonts w:ascii="Arial" w:hAnsi="Arial" w:cs="Arial"/>
          <w:b/>
          <w:bCs/>
          <w:sz w:val="22"/>
          <w:szCs w:val="22"/>
        </w:rPr>
        <w:lastRenderedPageBreak/>
        <w:t>R</w:t>
      </w:r>
      <w:r w:rsidR="00E743DC" w:rsidRPr="00871943">
        <w:rPr>
          <w:rFonts w:ascii="Arial" w:hAnsi="Arial" w:cs="Arial"/>
          <w:b/>
          <w:bCs/>
          <w:sz w:val="22"/>
          <w:szCs w:val="22"/>
        </w:rPr>
        <w:t>eferen</w:t>
      </w:r>
      <w:r w:rsidRPr="00871943">
        <w:rPr>
          <w:rFonts w:ascii="Arial" w:hAnsi="Arial" w:cs="Arial"/>
          <w:b/>
          <w:bCs/>
          <w:sz w:val="22"/>
          <w:szCs w:val="22"/>
        </w:rPr>
        <w:t xml:space="preserve">ces </w:t>
      </w:r>
    </w:p>
    <w:p w14:paraId="031E4754" w14:textId="7047509B" w:rsidR="00D644D8" w:rsidRDefault="00D70780" w:rsidP="004B7853">
      <w:pPr>
        <w:pStyle w:val="NormalWeb"/>
        <w:rPr>
          <w:rFonts w:ascii="Arial" w:hAnsi="Arial" w:cs="Arial"/>
          <w:color w:val="000000"/>
          <w:sz w:val="22"/>
          <w:szCs w:val="22"/>
        </w:rPr>
      </w:pPr>
      <w:r w:rsidRPr="00871943">
        <w:rPr>
          <w:rFonts w:ascii="Arial" w:hAnsi="Arial" w:cs="Arial"/>
          <w:color w:val="000000"/>
          <w:sz w:val="22"/>
          <w:szCs w:val="22"/>
        </w:rPr>
        <w:t>Chen, P.-Y., Ho, W.-C., Lo, C. and Yeh, T.-P. (2021). Predicting Ego Integrity Using Prior Ego Development Stages for Older Adults in the Community. </w:t>
      </w:r>
      <w:r w:rsidRPr="00871943">
        <w:rPr>
          <w:rFonts w:ascii="Arial" w:hAnsi="Arial" w:cs="Arial"/>
          <w:i/>
          <w:iCs/>
          <w:color w:val="000000"/>
          <w:sz w:val="22"/>
          <w:szCs w:val="22"/>
        </w:rPr>
        <w:t>International Journal of Environmental Research and Public Health</w:t>
      </w:r>
      <w:r w:rsidRPr="00871943">
        <w:rPr>
          <w:rFonts w:ascii="Arial" w:hAnsi="Arial" w:cs="Arial"/>
          <w:color w:val="000000"/>
          <w:sz w:val="22"/>
          <w:szCs w:val="22"/>
        </w:rPr>
        <w:t>, [online] 18(18), p.9490. doi:https://doi.org/10.3390/ijerph18189490</w:t>
      </w:r>
    </w:p>
    <w:p w14:paraId="6E7334F2" w14:textId="6DAEFBC7" w:rsidR="00623D36" w:rsidRPr="00871943" w:rsidRDefault="00624C0B" w:rsidP="004B7853">
      <w:pPr>
        <w:pStyle w:val="NormalWeb"/>
        <w:rPr>
          <w:rFonts w:ascii="Arial" w:hAnsi="Arial" w:cs="Arial"/>
          <w:sz w:val="22"/>
          <w:szCs w:val="22"/>
        </w:rPr>
      </w:pPr>
      <w:r w:rsidRPr="00871943">
        <w:rPr>
          <w:rFonts w:ascii="Arial" w:hAnsi="Arial" w:cs="Arial"/>
          <w:color w:val="000000"/>
          <w:sz w:val="22"/>
          <w:szCs w:val="22"/>
        </w:rPr>
        <w:t>Cherry, K. (2025). </w:t>
      </w:r>
      <w:r w:rsidRPr="00871943">
        <w:rPr>
          <w:rFonts w:ascii="Arial" w:hAnsi="Arial" w:cs="Arial"/>
          <w:i/>
          <w:iCs/>
          <w:color w:val="000000"/>
          <w:sz w:val="22"/>
          <w:szCs w:val="22"/>
        </w:rPr>
        <w:t>Integrity vs. Despair in Psychosocial Development</w:t>
      </w:r>
      <w:r w:rsidRPr="00871943">
        <w:rPr>
          <w:rFonts w:ascii="Arial" w:hAnsi="Arial" w:cs="Arial"/>
          <w:color w:val="000000"/>
          <w:sz w:val="22"/>
          <w:szCs w:val="22"/>
        </w:rPr>
        <w:t xml:space="preserve">. [online] Verywell Mind. Available at: </w:t>
      </w:r>
      <w:hyperlink r:id="rId8" w:history="1">
        <w:r w:rsidRPr="00871943">
          <w:rPr>
            <w:rStyle w:val="Hyperlink"/>
            <w:rFonts w:ascii="Arial" w:hAnsi="Arial" w:cs="Arial"/>
            <w:sz w:val="22"/>
            <w:szCs w:val="22"/>
          </w:rPr>
          <w:t>https://www.verywellmind.com/integrity-versus-despair-2795738</w:t>
        </w:r>
      </w:hyperlink>
      <w:r w:rsidR="00BB0391" w:rsidRPr="00BB0391">
        <w:rPr>
          <w:rFonts w:ascii="Arial" w:hAnsi="Arial" w:cs="Arial"/>
          <w:color w:val="000000"/>
          <w:sz w:val="22"/>
          <w:szCs w:val="22"/>
        </w:rPr>
        <w:t xml:space="preserve"> </w:t>
      </w:r>
      <w:r w:rsidR="00BB0391" w:rsidRPr="00871943">
        <w:rPr>
          <w:rFonts w:ascii="Arial" w:hAnsi="Arial" w:cs="Arial"/>
          <w:color w:val="000000"/>
          <w:sz w:val="22"/>
          <w:szCs w:val="22"/>
        </w:rPr>
        <w:t>[Accessed 21 Feb. 2026].</w:t>
      </w:r>
    </w:p>
    <w:p w14:paraId="133F0985" w14:textId="745CFADF" w:rsidR="008A3197" w:rsidRPr="00871943" w:rsidRDefault="008A3197" w:rsidP="004B7853">
      <w:pPr>
        <w:pStyle w:val="NormalWeb"/>
        <w:rPr>
          <w:rFonts w:ascii="Arial" w:hAnsi="Arial" w:cs="Arial"/>
          <w:color w:val="000000"/>
          <w:sz w:val="22"/>
          <w:szCs w:val="22"/>
        </w:rPr>
      </w:pPr>
      <w:r w:rsidRPr="00871943">
        <w:rPr>
          <w:rFonts w:ascii="Arial" w:hAnsi="Arial" w:cs="Arial"/>
          <w:color w:val="000000"/>
          <w:sz w:val="22"/>
          <w:szCs w:val="22"/>
        </w:rPr>
        <w:t>Havighurst, R.J. (1961). Successful Aging. </w:t>
      </w:r>
      <w:r w:rsidRPr="00871943">
        <w:rPr>
          <w:rFonts w:ascii="Arial" w:hAnsi="Arial" w:cs="Arial"/>
          <w:i/>
          <w:iCs/>
          <w:color w:val="000000"/>
          <w:sz w:val="22"/>
          <w:szCs w:val="22"/>
        </w:rPr>
        <w:t>The Gerontologist</w:t>
      </w:r>
      <w:r w:rsidRPr="00871943">
        <w:rPr>
          <w:rFonts w:ascii="Arial" w:hAnsi="Arial" w:cs="Arial"/>
          <w:color w:val="000000"/>
          <w:sz w:val="22"/>
          <w:szCs w:val="22"/>
        </w:rPr>
        <w:t>, [online] 1(1), pp.8–13. doi:https://doi.org/10.1093/geront/1.1.8.</w:t>
      </w:r>
    </w:p>
    <w:p w14:paraId="1C0FEB92" w14:textId="6DC2B47B" w:rsidR="008A3197" w:rsidRPr="00871943" w:rsidRDefault="00CA0AC1" w:rsidP="004B7853">
      <w:pPr>
        <w:pStyle w:val="NormalWeb"/>
        <w:rPr>
          <w:rFonts w:ascii="Arial" w:hAnsi="Arial" w:cs="Arial"/>
          <w:color w:val="000000"/>
          <w:sz w:val="22"/>
          <w:szCs w:val="22"/>
        </w:rPr>
      </w:pPr>
      <w:r w:rsidRPr="00871943">
        <w:rPr>
          <w:rFonts w:ascii="Arial" w:hAnsi="Arial" w:cs="Arial"/>
          <w:color w:val="000000"/>
          <w:sz w:val="22"/>
          <w:szCs w:val="22"/>
        </w:rPr>
        <w:t>‌Lumen Learning (2024). </w:t>
      </w:r>
      <w:r w:rsidRPr="00871943">
        <w:rPr>
          <w:rFonts w:ascii="Arial" w:hAnsi="Arial" w:cs="Arial"/>
          <w:i/>
          <w:iCs/>
          <w:color w:val="000000"/>
          <w:sz w:val="22"/>
          <w:szCs w:val="22"/>
        </w:rPr>
        <w:t>Erikson: Integrity vs. Despair | Lifespan Development</w:t>
      </w:r>
      <w:r w:rsidRPr="00871943">
        <w:rPr>
          <w:rFonts w:ascii="Arial" w:hAnsi="Arial" w:cs="Arial"/>
          <w:color w:val="000000"/>
          <w:sz w:val="22"/>
          <w:szCs w:val="22"/>
        </w:rPr>
        <w:t xml:space="preserve">. [online] courses.lumenlearning.com. Available at: </w:t>
      </w:r>
      <w:hyperlink r:id="rId9" w:history="1">
        <w:r w:rsidRPr="00871943">
          <w:rPr>
            <w:rStyle w:val="Hyperlink"/>
            <w:rFonts w:ascii="Arial" w:hAnsi="Arial" w:cs="Arial"/>
            <w:sz w:val="22"/>
            <w:szCs w:val="22"/>
          </w:rPr>
          <w:t>https://courses.lumenlearning.com/suny-lifespandevelopment/chapter/erikson-integrity-vs-despair/</w:t>
        </w:r>
      </w:hyperlink>
      <w:r w:rsidR="00BB0391">
        <w:rPr>
          <w:rFonts w:ascii="Arial" w:hAnsi="Arial" w:cs="Arial"/>
          <w:color w:val="000000"/>
          <w:sz w:val="22"/>
          <w:szCs w:val="22"/>
        </w:rPr>
        <w:t xml:space="preserve"> </w:t>
      </w:r>
      <w:r w:rsidR="00BB0391" w:rsidRPr="00871943">
        <w:rPr>
          <w:rFonts w:ascii="Arial" w:hAnsi="Arial" w:cs="Arial"/>
          <w:color w:val="000000"/>
          <w:sz w:val="22"/>
          <w:szCs w:val="22"/>
        </w:rPr>
        <w:t>[Accessed 2</w:t>
      </w:r>
      <w:r w:rsidR="00BB0391">
        <w:rPr>
          <w:rFonts w:ascii="Arial" w:hAnsi="Arial" w:cs="Arial"/>
          <w:color w:val="000000"/>
          <w:sz w:val="22"/>
          <w:szCs w:val="22"/>
        </w:rPr>
        <w:t>0</w:t>
      </w:r>
      <w:r w:rsidR="00BB0391" w:rsidRPr="00871943">
        <w:rPr>
          <w:rFonts w:ascii="Arial" w:hAnsi="Arial" w:cs="Arial"/>
          <w:color w:val="000000"/>
          <w:sz w:val="22"/>
          <w:szCs w:val="22"/>
        </w:rPr>
        <w:t xml:space="preserve"> Feb. 2026].</w:t>
      </w:r>
    </w:p>
    <w:p w14:paraId="51EBF582" w14:textId="04E271D4" w:rsidR="00E01CFA" w:rsidRPr="00871943" w:rsidRDefault="00E01CFA" w:rsidP="00E01CFA">
      <w:pPr>
        <w:pStyle w:val="NormalWeb"/>
        <w:rPr>
          <w:rFonts w:ascii="Arial" w:hAnsi="Arial" w:cs="Arial"/>
          <w:color w:val="000000"/>
          <w:sz w:val="22"/>
          <w:szCs w:val="22"/>
        </w:rPr>
      </w:pPr>
      <w:r w:rsidRPr="00871943">
        <w:rPr>
          <w:rFonts w:ascii="Arial" w:hAnsi="Arial" w:cs="Arial"/>
          <w:color w:val="000000"/>
          <w:sz w:val="22"/>
          <w:szCs w:val="22"/>
        </w:rPr>
        <w:t>‌Mind.org.uk. (2019). </w:t>
      </w:r>
      <w:r w:rsidRPr="00871943">
        <w:rPr>
          <w:rFonts w:ascii="Arial" w:hAnsi="Arial" w:cs="Arial"/>
          <w:i/>
          <w:iCs/>
          <w:color w:val="000000"/>
          <w:sz w:val="22"/>
          <w:szCs w:val="22"/>
        </w:rPr>
        <w:t>Search Results</w:t>
      </w:r>
      <w:r w:rsidRPr="00871943">
        <w:rPr>
          <w:rFonts w:ascii="Arial" w:hAnsi="Arial" w:cs="Arial"/>
          <w:color w:val="000000"/>
          <w:sz w:val="22"/>
          <w:szCs w:val="22"/>
        </w:rPr>
        <w:t xml:space="preserve">. [online] Available at: </w:t>
      </w:r>
      <w:hyperlink r:id="rId10" w:anchor="stq=elder%20challenges%20in%20care%20home&amp;stp=1" w:history="1">
        <w:r w:rsidRPr="00871943">
          <w:rPr>
            <w:rStyle w:val="Hyperlink"/>
            <w:rFonts w:ascii="Arial" w:hAnsi="Arial" w:cs="Arial"/>
            <w:sz w:val="22"/>
            <w:szCs w:val="22"/>
          </w:rPr>
          <w:t>https://www.mind.org.uk/search-results/?q=elder+challenges+in+care+home#stq=elder%20challenges%20in%20care%20home&amp;stp=1</w:t>
        </w:r>
      </w:hyperlink>
      <w:r w:rsidRPr="00871943">
        <w:rPr>
          <w:rFonts w:ascii="Arial" w:hAnsi="Arial" w:cs="Arial"/>
          <w:color w:val="000000"/>
          <w:sz w:val="22"/>
          <w:szCs w:val="22"/>
        </w:rPr>
        <w:t xml:space="preserve">  [Accessed 21 Feb. 2026]. </w:t>
      </w:r>
    </w:p>
    <w:p w14:paraId="3DCFA652" w14:textId="622C70A7" w:rsidR="00B462FA" w:rsidRPr="00871943" w:rsidRDefault="00B462FA" w:rsidP="00E01CFA">
      <w:pPr>
        <w:pStyle w:val="NormalWeb"/>
        <w:rPr>
          <w:rFonts w:ascii="Arial" w:hAnsi="Arial" w:cs="Arial"/>
          <w:color w:val="000000"/>
          <w:sz w:val="22"/>
          <w:szCs w:val="22"/>
        </w:rPr>
      </w:pPr>
      <w:r w:rsidRPr="00871943">
        <w:rPr>
          <w:rFonts w:ascii="Arial" w:hAnsi="Arial" w:cs="Arial"/>
          <w:color w:val="000000"/>
          <w:sz w:val="22"/>
          <w:szCs w:val="22"/>
        </w:rPr>
        <w:t>Perry, T.E., Ruggiano, N., Shtompel, N. and Hassevoort, L. (2018). Applying Erikson’s Wisdom to Self-Management Practices of Older Adults. </w:t>
      </w:r>
      <w:r w:rsidRPr="00871943">
        <w:rPr>
          <w:rFonts w:ascii="Arial" w:hAnsi="Arial" w:cs="Arial"/>
          <w:i/>
          <w:iCs/>
          <w:color w:val="000000"/>
          <w:sz w:val="22"/>
          <w:szCs w:val="22"/>
        </w:rPr>
        <w:t>Research on Aging</w:t>
      </w:r>
      <w:r w:rsidRPr="00871943">
        <w:rPr>
          <w:rFonts w:ascii="Arial" w:hAnsi="Arial" w:cs="Arial"/>
          <w:color w:val="000000"/>
          <w:sz w:val="22"/>
          <w:szCs w:val="22"/>
        </w:rPr>
        <w:t>, [online] 37(3), pp.253–274. doi:https://doi.org/10.1177/0164027514527974.</w:t>
      </w:r>
    </w:p>
    <w:p w14:paraId="579569AA" w14:textId="23F3CAC4" w:rsidR="00B462FA" w:rsidRPr="00871943" w:rsidRDefault="006B60EA" w:rsidP="00E01CFA">
      <w:pPr>
        <w:pStyle w:val="NormalWeb"/>
        <w:rPr>
          <w:rFonts w:ascii="Arial" w:hAnsi="Arial" w:cs="Arial"/>
          <w:color w:val="000000"/>
          <w:sz w:val="22"/>
          <w:szCs w:val="22"/>
        </w:rPr>
      </w:pPr>
      <w:r w:rsidRPr="00871943">
        <w:rPr>
          <w:rFonts w:ascii="Arial" w:hAnsi="Arial" w:cs="Arial"/>
          <w:color w:val="000000"/>
          <w:sz w:val="22"/>
          <w:szCs w:val="22"/>
        </w:rPr>
        <w:t>Rodway, C. and Spencer, R. (2025). Attachment in Old Age: A Fundamental Pillar for Public Health and Wellbeing. </w:t>
      </w:r>
      <w:r w:rsidRPr="00871943">
        <w:rPr>
          <w:rFonts w:ascii="Arial" w:hAnsi="Arial" w:cs="Arial"/>
          <w:i/>
          <w:iCs/>
          <w:color w:val="000000"/>
          <w:sz w:val="22"/>
          <w:szCs w:val="22"/>
        </w:rPr>
        <w:t>International Journal of Public Health</w:t>
      </w:r>
      <w:r w:rsidRPr="00871943">
        <w:rPr>
          <w:rFonts w:ascii="Arial" w:hAnsi="Arial" w:cs="Arial"/>
          <w:color w:val="000000"/>
          <w:sz w:val="22"/>
          <w:szCs w:val="22"/>
        </w:rPr>
        <w:t>, 70. doi:https://doi.org/10.3389/ijph.2025.1607770.</w:t>
      </w:r>
    </w:p>
    <w:p w14:paraId="4F851EC3" w14:textId="40F9F755" w:rsidR="00C84230" w:rsidRPr="00871943" w:rsidRDefault="00C84230" w:rsidP="00E01CFA">
      <w:pPr>
        <w:pStyle w:val="NormalWeb"/>
        <w:rPr>
          <w:rFonts w:ascii="Arial" w:hAnsi="Arial" w:cs="Arial"/>
          <w:color w:val="000000"/>
          <w:sz w:val="22"/>
          <w:szCs w:val="22"/>
        </w:rPr>
      </w:pPr>
      <w:r w:rsidRPr="00871943">
        <w:rPr>
          <w:rFonts w:ascii="Arial" w:hAnsi="Arial" w:cs="Arial"/>
          <w:color w:val="000000"/>
          <w:sz w:val="22"/>
          <w:szCs w:val="22"/>
        </w:rPr>
        <w:t>Ryff, C.D. (2014). Psychological Well-Being Revisited: Advances in the Science and Practice of Eudaimonia. </w:t>
      </w:r>
      <w:r w:rsidRPr="00871943">
        <w:rPr>
          <w:rFonts w:ascii="Arial" w:hAnsi="Arial" w:cs="Arial"/>
          <w:i/>
          <w:iCs/>
          <w:color w:val="000000"/>
          <w:sz w:val="22"/>
          <w:szCs w:val="22"/>
        </w:rPr>
        <w:t>Psychotherapy and Psychosomatics</w:t>
      </w:r>
      <w:r w:rsidRPr="00871943">
        <w:rPr>
          <w:rFonts w:ascii="Arial" w:hAnsi="Arial" w:cs="Arial"/>
          <w:color w:val="000000"/>
          <w:sz w:val="22"/>
          <w:szCs w:val="22"/>
        </w:rPr>
        <w:t>, 83(1), pp.10–28. doi:https://doi.org/10.1159/000353263.</w:t>
      </w:r>
    </w:p>
    <w:p w14:paraId="63BE9594" w14:textId="1EBA8A56" w:rsidR="00C84230" w:rsidRPr="00871943" w:rsidRDefault="00F041CD" w:rsidP="00E01CFA">
      <w:pPr>
        <w:pStyle w:val="NormalWeb"/>
        <w:rPr>
          <w:rFonts w:ascii="Arial" w:hAnsi="Arial" w:cs="Arial"/>
          <w:color w:val="000000"/>
          <w:sz w:val="22"/>
          <w:szCs w:val="22"/>
        </w:rPr>
      </w:pPr>
      <w:r w:rsidRPr="00871943">
        <w:rPr>
          <w:rFonts w:ascii="Arial" w:hAnsi="Arial" w:cs="Arial"/>
          <w:color w:val="000000"/>
          <w:sz w:val="22"/>
          <w:szCs w:val="22"/>
        </w:rPr>
        <w:t>SCIE (2023). </w:t>
      </w:r>
      <w:r w:rsidRPr="00871943">
        <w:rPr>
          <w:rFonts w:ascii="Arial" w:hAnsi="Arial" w:cs="Arial"/>
          <w:i/>
          <w:iCs/>
          <w:color w:val="000000"/>
          <w:sz w:val="22"/>
          <w:szCs w:val="22"/>
        </w:rPr>
        <w:t>Personalised and person-centred care</w:t>
      </w:r>
      <w:r w:rsidRPr="00871943">
        <w:rPr>
          <w:rFonts w:ascii="Arial" w:hAnsi="Arial" w:cs="Arial"/>
          <w:color w:val="000000"/>
          <w:sz w:val="22"/>
          <w:szCs w:val="22"/>
        </w:rPr>
        <w:t xml:space="preserve">. [online] SCIE. Available at: </w:t>
      </w:r>
      <w:hyperlink r:id="rId11" w:history="1">
        <w:r w:rsidRPr="00871943">
          <w:rPr>
            <w:rStyle w:val="Hyperlink"/>
            <w:rFonts w:ascii="Arial" w:hAnsi="Arial" w:cs="Arial"/>
            <w:sz w:val="22"/>
            <w:szCs w:val="22"/>
          </w:rPr>
          <w:t>https://www.scie.org.uk/providing-care/personalised-and-person-centred-care/</w:t>
        </w:r>
      </w:hyperlink>
      <w:r w:rsidR="00D62929">
        <w:rPr>
          <w:rFonts w:ascii="Arial" w:hAnsi="Arial" w:cs="Arial"/>
          <w:color w:val="000000"/>
          <w:sz w:val="22"/>
          <w:szCs w:val="22"/>
        </w:rPr>
        <w:t xml:space="preserve"> </w:t>
      </w:r>
      <w:r w:rsidR="00D62929" w:rsidRPr="00871943">
        <w:rPr>
          <w:rFonts w:ascii="Arial" w:hAnsi="Arial" w:cs="Arial"/>
          <w:color w:val="000000"/>
          <w:sz w:val="22"/>
          <w:szCs w:val="22"/>
        </w:rPr>
        <w:t>[Accessed 2</w:t>
      </w:r>
      <w:r w:rsidR="00D62929">
        <w:rPr>
          <w:rFonts w:ascii="Arial" w:hAnsi="Arial" w:cs="Arial"/>
          <w:color w:val="000000"/>
          <w:sz w:val="22"/>
          <w:szCs w:val="22"/>
        </w:rPr>
        <w:t>0</w:t>
      </w:r>
      <w:r w:rsidR="00D62929" w:rsidRPr="00871943">
        <w:rPr>
          <w:rFonts w:ascii="Arial" w:hAnsi="Arial" w:cs="Arial"/>
          <w:color w:val="000000"/>
          <w:sz w:val="22"/>
          <w:szCs w:val="22"/>
        </w:rPr>
        <w:t xml:space="preserve"> Feb. 2026].</w:t>
      </w:r>
    </w:p>
    <w:p w14:paraId="3FC07C2E" w14:textId="619E99DD" w:rsidR="00F041CD" w:rsidRPr="00871943" w:rsidRDefault="00F846E2" w:rsidP="00E01CFA">
      <w:pPr>
        <w:pStyle w:val="NormalWeb"/>
        <w:rPr>
          <w:rFonts w:ascii="Arial" w:hAnsi="Arial" w:cs="Arial"/>
          <w:color w:val="000000"/>
          <w:sz w:val="22"/>
          <w:szCs w:val="22"/>
        </w:rPr>
      </w:pPr>
      <w:r w:rsidRPr="00871943">
        <w:rPr>
          <w:rFonts w:ascii="Arial" w:hAnsi="Arial" w:cs="Arial"/>
          <w:color w:val="000000"/>
          <w:sz w:val="22"/>
          <w:szCs w:val="22"/>
        </w:rPr>
        <w:t>Search (2020). </w:t>
      </w:r>
      <w:r w:rsidRPr="00871943">
        <w:rPr>
          <w:rFonts w:ascii="Arial" w:hAnsi="Arial" w:cs="Arial"/>
          <w:i/>
          <w:iCs/>
          <w:color w:val="000000"/>
          <w:sz w:val="22"/>
          <w:szCs w:val="22"/>
        </w:rPr>
        <w:t>You searched for social connection - Campaign to End Loneliness</w:t>
      </w:r>
      <w:r w:rsidRPr="00871943">
        <w:rPr>
          <w:rFonts w:ascii="Arial" w:hAnsi="Arial" w:cs="Arial"/>
          <w:color w:val="000000"/>
          <w:sz w:val="22"/>
          <w:szCs w:val="22"/>
        </w:rPr>
        <w:t xml:space="preserve">. [online] Campaign to End Loneliness. Available at: https://www.campaigntoendloneliness.org/?s=social+connection [Accessed 21 Feb. 2026]. </w:t>
      </w:r>
    </w:p>
    <w:p w14:paraId="20465B59" w14:textId="552E4EB7" w:rsidR="00871943" w:rsidRPr="00871943" w:rsidRDefault="00871943" w:rsidP="00E01CFA">
      <w:pPr>
        <w:pStyle w:val="NormalWeb"/>
        <w:rPr>
          <w:rFonts w:ascii="Arial" w:hAnsi="Arial" w:cs="Arial"/>
          <w:color w:val="2C3E50"/>
          <w:sz w:val="22"/>
          <w:szCs w:val="22"/>
          <w:shd w:val="clear" w:color="auto" w:fill="FFFFFF"/>
        </w:rPr>
      </w:pPr>
      <w:r w:rsidRPr="00871943">
        <w:rPr>
          <w:rFonts w:ascii="Arial" w:hAnsi="Arial" w:cs="Arial"/>
          <w:color w:val="000000"/>
          <w:sz w:val="22"/>
          <w:szCs w:val="22"/>
        </w:rPr>
        <w:t>www.teaching.unsw.edu.au. (n.d.). </w:t>
      </w:r>
      <w:r w:rsidRPr="00871943">
        <w:rPr>
          <w:rFonts w:ascii="Arial" w:hAnsi="Arial" w:cs="Arial"/>
          <w:i/>
          <w:iCs/>
          <w:color w:val="000000"/>
          <w:sz w:val="22"/>
          <w:szCs w:val="22"/>
        </w:rPr>
        <w:t>Assessment by Case Studies and Scenarios | UNSW Teaching Staff Gateway</w:t>
      </w:r>
      <w:r w:rsidRPr="00871943">
        <w:rPr>
          <w:rFonts w:ascii="Arial" w:hAnsi="Arial" w:cs="Arial"/>
          <w:color w:val="000000"/>
          <w:sz w:val="22"/>
          <w:szCs w:val="22"/>
        </w:rPr>
        <w:t xml:space="preserve">. [online] Available at: </w:t>
      </w:r>
      <w:hyperlink r:id="rId12" w:history="1">
        <w:r w:rsidRPr="00871943">
          <w:rPr>
            <w:rStyle w:val="Hyperlink"/>
            <w:rFonts w:ascii="Arial" w:hAnsi="Arial" w:cs="Arial"/>
            <w:sz w:val="22"/>
            <w:szCs w:val="22"/>
          </w:rPr>
          <w:t>https://www.teaching.unsw.edu.au/assessment-case-studies-and-scenarios</w:t>
        </w:r>
      </w:hyperlink>
      <w:r w:rsidR="00D62929" w:rsidRPr="00D62929">
        <w:rPr>
          <w:rFonts w:ascii="Arial" w:hAnsi="Arial" w:cs="Arial"/>
          <w:color w:val="000000"/>
          <w:sz w:val="22"/>
          <w:szCs w:val="22"/>
        </w:rPr>
        <w:t xml:space="preserve"> </w:t>
      </w:r>
      <w:r w:rsidR="00D62929" w:rsidRPr="00871943">
        <w:rPr>
          <w:rFonts w:ascii="Arial" w:hAnsi="Arial" w:cs="Arial"/>
          <w:color w:val="000000"/>
          <w:sz w:val="22"/>
          <w:szCs w:val="22"/>
        </w:rPr>
        <w:t>[Accessed 21 Feb. 2026].</w:t>
      </w:r>
    </w:p>
    <w:p w14:paraId="14DF169D" w14:textId="77777777" w:rsidR="00E01CFA" w:rsidRPr="00871943" w:rsidRDefault="00E01CFA" w:rsidP="00E01CFA">
      <w:pPr>
        <w:pStyle w:val="NormalWeb"/>
        <w:rPr>
          <w:rFonts w:ascii="Arial" w:hAnsi="Arial" w:cs="Arial"/>
          <w:color w:val="000000"/>
          <w:sz w:val="22"/>
          <w:szCs w:val="22"/>
        </w:rPr>
      </w:pPr>
    </w:p>
    <w:p w14:paraId="64365251" w14:textId="77777777" w:rsidR="00E01CFA" w:rsidRPr="00871943" w:rsidRDefault="00E01CFA" w:rsidP="00E01CFA">
      <w:pPr>
        <w:pStyle w:val="NormalWeb"/>
        <w:rPr>
          <w:rFonts w:ascii="Arial" w:hAnsi="Arial" w:cs="Arial"/>
          <w:color w:val="000000"/>
          <w:sz w:val="22"/>
          <w:szCs w:val="22"/>
        </w:rPr>
      </w:pPr>
    </w:p>
    <w:p w14:paraId="1BE8ED80" w14:textId="77777777" w:rsidR="00E01CFA" w:rsidRPr="00871943" w:rsidRDefault="00E01CFA" w:rsidP="0060315C">
      <w:pPr>
        <w:pStyle w:val="NormalWeb"/>
        <w:spacing w:line="360" w:lineRule="auto"/>
        <w:rPr>
          <w:rFonts w:ascii="Arial" w:hAnsi="Arial" w:cs="Arial"/>
          <w:sz w:val="22"/>
          <w:szCs w:val="22"/>
        </w:rPr>
      </w:pPr>
    </w:p>
    <w:p w14:paraId="1E91D0DD" w14:textId="070C15EF" w:rsidR="00DB7E57" w:rsidRPr="00871943" w:rsidRDefault="00DB7E57" w:rsidP="0060315C">
      <w:pPr>
        <w:pStyle w:val="NormalWeb"/>
        <w:spacing w:line="360" w:lineRule="auto"/>
        <w:rPr>
          <w:rFonts w:ascii="Arial" w:hAnsi="Arial" w:cs="Arial"/>
          <w:sz w:val="22"/>
          <w:szCs w:val="22"/>
        </w:rPr>
      </w:pPr>
    </w:p>
    <w:p w14:paraId="0631A237" w14:textId="77777777" w:rsidR="00EB3090" w:rsidRPr="00871943" w:rsidRDefault="00EB3090" w:rsidP="0060315C">
      <w:pPr>
        <w:pStyle w:val="NormalWeb"/>
        <w:spacing w:line="360" w:lineRule="auto"/>
        <w:rPr>
          <w:rFonts w:ascii="Arial" w:hAnsi="Arial" w:cs="Arial"/>
          <w:b/>
          <w:bCs/>
          <w:sz w:val="22"/>
          <w:szCs w:val="22"/>
          <w:shd w:val="clear" w:color="auto" w:fill="FFFFFF"/>
        </w:rPr>
      </w:pPr>
    </w:p>
    <w:p w14:paraId="0A2B546D" w14:textId="77777777" w:rsidR="00DE64A1" w:rsidRPr="00871943" w:rsidRDefault="00DE64A1" w:rsidP="0060315C">
      <w:pPr>
        <w:pStyle w:val="NormalWeb"/>
        <w:spacing w:line="360" w:lineRule="auto"/>
        <w:rPr>
          <w:rFonts w:ascii="Arial" w:hAnsi="Arial" w:cs="Arial"/>
          <w:sz w:val="22"/>
          <w:szCs w:val="22"/>
        </w:rPr>
      </w:pPr>
    </w:p>
    <w:p w14:paraId="72FBD6EC" w14:textId="3F02369E" w:rsidR="00A770EC" w:rsidRPr="00871943" w:rsidRDefault="00A770EC" w:rsidP="00A770EC">
      <w:pPr>
        <w:pStyle w:val="NormalWeb"/>
        <w:spacing w:line="360" w:lineRule="auto"/>
        <w:rPr>
          <w:rFonts w:ascii="Arial" w:hAnsi="Arial" w:cs="Arial"/>
          <w:sz w:val="22"/>
          <w:szCs w:val="22"/>
        </w:rPr>
      </w:pPr>
    </w:p>
    <w:p w14:paraId="590473FA" w14:textId="36CB61CB" w:rsidR="008D2F1F" w:rsidRPr="00871943" w:rsidRDefault="008D2F1F" w:rsidP="00A770EC">
      <w:pPr>
        <w:spacing w:line="360" w:lineRule="auto"/>
        <w:rPr>
          <w:rFonts w:ascii="Arial" w:hAnsi="Arial" w:cs="Arial"/>
          <w:sz w:val="22"/>
          <w:szCs w:val="22"/>
        </w:rPr>
      </w:pPr>
    </w:p>
    <w:p w14:paraId="72F5D3B8" w14:textId="77777777" w:rsidR="0070788D" w:rsidRPr="00871943" w:rsidRDefault="0070788D" w:rsidP="00A770EC">
      <w:pPr>
        <w:spacing w:line="360" w:lineRule="auto"/>
        <w:rPr>
          <w:rFonts w:ascii="Arial" w:hAnsi="Arial" w:cs="Arial"/>
          <w:bCs/>
          <w:sz w:val="22"/>
          <w:szCs w:val="22"/>
        </w:rPr>
      </w:pPr>
    </w:p>
    <w:p w14:paraId="3EBA271D" w14:textId="77777777" w:rsidR="0070788D" w:rsidRPr="00871943" w:rsidRDefault="0070788D" w:rsidP="00A770EC">
      <w:pPr>
        <w:spacing w:line="360" w:lineRule="auto"/>
        <w:jc w:val="center"/>
        <w:rPr>
          <w:rFonts w:ascii="Arial" w:hAnsi="Arial" w:cs="Arial"/>
          <w:bCs/>
          <w:sz w:val="22"/>
          <w:szCs w:val="22"/>
        </w:rPr>
      </w:pPr>
    </w:p>
    <w:p w14:paraId="6FECFFEE" w14:textId="77777777" w:rsidR="0070788D" w:rsidRPr="00871943" w:rsidRDefault="0070788D" w:rsidP="00A770EC">
      <w:pPr>
        <w:spacing w:line="360" w:lineRule="auto"/>
        <w:rPr>
          <w:rFonts w:ascii="Arial" w:hAnsi="Arial" w:cs="Arial"/>
          <w:sz w:val="22"/>
          <w:szCs w:val="22"/>
        </w:rPr>
      </w:pPr>
    </w:p>
    <w:sectPr w:rsidR="0070788D" w:rsidRPr="0087194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4ABF3" w14:textId="77777777" w:rsidR="00F65D6F" w:rsidRDefault="00F65D6F" w:rsidP="0070788D">
      <w:pPr>
        <w:spacing w:after="0" w:line="240" w:lineRule="auto"/>
      </w:pPr>
      <w:r>
        <w:separator/>
      </w:r>
    </w:p>
  </w:endnote>
  <w:endnote w:type="continuationSeparator" w:id="0">
    <w:p w14:paraId="639E139D" w14:textId="77777777" w:rsidR="00F65D6F" w:rsidRDefault="00F65D6F" w:rsidP="00707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2145535"/>
      <w:docPartObj>
        <w:docPartGallery w:val="Page Numbers (Bottom of Page)"/>
        <w:docPartUnique/>
      </w:docPartObj>
    </w:sdtPr>
    <w:sdtEndPr>
      <w:rPr>
        <w:noProof/>
      </w:rPr>
    </w:sdtEndPr>
    <w:sdtContent>
      <w:p w14:paraId="1306DE84" w14:textId="6F98468C" w:rsidR="0070788D" w:rsidRDefault="007078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820AA6" w14:textId="77777777" w:rsidR="0070788D" w:rsidRDefault="00707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F6FCD8" w14:textId="77777777" w:rsidR="00F65D6F" w:rsidRDefault="00F65D6F" w:rsidP="0070788D">
      <w:pPr>
        <w:spacing w:after="0" w:line="240" w:lineRule="auto"/>
      </w:pPr>
      <w:r>
        <w:separator/>
      </w:r>
    </w:p>
  </w:footnote>
  <w:footnote w:type="continuationSeparator" w:id="0">
    <w:p w14:paraId="692FEEFE" w14:textId="77777777" w:rsidR="00F65D6F" w:rsidRDefault="00F65D6F" w:rsidP="00707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A114D"/>
    <w:multiLevelType w:val="hybridMultilevel"/>
    <w:tmpl w:val="E466D8C6"/>
    <w:lvl w:ilvl="0" w:tplc="201EA6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30217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788D"/>
    <w:rsid w:val="00036F44"/>
    <w:rsid w:val="00056B50"/>
    <w:rsid w:val="00056DC2"/>
    <w:rsid w:val="00061D44"/>
    <w:rsid w:val="00065457"/>
    <w:rsid w:val="00075318"/>
    <w:rsid w:val="000F3489"/>
    <w:rsid w:val="00176DD9"/>
    <w:rsid w:val="00177FA6"/>
    <w:rsid w:val="001A3B6D"/>
    <w:rsid w:val="001C5909"/>
    <w:rsid w:val="001E2B41"/>
    <w:rsid w:val="001E5E21"/>
    <w:rsid w:val="001F3533"/>
    <w:rsid w:val="00221079"/>
    <w:rsid w:val="00226365"/>
    <w:rsid w:val="00236963"/>
    <w:rsid w:val="00237326"/>
    <w:rsid w:val="002449A6"/>
    <w:rsid w:val="0025544B"/>
    <w:rsid w:val="002708E8"/>
    <w:rsid w:val="00281576"/>
    <w:rsid w:val="002921B7"/>
    <w:rsid w:val="002B39B6"/>
    <w:rsid w:val="002E1043"/>
    <w:rsid w:val="002E4901"/>
    <w:rsid w:val="002F53AE"/>
    <w:rsid w:val="00306807"/>
    <w:rsid w:val="00353C21"/>
    <w:rsid w:val="003621A6"/>
    <w:rsid w:val="003957BF"/>
    <w:rsid w:val="00396B98"/>
    <w:rsid w:val="003A4DF6"/>
    <w:rsid w:val="004156E3"/>
    <w:rsid w:val="00436E1A"/>
    <w:rsid w:val="004536E7"/>
    <w:rsid w:val="004542F2"/>
    <w:rsid w:val="004773D0"/>
    <w:rsid w:val="004964C6"/>
    <w:rsid w:val="004A2D1F"/>
    <w:rsid w:val="004B1BE5"/>
    <w:rsid w:val="004B7853"/>
    <w:rsid w:val="004C50ED"/>
    <w:rsid w:val="004F334C"/>
    <w:rsid w:val="005439E9"/>
    <w:rsid w:val="005641C2"/>
    <w:rsid w:val="005649B8"/>
    <w:rsid w:val="0058050D"/>
    <w:rsid w:val="005B7571"/>
    <w:rsid w:val="005D0B6A"/>
    <w:rsid w:val="005F45F7"/>
    <w:rsid w:val="00602155"/>
    <w:rsid w:val="0060315C"/>
    <w:rsid w:val="00623D36"/>
    <w:rsid w:val="00624C0B"/>
    <w:rsid w:val="00645830"/>
    <w:rsid w:val="00651020"/>
    <w:rsid w:val="006604B9"/>
    <w:rsid w:val="006674D0"/>
    <w:rsid w:val="00673728"/>
    <w:rsid w:val="006B60EA"/>
    <w:rsid w:val="006C1AD5"/>
    <w:rsid w:val="0070788D"/>
    <w:rsid w:val="0074033F"/>
    <w:rsid w:val="007446EB"/>
    <w:rsid w:val="00753483"/>
    <w:rsid w:val="00766791"/>
    <w:rsid w:val="00797B1F"/>
    <w:rsid w:val="00797B5E"/>
    <w:rsid w:val="007A29EE"/>
    <w:rsid w:val="007A6F29"/>
    <w:rsid w:val="007B75A4"/>
    <w:rsid w:val="007F3A1C"/>
    <w:rsid w:val="007F514C"/>
    <w:rsid w:val="00814BAB"/>
    <w:rsid w:val="008169F5"/>
    <w:rsid w:val="00835EA8"/>
    <w:rsid w:val="00871943"/>
    <w:rsid w:val="008A3197"/>
    <w:rsid w:val="008A72F2"/>
    <w:rsid w:val="008D2326"/>
    <w:rsid w:val="008D2F1F"/>
    <w:rsid w:val="009049F5"/>
    <w:rsid w:val="0098303A"/>
    <w:rsid w:val="00A12F58"/>
    <w:rsid w:val="00A26AE1"/>
    <w:rsid w:val="00A40F9F"/>
    <w:rsid w:val="00A770EC"/>
    <w:rsid w:val="00AA6B21"/>
    <w:rsid w:val="00AC41DD"/>
    <w:rsid w:val="00AC7634"/>
    <w:rsid w:val="00B036A0"/>
    <w:rsid w:val="00B462FA"/>
    <w:rsid w:val="00B55366"/>
    <w:rsid w:val="00B56894"/>
    <w:rsid w:val="00BB0391"/>
    <w:rsid w:val="00BE0841"/>
    <w:rsid w:val="00BE3DF1"/>
    <w:rsid w:val="00BF5010"/>
    <w:rsid w:val="00BF7EFE"/>
    <w:rsid w:val="00C328B1"/>
    <w:rsid w:val="00C346A0"/>
    <w:rsid w:val="00C55B6B"/>
    <w:rsid w:val="00C609E8"/>
    <w:rsid w:val="00C65134"/>
    <w:rsid w:val="00C84230"/>
    <w:rsid w:val="00C92DA8"/>
    <w:rsid w:val="00CA051B"/>
    <w:rsid w:val="00CA0AC1"/>
    <w:rsid w:val="00CB35F2"/>
    <w:rsid w:val="00CE4A7C"/>
    <w:rsid w:val="00D10EC1"/>
    <w:rsid w:val="00D13789"/>
    <w:rsid w:val="00D558BF"/>
    <w:rsid w:val="00D62929"/>
    <w:rsid w:val="00D644D8"/>
    <w:rsid w:val="00D70780"/>
    <w:rsid w:val="00D73973"/>
    <w:rsid w:val="00DB4302"/>
    <w:rsid w:val="00DB7E57"/>
    <w:rsid w:val="00DC6D02"/>
    <w:rsid w:val="00DE64A1"/>
    <w:rsid w:val="00E00CE0"/>
    <w:rsid w:val="00E01CFA"/>
    <w:rsid w:val="00E34F0F"/>
    <w:rsid w:val="00E3689C"/>
    <w:rsid w:val="00E732DA"/>
    <w:rsid w:val="00E743DC"/>
    <w:rsid w:val="00E92E1E"/>
    <w:rsid w:val="00E94195"/>
    <w:rsid w:val="00EB3090"/>
    <w:rsid w:val="00ED1B0B"/>
    <w:rsid w:val="00EE4623"/>
    <w:rsid w:val="00F041CD"/>
    <w:rsid w:val="00F65D6F"/>
    <w:rsid w:val="00F810A0"/>
    <w:rsid w:val="00F818B5"/>
    <w:rsid w:val="00F846E2"/>
    <w:rsid w:val="00FC7551"/>
    <w:rsid w:val="00FE4143"/>
    <w:rsid w:val="00FE7B8E"/>
    <w:rsid w:val="00FF25C6"/>
    <w:rsid w:val="00FF6ABD"/>
    <w:rsid w:val="00FF7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E12C8"/>
  <w15:chartTrackingRefBased/>
  <w15:docId w15:val="{ED5A144F-6FF7-4CB1-A1B6-69F6C766E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88D"/>
  </w:style>
  <w:style w:type="paragraph" w:styleId="Heading1">
    <w:name w:val="heading 1"/>
    <w:basedOn w:val="Normal"/>
    <w:next w:val="Normal"/>
    <w:link w:val="Heading1Char"/>
    <w:uiPriority w:val="9"/>
    <w:qFormat/>
    <w:rsid w:val="007078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78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78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78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78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78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78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78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78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8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78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78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78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78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78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78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78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788D"/>
    <w:rPr>
      <w:rFonts w:eastAsiaTheme="majorEastAsia" w:cstheme="majorBidi"/>
      <w:color w:val="272727" w:themeColor="text1" w:themeTint="D8"/>
    </w:rPr>
  </w:style>
  <w:style w:type="paragraph" w:styleId="Title">
    <w:name w:val="Title"/>
    <w:basedOn w:val="Normal"/>
    <w:next w:val="Normal"/>
    <w:link w:val="TitleChar"/>
    <w:uiPriority w:val="10"/>
    <w:qFormat/>
    <w:rsid w:val="007078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8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78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78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788D"/>
    <w:pPr>
      <w:spacing w:before="160"/>
      <w:jc w:val="center"/>
    </w:pPr>
    <w:rPr>
      <w:i/>
      <w:iCs/>
      <w:color w:val="404040" w:themeColor="text1" w:themeTint="BF"/>
    </w:rPr>
  </w:style>
  <w:style w:type="character" w:customStyle="1" w:styleId="QuoteChar">
    <w:name w:val="Quote Char"/>
    <w:basedOn w:val="DefaultParagraphFont"/>
    <w:link w:val="Quote"/>
    <w:uiPriority w:val="29"/>
    <w:rsid w:val="0070788D"/>
    <w:rPr>
      <w:i/>
      <w:iCs/>
      <w:color w:val="404040" w:themeColor="text1" w:themeTint="BF"/>
    </w:rPr>
  </w:style>
  <w:style w:type="paragraph" w:styleId="ListParagraph">
    <w:name w:val="List Paragraph"/>
    <w:basedOn w:val="Normal"/>
    <w:uiPriority w:val="34"/>
    <w:qFormat/>
    <w:rsid w:val="0070788D"/>
    <w:pPr>
      <w:ind w:left="720"/>
      <w:contextualSpacing/>
    </w:pPr>
  </w:style>
  <w:style w:type="character" w:styleId="IntenseEmphasis">
    <w:name w:val="Intense Emphasis"/>
    <w:basedOn w:val="DefaultParagraphFont"/>
    <w:uiPriority w:val="21"/>
    <w:qFormat/>
    <w:rsid w:val="0070788D"/>
    <w:rPr>
      <w:i/>
      <w:iCs/>
      <w:color w:val="0F4761" w:themeColor="accent1" w:themeShade="BF"/>
    </w:rPr>
  </w:style>
  <w:style w:type="paragraph" w:styleId="IntenseQuote">
    <w:name w:val="Intense Quote"/>
    <w:basedOn w:val="Normal"/>
    <w:next w:val="Normal"/>
    <w:link w:val="IntenseQuoteChar"/>
    <w:uiPriority w:val="30"/>
    <w:qFormat/>
    <w:rsid w:val="007078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788D"/>
    <w:rPr>
      <w:i/>
      <w:iCs/>
      <w:color w:val="0F4761" w:themeColor="accent1" w:themeShade="BF"/>
    </w:rPr>
  </w:style>
  <w:style w:type="character" w:styleId="IntenseReference">
    <w:name w:val="Intense Reference"/>
    <w:basedOn w:val="DefaultParagraphFont"/>
    <w:uiPriority w:val="32"/>
    <w:qFormat/>
    <w:rsid w:val="0070788D"/>
    <w:rPr>
      <w:b/>
      <w:bCs/>
      <w:smallCaps/>
      <w:color w:val="0F4761" w:themeColor="accent1" w:themeShade="BF"/>
      <w:spacing w:val="5"/>
    </w:rPr>
  </w:style>
  <w:style w:type="paragraph" w:styleId="Header">
    <w:name w:val="header"/>
    <w:basedOn w:val="Normal"/>
    <w:link w:val="HeaderChar"/>
    <w:uiPriority w:val="99"/>
    <w:unhideWhenUsed/>
    <w:rsid w:val="00707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88D"/>
  </w:style>
  <w:style w:type="paragraph" w:styleId="Footer">
    <w:name w:val="footer"/>
    <w:basedOn w:val="Normal"/>
    <w:link w:val="FooterChar"/>
    <w:uiPriority w:val="99"/>
    <w:unhideWhenUsed/>
    <w:rsid w:val="00707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88D"/>
  </w:style>
  <w:style w:type="paragraph" w:styleId="NormalWeb">
    <w:name w:val="Normal (Web)"/>
    <w:basedOn w:val="Normal"/>
    <w:uiPriority w:val="99"/>
    <w:unhideWhenUsed/>
    <w:rsid w:val="004F334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13789"/>
    <w:rPr>
      <w:b/>
      <w:bCs/>
    </w:rPr>
  </w:style>
  <w:style w:type="character" w:styleId="Hyperlink">
    <w:name w:val="Hyperlink"/>
    <w:basedOn w:val="DefaultParagraphFont"/>
    <w:uiPriority w:val="99"/>
    <w:unhideWhenUsed/>
    <w:rsid w:val="00624C0B"/>
    <w:rPr>
      <w:color w:val="467886" w:themeColor="hyperlink"/>
      <w:u w:val="single"/>
    </w:rPr>
  </w:style>
  <w:style w:type="character" w:styleId="UnresolvedMention">
    <w:name w:val="Unresolved Mention"/>
    <w:basedOn w:val="DefaultParagraphFont"/>
    <w:uiPriority w:val="99"/>
    <w:semiHidden/>
    <w:unhideWhenUsed/>
    <w:rsid w:val="00E01C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integrity-versus-despair-2795738"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aching.unsw.edu.au/assessment-case-studies-and-scenario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org.uk/providing-care/personalised-and-person-centred-car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org.uk/search-results/?q=elder+challenges+in+care+home" TargetMode="External"/><Relationship Id="rId4" Type="http://schemas.openxmlformats.org/officeDocument/2006/relationships/settings" Target="settings.xml"/><Relationship Id="rId9" Type="http://schemas.openxmlformats.org/officeDocument/2006/relationships/hyperlink" Target="https://courses.lumenlearning.com/suny-lifespandevelopment/chapter/erikson-integrity-vs-despai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0ABB6D-714C-4CD7-B7B0-491D9D040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906</TotalTime>
  <Pages>8</Pages>
  <Words>1782</Words>
  <Characters>11573</Characters>
  <Application>Microsoft Office Word</Application>
  <DocSecurity>0</DocSecurity>
  <Lines>213</Lines>
  <Paragraphs>49</Paragraphs>
  <ScaleCrop>false</ScaleCrop>
  <Company/>
  <LinksUpToDate>false</LinksUpToDate>
  <CharactersWithSpaces>13314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139</cp:revision>
  <dcterms:created xsi:type="dcterms:W3CDTF">2026-02-21T18:55:00Z</dcterms:created>
  <dcterms:modified xsi:type="dcterms:W3CDTF">2026-03-11T13:28:00Z</dcterms:modified>
</cp:coreProperties>
</file>