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0F75" w:rsidRDefault="008642F5" w:rsidP="008642F5">
      <w:pPr>
        <w:pStyle w:val="a3"/>
      </w:pPr>
      <w:r>
        <w:rPr>
          <w:rFonts w:hint="eastAsia"/>
        </w:rPr>
        <w:t>Essay</w:t>
      </w:r>
    </w:p>
    <w:p w:rsidR="00556D95" w:rsidRDefault="00A21203" w:rsidP="008642F5">
      <w:r w:rsidRPr="00A21203">
        <w:t>Stakeholders refer to shareholders, creditors, etc. who may have a claim on the company’s cash flow. For JD Rockefeller and Andrew Carnegie, their company’s stakeholders included, for example, Clark &amp; Rockefeller’s Clark and Samuel Andrews with Rockefeller, and Rockefeller’s purchase of Clark’s equity in 1865. And left Clark out of the standard oil industry. Carnegie founded Iron Bridge in 1862 with several friends and then returned to the United States to set up a joint iron and steel company. In addition to the company's own accidents, the stakeholders of the two companies are the US government and consumers are its stakeholders. The interests of the U.S. government come from the taxation of the company. The interests of Carnegie and Rockefeller are the funds earned through the sale of goods. For the consumers, their benefits are that the funds for consumption can be used to obtain useful products to satisfy the life.</w:t>
      </w:r>
    </w:p>
    <w:p w:rsidR="00A923C3" w:rsidRDefault="00A923C3" w:rsidP="008642F5"/>
    <w:p w:rsidR="00610FAE" w:rsidRDefault="00610FAE" w:rsidP="00610FAE">
      <w:r w:rsidRPr="00610FAE">
        <w:t>After the first oil well in the world was excavated in Pennsylvania in the United States in 1859, the people frantically poured into the northwestern United States and started to exploit oil wells indiscriminately. After seeing this situation, Rockefeller judged that the price of crude oil must fall. It is not oil recovery but oil refining that can make money. A few years later, due to the oversupply of crude oil, the refinery's speed was far behind that of drilling oil. Many oil traders started to sell crude oil. In 1863, Rockefeller began to cooperate with Clark, drawing up Andrews to start investing in oil refining, and gradually became the largest in Cleveland. At the same time, the oil refinery company, in order to keep its feet, Rockefeller joined his younger brother William and set up a second oil refining company, and then sent him to New York to operate the oil import and export trade to open the European market as soon as possible. At the same time, he is also keen on the association between the company, then in 1870 he combined two investment partners to create a new company with a total capital of 1 million US dollars - Standard Oil Company. By the end of 1872, he had 21 of the 26 oil refining companies in Cleveland. After that, in 1882 Rockefeller established a joint venture “trust” and monopolized 80% of the US oil refining industry and 90% of the oil pipeline business.</w:t>
      </w:r>
      <w:r>
        <w:t xml:space="preserve"> </w:t>
      </w:r>
      <w:r w:rsidRPr="00610FAE">
        <w:t>Rockefeller found out in the early stages of oil discovery that it was not a good thing to follow the big stream. It is expected that crude oil prices will oversupply in the coming years due to the fact that the refining rate will not keep up, and they will seize the opportunity in oil. When it fell to its lowest point, it started investing in the oil refining industry. This low-return, high-return business made his oil refining company grow rapidly and was able to expand oil refining equipment. It soon became Cleveland’s largest oil refinery company, and later opened up by drawing others around. The company actively expanded its export market and asked the heel. After that, it created a "trust" that monopolized the oil industry in the United States.</w:t>
      </w:r>
    </w:p>
    <w:p w:rsidR="00610FAE" w:rsidRDefault="00610FAE" w:rsidP="00610FAE"/>
    <w:p w:rsidR="00610FAE" w:rsidRDefault="00E16FD0" w:rsidP="00E16FD0">
      <w:r w:rsidRPr="00E16FD0">
        <w:t xml:space="preserve">During the Civil War era, Carnegie always thought about whether or not to use steel instead of wood when he was building bridges at the Pennsylvania Railroad. After seeing the two sides starting to use warships, Carnegie was more aware that the future was the era of steel. So, he resigned to England to inspect the steel research institute there, and decisively bought </w:t>
      </w:r>
      <w:r w:rsidRPr="00E16FD0">
        <w:lastRenderedPageBreak/>
        <w:t>two steel manufacturing patents. After returning to the United States, he merged two steel companies that he had previously joined to set up a joint iron and steel company and was determined to set up a steel company from supply, production, and sales integration. Starting from ironmaking, he gradually set foot in mining, transportation, and related industries such as iron plate and nail processing, and finally entered the steel industry. Within 30 years, Carnegie built his own steel empire. It further expands the company's scale by entering a wide range of industries and opening up new markets for the company. After witnessing the new method of manufacturing steel in the United Kingdom, it was expected that the steelmaking industry would be the future development of the industry, and Carnegie Steel was established.</w:t>
      </w:r>
    </w:p>
    <w:p w:rsidR="00E16FD0" w:rsidRDefault="00E16FD0" w:rsidP="00E16FD0"/>
    <w:p w:rsidR="007F7A70" w:rsidRDefault="00D75150" w:rsidP="00D75150">
      <w:r w:rsidRPr="00D75150">
        <w:t>Corporate governance is now a set of procedures, practices, laws and institutions that affect how to lead, manage, and control companies. Corporate governance methods also include the relationship between the company's internal stakeholders such as shareholders and managers, and the many goals of corporate governance. In the narrow sense, this refers to the owner's supervisory and check-and-balance mechanism with respect to the business operators. Through the institutional arrangements, it reasonably defines and configures the rights and responsibilities between the owner and the manager. In a broad sense, it refers to the coordination of the interest relationship between the company and all stakeholders through a set of formal and informal, internal or external systems to ensure the scientific and effective decision-making of the company and thus maintain the company's interests in all aspects. This makes all stakeholders subject to various controls due to these mechanisms. Through this restriction, the company's stakeholders are prevented from making things that harm the company's interests. Whether it is good for the organization or for stakeholders</w:t>
      </w:r>
      <w:r>
        <w:t>.</w:t>
      </w:r>
    </w:p>
    <w:p w:rsidR="00D75150" w:rsidRDefault="00D75150" w:rsidP="00D75150"/>
    <w:p w:rsidR="000B13E0" w:rsidRDefault="000B13E0" w:rsidP="00D75150">
      <w:pPr>
        <w:rPr>
          <w:rFonts w:hint="eastAsia"/>
        </w:rPr>
      </w:pPr>
      <w:r w:rsidRPr="000B13E0">
        <w:t xml:space="preserve">In the final period, both Carnegie and Rockefeller decided to invest most of their assets in charity. However, the difference between the two is that Rockefeller’s first investment in charity began from his teenage years. Rockefeller believes in Ecological </w:t>
      </w:r>
      <w:proofErr w:type="spellStart"/>
      <w:r w:rsidRPr="000B13E0">
        <w:t>Movementism</w:t>
      </w:r>
      <w:proofErr w:type="spellEnd"/>
      <w:r w:rsidRPr="000B13E0">
        <w:t xml:space="preserve"> and even believes that charities should be more precise and efficient than the oil business. He provided 80 million U.S. dollars to the University of Chicago in 1900, making this small Baptist school a world-class top university, and Rockefeller became the first huge donor of modern science. He donated 550 million U.S. dollars for charity in his lifetime.</w:t>
      </w:r>
      <w:r w:rsidR="00076081" w:rsidRPr="00076081">
        <w:t xml:space="preserve"> Carnegie once warned himself not to be blind to the worship of wealth, but he was later immersed in the merchant sea, and the warning was naturally left behind by Carnegie.</w:t>
      </w:r>
      <w:r w:rsidRPr="000B13E0">
        <w:t xml:space="preserve"> </w:t>
      </w:r>
      <w:r w:rsidR="00961800">
        <w:rPr>
          <w:rFonts w:hint="eastAsia"/>
        </w:rPr>
        <w:t>But</w:t>
      </w:r>
      <w:r w:rsidR="00961800">
        <w:t xml:space="preserve"> </w:t>
      </w:r>
      <w:r w:rsidR="00961800">
        <w:rPr>
          <w:rFonts w:hint="eastAsia"/>
        </w:rPr>
        <w:t>i</w:t>
      </w:r>
      <w:r w:rsidRPr="000B13E0">
        <w:t xml:space="preserve">n the development of the steel company, Carnegie lost one after another relatives and friends and began to reflect on himself and finally decided to sell the company, withdraw from the iron and steel industry, and devoted his assets to charity. For both people, charitable activities can prove the production of wealth. Rockefeller began to invest in charity when he got his first salary, and Carnegie sold assets to charity in the most brilliant time. As a business foundation, their philanthropy will not be so brilliant. But unlike Rockefeller, Carnegie's charitable activities did not prove that what he and Carnegie Steel had done in the past were legal. When Holmes Steeler went on strike in 1892, he hired him through employment. The armed forces’ suppression of the strikes eventually led to armed conflicts. This major strike was also caused by Carnegie crushing workers. The charity that he did later cannot say that it is legitimate to prove that this is a matter of crushing workers. However, Rockefeller was very unexpected in </w:t>
      </w:r>
      <w:r w:rsidRPr="000B13E0">
        <w:lastRenderedPageBreak/>
        <w:t>the development of the oil company. He would compensate his competitors. This is the most challenging place in the traditional understanding of the people. What he did was more than Carnegie’s approach to competitors.</w:t>
      </w:r>
      <w:r w:rsidR="00961800">
        <w:t xml:space="preserve"> </w:t>
      </w:r>
      <w:r w:rsidR="00961800" w:rsidRPr="00961800">
        <w:t>Rockefeller received a higher rating through more friendly competition. He gathered his wealth while also taking into account the interests of others. Moreover, since the oil industry was originally completely blank, Rockefeller could also use its peaceful means to launch its competitors in this situation. It has to be said that this is a very remarkable thing.</w:t>
      </w:r>
    </w:p>
    <w:p w:rsidR="000B13E0" w:rsidRDefault="000B13E0" w:rsidP="00D75150">
      <w:pPr>
        <w:rPr>
          <w:rFonts w:hint="eastAsia"/>
        </w:rPr>
      </w:pPr>
    </w:p>
    <w:p w:rsidR="008B14D8" w:rsidRDefault="008B14D8" w:rsidP="00197380">
      <w:r w:rsidRPr="008B14D8">
        <w:t>In today's social philanthropy, there is a complete system, which is usually organized by the government's advocacy or help and supported by civil society and individual resources. Individuals can be initiated by entrepreneurs, philanthropists, and other private individuals, and can also be initiated by private charities. Thanks to the government's advocacy and support, the process can be made relatively transparent and open. Since the 21st century is an information age, charity has also benefited from the rapid development of the network as an excellent carrier. The emergence of online fundraising breaks the situation that the charity organization organizes public fundraising is limited by the region and time, and the efficiency is not high. At the same time, a large number of online charity events such as the Internet Charity Foundation have also been launched, allowing netizens to participate more quickly and deeply. Due to the convenience and rapid dissemination of the Internet, the related construction is more likely to be subject to all-round supervision and more susceptible to the spread of public opinion. If the donor is not fulfilling obligations, then the image in the public will decline. At the same time, traffic has become more convenient and work efficiency has become higher. This has made the actual return cycle of philanthropic investments shorter, and shorter return periods will make donors more successful. Moreover, in the context of a good global economic development, the people’s living standards have gradually improved, and their spiritual qualities have continued to sublimate. With more funding, people are more willing to support international charities. The increase in the number of charitable organizations like the International Red Cross organization and the increase in jobs, as compared to the material needs, are at present more of a need for spiritual sublimation in the international community.</w:t>
      </w:r>
    </w:p>
    <w:p w:rsidR="008B14D8" w:rsidRPr="008B14D8" w:rsidRDefault="008B14D8" w:rsidP="00197380">
      <w:pPr>
        <w:rPr>
          <w:rFonts w:hint="eastAsia"/>
        </w:rPr>
      </w:pPr>
    </w:p>
    <w:p w:rsidR="00197380" w:rsidRDefault="008B14D8" w:rsidP="008B14D8">
      <w:r w:rsidRPr="008B14D8">
        <w:t xml:space="preserve">In my opinion, both Carnegie and Rockefeller are like philanthropists. Rockefeller has been actively involved in philanthropy from the very beginning and has been able to use charitable funds in key areas, leaving enormous wealth for future generations. It has had a tremendous impact in the academic and medical fields and has not only created some world class in recent years. Top universities, and the establishment of such as The Rockefeller Foundation, Rockefeller Sanitary Commission, which is followed by the disease in addition to hookworm disease in the United States this year, the South endangered. The establishment of the General Education Board of Directors has promoted every corner of the United States, and each class, especially the Southern Blacks, has had related education. However, Carnegie has gained greater market interest for himself by squeezing workers and ruthlessly treating his competitors. However, by developing his own iron and steel industry, Carnegie took a firm foot in the economic turmoil of 1873 and restored it. Production. After selling the steel company, he donated his own assets without reservation. He created the public library system </w:t>
      </w:r>
      <w:r w:rsidRPr="008B14D8">
        <w:lastRenderedPageBreak/>
        <w:t>and founded the foundation to provide relief and pension funds for steel workers to express his gratitude. Carnegie University was established, various schools and educational institutions were established, and the Carnegie International Peace Foundation was established to help those who contributed to world peace.</w:t>
      </w:r>
    </w:p>
    <w:p w:rsidR="00076081" w:rsidRDefault="00076081" w:rsidP="008B14D8"/>
    <w:p w:rsidR="00076081" w:rsidRDefault="00076081" w:rsidP="00076081">
      <w:pPr>
        <w:pStyle w:val="a3"/>
        <w:jc w:val="both"/>
      </w:pPr>
      <w:r>
        <w:rPr>
          <w:rFonts w:hint="eastAsia"/>
        </w:rPr>
        <w:t>References</w:t>
      </w:r>
    </w:p>
    <w:p w:rsidR="00076081" w:rsidRDefault="00076081" w:rsidP="00076081">
      <w:pPr>
        <w:pStyle w:val="a5"/>
        <w:numPr>
          <w:ilvl w:val="0"/>
          <w:numId w:val="1"/>
        </w:numPr>
        <w:ind w:firstLineChars="0"/>
      </w:pPr>
      <w:hyperlink r:id="rId5" w:history="1">
        <w:r w:rsidRPr="00DD55D6">
          <w:rPr>
            <w:rStyle w:val="a6"/>
          </w:rPr>
          <w:t>https://zhidao.baidu.com/question/384339106.html</w:t>
        </w:r>
      </w:hyperlink>
      <w:r>
        <w:t xml:space="preserve"> [access </w:t>
      </w:r>
      <w:r>
        <w:rPr>
          <w:rFonts w:hint="eastAsia"/>
        </w:rPr>
        <w:t>November</w:t>
      </w:r>
      <w:r>
        <w:t xml:space="preserve"> </w:t>
      </w:r>
      <w:r>
        <w:rPr>
          <w:rFonts w:hint="eastAsia"/>
        </w:rPr>
        <w:t>25</w:t>
      </w:r>
      <w:r>
        <w:t xml:space="preserve"> </w:t>
      </w:r>
      <w:r>
        <w:rPr>
          <w:rFonts w:hint="eastAsia"/>
        </w:rPr>
        <w:t>2017]</w:t>
      </w:r>
    </w:p>
    <w:p w:rsidR="00076081" w:rsidRDefault="00076081" w:rsidP="00076081">
      <w:pPr>
        <w:pStyle w:val="a5"/>
        <w:numPr>
          <w:ilvl w:val="0"/>
          <w:numId w:val="1"/>
        </w:numPr>
        <w:ind w:firstLineChars="0"/>
      </w:pPr>
      <w:hyperlink r:id="rId6" w:history="1">
        <w:r w:rsidRPr="00DD55D6">
          <w:rPr>
            <w:rStyle w:val="a6"/>
          </w:rPr>
          <w:t>https://zhidao.baidu.com/question/78592737.html</w:t>
        </w:r>
      </w:hyperlink>
      <w:r>
        <w:t xml:space="preserve"> </w:t>
      </w:r>
      <w:r>
        <w:rPr>
          <w:rFonts w:hint="eastAsia"/>
        </w:rPr>
        <w:t>[</w:t>
      </w:r>
      <w:r>
        <w:t xml:space="preserve">access </w:t>
      </w:r>
      <w:r>
        <w:rPr>
          <w:rFonts w:hint="eastAsia"/>
        </w:rPr>
        <w:t>December</w:t>
      </w:r>
      <w:r>
        <w:t xml:space="preserve"> </w:t>
      </w:r>
      <w:r>
        <w:rPr>
          <w:rFonts w:hint="eastAsia"/>
        </w:rPr>
        <w:t>16</w:t>
      </w:r>
      <w:r>
        <w:t xml:space="preserve"> </w:t>
      </w:r>
      <w:r>
        <w:rPr>
          <w:rFonts w:hint="eastAsia"/>
        </w:rPr>
        <w:t>2017</w:t>
      </w:r>
      <w:r>
        <w:t>]</w:t>
      </w:r>
    </w:p>
    <w:p w:rsidR="00076081" w:rsidRDefault="00076081" w:rsidP="00076081">
      <w:pPr>
        <w:pStyle w:val="a5"/>
        <w:numPr>
          <w:ilvl w:val="0"/>
          <w:numId w:val="1"/>
        </w:numPr>
        <w:ind w:firstLineChars="0"/>
      </w:pPr>
      <w:hyperlink r:id="rId7" w:history="1">
        <w:r w:rsidRPr="00DD55D6">
          <w:rPr>
            <w:rStyle w:val="a6"/>
          </w:rPr>
          <w:t>https://wenku.baidu.com/view/0b75547802768e9951e73886.html</w:t>
        </w:r>
      </w:hyperlink>
      <w:r>
        <w:t xml:space="preserve"> [access </w:t>
      </w:r>
      <w:r>
        <w:rPr>
          <w:rFonts w:hint="eastAsia"/>
        </w:rPr>
        <w:t>April</w:t>
      </w:r>
      <w:r>
        <w:t xml:space="preserve"> 07 2013]</w:t>
      </w:r>
    </w:p>
    <w:p w:rsidR="00076081" w:rsidRDefault="00076081" w:rsidP="00076081">
      <w:pPr>
        <w:pStyle w:val="a5"/>
        <w:numPr>
          <w:ilvl w:val="0"/>
          <w:numId w:val="1"/>
        </w:numPr>
        <w:ind w:firstLineChars="0"/>
      </w:pPr>
      <w:hyperlink r:id="rId8" w:history="1">
        <w:r w:rsidRPr="00DD55D6">
          <w:rPr>
            <w:rStyle w:val="a6"/>
          </w:rPr>
          <w:t>http://doc.mbalib.com/view/59b51efe3574eb67315f01f8e3c95eba.html</w:t>
        </w:r>
      </w:hyperlink>
      <w:r>
        <w:t xml:space="preserve"> [access November 27 2011]</w:t>
      </w:r>
    </w:p>
    <w:p w:rsidR="00076081" w:rsidRDefault="00076081" w:rsidP="00076081">
      <w:pPr>
        <w:widowControl/>
        <w:numPr>
          <w:ilvl w:val="0"/>
          <w:numId w:val="1"/>
        </w:numPr>
        <w:shd w:val="clear" w:color="auto" w:fill="FFFFFF"/>
        <w:spacing w:before="100" w:beforeAutospacing="1" w:after="24"/>
        <w:jc w:val="left"/>
        <w:rPr>
          <w:rFonts w:ascii="Arial" w:hAnsi="Arial" w:cs="Arial"/>
          <w:color w:val="222222"/>
          <w:szCs w:val="21"/>
        </w:rPr>
      </w:pPr>
      <w:proofErr w:type="spellStart"/>
      <w:r>
        <w:rPr>
          <w:rStyle w:val="HTML"/>
          <w:rFonts w:ascii="Arial" w:hAnsi="Arial" w:cs="Arial"/>
          <w:color w:val="222222"/>
          <w:szCs w:val="21"/>
        </w:rPr>
        <w:t>Krass</w:t>
      </w:r>
      <w:proofErr w:type="spellEnd"/>
      <w:r>
        <w:rPr>
          <w:rStyle w:val="HTML"/>
          <w:rFonts w:ascii="Arial" w:hAnsi="Arial" w:cs="Arial"/>
          <w:color w:val="222222"/>
          <w:szCs w:val="21"/>
        </w:rPr>
        <w:t>, Peter (2002). </w:t>
      </w:r>
      <w:hyperlink r:id="rId9" w:history="1">
        <w:r>
          <w:rPr>
            <w:rStyle w:val="a6"/>
            <w:rFonts w:ascii="Arial" w:hAnsi="Arial" w:cs="Arial"/>
            <w:i/>
            <w:iCs/>
            <w:color w:val="663366"/>
            <w:szCs w:val="21"/>
          </w:rPr>
          <w:t>Carnegie</w:t>
        </w:r>
      </w:hyperlink>
      <w:r>
        <w:rPr>
          <w:rStyle w:val="HTML"/>
          <w:rFonts w:ascii="Arial" w:hAnsi="Arial" w:cs="Arial"/>
          <w:color w:val="222222"/>
          <w:szCs w:val="21"/>
        </w:rPr>
        <w:t>. p. 612.</w:t>
      </w:r>
      <w:r>
        <w:rPr>
          <w:rFonts w:ascii="Arial" w:hAnsi="Arial" w:cs="Arial"/>
          <w:color w:val="222222"/>
          <w:szCs w:val="21"/>
        </w:rPr>
        <w:t xml:space="preserve"> A standard scholarly biography, along with </w:t>
      </w:r>
      <w:proofErr w:type="spellStart"/>
      <w:r>
        <w:rPr>
          <w:rFonts w:ascii="Arial" w:hAnsi="Arial" w:cs="Arial"/>
          <w:color w:val="222222"/>
          <w:szCs w:val="21"/>
        </w:rPr>
        <w:t>Nasaw</w:t>
      </w:r>
      <w:proofErr w:type="spellEnd"/>
      <w:r>
        <w:rPr>
          <w:rFonts w:ascii="Arial" w:hAnsi="Arial" w:cs="Arial"/>
          <w:color w:val="222222"/>
          <w:szCs w:val="21"/>
        </w:rPr>
        <w:t xml:space="preserve"> and Wall.</w:t>
      </w:r>
    </w:p>
    <w:p w:rsidR="00076081" w:rsidRPr="00076081" w:rsidRDefault="00076081" w:rsidP="00076081">
      <w:pPr>
        <w:widowControl/>
        <w:numPr>
          <w:ilvl w:val="0"/>
          <w:numId w:val="1"/>
        </w:numPr>
        <w:shd w:val="clear" w:color="auto" w:fill="FFFFFF"/>
        <w:spacing w:before="100" w:beforeAutospacing="1" w:after="24"/>
        <w:jc w:val="left"/>
        <w:rPr>
          <w:rFonts w:ascii="Arial" w:eastAsia="宋体" w:hAnsi="Arial" w:cs="Arial"/>
          <w:color w:val="222222"/>
          <w:kern w:val="0"/>
          <w:szCs w:val="21"/>
        </w:rPr>
      </w:pPr>
      <w:proofErr w:type="spellStart"/>
      <w:r w:rsidRPr="00076081">
        <w:rPr>
          <w:rFonts w:ascii="Arial" w:eastAsia="宋体" w:hAnsi="Arial" w:cs="Arial"/>
          <w:i/>
          <w:iCs/>
          <w:color w:val="222222"/>
          <w:kern w:val="0"/>
          <w:szCs w:val="21"/>
        </w:rPr>
        <w:t>Nasaw</w:t>
      </w:r>
      <w:proofErr w:type="spellEnd"/>
      <w:r w:rsidRPr="00076081">
        <w:rPr>
          <w:rFonts w:ascii="Arial" w:eastAsia="宋体" w:hAnsi="Arial" w:cs="Arial"/>
          <w:i/>
          <w:iCs/>
          <w:color w:val="222222"/>
          <w:kern w:val="0"/>
          <w:szCs w:val="21"/>
        </w:rPr>
        <w:t>, David (2006). Andrew Carnegie.</w:t>
      </w:r>
      <w:r w:rsidRPr="00076081">
        <w:rPr>
          <w:rFonts w:ascii="Arial" w:eastAsia="宋体" w:hAnsi="Arial" w:cs="Arial"/>
          <w:color w:val="222222"/>
          <w:kern w:val="0"/>
          <w:szCs w:val="21"/>
        </w:rPr>
        <w:t xml:space="preserve"> Major biography along with </w:t>
      </w:r>
      <w:proofErr w:type="spellStart"/>
      <w:r w:rsidRPr="00076081">
        <w:rPr>
          <w:rFonts w:ascii="Arial" w:eastAsia="宋体" w:hAnsi="Arial" w:cs="Arial"/>
          <w:color w:val="222222"/>
          <w:kern w:val="0"/>
          <w:szCs w:val="21"/>
        </w:rPr>
        <w:t>Krass</w:t>
      </w:r>
      <w:proofErr w:type="spellEnd"/>
      <w:r w:rsidRPr="00076081">
        <w:rPr>
          <w:rFonts w:ascii="Arial" w:eastAsia="宋体" w:hAnsi="Arial" w:cs="Arial"/>
          <w:color w:val="222222"/>
          <w:kern w:val="0"/>
          <w:szCs w:val="21"/>
        </w:rPr>
        <w:t xml:space="preserve"> and Wall.</w:t>
      </w:r>
    </w:p>
    <w:p w:rsidR="00076081" w:rsidRPr="00076081" w:rsidRDefault="00076081" w:rsidP="00076081">
      <w:pPr>
        <w:pStyle w:val="a5"/>
        <w:numPr>
          <w:ilvl w:val="0"/>
          <w:numId w:val="1"/>
        </w:numPr>
        <w:ind w:firstLineChars="0"/>
        <w:rPr>
          <w:rFonts w:hint="eastAsia"/>
        </w:rPr>
      </w:pPr>
      <w:r>
        <w:rPr>
          <w:rFonts w:ascii="Arial" w:hAnsi="Arial" w:cs="Arial"/>
          <w:color w:val="222222"/>
          <w:sz w:val="19"/>
          <w:szCs w:val="19"/>
          <w:shd w:val="clear" w:color="auto" w:fill="FFFFFF"/>
        </w:rPr>
        <w:t> </w:t>
      </w:r>
      <w:hyperlink r:id="rId10" w:history="1">
        <w:r>
          <w:rPr>
            <w:rStyle w:val="a6"/>
            <w:rFonts w:ascii="Arial" w:hAnsi="Arial" w:cs="Arial"/>
            <w:i/>
            <w:iCs/>
            <w:color w:val="663366"/>
            <w:sz w:val="19"/>
            <w:szCs w:val="19"/>
            <w:shd w:val="clear" w:color="auto" w:fill="FFFFFF"/>
          </w:rPr>
          <w:t>"The All-Time Richest Americans"</w:t>
        </w:r>
      </w:hyperlink>
      <w:r>
        <w:rPr>
          <w:rStyle w:val="HTML"/>
          <w:rFonts w:ascii="Arial" w:hAnsi="Arial" w:cs="Arial"/>
          <w:color w:val="222222"/>
          <w:sz w:val="19"/>
          <w:szCs w:val="19"/>
          <w:shd w:val="clear" w:color="auto" w:fill="FFFFFF"/>
        </w:rPr>
        <w:t>. All the Money in the World. Forbes. September 14, 2007</w:t>
      </w:r>
      <w:r>
        <w:rPr>
          <w:rStyle w:val="reference-accessdate"/>
          <w:rFonts w:ascii="Arial" w:hAnsi="Arial" w:cs="Arial"/>
          <w:i/>
          <w:iCs/>
          <w:color w:val="222222"/>
          <w:sz w:val="19"/>
          <w:szCs w:val="19"/>
          <w:shd w:val="clear" w:color="auto" w:fill="FFFFFF"/>
        </w:rPr>
        <w:t>. Retrieved </w:t>
      </w:r>
      <w:r>
        <w:rPr>
          <w:rStyle w:val="nowrap"/>
          <w:rFonts w:ascii="Arial" w:hAnsi="Arial" w:cs="Arial"/>
          <w:i/>
          <w:iCs/>
          <w:color w:val="222222"/>
          <w:sz w:val="19"/>
          <w:szCs w:val="19"/>
          <w:shd w:val="clear" w:color="auto" w:fill="FFFFFF"/>
        </w:rPr>
        <w:t>May 4,</w:t>
      </w:r>
      <w:r>
        <w:rPr>
          <w:rStyle w:val="reference-accessdate"/>
          <w:rFonts w:ascii="Arial" w:hAnsi="Arial" w:cs="Arial"/>
          <w:i/>
          <w:iCs/>
          <w:color w:val="222222"/>
          <w:sz w:val="19"/>
          <w:szCs w:val="19"/>
          <w:shd w:val="clear" w:color="auto" w:fill="FFFFFF"/>
        </w:rPr>
        <w:t> 2014</w:t>
      </w:r>
      <w:r>
        <w:rPr>
          <w:rStyle w:val="HTML"/>
          <w:rFonts w:ascii="Arial" w:hAnsi="Arial" w:cs="Arial"/>
          <w:color w:val="222222"/>
          <w:sz w:val="19"/>
          <w:szCs w:val="19"/>
          <w:shd w:val="clear" w:color="auto" w:fill="FFFFFF"/>
        </w:rPr>
        <w:t>.</w:t>
      </w:r>
      <w:bookmarkStart w:id="0" w:name="_GoBack"/>
      <w:bookmarkEnd w:id="0"/>
    </w:p>
    <w:sectPr w:rsidR="00076081" w:rsidRPr="0007608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54F79"/>
    <w:multiLevelType w:val="hybridMultilevel"/>
    <w:tmpl w:val="2612FE3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1C00CF1"/>
    <w:multiLevelType w:val="multilevel"/>
    <w:tmpl w:val="3F88D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3244052"/>
    <w:multiLevelType w:val="multilevel"/>
    <w:tmpl w:val="786E8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2F5"/>
    <w:rsid w:val="000446D3"/>
    <w:rsid w:val="00076081"/>
    <w:rsid w:val="000B13E0"/>
    <w:rsid w:val="00155D5E"/>
    <w:rsid w:val="00197380"/>
    <w:rsid w:val="00340F75"/>
    <w:rsid w:val="003B2D21"/>
    <w:rsid w:val="00556D95"/>
    <w:rsid w:val="006063AA"/>
    <w:rsid w:val="00610FAE"/>
    <w:rsid w:val="007F7A70"/>
    <w:rsid w:val="00852313"/>
    <w:rsid w:val="008642F5"/>
    <w:rsid w:val="008B14D8"/>
    <w:rsid w:val="008E6304"/>
    <w:rsid w:val="00961800"/>
    <w:rsid w:val="009A0426"/>
    <w:rsid w:val="009F0465"/>
    <w:rsid w:val="00A21203"/>
    <w:rsid w:val="00A923C3"/>
    <w:rsid w:val="00B958D6"/>
    <w:rsid w:val="00D75150"/>
    <w:rsid w:val="00E16FD0"/>
    <w:rsid w:val="00E84541"/>
    <w:rsid w:val="00E86D80"/>
    <w:rsid w:val="00EB44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FD2DC"/>
  <w15:chartTrackingRefBased/>
  <w15:docId w15:val="{DEA8D29F-C976-41E3-8149-AB4042834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642F5"/>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642F5"/>
    <w:rPr>
      <w:b/>
      <w:bCs/>
      <w:kern w:val="44"/>
      <w:sz w:val="44"/>
      <w:szCs w:val="44"/>
    </w:rPr>
  </w:style>
  <w:style w:type="paragraph" w:styleId="a3">
    <w:name w:val="Title"/>
    <w:basedOn w:val="a"/>
    <w:next w:val="a"/>
    <w:link w:val="a4"/>
    <w:uiPriority w:val="10"/>
    <w:qFormat/>
    <w:rsid w:val="008642F5"/>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8642F5"/>
    <w:rPr>
      <w:rFonts w:asciiTheme="majorHAnsi" w:eastAsiaTheme="majorEastAsia" w:hAnsiTheme="majorHAnsi" w:cstheme="majorBidi"/>
      <w:b/>
      <w:bCs/>
      <w:sz w:val="32"/>
      <w:szCs w:val="32"/>
    </w:rPr>
  </w:style>
  <w:style w:type="paragraph" w:styleId="a5">
    <w:name w:val="List Paragraph"/>
    <w:basedOn w:val="a"/>
    <w:uiPriority w:val="34"/>
    <w:qFormat/>
    <w:rsid w:val="00076081"/>
    <w:pPr>
      <w:ind w:firstLineChars="200" w:firstLine="420"/>
    </w:pPr>
  </w:style>
  <w:style w:type="character" w:styleId="a6">
    <w:name w:val="Hyperlink"/>
    <w:basedOn w:val="a0"/>
    <w:uiPriority w:val="99"/>
    <w:unhideWhenUsed/>
    <w:rsid w:val="00076081"/>
    <w:rPr>
      <w:color w:val="0563C1" w:themeColor="hyperlink"/>
      <w:u w:val="single"/>
    </w:rPr>
  </w:style>
  <w:style w:type="character" w:styleId="a7">
    <w:name w:val="Unresolved Mention"/>
    <w:basedOn w:val="a0"/>
    <w:uiPriority w:val="99"/>
    <w:semiHidden/>
    <w:unhideWhenUsed/>
    <w:rsid w:val="00076081"/>
    <w:rPr>
      <w:color w:val="808080"/>
      <w:shd w:val="clear" w:color="auto" w:fill="E6E6E6"/>
    </w:rPr>
  </w:style>
  <w:style w:type="character" w:styleId="HTML">
    <w:name w:val="HTML Cite"/>
    <w:basedOn w:val="a0"/>
    <w:uiPriority w:val="99"/>
    <w:semiHidden/>
    <w:unhideWhenUsed/>
    <w:rsid w:val="00076081"/>
    <w:rPr>
      <w:i/>
      <w:iCs/>
    </w:rPr>
  </w:style>
  <w:style w:type="character" w:customStyle="1" w:styleId="reference-accessdate">
    <w:name w:val="reference-accessdate"/>
    <w:basedOn w:val="a0"/>
    <w:rsid w:val="00076081"/>
  </w:style>
  <w:style w:type="character" w:customStyle="1" w:styleId="nowrap">
    <w:name w:val="nowrap"/>
    <w:basedOn w:val="a0"/>
    <w:rsid w:val="000760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845597">
      <w:bodyDiv w:val="1"/>
      <w:marLeft w:val="0"/>
      <w:marRight w:val="0"/>
      <w:marTop w:val="0"/>
      <w:marBottom w:val="0"/>
      <w:divBdr>
        <w:top w:val="none" w:sz="0" w:space="0" w:color="auto"/>
        <w:left w:val="none" w:sz="0" w:space="0" w:color="auto"/>
        <w:bottom w:val="none" w:sz="0" w:space="0" w:color="auto"/>
        <w:right w:val="none" w:sz="0" w:space="0" w:color="auto"/>
      </w:divBdr>
    </w:div>
    <w:div w:id="1005547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oc.mbalib.com/view/59b51efe3574eb67315f01f8e3c95eba.html" TargetMode="External"/><Relationship Id="rId3" Type="http://schemas.openxmlformats.org/officeDocument/2006/relationships/settings" Target="settings.xml"/><Relationship Id="rId7" Type="http://schemas.openxmlformats.org/officeDocument/2006/relationships/hyperlink" Target="https://wenku.baidu.com/view/0b75547802768e9951e73886.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zhidao.baidu.com/question/78592737.html" TargetMode="External"/><Relationship Id="rId11" Type="http://schemas.openxmlformats.org/officeDocument/2006/relationships/fontTable" Target="fontTable.xml"/><Relationship Id="rId5" Type="http://schemas.openxmlformats.org/officeDocument/2006/relationships/hyperlink" Target="https://zhidao.baidu.com/question/384339106.html" TargetMode="External"/><Relationship Id="rId10" Type="http://schemas.openxmlformats.org/officeDocument/2006/relationships/hyperlink" Target="https://www.forbes.com/2007/09/14/richest-americans-alltime-biz_cx_pw_as_0914ialltime_slide_2.html?thisSpeed=undefined" TargetMode="External"/><Relationship Id="rId4" Type="http://schemas.openxmlformats.org/officeDocument/2006/relationships/webSettings" Target="webSettings.xml"/><Relationship Id="rId9" Type="http://schemas.openxmlformats.org/officeDocument/2006/relationships/hyperlink" Target="https://www.questia.com/library/book/carnegie-by-peter-krass.jsp"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286</TotalTime>
  <Pages>4</Pages>
  <Words>1864</Words>
  <Characters>10628</Characters>
  <Application>Microsoft Office Word</Application>
  <DocSecurity>0</DocSecurity>
  <Lines>88</Lines>
  <Paragraphs>24</Paragraphs>
  <ScaleCrop>false</ScaleCrop>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瀚东</dc:creator>
  <cp:keywords/>
  <dc:description/>
  <cp:lastModifiedBy>吕 瀚东</cp:lastModifiedBy>
  <cp:revision>1</cp:revision>
  <dcterms:created xsi:type="dcterms:W3CDTF">2018-04-27T16:30:00Z</dcterms:created>
  <dcterms:modified xsi:type="dcterms:W3CDTF">2018-04-27T21:26:00Z</dcterms:modified>
</cp:coreProperties>
</file>