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480" w:lineRule="auto"/>
        <w:contextualSpacing w:val="0"/>
        <w:jc w:val="center"/>
        <w:rPr>
          <w:rFonts w:ascii="Times New Roman" w:cs="Times New Roman" w:eastAsia="Times New Roman" w:hAnsi="Times New Roman"/>
          <w:b w:val="1"/>
          <w:color w:val="1a1a1a"/>
          <w:sz w:val="36"/>
          <w:szCs w:val="36"/>
        </w:rPr>
      </w:pPr>
      <w:r w:rsidDel="00000000" w:rsidR="00000000" w:rsidRPr="00000000">
        <w:rPr>
          <w:rFonts w:ascii="Times New Roman" w:cs="Times New Roman" w:eastAsia="Times New Roman" w:hAnsi="Times New Roman"/>
          <w:b w:val="1"/>
          <w:color w:val="1a1a1a"/>
          <w:sz w:val="36"/>
          <w:szCs w:val="36"/>
          <w:rtl w:val="0"/>
        </w:rPr>
        <w:t xml:space="preserve">Nasty Women: An Examination of how Control of Medea, Clytemnestra, Iphigenia, and Helen in Greek Tragedy is Linked to Power and the Ways in Which They Wield or Yield to it</w:t>
      </w:r>
    </w:p>
    <w:p w:rsidR="00000000" w:rsidDel="00000000" w:rsidP="00000000" w:rsidRDefault="00000000" w:rsidRPr="00000000" w14:paraId="00000001">
      <w:pPr>
        <w:spacing w:line="480" w:lineRule="auto"/>
        <w:contextualSpacing w:val="0"/>
        <w:jc w:val="center"/>
        <w:rPr>
          <w:rFonts w:ascii="Times New Roman" w:cs="Times New Roman" w:eastAsia="Times New Roman" w:hAnsi="Times New Roman"/>
          <w:b w:val="1"/>
          <w:color w:val="1a1a1a"/>
          <w:sz w:val="36"/>
          <w:szCs w:val="36"/>
        </w:rPr>
      </w:pPr>
      <w:r w:rsidDel="00000000" w:rsidR="00000000" w:rsidRPr="00000000">
        <w:rPr>
          <w:rtl w:val="0"/>
        </w:rPr>
      </w:r>
    </w:p>
    <w:p w:rsidR="00000000" w:rsidDel="00000000" w:rsidP="00000000" w:rsidRDefault="00000000" w:rsidRPr="00000000" w14:paraId="00000002">
      <w:pPr>
        <w:spacing w:line="480" w:lineRule="auto"/>
        <w:contextualSpacing w:val="0"/>
        <w:jc w:val="center"/>
        <w:rPr>
          <w:rFonts w:ascii="Times New Roman" w:cs="Times New Roman" w:eastAsia="Times New Roman" w:hAnsi="Times New Roman"/>
          <w:b w:val="1"/>
          <w:color w:val="1a1a1a"/>
          <w:sz w:val="24"/>
          <w:szCs w:val="24"/>
        </w:rPr>
      </w:pPr>
      <w:r w:rsidDel="00000000" w:rsidR="00000000" w:rsidRPr="00000000">
        <w:rPr>
          <w:rFonts w:ascii="Times New Roman" w:cs="Times New Roman" w:eastAsia="Times New Roman" w:hAnsi="Times New Roman"/>
          <w:b w:val="1"/>
          <w:color w:val="1a1a1a"/>
          <w:sz w:val="24"/>
          <w:szCs w:val="24"/>
          <w:rtl w:val="0"/>
        </w:rPr>
        <w:t xml:space="preserve">Alexander Grant</w:t>
      </w:r>
    </w:p>
    <w:p w:rsidR="00000000" w:rsidDel="00000000" w:rsidP="00000000" w:rsidRDefault="00000000" w:rsidRPr="00000000" w14:paraId="00000003">
      <w:pPr>
        <w:spacing w:line="480" w:lineRule="auto"/>
        <w:contextualSpacing w:val="0"/>
        <w:jc w:val="center"/>
        <w:rPr>
          <w:rFonts w:ascii="Times New Roman" w:cs="Times New Roman" w:eastAsia="Times New Roman" w:hAnsi="Times New Roman"/>
          <w:b w:val="1"/>
          <w:color w:val="1a1a1a"/>
          <w:sz w:val="24"/>
          <w:szCs w:val="24"/>
        </w:rPr>
      </w:pPr>
      <w:r w:rsidDel="00000000" w:rsidR="00000000" w:rsidRPr="00000000">
        <w:rPr>
          <w:rFonts w:ascii="Times New Roman" w:cs="Times New Roman" w:eastAsia="Times New Roman" w:hAnsi="Times New Roman"/>
          <w:b w:val="1"/>
          <w:color w:val="1a1a1a"/>
          <w:sz w:val="24"/>
          <w:szCs w:val="24"/>
          <w:rtl w:val="0"/>
        </w:rPr>
        <w:t xml:space="preserve">1501417</w:t>
      </w:r>
    </w:p>
    <w:p w:rsidR="00000000" w:rsidDel="00000000" w:rsidP="00000000" w:rsidRDefault="00000000" w:rsidRPr="00000000" w14:paraId="00000004">
      <w:pPr>
        <w:spacing w:line="480" w:lineRule="auto"/>
        <w:contextualSpacing w:val="0"/>
        <w:jc w:val="left"/>
        <w:rPr>
          <w:rFonts w:ascii="Times New Roman" w:cs="Times New Roman" w:eastAsia="Times New Roman" w:hAnsi="Times New Roman"/>
          <w:b w:val="1"/>
          <w:color w:val="1a1a1a"/>
          <w:sz w:val="24"/>
          <w:szCs w:val="24"/>
        </w:rPr>
      </w:pPr>
      <w:r w:rsidDel="00000000" w:rsidR="00000000" w:rsidRPr="00000000">
        <w:rPr>
          <w:rtl w:val="0"/>
        </w:rPr>
      </w:r>
    </w:p>
    <w:p w:rsidR="00000000" w:rsidDel="00000000" w:rsidP="00000000" w:rsidRDefault="00000000" w:rsidRPr="00000000" w14:paraId="00000005">
      <w:pPr>
        <w:spacing w:line="480" w:lineRule="auto"/>
        <w:contextualSpacing w:val="0"/>
        <w:jc w:val="left"/>
        <w:rPr>
          <w:rFonts w:ascii="Times New Roman" w:cs="Times New Roman" w:eastAsia="Times New Roman" w:hAnsi="Times New Roman"/>
          <w:b w:val="1"/>
          <w:color w:val="1a1a1a"/>
          <w:sz w:val="24"/>
          <w:szCs w:val="24"/>
        </w:rPr>
      </w:pPr>
      <w:r w:rsidDel="00000000" w:rsidR="00000000" w:rsidRPr="00000000">
        <w:rPr>
          <w:rtl w:val="0"/>
        </w:rPr>
      </w:r>
    </w:p>
    <w:p w:rsidR="00000000" w:rsidDel="00000000" w:rsidP="00000000" w:rsidRDefault="00000000" w:rsidRPr="00000000" w14:paraId="00000006">
      <w:pPr>
        <w:spacing w:line="480" w:lineRule="auto"/>
        <w:contextualSpacing w:val="0"/>
        <w:jc w:val="center"/>
        <w:rPr>
          <w:rFonts w:ascii="Times New Roman" w:cs="Times New Roman" w:eastAsia="Times New Roman" w:hAnsi="Times New Roman"/>
          <w:b w:val="1"/>
          <w:color w:val="1a1a1a"/>
          <w:sz w:val="24"/>
          <w:szCs w:val="24"/>
        </w:rPr>
      </w:pPr>
      <w:r w:rsidDel="00000000" w:rsidR="00000000" w:rsidRPr="00000000">
        <w:rPr>
          <w:rFonts w:ascii="Times New Roman" w:cs="Times New Roman" w:eastAsia="Times New Roman" w:hAnsi="Times New Roman"/>
          <w:b w:val="1"/>
          <w:color w:val="1a1a1a"/>
          <w:sz w:val="24"/>
          <w:szCs w:val="24"/>
          <w:rtl w:val="0"/>
        </w:rPr>
        <w:t xml:space="preserve">Dissertation submitted in partial fulfillment of a B.A. (Hons.) in Classical Civilisation</w:t>
      </w:r>
    </w:p>
    <w:p w:rsidR="00000000" w:rsidDel="00000000" w:rsidP="00000000" w:rsidRDefault="00000000" w:rsidRPr="00000000" w14:paraId="00000007">
      <w:pPr>
        <w:spacing w:line="480" w:lineRule="auto"/>
        <w:contextualSpacing w:val="0"/>
        <w:jc w:val="center"/>
        <w:rPr>
          <w:rFonts w:ascii="Times New Roman" w:cs="Times New Roman" w:eastAsia="Times New Roman" w:hAnsi="Times New Roman"/>
          <w:b w:val="1"/>
          <w:color w:val="1a1a1a"/>
          <w:sz w:val="24"/>
          <w:szCs w:val="24"/>
        </w:rPr>
      </w:pPr>
      <w:r w:rsidDel="00000000" w:rsidR="00000000" w:rsidRPr="00000000">
        <w:rPr>
          <w:rtl w:val="0"/>
        </w:rPr>
      </w:r>
    </w:p>
    <w:p w:rsidR="00000000" w:rsidDel="00000000" w:rsidP="00000000" w:rsidRDefault="00000000" w:rsidRPr="00000000" w14:paraId="00000008">
      <w:pPr>
        <w:spacing w:line="480" w:lineRule="auto"/>
        <w:contextualSpacing w:val="0"/>
        <w:jc w:val="center"/>
        <w:rPr>
          <w:rFonts w:ascii="Times New Roman" w:cs="Times New Roman" w:eastAsia="Times New Roman" w:hAnsi="Times New Roman"/>
          <w:b w:val="1"/>
          <w:color w:val="1a1a1a"/>
          <w:sz w:val="24"/>
          <w:szCs w:val="24"/>
        </w:rPr>
      </w:pPr>
      <w:r w:rsidDel="00000000" w:rsidR="00000000" w:rsidRPr="00000000">
        <w:rPr>
          <w:rtl w:val="0"/>
        </w:rPr>
      </w:r>
    </w:p>
    <w:p w:rsidR="00000000" w:rsidDel="00000000" w:rsidP="00000000" w:rsidRDefault="00000000" w:rsidRPr="00000000" w14:paraId="00000009">
      <w:pPr>
        <w:spacing w:line="480" w:lineRule="auto"/>
        <w:contextualSpacing w:val="0"/>
        <w:jc w:val="center"/>
        <w:rPr>
          <w:rFonts w:ascii="Times New Roman" w:cs="Times New Roman" w:eastAsia="Times New Roman" w:hAnsi="Times New Roman"/>
          <w:b w:val="1"/>
          <w:color w:val="1a1a1a"/>
          <w:sz w:val="24"/>
          <w:szCs w:val="24"/>
        </w:rPr>
      </w:pPr>
      <w:r w:rsidDel="00000000" w:rsidR="00000000" w:rsidRPr="00000000">
        <w:rPr>
          <w:rtl w:val="0"/>
        </w:rPr>
      </w:r>
    </w:p>
    <w:p w:rsidR="00000000" w:rsidDel="00000000" w:rsidP="00000000" w:rsidRDefault="00000000" w:rsidRPr="00000000" w14:paraId="0000000A">
      <w:pPr>
        <w:spacing w:line="480" w:lineRule="auto"/>
        <w:contextualSpacing w:val="0"/>
        <w:jc w:val="center"/>
        <w:rPr>
          <w:rFonts w:ascii="Times New Roman" w:cs="Times New Roman" w:eastAsia="Times New Roman" w:hAnsi="Times New Roman"/>
          <w:b w:val="1"/>
          <w:color w:val="1a1a1a"/>
          <w:sz w:val="24"/>
          <w:szCs w:val="24"/>
        </w:rPr>
      </w:pPr>
      <w:r w:rsidDel="00000000" w:rsidR="00000000" w:rsidRPr="00000000">
        <w:rPr>
          <w:rFonts w:ascii="Times New Roman" w:cs="Times New Roman" w:eastAsia="Times New Roman" w:hAnsi="Times New Roman"/>
          <w:b w:val="1"/>
          <w:color w:val="1a1a1a"/>
          <w:sz w:val="24"/>
          <w:szCs w:val="24"/>
          <w:rtl w:val="0"/>
        </w:rPr>
        <w:t xml:space="preserve">University of Wales Trinity Saint David</w:t>
      </w:r>
    </w:p>
    <w:p w:rsidR="00000000" w:rsidDel="00000000" w:rsidP="00000000" w:rsidRDefault="00000000" w:rsidRPr="00000000" w14:paraId="0000000B">
      <w:pPr>
        <w:spacing w:line="480" w:lineRule="auto"/>
        <w:contextualSpacing w:val="0"/>
        <w:jc w:val="center"/>
        <w:rPr>
          <w:rFonts w:ascii="Times New Roman" w:cs="Times New Roman" w:eastAsia="Times New Roman" w:hAnsi="Times New Roman"/>
          <w:b w:val="1"/>
          <w:color w:val="1a1a1a"/>
          <w:sz w:val="24"/>
          <w:szCs w:val="24"/>
        </w:rPr>
      </w:pPr>
      <w:r w:rsidDel="00000000" w:rsidR="00000000" w:rsidRPr="00000000">
        <w:rPr>
          <w:rtl w:val="0"/>
        </w:rPr>
      </w:r>
    </w:p>
    <w:p w:rsidR="00000000" w:rsidDel="00000000" w:rsidP="00000000" w:rsidRDefault="00000000" w:rsidRPr="00000000" w14:paraId="0000000C">
      <w:pPr>
        <w:spacing w:line="480" w:lineRule="auto"/>
        <w:contextualSpacing w:val="0"/>
        <w:jc w:val="center"/>
        <w:rPr>
          <w:rFonts w:ascii="Times New Roman" w:cs="Times New Roman" w:eastAsia="Times New Roman" w:hAnsi="Times New Roman"/>
          <w:b w:val="1"/>
          <w:color w:val="1a1a1a"/>
          <w:sz w:val="24"/>
          <w:szCs w:val="24"/>
        </w:rPr>
      </w:pPr>
      <w:r w:rsidDel="00000000" w:rsidR="00000000" w:rsidRPr="00000000">
        <w:rPr>
          <w:rFonts w:ascii="Times New Roman" w:cs="Times New Roman" w:eastAsia="Times New Roman" w:hAnsi="Times New Roman"/>
          <w:b w:val="1"/>
          <w:color w:val="1a1a1a"/>
          <w:sz w:val="24"/>
          <w:szCs w:val="24"/>
          <w:rtl w:val="0"/>
        </w:rPr>
        <w:t xml:space="preserve">May 2018</w:t>
      </w:r>
    </w:p>
    <w:p w:rsidR="00000000" w:rsidDel="00000000" w:rsidP="00000000" w:rsidRDefault="00000000" w:rsidRPr="00000000" w14:paraId="0000000D">
      <w:pPr>
        <w:spacing w:line="480" w:lineRule="auto"/>
        <w:contextualSpacing w:val="0"/>
        <w:jc w:val="center"/>
        <w:rPr>
          <w:rFonts w:ascii="Times New Roman" w:cs="Times New Roman" w:eastAsia="Times New Roman" w:hAnsi="Times New Roman"/>
          <w:b w:val="1"/>
          <w:color w:val="1a1a1a"/>
          <w:sz w:val="24"/>
          <w:szCs w:val="24"/>
        </w:rPr>
      </w:pPr>
      <w:r w:rsidDel="00000000" w:rsidR="00000000" w:rsidRPr="00000000">
        <w:rPr>
          <w:rtl w:val="0"/>
        </w:rPr>
      </w:r>
    </w:p>
    <w:p w:rsidR="00000000" w:rsidDel="00000000" w:rsidP="00000000" w:rsidRDefault="00000000" w:rsidRPr="00000000" w14:paraId="0000000E">
      <w:pPr>
        <w:spacing w:line="480" w:lineRule="auto"/>
        <w:contextualSpacing w:val="0"/>
        <w:jc w:val="center"/>
        <w:rPr>
          <w:rFonts w:ascii="Times New Roman" w:cs="Times New Roman" w:eastAsia="Times New Roman" w:hAnsi="Times New Roman"/>
          <w:b w:val="1"/>
          <w:color w:val="1a1a1a"/>
          <w:sz w:val="24"/>
          <w:szCs w:val="24"/>
        </w:rPr>
      </w:pPr>
      <w:r w:rsidDel="00000000" w:rsidR="00000000" w:rsidRPr="00000000">
        <w:rPr>
          <w:rtl w:val="0"/>
        </w:rPr>
      </w:r>
    </w:p>
    <w:p w:rsidR="00000000" w:rsidDel="00000000" w:rsidP="00000000" w:rsidRDefault="00000000" w:rsidRPr="00000000" w14:paraId="0000000F">
      <w:pPr>
        <w:spacing w:line="480" w:lineRule="auto"/>
        <w:contextualSpacing w:val="0"/>
        <w:jc w:val="center"/>
        <w:rPr>
          <w:rFonts w:ascii="Times New Roman" w:cs="Times New Roman" w:eastAsia="Times New Roman" w:hAnsi="Times New Roman"/>
          <w:b w:val="1"/>
          <w:color w:val="1a1a1a"/>
          <w:sz w:val="24"/>
          <w:szCs w:val="24"/>
        </w:rPr>
      </w:pPr>
      <w:r w:rsidDel="00000000" w:rsidR="00000000" w:rsidRPr="00000000">
        <w:rPr>
          <w:rtl w:val="0"/>
        </w:rPr>
      </w:r>
    </w:p>
    <w:p w:rsidR="00000000" w:rsidDel="00000000" w:rsidP="00000000" w:rsidRDefault="00000000" w:rsidRPr="00000000" w14:paraId="00000010">
      <w:pPr>
        <w:spacing w:line="480" w:lineRule="auto"/>
        <w:contextualSpacing w:val="0"/>
        <w:jc w:val="left"/>
        <w:rPr>
          <w:rFonts w:ascii="Times New Roman" w:cs="Times New Roman" w:eastAsia="Times New Roman" w:hAnsi="Times New Roman"/>
          <w:b w:val="1"/>
          <w:color w:val="1a1a1a"/>
          <w:sz w:val="24"/>
          <w:szCs w:val="24"/>
        </w:rPr>
      </w:pPr>
      <w:r w:rsidDel="00000000" w:rsidR="00000000" w:rsidRPr="00000000">
        <w:rPr>
          <w:rtl w:val="0"/>
        </w:rPr>
      </w:r>
    </w:p>
    <w:p w:rsidR="00000000" w:rsidDel="00000000" w:rsidP="00000000" w:rsidRDefault="00000000" w:rsidRPr="00000000" w14:paraId="00000011">
      <w:pPr>
        <w:spacing w:line="480" w:lineRule="auto"/>
        <w:contextualSpacing w:val="0"/>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b w:val="1"/>
          <w:color w:val="1a1a1a"/>
          <w:sz w:val="24"/>
          <w:szCs w:val="24"/>
          <w:rtl w:val="0"/>
        </w:rPr>
        <w:t xml:space="preserve">Word Count: 9263</w:t>
      </w:r>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2"/>
        <w:spacing w:line="480" w:lineRule="auto"/>
        <w:contextualSpacing w:val="0"/>
        <w:rPr>
          <w:rFonts w:ascii="Times New Roman" w:cs="Times New Roman" w:eastAsia="Times New Roman" w:hAnsi="Times New Roman"/>
        </w:rPr>
      </w:pPr>
      <w:bookmarkStart w:colFirst="0" w:colLast="0" w:name="_one2lj12pqgm" w:id="0"/>
      <w:bookmarkEnd w:id="0"/>
      <w:r w:rsidDel="00000000" w:rsidR="00000000" w:rsidRPr="00000000">
        <w:rPr>
          <w:rFonts w:ascii="Times New Roman" w:cs="Times New Roman" w:eastAsia="Times New Roman" w:hAnsi="Times New Roman"/>
          <w:rtl w:val="0"/>
        </w:rPr>
        <w:t xml:space="preserve">Preface</w:t>
      </w:r>
    </w:p>
    <w:p w:rsidR="00000000" w:rsidDel="00000000" w:rsidP="00000000" w:rsidRDefault="00000000" w:rsidRPr="00000000" w14:paraId="00000013">
      <w:pPr>
        <w:spacing w:line="480" w:lineRule="auto"/>
        <w:contextualSpacing w:val="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I’d like to thank the Academy, without whom I wouldn’t be here. I’d also like to thank my girlfriend, Betsy, without whom I definitely wouldn’t be here.</w:t>
      </w:r>
      <w:r w:rsidDel="00000000" w:rsidR="00000000" w:rsidRPr="00000000">
        <w:br w:type="page"/>
      </w:r>
      <w:r w:rsidDel="00000000" w:rsidR="00000000" w:rsidRPr="00000000">
        <w:rPr>
          <w:rtl w:val="0"/>
        </w:rPr>
      </w:r>
    </w:p>
    <w:p w:rsidR="00000000" w:rsidDel="00000000" w:rsidP="00000000" w:rsidRDefault="00000000" w:rsidRPr="00000000" w14:paraId="00000014">
      <w:pPr>
        <w:spacing w:line="480" w:lineRule="auto"/>
        <w:contextualSpacing w:val="0"/>
        <w:rPr>
          <w:rFonts w:ascii="Times New Roman" w:cs="Times New Roman" w:eastAsia="Times New Roman" w:hAnsi="Times New Roman"/>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5">
          <w:pPr>
            <w:tabs>
              <w:tab w:val="right" w:pos="9025.511811023624"/>
            </w:tabs>
            <w:spacing w:before="80" w:line="240" w:lineRule="auto"/>
            <w:ind w:left="0" w:firstLine="0"/>
            <w:contextualSpacing w:val="0"/>
            <w:rPr>
              <w:rFonts w:ascii="Times New Roman" w:cs="Times New Roman" w:eastAsia="Times New Roman" w:hAnsi="Times New Roman"/>
              <w:sz w:val="24"/>
              <w:szCs w:val="24"/>
            </w:rPr>
          </w:pPr>
          <w:r w:rsidDel="00000000" w:rsidR="00000000" w:rsidRPr="00000000">
            <w:fldChar w:fldCharType="begin"/>
            <w:instrText xml:space="preserve"> TOC \h \u \z </w:instrText>
            <w:fldChar w:fldCharType="separate"/>
          </w:r>
          <w:hyperlink w:anchor="_one2lj12pqgm">
            <w:r w:rsidDel="00000000" w:rsidR="00000000" w:rsidRPr="00000000">
              <w:rPr>
                <w:rFonts w:ascii="Times New Roman" w:cs="Times New Roman" w:eastAsia="Times New Roman" w:hAnsi="Times New Roman"/>
                <w:b w:val="1"/>
                <w:sz w:val="24"/>
                <w:szCs w:val="24"/>
                <w:rtl w:val="0"/>
              </w:rPr>
              <w:t xml:space="preserve">Preface</w:t>
            </w:r>
          </w:hyperlink>
          <w:r w:rsidDel="00000000" w:rsidR="00000000" w:rsidRPr="00000000">
            <w:rPr>
              <w:rFonts w:ascii="Times New Roman" w:cs="Times New Roman" w:eastAsia="Times New Roman" w:hAnsi="Times New Roman"/>
              <w:b w:val="1"/>
              <w:sz w:val="24"/>
              <w:szCs w:val="24"/>
              <w:rtl w:val="0"/>
            </w:rPr>
            <w:tab/>
          </w:r>
          <w:r w:rsidDel="00000000" w:rsidR="00000000" w:rsidRPr="00000000">
            <w:fldChar w:fldCharType="begin"/>
            <w:instrText xml:space="preserve"> PAGEREF _one2lj12pqgm \h </w:instrText>
            <w:fldChar w:fldCharType="separate"/>
          </w:r>
          <w:r w:rsidDel="00000000" w:rsidR="00000000" w:rsidRPr="00000000">
            <w:rPr>
              <w:rFonts w:ascii="Times New Roman" w:cs="Times New Roman" w:eastAsia="Times New Roman" w:hAnsi="Times New Roman"/>
              <w:b w:val="1"/>
              <w:sz w:val="24"/>
              <w:szCs w:val="24"/>
              <w:rtl w:val="0"/>
            </w:rPr>
            <w:t xml:space="preserve">1</w:t>
          </w:r>
          <w:r w:rsidDel="00000000" w:rsidR="00000000" w:rsidRPr="00000000">
            <w:fldChar w:fldCharType="end"/>
          </w:r>
          <w:r w:rsidDel="00000000" w:rsidR="00000000" w:rsidRPr="00000000">
            <w:rPr>
              <w:rtl w:val="0"/>
            </w:rPr>
          </w:r>
        </w:p>
        <w:p w:rsidR="00000000" w:rsidDel="00000000" w:rsidP="00000000" w:rsidRDefault="00000000" w:rsidRPr="00000000" w14:paraId="00000016">
          <w:pPr>
            <w:tabs>
              <w:tab w:val="right" w:pos="9025.511811023624"/>
            </w:tabs>
            <w:spacing w:before="200" w:line="240" w:lineRule="auto"/>
            <w:ind w:left="0" w:firstLine="0"/>
            <w:contextualSpacing w:val="0"/>
            <w:rPr>
              <w:rFonts w:ascii="Times New Roman" w:cs="Times New Roman" w:eastAsia="Times New Roman" w:hAnsi="Times New Roman"/>
              <w:sz w:val="24"/>
              <w:szCs w:val="24"/>
            </w:rPr>
          </w:pPr>
          <w:hyperlink w:anchor="_lw9w5j6yvise">
            <w:r w:rsidDel="00000000" w:rsidR="00000000" w:rsidRPr="00000000">
              <w:rPr>
                <w:rFonts w:ascii="Times New Roman" w:cs="Times New Roman" w:eastAsia="Times New Roman" w:hAnsi="Times New Roman"/>
                <w:b w:val="1"/>
                <w:sz w:val="24"/>
                <w:szCs w:val="24"/>
                <w:rtl w:val="0"/>
              </w:rPr>
              <w:t xml:space="preserve">Introduction</w:t>
            </w:r>
          </w:hyperlink>
          <w:r w:rsidDel="00000000" w:rsidR="00000000" w:rsidRPr="00000000">
            <w:rPr>
              <w:rFonts w:ascii="Times New Roman" w:cs="Times New Roman" w:eastAsia="Times New Roman" w:hAnsi="Times New Roman"/>
              <w:b w:val="1"/>
              <w:sz w:val="24"/>
              <w:szCs w:val="24"/>
              <w:rtl w:val="0"/>
            </w:rPr>
            <w:tab/>
          </w:r>
          <w:r w:rsidDel="00000000" w:rsidR="00000000" w:rsidRPr="00000000">
            <w:fldChar w:fldCharType="begin"/>
            <w:instrText xml:space="preserve"> PAGEREF _lw9w5j6yvise \h </w:instrText>
            <w:fldChar w:fldCharType="separate"/>
          </w:r>
          <w:r w:rsidDel="00000000" w:rsidR="00000000" w:rsidRPr="00000000">
            <w:rPr>
              <w:rFonts w:ascii="Times New Roman" w:cs="Times New Roman" w:eastAsia="Times New Roman" w:hAnsi="Times New Roman"/>
              <w:b w:val="1"/>
              <w:sz w:val="24"/>
              <w:szCs w:val="24"/>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7">
          <w:pPr>
            <w:tabs>
              <w:tab w:val="right" w:pos="9025.511811023624"/>
            </w:tabs>
            <w:spacing w:before="200" w:line="240" w:lineRule="auto"/>
            <w:ind w:left="0" w:firstLine="720"/>
            <w:contextualSpacing w:val="0"/>
            <w:rPr>
              <w:rFonts w:ascii="Times New Roman" w:cs="Times New Roman" w:eastAsia="Times New Roman" w:hAnsi="Times New Roman"/>
              <w:sz w:val="24"/>
              <w:szCs w:val="24"/>
            </w:rPr>
          </w:pPr>
          <w:hyperlink w:anchor="_5d5altx17xx">
            <w:r w:rsidDel="00000000" w:rsidR="00000000" w:rsidRPr="00000000">
              <w:rPr>
                <w:rFonts w:ascii="Times New Roman" w:cs="Times New Roman" w:eastAsia="Times New Roman" w:hAnsi="Times New Roman"/>
                <w:b w:val="1"/>
                <w:sz w:val="24"/>
                <w:szCs w:val="24"/>
                <w:rtl w:val="0"/>
              </w:rPr>
              <w:t xml:space="preserve">Methodology</w:t>
            </w:r>
          </w:hyperlink>
          <w:r w:rsidDel="00000000" w:rsidR="00000000" w:rsidRPr="00000000">
            <w:rPr>
              <w:rFonts w:ascii="Times New Roman" w:cs="Times New Roman" w:eastAsia="Times New Roman" w:hAnsi="Times New Roman"/>
              <w:b w:val="1"/>
              <w:sz w:val="24"/>
              <w:szCs w:val="24"/>
              <w:rtl w:val="0"/>
            </w:rPr>
            <w:tab/>
          </w:r>
          <w:r w:rsidDel="00000000" w:rsidR="00000000" w:rsidRPr="00000000">
            <w:fldChar w:fldCharType="begin"/>
            <w:instrText xml:space="preserve"> PAGEREF _5d5altx17xx \h </w:instrText>
            <w:fldChar w:fldCharType="separate"/>
          </w:r>
          <w:r w:rsidDel="00000000" w:rsidR="00000000" w:rsidRPr="00000000">
            <w:rPr>
              <w:rFonts w:ascii="Times New Roman" w:cs="Times New Roman" w:eastAsia="Times New Roman" w:hAnsi="Times New Roman"/>
              <w:b w:val="1"/>
              <w:sz w:val="24"/>
              <w:szCs w:val="24"/>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8">
          <w:pPr>
            <w:tabs>
              <w:tab w:val="right" w:pos="9025.511811023624"/>
            </w:tabs>
            <w:spacing w:before="200" w:line="240" w:lineRule="auto"/>
            <w:ind w:left="0" w:firstLine="0"/>
            <w:contextualSpacing w:val="0"/>
            <w:rPr>
              <w:rFonts w:ascii="Times New Roman" w:cs="Times New Roman" w:eastAsia="Times New Roman" w:hAnsi="Times New Roman"/>
              <w:sz w:val="24"/>
              <w:szCs w:val="24"/>
            </w:rPr>
          </w:pPr>
          <w:hyperlink w:anchor="_6rn2g72ggbxw">
            <w:r w:rsidDel="00000000" w:rsidR="00000000" w:rsidRPr="00000000">
              <w:rPr>
                <w:rFonts w:ascii="Times New Roman" w:cs="Times New Roman" w:eastAsia="Times New Roman" w:hAnsi="Times New Roman"/>
                <w:b w:val="1"/>
                <w:sz w:val="24"/>
                <w:szCs w:val="24"/>
                <w:rtl w:val="0"/>
              </w:rPr>
              <w:t xml:space="preserve">Chapter I: Marriage as a form of control/ownership</w:t>
            </w:r>
          </w:hyperlink>
          <w:r w:rsidDel="00000000" w:rsidR="00000000" w:rsidRPr="00000000">
            <w:rPr>
              <w:rFonts w:ascii="Times New Roman" w:cs="Times New Roman" w:eastAsia="Times New Roman" w:hAnsi="Times New Roman"/>
              <w:b w:val="1"/>
              <w:sz w:val="24"/>
              <w:szCs w:val="24"/>
              <w:rtl w:val="0"/>
            </w:rPr>
            <w:tab/>
          </w:r>
          <w:r w:rsidDel="00000000" w:rsidR="00000000" w:rsidRPr="00000000">
            <w:fldChar w:fldCharType="begin"/>
            <w:instrText xml:space="preserve"> PAGEREF _6rn2g72ggbxw \h </w:instrText>
            <w:fldChar w:fldCharType="separate"/>
          </w:r>
          <w:r w:rsidDel="00000000" w:rsidR="00000000" w:rsidRPr="00000000">
            <w:rPr>
              <w:rFonts w:ascii="Times New Roman" w:cs="Times New Roman" w:eastAsia="Times New Roman" w:hAnsi="Times New Roman"/>
              <w:b w:val="1"/>
              <w:sz w:val="24"/>
              <w:szCs w:val="24"/>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19">
          <w:pPr>
            <w:tabs>
              <w:tab w:val="right" w:pos="9025.511811023624"/>
            </w:tabs>
            <w:spacing w:before="200" w:line="240" w:lineRule="auto"/>
            <w:ind w:left="0" w:firstLine="0"/>
            <w:contextualSpacing w:val="0"/>
            <w:rPr>
              <w:rFonts w:ascii="Times New Roman" w:cs="Times New Roman" w:eastAsia="Times New Roman" w:hAnsi="Times New Roman"/>
              <w:sz w:val="24"/>
              <w:szCs w:val="24"/>
            </w:rPr>
          </w:pPr>
          <w:hyperlink w:anchor="_69uxdl6u7p8n">
            <w:r w:rsidDel="00000000" w:rsidR="00000000" w:rsidRPr="00000000">
              <w:rPr>
                <w:rFonts w:ascii="Times New Roman" w:cs="Times New Roman" w:eastAsia="Times New Roman" w:hAnsi="Times New Roman"/>
                <w:b w:val="1"/>
                <w:sz w:val="24"/>
                <w:szCs w:val="24"/>
                <w:rtl w:val="0"/>
              </w:rPr>
              <w:t xml:space="preserve">Chapter II: Spheres of control: the oikos vs public spaces</w:t>
            </w:r>
          </w:hyperlink>
          <w:r w:rsidDel="00000000" w:rsidR="00000000" w:rsidRPr="00000000">
            <w:rPr>
              <w:rFonts w:ascii="Times New Roman" w:cs="Times New Roman" w:eastAsia="Times New Roman" w:hAnsi="Times New Roman"/>
              <w:b w:val="1"/>
              <w:sz w:val="24"/>
              <w:szCs w:val="24"/>
              <w:rtl w:val="0"/>
            </w:rPr>
            <w:tab/>
          </w:r>
          <w:r w:rsidDel="00000000" w:rsidR="00000000" w:rsidRPr="00000000">
            <w:fldChar w:fldCharType="begin"/>
            <w:instrText xml:space="preserve"> PAGEREF _69uxdl6u7p8n \h </w:instrText>
            <w:fldChar w:fldCharType="separate"/>
          </w:r>
          <w:r w:rsidDel="00000000" w:rsidR="00000000" w:rsidRPr="00000000">
            <w:rPr>
              <w:rFonts w:ascii="Times New Roman" w:cs="Times New Roman" w:eastAsia="Times New Roman" w:hAnsi="Times New Roman"/>
              <w:b w:val="1"/>
              <w:sz w:val="24"/>
              <w:szCs w:val="24"/>
              <w:rtl w:val="0"/>
            </w:rPr>
            <w:t xml:space="preserve">21</w:t>
          </w:r>
          <w:r w:rsidDel="00000000" w:rsidR="00000000" w:rsidRPr="00000000">
            <w:fldChar w:fldCharType="end"/>
          </w:r>
          <w:r w:rsidDel="00000000" w:rsidR="00000000" w:rsidRPr="00000000">
            <w:rPr>
              <w:rtl w:val="0"/>
            </w:rPr>
          </w:r>
        </w:p>
        <w:p w:rsidR="00000000" w:rsidDel="00000000" w:rsidP="00000000" w:rsidRDefault="00000000" w:rsidRPr="00000000" w14:paraId="0000001A">
          <w:pPr>
            <w:tabs>
              <w:tab w:val="right" w:pos="9025.511811023624"/>
            </w:tabs>
            <w:spacing w:before="200" w:line="240" w:lineRule="auto"/>
            <w:ind w:left="0" w:firstLine="0"/>
            <w:contextualSpacing w:val="0"/>
            <w:rPr>
              <w:rFonts w:ascii="Times New Roman" w:cs="Times New Roman" w:eastAsia="Times New Roman" w:hAnsi="Times New Roman"/>
              <w:sz w:val="24"/>
              <w:szCs w:val="24"/>
            </w:rPr>
          </w:pPr>
          <w:hyperlink w:anchor="_zdwmn0k79h99">
            <w:r w:rsidDel="00000000" w:rsidR="00000000" w:rsidRPr="00000000">
              <w:rPr>
                <w:rFonts w:ascii="Times New Roman" w:cs="Times New Roman" w:eastAsia="Times New Roman" w:hAnsi="Times New Roman"/>
                <w:b w:val="1"/>
                <w:sz w:val="24"/>
                <w:szCs w:val="24"/>
                <w:rtl w:val="0"/>
              </w:rPr>
              <w:t xml:space="preserve">Chapter III: The importance of obedience</w:t>
            </w:r>
          </w:hyperlink>
          <w:r w:rsidDel="00000000" w:rsidR="00000000" w:rsidRPr="00000000">
            <w:rPr>
              <w:rFonts w:ascii="Times New Roman" w:cs="Times New Roman" w:eastAsia="Times New Roman" w:hAnsi="Times New Roman"/>
              <w:b w:val="1"/>
              <w:sz w:val="24"/>
              <w:szCs w:val="24"/>
              <w:rtl w:val="0"/>
            </w:rPr>
            <w:tab/>
          </w:r>
          <w:r w:rsidDel="00000000" w:rsidR="00000000" w:rsidRPr="00000000">
            <w:fldChar w:fldCharType="begin"/>
            <w:instrText xml:space="preserve"> PAGEREF _zdwmn0k79h99 \h </w:instrText>
            <w:fldChar w:fldCharType="separate"/>
          </w:r>
          <w:r w:rsidDel="00000000" w:rsidR="00000000" w:rsidRPr="00000000">
            <w:rPr>
              <w:rFonts w:ascii="Times New Roman" w:cs="Times New Roman" w:eastAsia="Times New Roman" w:hAnsi="Times New Roman"/>
              <w:b w:val="1"/>
              <w:sz w:val="24"/>
              <w:szCs w:val="24"/>
              <w:rtl w:val="0"/>
            </w:rPr>
            <w:t xml:space="preserve">28</w:t>
          </w:r>
          <w:r w:rsidDel="00000000" w:rsidR="00000000" w:rsidRPr="00000000">
            <w:fldChar w:fldCharType="end"/>
          </w:r>
          <w:r w:rsidDel="00000000" w:rsidR="00000000" w:rsidRPr="00000000">
            <w:rPr>
              <w:rtl w:val="0"/>
            </w:rPr>
          </w:r>
        </w:p>
        <w:p w:rsidR="00000000" w:rsidDel="00000000" w:rsidP="00000000" w:rsidRDefault="00000000" w:rsidRPr="00000000" w14:paraId="0000001B">
          <w:pPr>
            <w:tabs>
              <w:tab w:val="right" w:pos="9025.511811023624"/>
            </w:tabs>
            <w:spacing w:before="200" w:line="240" w:lineRule="auto"/>
            <w:ind w:left="0" w:firstLine="0"/>
            <w:contextualSpacing w:val="0"/>
            <w:rPr>
              <w:rFonts w:ascii="Times New Roman" w:cs="Times New Roman" w:eastAsia="Times New Roman" w:hAnsi="Times New Roman"/>
              <w:sz w:val="24"/>
              <w:szCs w:val="24"/>
            </w:rPr>
          </w:pPr>
          <w:hyperlink w:anchor="_xn9qn0f5z5zd">
            <w:r w:rsidDel="00000000" w:rsidR="00000000" w:rsidRPr="00000000">
              <w:rPr>
                <w:rFonts w:ascii="Times New Roman" w:cs="Times New Roman" w:eastAsia="Times New Roman" w:hAnsi="Times New Roman"/>
                <w:b w:val="1"/>
                <w:sz w:val="24"/>
                <w:szCs w:val="24"/>
                <w:rtl w:val="0"/>
              </w:rPr>
              <w:t xml:space="preserve">Conclusion</w:t>
            </w:r>
          </w:hyperlink>
          <w:r w:rsidDel="00000000" w:rsidR="00000000" w:rsidRPr="00000000">
            <w:rPr>
              <w:rFonts w:ascii="Times New Roman" w:cs="Times New Roman" w:eastAsia="Times New Roman" w:hAnsi="Times New Roman"/>
              <w:b w:val="1"/>
              <w:sz w:val="24"/>
              <w:szCs w:val="24"/>
              <w:rtl w:val="0"/>
            </w:rPr>
            <w:tab/>
          </w:r>
          <w:r w:rsidDel="00000000" w:rsidR="00000000" w:rsidRPr="00000000">
            <w:fldChar w:fldCharType="begin"/>
            <w:instrText xml:space="preserve"> PAGEREF _xn9qn0f5z5zd \h </w:instrText>
            <w:fldChar w:fldCharType="separate"/>
          </w:r>
          <w:r w:rsidDel="00000000" w:rsidR="00000000" w:rsidRPr="00000000">
            <w:rPr>
              <w:rFonts w:ascii="Times New Roman" w:cs="Times New Roman" w:eastAsia="Times New Roman" w:hAnsi="Times New Roman"/>
              <w:b w:val="1"/>
              <w:sz w:val="24"/>
              <w:szCs w:val="24"/>
              <w:rtl w:val="0"/>
            </w:rPr>
            <w:t xml:space="preserve">34</w:t>
          </w:r>
          <w:r w:rsidDel="00000000" w:rsidR="00000000" w:rsidRPr="00000000">
            <w:fldChar w:fldCharType="end"/>
          </w:r>
          <w:r w:rsidDel="00000000" w:rsidR="00000000" w:rsidRPr="00000000">
            <w:rPr>
              <w:rtl w:val="0"/>
            </w:rPr>
          </w:r>
        </w:p>
        <w:p w:rsidR="00000000" w:rsidDel="00000000" w:rsidP="00000000" w:rsidRDefault="00000000" w:rsidRPr="00000000" w14:paraId="0000001C">
          <w:pPr>
            <w:tabs>
              <w:tab w:val="right" w:pos="9025.511811023624"/>
            </w:tabs>
            <w:spacing w:after="80" w:before="200" w:line="240" w:lineRule="auto"/>
            <w:ind w:left="0" w:firstLine="0"/>
            <w:contextualSpacing w:val="0"/>
            <w:rPr>
              <w:rFonts w:ascii="Times New Roman" w:cs="Times New Roman" w:eastAsia="Times New Roman" w:hAnsi="Times New Roman"/>
              <w:sz w:val="24"/>
              <w:szCs w:val="24"/>
            </w:rPr>
          </w:pPr>
          <w:hyperlink w:anchor="_q40fnzo7q274">
            <w:r w:rsidDel="00000000" w:rsidR="00000000" w:rsidRPr="00000000">
              <w:rPr>
                <w:rFonts w:ascii="Times New Roman" w:cs="Times New Roman" w:eastAsia="Times New Roman" w:hAnsi="Times New Roman"/>
                <w:b w:val="1"/>
                <w:sz w:val="24"/>
                <w:szCs w:val="24"/>
                <w:rtl w:val="0"/>
              </w:rPr>
              <w:t xml:space="preserve">Bibliography</w:t>
            </w:r>
          </w:hyperlink>
          <w:r w:rsidDel="00000000" w:rsidR="00000000" w:rsidRPr="00000000">
            <w:rPr>
              <w:rFonts w:ascii="Times New Roman" w:cs="Times New Roman" w:eastAsia="Times New Roman" w:hAnsi="Times New Roman"/>
              <w:b w:val="1"/>
              <w:sz w:val="24"/>
              <w:szCs w:val="24"/>
              <w:rtl w:val="0"/>
            </w:rPr>
            <w:tab/>
          </w:r>
          <w:r w:rsidDel="00000000" w:rsidR="00000000" w:rsidRPr="00000000">
            <w:fldChar w:fldCharType="begin"/>
            <w:instrText xml:space="preserve"> PAGEREF _q40fnzo7q274 \h </w:instrText>
            <w:fldChar w:fldCharType="separate"/>
          </w:r>
          <w:r w:rsidDel="00000000" w:rsidR="00000000" w:rsidRPr="00000000">
            <w:rPr>
              <w:rFonts w:ascii="Times New Roman" w:cs="Times New Roman" w:eastAsia="Times New Roman" w:hAnsi="Times New Roman"/>
              <w:b w:val="1"/>
              <w:sz w:val="24"/>
              <w:szCs w:val="24"/>
              <w:rtl w:val="0"/>
            </w:rPr>
            <w:t xml:space="preserve">37</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spacing w:line="480" w:lineRule="auto"/>
        <w:contextualSpacing w:val="0"/>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2"/>
        <w:spacing w:line="480" w:lineRule="auto"/>
        <w:contextualSpacing w:val="0"/>
        <w:rPr>
          <w:rFonts w:ascii="Times New Roman" w:cs="Times New Roman" w:eastAsia="Times New Roman" w:hAnsi="Times New Roman"/>
        </w:rPr>
      </w:pPr>
      <w:bookmarkStart w:colFirst="0" w:colLast="0" w:name="_lw9w5j6yvise" w:id="1"/>
      <w:bookmarkEnd w:id="1"/>
      <w:r w:rsidDel="00000000" w:rsidR="00000000" w:rsidRPr="00000000">
        <w:rPr>
          <w:rFonts w:ascii="Times New Roman" w:cs="Times New Roman" w:eastAsia="Times New Roman" w:hAnsi="Times New Roman"/>
          <w:rtl w:val="0"/>
        </w:rPr>
        <w:t xml:space="preserve">Introduction</w:t>
      </w:r>
    </w:p>
    <w:p w:rsidR="00000000" w:rsidDel="00000000" w:rsidP="00000000" w:rsidRDefault="00000000" w:rsidRPr="00000000" w14:paraId="00000020">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Agamemnon, Helen, Medea </w:t>
      </w:r>
      <w:r w:rsidDel="00000000" w:rsidR="00000000" w:rsidRPr="00000000">
        <w:rPr>
          <w:rFonts w:ascii="Times New Roman" w:cs="Times New Roman" w:eastAsia="Times New Roman" w:hAnsi="Times New Roman"/>
          <w:sz w:val="24"/>
          <w:szCs w:val="24"/>
          <w:rtl w:val="0"/>
        </w:rPr>
        <w:t xml:space="preserve">and </w:t>
      </w:r>
      <w:r w:rsidDel="00000000" w:rsidR="00000000" w:rsidRPr="00000000">
        <w:rPr>
          <w:rFonts w:ascii="Times New Roman" w:cs="Times New Roman" w:eastAsia="Times New Roman" w:hAnsi="Times New Roman"/>
          <w:i w:val="1"/>
          <w:sz w:val="24"/>
          <w:szCs w:val="24"/>
          <w:rtl w:val="0"/>
        </w:rPr>
        <w:t xml:space="preserve">Iphigenia at Aulis</w:t>
      </w:r>
      <w:r w:rsidDel="00000000" w:rsidR="00000000" w:rsidRPr="00000000">
        <w:rPr>
          <w:rFonts w:ascii="Times New Roman" w:cs="Times New Roman" w:eastAsia="Times New Roman" w:hAnsi="Times New Roman"/>
          <w:sz w:val="24"/>
          <w:szCs w:val="24"/>
          <w:rtl w:val="0"/>
        </w:rPr>
        <w:t xml:space="preserve"> all have one major thing in common; they present women in a way that is outside of what we, as a modern audience, expect from the ancient Greeks; they’re presented as being in possession of their own autonomy.</w:t>
      </w:r>
      <w:r w:rsidDel="00000000" w:rsidR="00000000" w:rsidRPr="00000000">
        <w:rPr>
          <w:rFonts w:ascii="Times New Roman" w:cs="Times New Roman" w:eastAsia="Times New Roman" w:hAnsi="Times New Roman"/>
          <w:sz w:val="24"/>
          <w:szCs w:val="24"/>
          <w:vertAlign w:val="superscript"/>
        </w:rPr>
        <w:footnoteReference w:customMarkFollows="0" w:id="0"/>
      </w:r>
      <w:r w:rsidDel="00000000" w:rsidR="00000000" w:rsidRPr="00000000">
        <w:rPr>
          <w:rFonts w:ascii="Times New Roman" w:cs="Times New Roman" w:eastAsia="Times New Roman" w:hAnsi="Times New Roman"/>
          <w:sz w:val="24"/>
          <w:szCs w:val="24"/>
          <w:rtl w:val="0"/>
        </w:rPr>
        <w:t xml:space="preserve"> This is something that is intrinsically different about the presentation of these characters, of these mythological figures, and they’re given their own voice, even if that voice is presented through the medium of something that was written and acted by men.</w:t>
      </w:r>
      <w:r w:rsidDel="00000000" w:rsidR="00000000" w:rsidRPr="00000000">
        <w:rPr>
          <w:rFonts w:ascii="Times New Roman" w:cs="Times New Roman" w:eastAsia="Times New Roman" w:hAnsi="Times New Roman"/>
          <w:sz w:val="24"/>
          <w:szCs w:val="24"/>
          <w:vertAlign w:val="superscript"/>
        </w:rPr>
        <w:footnoteReference w:customMarkFollows="0" w:id="1"/>
      </w:r>
      <w:r w:rsidDel="00000000" w:rsidR="00000000" w:rsidRPr="00000000">
        <w:rPr>
          <w:rFonts w:ascii="Times New Roman" w:cs="Times New Roman" w:eastAsia="Times New Roman" w:hAnsi="Times New Roman"/>
          <w:sz w:val="24"/>
          <w:szCs w:val="24"/>
          <w:rtl w:val="0"/>
        </w:rPr>
        <w:t xml:space="preserve"> Aeschylus wrote his </w:t>
      </w:r>
      <w:r w:rsidDel="00000000" w:rsidR="00000000" w:rsidRPr="00000000">
        <w:rPr>
          <w:rFonts w:ascii="Times New Roman" w:cs="Times New Roman" w:eastAsia="Times New Roman" w:hAnsi="Times New Roman"/>
          <w:i w:val="1"/>
          <w:sz w:val="24"/>
          <w:szCs w:val="24"/>
          <w:rtl w:val="0"/>
        </w:rPr>
        <w:t xml:space="preserve">Agamemnon</w:t>
      </w:r>
      <w:r w:rsidDel="00000000" w:rsidR="00000000" w:rsidRPr="00000000">
        <w:rPr>
          <w:rFonts w:ascii="Times New Roman" w:cs="Times New Roman" w:eastAsia="Times New Roman" w:hAnsi="Times New Roman"/>
          <w:sz w:val="24"/>
          <w:szCs w:val="24"/>
          <w:rtl w:val="0"/>
        </w:rPr>
        <w:t xml:space="preserve"> at a time of Athenian prosperity, while Euripides wrote his </w:t>
      </w:r>
      <w:r w:rsidDel="00000000" w:rsidR="00000000" w:rsidRPr="00000000">
        <w:rPr>
          <w:rFonts w:ascii="Times New Roman" w:cs="Times New Roman" w:eastAsia="Times New Roman" w:hAnsi="Times New Roman"/>
          <w:i w:val="1"/>
          <w:sz w:val="24"/>
          <w:szCs w:val="24"/>
          <w:rtl w:val="0"/>
        </w:rPr>
        <w:t xml:space="preserve">Helen </w:t>
      </w:r>
      <w:r w:rsidDel="00000000" w:rsidR="00000000" w:rsidRPr="00000000">
        <w:rPr>
          <w:rFonts w:ascii="Times New Roman" w:cs="Times New Roman" w:eastAsia="Times New Roman" w:hAnsi="Times New Roman"/>
          <w:sz w:val="24"/>
          <w:szCs w:val="24"/>
          <w:rtl w:val="0"/>
        </w:rPr>
        <w:t xml:space="preserve">at a time when war was in progress, when Athens’ defeat was looming.</w:t>
      </w:r>
      <w:r w:rsidDel="00000000" w:rsidR="00000000" w:rsidRPr="00000000">
        <w:rPr>
          <w:rFonts w:ascii="Times New Roman" w:cs="Times New Roman" w:eastAsia="Times New Roman" w:hAnsi="Times New Roman"/>
          <w:sz w:val="24"/>
          <w:szCs w:val="24"/>
          <w:vertAlign w:val="superscript"/>
        </w:rPr>
        <w:footnoteReference w:customMarkFollows="0" w:id="2"/>
      </w:r>
      <w:r w:rsidDel="00000000" w:rsidR="00000000" w:rsidRPr="00000000">
        <w:rPr>
          <w:rFonts w:ascii="Times New Roman" w:cs="Times New Roman" w:eastAsia="Times New Roman" w:hAnsi="Times New Roman"/>
          <w:sz w:val="24"/>
          <w:szCs w:val="24"/>
          <w:rtl w:val="0"/>
        </w:rPr>
        <w:t xml:space="preserve"> Across these four plays there’s a representation of almost a century, and within this there’s representation of different kinds of women; Helen as a reformed, chaste wife, Clytemnestra as murderous revenger, Medea as jilted sorceress, and Iphigenia as sacrificial girl. Each of these women represent different parts of the power imbalances that exist within this period, and each of these power imbalances is directly connected to the men in their lives, primarily those who are their husbands (but in Iphigenia’s case her father).</w:t>
      </w:r>
      <w:r w:rsidDel="00000000" w:rsidR="00000000" w:rsidRPr="00000000">
        <w:rPr>
          <w:rFonts w:ascii="Times New Roman" w:cs="Times New Roman" w:eastAsia="Times New Roman" w:hAnsi="Times New Roman"/>
          <w:sz w:val="24"/>
          <w:szCs w:val="24"/>
          <w:vertAlign w:val="superscript"/>
        </w:rPr>
        <w:footnoteReference w:customMarkFollows="0" w:id="3"/>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1">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began as a question of control evolved into the way in which control presides over power, how the movement of control leads to the movement of power. Control of a situation, of a person, leads to power over this particular moment, and this is clearly displayed within these four texts. These texts, taken entirely out of context, would potentially prove something about women in this period that is entirely not true; the stumbling Menelaus of the </w:t>
      </w:r>
      <w:r w:rsidDel="00000000" w:rsidR="00000000" w:rsidRPr="00000000">
        <w:rPr>
          <w:rFonts w:ascii="Times New Roman" w:cs="Times New Roman" w:eastAsia="Times New Roman" w:hAnsi="Times New Roman"/>
          <w:i w:val="1"/>
          <w:sz w:val="24"/>
          <w:szCs w:val="24"/>
          <w:rtl w:val="0"/>
        </w:rPr>
        <w:t xml:space="preserve">Helen</w:t>
      </w:r>
      <w:r w:rsidDel="00000000" w:rsidR="00000000" w:rsidRPr="00000000">
        <w:rPr>
          <w:rFonts w:ascii="Times New Roman" w:cs="Times New Roman" w:eastAsia="Times New Roman" w:hAnsi="Times New Roman"/>
          <w:sz w:val="24"/>
          <w:szCs w:val="24"/>
          <w:rtl w:val="0"/>
        </w:rPr>
        <w:t xml:space="preserve"> and the indecisive Agamemnon of the </w:t>
      </w:r>
      <w:r w:rsidDel="00000000" w:rsidR="00000000" w:rsidRPr="00000000">
        <w:rPr>
          <w:rFonts w:ascii="Times New Roman" w:cs="Times New Roman" w:eastAsia="Times New Roman" w:hAnsi="Times New Roman"/>
          <w:i w:val="1"/>
          <w:sz w:val="24"/>
          <w:szCs w:val="24"/>
          <w:rtl w:val="0"/>
        </w:rPr>
        <w:t xml:space="preserve">Iphigenia at Aulis</w:t>
      </w:r>
      <w:r w:rsidDel="00000000" w:rsidR="00000000" w:rsidRPr="00000000">
        <w:rPr>
          <w:rFonts w:ascii="Times New Roman" w:cs="Times New Roman" w:eastAsia="Times New Roman" w:hAnsi="Times New Roman"/>
          <w:sz w:val="24"/>
          <w:szCs w:val="24"/>
          <w:rtl w:val="0"/>
        </w:rPr>
        <w:t xml:space="preserve"> are at a direct contrast to the women that operate within these same spaces.</w:t>
      </w:r>
      <w:r w:rsidDel="00000000" w:rsidR="00000000" w:rsidRPr="00000000">
        <w:rPr>
          <w:rFonts w:ascii="Times New Roman" w:cs="Times New Roman" w:eastAsia="Times New Roman" w:hAnsi="Times New Roman"/>
          <w:sz w:val="24"/>
          <w:szCs w:val="24"/>
          <w:vertAlign w:val="superscript"/>
        </w:rPr>
        <w:footnoteReference w:customMarkFollows="0" w:id="4"/>
      </w:r>
      <w:r w:rsidDel="00000000" w:rsidR="00000000" w:rsidRPr="00000000">
        <w:rPr>
          <w:rFonts w:ascii="Times New Roman" w:cs="Times New Roman" w:eastAsia="Times New Roman" w:hAnsi="Times New Roman"/>
          <w:sz w:val="24"/>
          <w:szCs w:val="24"/>
          <w:rtl w:val="0"/>
        </w:rPr>
        <w:t xml:space="preserve"> As an example of those having the control thereby, having the power within the situation; Medea, when she will not allow Jason to touch the bodies of his children; she shows herself to have the power of the situation, to allow herself a moment of glory, she luxuriates in showing him that he no longer has even a tiny portion of the control or power in this situation.</w:t>
      </w:r>
      <w:r w:rsidDel="00000000" w:rsidR="00000000" w:rsidRPr="00000000">
        <w:rPr>
          <w:rFonts w:ascii="Times New Roman" w:cs="Times New Roman" w:eastAsia="Times New Roman" w:hAnsi="Times New Roman"/>
          <w:sz w:val="24"/>
          <w:szCs w:val="24"/>
          <w:vertAlign w:val="superscript"/>
        </w:rPr>
        <w:footnoteReference w:customMarkFollows="0" w:id="5"/>
      </w:r>
      <w:r w:rsidDel="00000000" w:rsidR="00000000" w:rsidRPr="00000000">
        <w:rPr>
          <w:rFonts w:ascii="Times New Roman" w:cs="Times New Roman" w:eastAsia="Times New Roman" w:hAnsi="Times New Roman"/>
          <w:sz w:val="24"/>
          <w:szCs w:val="24"/>
          <w:rtl w:val="0"/>
        </w:rPr>
        <w:t xml:space="preserve"> Power is a fleeting, slightly mysterious concept, and this is proven especially when attempting to track the movement that it has across a situation or between people. When Medea supplicates at Creon’s feet it appears that Creon has the entirety of the power within that moment, but this is disproven by her reaction after, when she reveals that she purposefully engineered that scene to get what she needed from him.</w:t>
      </w:r>
      <w:r w:rsidDel="00000000" w:rsidR="00000000" w:rsidRPr="00000000">
        <w:rPr>
          <w:rFonts w:ascii="Times New Roman" w:cs="Times New Roman" w:eastAsia="Times New Roman" w:hAnsi="Times New Roman"/>
          <w:sz w:val="24"/>
          <w:szCs w:val="24"/>
          <w:vertAlign w:val="superscript"/>
        </w:rPr>
        <w:footnoteReference w:customMarkFollows="0" w:id="6"/>
      </w:r>
      <w:r w:rsidDel="00000000" w:rsidR="00000000" w:rsidRPr="00000000">
        <w:rPr>
          <w:rtl w:val="0"/>
        </w:rPr>
      </w:r>
    </w:p>
    <w:p w:rsidR="00000000" w:rsidDel="00000000" w:rsidP="00000000" w:rsidRDefault="00000000" w:rsidRPr="00000000" w14:paraId="00000023">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scholars Euripides is seen as someone that attempts to go against the conventional, traditional, rules of tragedy, and this, Holmberg explains, is why Euripides often concentrates on women; women as the heroes or as the defining, important characters, women with autonomy, are a surprise, but Holmberg also states that Euripides had no interest in the topic of female subjectivity, in writing women because he wished to change opinions; he merely did so as an opportunity to shock audiences.</w:t>
      </w:r>
      <w:r w:rsidDel="00000000" w:rsidR="00000000" w:rsidRPr="00000000">
        <w:rPr>
          <w:rFonts w:ascii="Times New Roman" w:cs="Times New Roman" w:eastAsia="Times New Roman" w:hAnsi="Times New Roman"/>
          <w:sz w:val="24"/>
          <w:szCs w:val="24"/>
          <w:vertAlign w:val="superscript"/>
        </w:rPr>
        <w:footnoteReference w:customMarkFollows="0" w:id="7"/>
      </w:r>
      <w:r w:rsidDel="00000000" w:rsidR="00000000" w:rsidRPr="00000000">
        <w:rPr>
          <w:rFonts w:ascii="Times New Roman" w:cs="Times New Roman" w:eastAsia="Times New Roman" w:hAnsi="Times New Roman"/>
          <w:sz w:val="24"/>
          <w:szCs w:val="24"/>
          <w:rtl w:val="0"/>
        </w:rPr>
        <w:t xml:space="preserve"> In contrast to this, Blondell et al argue that of the tragic plays that are extant to us, only one contains no women at all; Sophocles’ </w:t>
      </w:r>
      <w:r w:rsidDel="00000000" w:rsidR="00000000" w:rsidRPr="00000000">
        <w:rPr>
          <w:rFonts w:ascii="Times New Roman" w:cs="Times New Roman" w:eastAsia="Times New Roman" w:hAnsi="Times New Roman"/>
          <w:i w:val="1"/>
          <w:sz w:val="24"/>
          <w:szCs w:val="24"/>
          <w:rtl w:val="0"/>
        </w:rPr>
        <w:t xml:space="preserve">Philoktetes</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vertAlign w:val="superscript"/>
        </w:rPr>
        <w:footnoteReference w:customMarkFollows="0" w:id="8"/>
      </w:r>
      <w:r w:rsidDel="00000000" w:rsidR="00000000" w:rsidRPr="00000000">
        <w:rPr>
          <w:rFonts w:ascii="Times New Roman" w:cs="Times New Roman" w:eastAsia="Times New Roman" w:hAnsi="Times New Roman"/>
          <w:sz w:val="24"/>
          <w:szCs w:val="24"/>
          <w:rtl w:val="0"/>
        </w:rPr>
        <w:t xml:space="preserve"> This would present a view that the very genre of Greek tragedy is feminist within and of itself, but with at least eighteen plays a year being presented at the two major Athenian festivals, the amount of plays that have survived to us shows us that we have access to what is a tiny fragment of what was written and performed over the period that these two playwrights were publishing and directing their works.</w:t>
      </w:r>
      <w:r w:rsidDel="00000000" w:rsidR="00000000" w:rsidRPr="00000000">
        <w:rPr>
          <w:rFonts w:ascii="Times New Roman" w:cs="Times New Roman" w:eastAsia="Times New Roman" w:hAnsi="Times New Roman"/>
          <w:sz w:val="24"/>
          <w:szCs w:val="24"/>
          <w:vertAlign w:val="superscript"/>
        </w:rPr>
        <w:footnoteReference w:customMarkFollows="0" w:id="9"/>
      </w:r>
      <w:r w:rsidDel="00000000" w:rsidR="00000000" w:rsidRPr="00000000">
        <w:rPr>
          <w:rFonts w:ascii="Times New Roman" w:cs="Times New Roman" w:eastAsia="Times New Roman" w:hAnsi="Times New Roman"/>
          <w:sz w:val="24"/>
          <w:szCs w:val="24"/>
          <w:rtl w:val="0"/>
        </w:rPr>
        <w:t xml:space="preserve"> This is a very large contrast to that which we have been accustomed to believing is how women were treated within ancient Athenian culture.</w:t>
      </w:r>
      <w:r w:rsidDel="00000000" w:rsidR="00000000" w:rsidRPr="00000000">
        <w:rPr>
          <w:rFonts w:ascii="Times New Roman" w:cs="Times New Roman" w:eastAsia="Times New Roman" w:hAnsi="Times New Roman"/>
          <w:sz w:val="24"/>
          <w:szCs w:val="24"/>
          <w:vertAlign w:val="superscript"/>
        </w:rPr>
        <w:footnoteReference w:customMarkFollows="0" w:id="10"/>
      </w:r>
      <w:r w:rsidDel="00000000" w:rsidR="00000000" w:rsidRPr="00000000">
        <w:rPr>
          <w:rFonts w:ascii="Times New Roman" w:cs="Times New Roman" w:eastAsia="Times New Roman" w:hAnsi="Times New Roman"/>
          <w:sz w:val="24"/>
          <w:szCs w:val="24"/>
          <w:rtl w:val="0"/>
        </w:rPr>
        <w:t xml:space="preserve"> This appears to have been solely the benefit of a potentially apotheosised mythological figure, and was not something that was generally volunteered to the usual Athenian wife, who by and large had little political and economic power. </w:t>
      </w:r>
    </w:p>
    <w:p w:rsidR="00000000" w:rsidDel="00000000" w:rsidP="00000000" w:rsidRDefault="00000000" w:rsidRPr="00000000" w14:paraId="00000025">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four plays in question portray women who are both morally good and morally bad, include two main figures that are related to each other, and one features the redemption of a women that has been blamed for much within the mythological corpus.</w:t>
      </w:r>
      <w:r w:rsidDel="00000000" w:rsidR="00000000" w:rsidRPr="00000000">
        <w:rPr>
          <w:rFonts w:ascii="Times New Roman" w:cs="Times New Roman" w:eastAsia="Times New Roman" w:hAnsi="Times New Roman"/>
          <w:sz w:val="24"/>
          <w:szCs w:val="24"/>
          <w:vertAlign w:val="superscript"/>
        </w:rPr>
        <w:footnoteReference w:customMarkFollows="0" w:id="11"/>
      </w:r>
      <w:r w:rsidDel="00000000" w:rsidR="00000000" w:rsidRPr="00000000">
        <w:rPr>
          <w:rFonts w:ascii="Times New Roman" w:cs="Times New Roman" w:eastAsia="Times New Roman" w:hAnsi="Times New Roman"/>
          <w:sz w:val="24"/>
          <w:szCs w:val="24"/>
          <w:rtl w:val="0"/>
        </w:rPr>
        <w:t xml:space="preserve"> Three of the women in question have been villianised, two of them somewhat rightly so. The one girl in question is someone that is presented with a lack of choice, a lack of autonomy, and instead of making herself smaller, instead of going out with a lack of dignity she makes the ultimate choice, a choice that has much to do with honour.</w:t>
      </w:r>
      <w:r w:rsidDel="00000000" w:rsidR="00000000" w:rsidRPr="00000000">
        <w:rPr>
          <w:rFonts w:ascii="Times New Roman" w:cs="Times New Roman" w:eastAsia="Times New Roman" w:hAnsi="Times New Roman"/>
          <w:sz w:val="24"/>
          <w:szCs w:val="24"/>
          <w:vertAlign w:val="superscript"/>
        </w:rPr>
        <w:footnoteReference w:customMarkFollows="0" w:id="12"/>
      </w:r>
      <w:r w:rsidDel="00000000" w:rsidR="00000000" w:rsidRPr="00000000">
        <w:rPr>
          <w:rFonts w:ascii="Times New Roman" w:cs="Times New Roman" w:eastAsia="Times New Roman" w:hAnsi="Times New Roman"/>
          <w:sz w:val="24"/>
          <w:szCs w:val="24"/>
          <w:rtl w:val="0"/>
        </w:rPr>
        <w:t xml:space="preserve"> The women, who are as much characters devised by their playwrights as they are mythological figures, are awarded a subjectivity that is unusual, and are allowed to lay claim to actions that they have, clearly, already had the consequences of such actions assigned to them, regardless of whether that has positive or negative effects upon their reputation.</w:t>
      </w:r>
      <w:r w:rsidDel="00000000" w:rsidR="00000000" w:rsidRPr="00000000">
        <w:rPr>
          <w:rFonts w:ascii="Times New Roman" w:cs="Times New Roman" w:eastAsia="Times New Roman" w:hAnsi="Times New Roman"/>
          <w:sz w:val="24"/>
          <w:szCs w:val="24"/>
          <w:vertAlign w:val="superscript"/>
        </w:rPr>
        <w:footnoteReference w:customMarkFollows="0" w:id="13"/>
      </w:r>
      <w:r w:rsidDel="00000000" w:rsidR="00000000" w:rsidRPr="00000000">
        <w:rPr>
          <w:rtl w:val="0"/>
        </w:rPr>
      </w:r>
    </w:p>
    <w:p w:rsidR="00000000" w:rsidDel="00000000" w:rsidP="00000000" w:rsidRDefault="00000000" w:rsidRPr="00000000" w14:paraId="00000027">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Each play illustrates a section of Greek mythology, stories that the audience would have already known, and all but the </w:t>
      </w:r>
      <w:r w:rsidDel="00000000" w:rsidR="00000000" w:rsidRPr="00000000">
        <w:rPr>
          <w:rFonts w:ascii="Times New Roman" w:cs="Times New Roman" w:eastAsia="Times New Roman" w:hAnsi="Times New Roman"/>
          <w:i w:val="1"/>
          <w:sz w:val="24"/>
          <w:szCs w:val="24"/>
          <w:rtl w:val="0"/>
        </w:rPr>
        <w:t xml:space="preserve">Medea</w:t>
      </w:r>
      <w:r w:rsidDel="00000000" w:rsidR="00000000" w:rsidRPr="00000000">
        <w:rPr>
          <w:rFonts w:ascii="Times New Roman" w:cs="Times New Roman" w:eastAsia="Times New Roman" w:hAnsi="Times New Roman"/>
          <w:sz w:val="24"/>
          <w:szCs w:val="24"/>
          <w:rtl w:val="0"/>
        </w:rPr>
        <w:t xml:space="preserve"> focus on myths that are at least tangentially connected to the Trojan War.</w:t>
      </w:r>
      <w:r w:rsidDel="00000000" w:rsidR="00000000" w:rsidRPr="00000000">
        <w:rPr>
          <w:rFonts w:ascii="Times New Roman" w:cs="Times New Roman" w:eastAsia="Times New Roman" w:hAnsi="Times New Roman"/>
          <w:sz w:val="24"/>
          <w:szCs w:val="24"/>
          <w:vertAlign w:val="superscript"/>
        </w:rPr>
        <w:footnoteReference w:customMarkFollows="0" w:id="14"/>
      </w:r>
      <w:r w:rsidDel="00000000" w:rsidR="00000000" w:rsidRPr="00000000">
        <w:rPr>
          <w:rFonts w:ascii="Times New Roman" w:cs="Times New Roman" w:eastAsia="Times New Roman" w:hAnsi="Times New Roman"/>
          <w:sz w:val="24"/>
          <w:szCs w:val="24"/>
          <w:rtl w:val="0"/>
        </w:rPr>
        <w:t xml:space="preserve"> The </w:t>
      </w:r>
      <w:r w:rsidDel="00000000" w:rsidR="00000000" w:rsidRPr="00000000">
        <w:rPr>
          <w:rFonts w:ascii="Times New Roman" w:cs="Times New Roman" w:eastAsia="Times New Roman" w:hAnsi="Times New Roman"/>
          <w:i w:val="1"/>
          <w:sz w:val="24"/>
          <w:szCs w:val="24"/>
          <w:rtl w:val="0"/>
        </w:rPr>
        <w:t xml:space="preserve">Agamemnon</w:t>
      </w:r>
      <w:r w:rsidDel="00000000" w:rsidR="00000000" w:rsidRPr="00000000">
        <w:rPr>
          <w:rFonts w:ascii="Times New Roman" w:cs="Times New Roman" w:eastAsia="Times New Roman" w:hAnsi="Times New Roman"/>
          <w:sz w:val="24"/>
          <w:szCs w:val="24"/>
          <w:rtl w:val="0"/>
        </w:rPr>
        <w:t xml:space="preserve"> details what happens when Agamemnon returns home from the war, shows what the consequences of the sacrifice of Iphigenia in the </w:t>
      </w:r>
      <w:r w:rsidDel="00000000" w:rsidR="00000000" w:rsidRPr="00000000">
        <w:rPr>
          <w:rFonts w:ascii="Times New Roman" w:cs="Times New Roman" w:eastAsia="Times New Roman" w:hAnsi="Times New Roman"/>
          <w:i w:val="1"/>
          <w:sz w:val="24"/>
          <w:szCs w:val="24"/>
          <w:rtl w:val="0"/>
        </w:rPr>
        <w:t xml:space="preserve">Iphigenia at Aulis</w:t>
      </w:r>
      <w:r w:rsidDel="00000000" w:rsidR="00000000" w:rsidRPr="00000000">
        <w:rPr>
          <w:rFonts w:ascii="Times New Roman" w:cs="Times New Roman" w:eastAsia="Times New Roman" w:hAnsi="Times New Roman"/>
          <w:sz w:val="24"/>
          <w:szCs w:val="24"/>
          <w:rtl w:val="0"/>
        </w:rPr>
        <w:t xml:space="preserve"> would prove to be, what Agamemnon gave up for war, for someone who, according to the </w:t>
      </w:r>
      <w:r w:rsidDel="00000000" w:rsidR="00000000" w:rsidRPr="00000000">
        <w:rPr>
          <w:rFonts w:ascii="Times New Roman" w:cs="Times New Roman" w:eastAsia="Times New Roman" w:hAnsi="Times New Roman"/>
          <w:i w:val="1"/>
          <w:sz w:val="24"/>
          <w:szCs w:val="24"/>
          <w:rtl w:val="0"/>
        </w:rPr>
        <w:t xml:space="preserve">Helen,</w:t>
      </w:r>
      <w:r w:rsidDel="00000000" w:rsidR="00000000" w:rsidRPr="00000000">
        <w:rPr>
          <w:rFonts w:ascii="Times New Roman" w:cs="Times New Roman" w:eastAsia="Times New Roman" w:hAnsi="Times New Roman"/>
          <w:sz w:val="24"/>
          <w:szCs w:val="24"/>
          <w:rtl w:val="0"/>
        </w:rPr>
        <w:t xml:space="preserve"> was actually an eidolon and was not actually there, but rather was in Egypt, where she has to escape with Menelaus. The </w:t>
      </w:r>
      <w:r w:rsidDel="00000000" w:rsidR="00000000" w:rsidRPr="00000000">
        <w:rPr>
          <w:rFonts w:ascii="Times New Roman" w:cs="Times New Roman" w:eastAsia="Times New Roman" w:hAnsi="Times New Roman"/>
          <w:i w:val="1"/>
          <w:sz w:val="24"/>
          <w:szCs w:val="24"/>
          <w:rtl w:val="0"/>
        </w:rPr>
        <w:t xml:space="preserve">Medea</w:t>
      </w:r>
      <w:r w:rsidDel="00000000" w:rsidR="00000000" w:rsidRPr="00000000">
        <w:rPr>
          <w:rFonts w:ascii="Times New Roman" w:cs="Times New Roman" w:eastAsia="Times New Roman" w:hAnsi="Times New Roman"/>
          <w:sz w:val="24"/>
          <w:szCs w:val="24"/>
          <w:rtl w:val="0"/>
        </w:rPr>
        <w:t xml:space="preserve">, on the other hand, focuses on what happens to Medea and Jason long after the retrieval of the Golden Fleece, once they have children and have settled in Corinth, and Jason decides that he should marry again, to better his personal social standing.</w:t>
      </w:r>
    </w:p>
    <w:p w:rsidR="00000000" w:rsidDel="00000000" w:rsidP="00000000" w:rsidRDefault="00000000" w:rsidRPr="00000000" w14:paraId="00000029">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close reading of these four texts will present us with a clear examination of the ways in which power and control reign over women’s lives, primarily in three different regards. The first of these would be marriage, both in the way in which marriages are made and the ways in which marriages continue to have a lasting and constant effect upon a woman’s life; a woman is never truly allowed to be her own guardian, women in this period living their lives going from one </w:t>
      </w:r>
      <w:r w:rsidDel="00000000" w:rsidR="00000000" w:rsidRPr="00000000">
        <w:rPr>
          <w:rFonts w:ascii="Times New Roman" w:cs="Times New Roman" w:eastAsia="Times New Roman" w:hAnsi="Times New Roman"/>
          <w:i w:val="1"/>
          <w:sz w:val="24"/>
          <w:szCs w:val="24"/>
          <w:rtl w:val="0"/>
        </w:rPr>
        <w:t xml:space="preserve">kurios</w:t>
      </w:r>
      <w:r w:rsidDel="00000000" w:rsidR="00000000" w:rsidRPr="00000000">
        <w:rPr>
          <w:rFonts w:ascii="Times New Roman" w:cs="Times New Roman" w:eastAsia="Times New Roman" w:hAnsi="Times New Roman"/>
          <w:sz w:val="24"/>
          <w:szCs w:val="24"/>
          <w:rtl w:val="0"/>
        </w:rPr>
        <w:t xml:space="preserve"> to another, never legally being more than what, in modern terms, would be considered a minor.</w:t>
      </w:r>
      <w:r w:rsidDel="00000000" w:rsidR="00000000" w:rsidRPr="00000000">
        <w:rPr>
          <w:rFonts w:ascii="Times New Roman" w:cs="Times New Roman" w:eastAsia="Times New Roman" w:hAnsi="Times New Roman"/>
          <w:sz w:val="24"/>
          <w:szCs w:val="24"/>
          <w:vertAlign w:val="superscript"/>
        </w:rPr>
        <w:footnoteReference w:customMarkFollows="0" w:id="15"/>
      </w:r>
      <w:r w:rsidDel="00000000" w:rsidR="00000000" w:rsidRPr="00000000">
        <w:rPr>
          <w:rFonts w:ascii="Times New Roman" w:cs="Times New Roman" w:eastAsia="Times New Roman" w:hAnsi="Times New Roman"/>
          <w:sz w:val="24"/>
          <w:szCs w:val="24"/>
          <w:rtl w:val="0"/>
        </w:rPr>
        <w:t xml:space="preserve"> Secondly, an analysis of the texts from the consideration of the binarist approach, a close look at the ways in which the masculine and feminism are represented, will present us with a presentation of how movement across the scale of masculine to feminine effects power within a relationship. Thirdly, and lastly, we take a look at the ways in which obedience of the dominant male within their lives affected the small ways in which they could exert the little control over their lives that they were in possession of.</w:t>
      </w:r>
    </w:p>
    <w:p w:rsidR="00000000" w:rsidDel="00000000" w:rsidP="00000000" w:rsidRDefault="00000000" w:rsidRPr="00000000" w14:paraId="0000002B">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pStyle w:val="Heading2"/>
        <w:spacing w:line="480" w:lineRule="auto"/>
        <w:contextualSpacing w:val="0"/>
        <w:rPr>
          <w:rFonts w:ascii="Times New Roman" w:cs="Times New Roman" w:eastAsia="Times New Roman" w:hAnsi="Times New Roman"/>
        </w:rPr>
      </w:pPr>
      <w:bookmarkStart w:colFirst="0" w:colLast="0" w:name="_5d5altx17xx" w:id="2"/>
      <w:bookmarkEnd w:id="2"/>
      <w:r w:rsidDel="00000000" w:rsidR="00000000" w:rsidRPr="00000000">
        <w:rPr>
          <w:rFonts w:ascii="Times New Roman" w:cs="Times New Roman" w:eastAsia="Times New Roman" w:hAnsi="Times New Roman"/>
          <w:rtl w:val="0"/>
        </w:rPr>
        <w:t xml:space="preserve">Methodology</w:t>
      </w:r>
    </w:p>
    <w:p w:rsidR="00000000" w:rsidDel="00000000" w:rsidP="00000000" w:rsidRDefault="00000000" w:rsidRPr="00000000" w14:paraId="0000002E">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texts contain a medley of problems when one approaches them, and these problems are not limited to merely their male authorship. The very patriarchal systems at work, both within the tragedies and within the lives of the authors skews the writing of these women, skews the presentation of their power, of their autonomy. The very assigning of the words “proto-feminist” to Euripides fails to truly consider the absolute lack of power which women were afforded in their everyday lives, and this paper does not seek to decide whether or not Euripides (or Aeschylus) were secretly believers in women’s rights, before women’s rights were even a vague part of the society’s political consciousness.</w:t>
      </w:r>
      <w:r w:rsidDel="00000000" w:rsidR="00000000" w:rsidRPr="00000000">
        <w:rPr>
          <w:rFonts w:ascii="Times New Roman" w:cs="Times New Roman" w:eastAsia="Times New Roman" w:hAnsi="Times New Roman"/>
          <w:sz w:val="24"/>
          <w:szCs w:val="24"/>
          <w:vertAlign w:val="superscript"/>
        </w:rPr>
        <w:footnoteReference w:customMarkFollows="0" w:id="16"/>
      </w:r>
      <w:r w:rsidDel="00000000" w:rsidR="00000000" w:rsidRPr="00000000">
        <w:rPr>
          <w:rFonts w:ascii="Times New Roman" w:cs="Times New Roman" w:eastAsia="Times New Roman" w:hAnsi="Times New Roman"/>
          <w:sz w:val="24"/>
          <w:szCs w:val="24"/>
          <w:rtl w:val="0"/>
        </w:rPr>
        <w:t xml:space="preserve"> Feminism and whether it existed in fifth century BCE Athens is entirely irrelevant to that which will be argued here.</w:t>
      </w:r>
    </w:p>
    <w:p w:rsidR="00000000" w:rsidDel="00000000" w:rsidP="00000000" w:rsidRDefault="00000000" w:rsidRPr="00000000" w14:paraId="0000002F">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Within the scholarship there is a pronounced trend to assign personality characteristics genders, primarily in the cases of Medea and Clytemnestra.</w:t>
      </w:r>
      <w:r w:rsidDel="00000000" w:rsidR="00000000" w:rsidRPr="00000000">
        <w:rPr>
          <w:rFonts w:ascii="Times New Roman" w:cs="Times New Roman" w:eastAsia="Times New Roman" w:hAnsi="Times New Roman"/>
          <w:sz w:val="24"/>
          <w:szCs w:val="24"/>
          <w:vertAlign w:val="superscript"/>
        </w:rPr>
        <w:footnoteReference w:customMarkFollows="0" w:id="17"/>
      </w:r>
      <w:r w:rsidDel="00000000" w:rsidR="00000000" w:rsidRPr="00000000">
        <w:rPr>
          <w:rFonts w:ascii="Times New Roman" w:cs="Times New Roman" w:eastAsia="Times New Roman" w:hAnsi="Times New Roman"/>
          <w:sz w:val="24"/>
          <w:szCs w:val="24"/>
          <w:rtl w:val="0"/>
        </w:rPr>
        <w:t xml:space="preserve"> This presents a problem, mostly because this is an extremely outdated way in which to view the texts. Within this paper there will be usage of “masculine” and feminine” in regards to actions, in regards to viewpoints, in regards to Medea’s own honour code, even, but this will be with a pinch of salt.</w:t>
      </w:r>
      <w:r w:rsidDel="00000000" w:rsidR="00000000" w:rsidRPr="00000000">
        <w:rPr>
          <w:rFonts w:ascii="Times New Roman" w:cs="Times New Roman" w:eastAsia="Times New Roman" w:hAnsi="Times New Roman"/>
          <w:sz w:val="24"/>
          <w:szCs w:val="24"/>
          <w:vertAlign w:val="superscript"/>
        </w:rPr>
        <w:footnoteReference w:customMarkFollows="0" w:id="18"/>
      </w:r>
      <w:r w:rsidDel="00000000" w:rsidR="00000000" w:rsidRPr="00000000">
        <w:rPr>
          <w:rFonts w:ascii="Times New Roman" w:cs="Times New Roman" w:eastAsia="Times New Roman" w:hAnsi="Times New Roman"/>
          <w:sz w:val="24"/>
          <w:szCs w:val="24"/>
          <w:rtl w:val="0"/>
        </w:rPr>
        <w:t xml:space="preserve"> To discuss the actions of these women it’s unavoidable, as one must place their unusual actions within the time that the women are from, from the time of initial audience, and these plays were performed to a society who as a whole believed that women were not to leave the house all that regularly.</w:t>
      </w:r>
      <w:r w:rsidDel="00000000" w:rsidR="00000000" w:rsidRPr="00000000">
        <w:rPr>
          <w:rFonts w:ascii="Times New Roman" w:cs="Times New Roman" w:eastAsia="Times New Roman" w:hAnsi="Times New Roman"/>
          <w:sz w:val="24"/>
          <w:szCs w:val="24"/>
          <w:vertAlign w:val="superscript"/>
        </w:rPr>
        <w:footnoteReference w:customMarkFollows="0" w:id="19"/>
      </w:r>
      <w:r w:rsidDel="00000000" w:rsidR="00000000" w:rsidRPr="00000000">
        <w:rPr>
          <w:rFonts w:ascii="Times New Roman" w:cs="Times New Roman" w:eastAsia="Times New Roman" w:hAnsi="Times New Roman"/>
          <w:sz w:val="24"/>
          <w:szCs w:val="24"/>
          <w:rtl w:val="0"/>
        </w:rPr>
        <w:t xml:space="preserve"> With the regards to what this will mean for the theme upon which this paper concentrates, there will be discussion on whether attributes and actions that are assigned the word “masculine” are attributes and actions that present a moment of control and/or power.</w:t>
      </w:r>
    </w:p>
    <w:p w:rsidR="00000000" w:rsidDel="00000000" w:rsidP="00000000" w:rsidRDefault="00000000" w:rsidRPr="00000000" w14:paraId="00000031">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question of what these four representations of four different women means for women in general, in the </w:t>
      </w:r>
      <w:r w:rsidDel="00000000" w:rsidR="00000000" w:rsidRPr="00000000">
        <w:rPr>
          <w:rFonts w:ascii="Times New Roman" w:cs="Times New Roman" w:eastAsia="Times New Roman" w:hAnsi="Times New Roman"/>
          <w:i w:val="1"/>
          <w:sz w:val="24"/>
          <w:szCs w:val="24"/>
          <w:rtl w:val="0"/>
        </w:rPr>
        <w:t xml:space="preserve">polis</w:t>
      </w:r>
      <w:r w:rsidDel="00000000" w:rsidR="00000000" w:rsidRPr="00000000">
        <w:rPr>
          <w:rFonts w:ascii="Times New Roman" w:cs="Times New Roman" w:eastAsia="Times New Roman" w:hAnsi="Times New Roman"/>
          <w:sz w:val="24"/>
          <w:szCs w:val="24"/>
          <w:rtl w:val="0"/>
        </w:rPr>
        <w:t xml:space="preserve"> of Athens, is one that cannot be answered, and is not the concentration of this paper, largely due to the complete lack of works that were written by women, as mentioned earlier. This paper does not include a thesis, or any sort of question, in regards what this can tell us about attitudes of the time, it is merely a comparison of these women, in the context of power and control, in the context of their myths and their marriages and their </w:t>
      </w:r>
      <w:r w:rsidDel="00000000" w:rsidR="00000000" w:rsidRPr="00000000">
        <w:rPr>
          <w:rFonts w:ascii="Times New Roman" w:cs="Times New Roman" w:eastAsia="Times New Roman" w:hAnsi="Times New Roman"/>
          <w:i w:val="1"/>
          <w:sz w:val="24"/>
          <w:szCs w:val="24"/>
          <w:rtl w:val="0"/>
        </w:rPr>
        <w:t xml:space="preserve">oikos</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3">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four plays were chosen on the virtue of their women; not because of these mythological figures’ chastity but because of their ability to fulfill more than that which would be expected of them within, even, a 19th century novel. As Blondell says, the interest comes from the question; is “any woman critical of the prevailing social structure a murderer”?</w:t>
      </w:r>
      <w:r w:rsidDel="00000000" w:rsidR="00000000" w:rsidRPr="00000000">
        <w:rPr>
          <w:rFonts w:ascii="Times New Roman" w:cs="Times New Roman" w:eastAsia="Times New Roman" w:hAnsi="Times New Roman"/>
          <w:sz w:val="24"/>
          <w:szCs w:val="24"/>
          <w:vertAlign w:val="superscript"/>
        </w:rPr>
        <w:footnoteReference w:customMarkFollows="0" w:id="20"/>
      </w:r>
      <w:r w:rsidDel="00000000" w:rsidR="00000000" w:rsidRPr="00000000">
        <w:rPr>
          <w:rFonts w:ascii="Times New Roman" w:cs="Times New Roman" w:eastAsia="Times New Roman" w:hAnsi="Times New Roman"/>
          <w:sz w:val="24"/>
          <w:szCs w:val="24"/>
          <w:rtl w:val="0"/>
        </w:rPr>
        <w:t xml:space="preserve"> Throughout history the answer to that is usually no, but these outliers, those who do not quite conform to that which we see as usual, they are the women that are interesting, the women who the audience is struck by, who remain relevant to us, even now, as they remain in the public consciousness.</w:t>
      </w:r>
      <w:r w:rsidDel="00000000" w:rsidR="00000000" w:rsidRPr="00000000">
        <w:rPr>
          <w:rFonts w:ascii="Times New Roman" w:cs="Times New Roman" w:eastAsia="Times New Roman" w:hAnsi="Times New Roman"/>
          <w:sz w:val="24"/>
          <w:szCs w:val="24"/>
          <w:vertAlign w:val="superscript"/>
        </w:rPr>
        <w:footnoteReference w:customMarkFollows="0" w:id="21"/>
      </w:r>
      <w:r w:rsidDel="00000000" w:rsidR="00000000" w:rsidRPr="00000000">
        <w:rPr>
          <w:rFonts w:ascii="Times New Roman" w:cs="Times New Roman" w:eastAsia="Times New Roman" w:hAnsi="Times New Roman"/>
          <w:sz w:val="24"/>
          <w:szCs w:val="24"/>
          <w:rtl w:val="0"/>
        </w:rPr>
        <w:t xml:space="preserve"> People continue to be interested in the psychology, the motivation, of those who murder, and there’s several people with serial killer obsessions that can attest to this. Those who do something that the society they’re in deem as taboo are those who have tales and myths spread about them, who are the focus of interest and suspicion but also curiosity. </w:t>
      </w:r>
    </w:p>
    <w:p w:rsidR="00000000" w:rsidDel="00000000" w:rsidP="00000000" w:rsidRDefault="00000000" w:rsidRPr="00000000" w14:paraId="00000035">
      <w:pPr>
        <w:spacing w:line="480" w:lineRule="auto"/>
        <w:contextualSpacing w:val="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6">
      <w:pPr>
        <w:spacing w:line="480" w:lineRule="auto"/>
        <w:contextualSpacing w:val="0"/>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37">
      <w:pPr>
        <w:pStyle w:val="Heading2"/>
        <w:spacing w:line="480" w:lineRule="auto"/>
        <w:contextualSpacing w:val="0"/>
        <w:rPr>
          <w:rFonts w:ascii="Times New Roman" w:cs="Times New Roman" w:eastAsia="Times New Roman" w:hAnsi="Times New Roman"/>
        </w:rPr>
      </w:pPr>
      <w:bookmarkStart w:colFirst="0" w:colLast="0" w:name="_6rn2g72ggbxw" w:id="3"/>
      <w:bookmarkEnd w:id="3"/>
      <w:r w:rsidDel="00000000" w:rsidR="00000000" w:rsidRPr="00000000">
        <w:rPr>
          <w:rFonts w:ascii="Times New Roman" w:cs="Times New Roman" w:eastAsia="Times New Roman" w:hAnsi="Times New Roman"/>
          <w:rtl w:val="0"/>
        </w:rPr>
        <w:t xml:space="preserve">Chapter I: Marriage as a form of control/ownership</w:t>
      </w:r>
    </w:p>
    <w:p w:rsidR="00000000" w:rsidDel="00000000" w:rsidP="00000000" w:rsidRDefault="00000000" w:rsidRPr="00000000" w14:paraId="00000038">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many ways in which marriage can affect the control of women, as Aristotle shows through his comparison of the husband/wife relationship to that of the slave/master dynamic.</w:t>
      </w:r>
      <w:r w:rsidDel="00000000" w:rsidR="00000000" w:rsidRPr="00000000">
        <w:rPr>
          <w:rFonts w:ascii="Times New Roman" w:cs="Times New Roman" w:eastAsia="Times New Roman" w:hAnsi="Times New Roman"/>
          <w:sz w:val="24"/>
          <w:szCs w:val="24"/>
          <w:vertAlign w:val="superscript"/>
        </w:rPr>
        <w:footnoteReference w:customMarkFollows="0" w:id="22"/>
      </w:r>
      <w:r w:rsidDel="00000000" w:rsidR="00000000" w:rsidRPr="00000000">
        <w:rPr>
          <w:rFonts w:ascii="Times New Roman" w:cs="Times New Roman" w:eastAsia="Times New Roman" w:hAnsi="Times New Roman"/>
          <w:sz w:val="24"/>
          <w:szCs w:val="24"/>
          <w:rtl w:val="0"/>
        </w:rPr>
        <w:t xml:space="preserve"> Much of this imbalance has to do with the position of women within their marriages and the position of their fathers, and this is evident even in the cases of those that are mythological figures. This is shown through various different forms, including the movement of women between father to husband and the language of slavery in relation to the way that women are treated by their husbands. </w:t>
      </w:r>
      <w:r w:rsidDel="00000000" w:rsidR="00000000" w:rsidRPr="00000000">
        <w:rPr>
          <w:rFonts w:ascii="Times New Roman" w:cs="Times New Roman" w:eastAsia="Times New Roman" w:hAnsi="Times New Roman"/>
          <w:i w:val="1"/>
          <w:sz w:val="24"/>
          <w:szCs w:val="24"/>
          <w:rtl w:val="0"/>
        </w:rPr>
        <w:t xml:space="preserve">Medea </w:t>
      </w:r>
      <w:r w:rsidDel="00000000" w:rsidR="00000000" w:rsidRPr="00000000">
        <w:rPr>
          <w:rFonts w:ascii="Times New Roman" w:cs="Times New Roman" w:eastAsia="Times New Roman" w:hAnsi="Times New Roman"/>
          <w:sz w:val="24"/>
          <w:szCs w:val="24"/>
          <w:rtl w:val="0"/>
        </w:rPr>
        <w:t xml:space="preserve">and </w:t>
      </w:r>
      <w:r w:rsidDel="00000000" w:rsidR="00000000" w:rsidRPr="00000000">
        <w:rPr>
          <w:rFonts w:ascii="Times New Roman" w:cs="Times New Roman" w:eastAsia="Times New Roman" w:hAnsi="Times New Roman"/>
          <w:i w:val="1"/>
          <w:sz w:val="24"/>
          <w:szCs w:val="24"/>
          <w:rtl w:val="0"/>
        </w:rPr>
        <w:t xml:space="preserve">Agamemnon</w:t>
      </w:r>
      <w:r w:rsidDel="00000000" w:rsidR="00000000" w:rsidRPr="00000000">
        <w:rPr>
          <w:rFonts w:ascii="Times New Roman" w:cs="Times New Roman" w:eastAsia="Times New Roman" w:hAnsi="Times New Roman"/>
          <w:sz w:val="24"/>
          <w:szCs w:val="24"/>
          <w:rtl w:val="0"/>
        </w:rPr>
        <w:t xml:space="preserve">, especially, as texts, concentrate upon the relationship between man and wife, and what happens when the women involved feel as though they have been betrayed by the men that they have trusted. Within the plays as a whole there’s many different representations of marriage, and these particular marriages between these mythical figures can shed some light upon the universal language of marriage, as it was at this time, and can show just how singular Medea’s position within her marriage was. Even Helen, daughter of swan Zeus, who hints and nudges and tips her husband into usefulness, continues to have a relationship, a marriage, that has nothing like the power balances that exist within Medea’s.</w:t>
      </w:r>
    </w:p>
    <w:p w:rsidR="00000000" w:rsidDel="00000000" w:rsidP="00000000" w:rsidRDefault="00000000" w:rsidRPr="00000000" w14:paraId="00000039">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large way in which women were easily and consistently controlled would be through the transaction-like nature of the wedding process. The beginning of this process is seen consistently throughout the language used within </w:t>
      </w:r>
      <w:r w:rsidDel="00000000" w:rsidR="00000000" w:rsidRPr="00000000">
        <w:rPr>
          <w:rFonts w:ascii="Times New Roman" w:cs="Times New Roman" w:eastAsia="Times New Roman" w:hAnsi="Times New Roman"/>
          <w:i w:val="1"/>
          <w:sz w:val="24"/>
          <w:szCs w:val="24"/>
          <w:rtl w:val="0"/>
        </w:rPr>
        <w:t xml:space="preserve">Iphigenia at Aulis</w:t>
      </w:r>
      <w:r w:rsidDel="00000000" w:rsidR="00000000" w:rsidRPr="00000000">
        <w:rPr>
          <w:rFonts w:ascii="Times New Roman" w:cs="Times New Roman" w:eastAsia="Times New Roman" w:hAnsi="Times New Roman"/>
          <w:sz w:val="24"/>
          <w:szCs w:val="24"/>
          <w:rtl w:val="0"/>
        </w:rPr>
        <w:t xml:space="preserve">. There is frequent use of language that refers to women as belonging to someone, language that elucidates how wives (and to a similar extent, daughters) were expected to relate to their husbands, that they were clearly meant to respect that their husbands had an elevated status over them. This is clearly displayed in several lines, such as Agamemnon saying; “hands her over to another house,” and “for Helen’s father, Tyndareos, whether he gave away his daughter or not.”</w:t>
      </w:r>
      <w:r w:rsidDel="00000000" w:rsidR="00000000" w:rsidRPr="00000000">
        <w:rPr>
          <w:rFonts w:ascii="Times New Roman" w:cs="Times New Roman" w:eastAsia="Times New Roman" w:hAnsi="Times New Roman"/>
          <w:sz w:val="24"/>
          <w:szCs w:val="24"/>
          <w:vertAlign w:val="superscript"/>
        </w:rPr>
        <w:footnoteReference w:customMarkFollows="0" w:id="23"/>
      </w:r>
      <w:r w:rsidDel="00000000" w:rsidR="00000000" w:rsidRPr="00000000">
        <w:rPr>
          <w:rFonts w:ascii="Times New Roman" w:cs="Times New Roman" w:eastAsia="Times New Roman" w:hAnsi="Times New Roman"/>
          <w:sz w:val="24"/>
          <w:szCs w:val="24"/>
          <w:rtl w:val="0"/>
        </w:rPr>
        <w:t xml:space="preserve"> Both of these lines illustrate this attitude of how it’s a contract between the two fathers of noble houses in the case of the women discussed within this play, clearly presenting it as a father’s choice, while “Zeus made the match, and her guardian gave her up,” shows that even goddesses have to fall to these decisions when they’re made by the men within their lives.</w:t>
      </w:r>
      <w:r w:rsidDel="00000000" w:rsidR="00000000" w:rsidRPr="00000000">
        <w:rPr>
          <w:rFonts w:ascii="Times New Roman" w:cs="Times New Roman" w:eastAsia="Times New Roman" w:hAnsi="Times New Roman"/>
          <w:sz w:val="24"/>
          <w:szCs w:val="24"/>
          <w:vertAlign w:val="superscript"/>
        </w:rPr>
        <w:footnoteReference w:customMarkFollows="0" w:id="24"/>
      </w:r>
      <w:r w:rsidDel="00000000" w:rsidR="00000000" w:rsidRPr="00000000">
        <w:rPr>
          <w:rFonts w:ascii="Times New Roman" w:cs="Times New Roman" w:eastAsia="Times New Roman" w:hAnsi="Times New Roman"/>
          <w:sz w:val="24"/>
          <w:szCs w:val="24"/>
          <w:rtl w:val="0"/>
        </w:rPr>
        <w:t xml:space="preserve"> Arnott cites Euripides as having “transmuted the influences which he absorbed from his own time and environment,” which is clear within the language with which he refers to marriage.</w:t>
      </w:r>
      <w:r w:rsidDel="00000000" w:rsidR="00000000" w:rsidRPr="00000000">
        <w:rPr>
          <w:rFonts w:ascii="Times New Roman" w:cs="Times New Roman" w:eastAsia="Times New Roman" w:hAnsi="Times New Roman"/>
          <w:sz w:val="24"/>
          <w:szCs w:val="24"/>
          <w:vertAlign w:val="superscript"/>
        </w:rPr>
        <w:footnoteReference w:customMarkFollows="0" w:id="25"/>
      </w:r>
      <w:r w:rsidDel="00000000" w:rsidR="00000000" w:rsidRPr="00000000">
        <w:rPr>
          <w:rFonts w:ascii="Times New Roman" w:cs="Times New Roman" w:eastAsia="Times New Roman" w:hAnsi="Times New Roman"/>
          <w:sz w:val="24"/>
          <w:szCs w:val="24"/>
          <w:rtl w:val="0"/>
        </w:rPr>
        <w:t xml:space="preserve"> This means that the control, according to tradition, according to the status quo, would lie entirely in the husband (or father’s) hands, that historically and systematically men were given a higher place within their marriages.</w:t>
      </w:r>
    </w:p>
    <w:p w:rsidR="00000000" w:rsidDel="00000000" w:rsidP="00000000" w:rsidRDefault="00000000" w:rsidRPr="00000000" w14:paraId="0000003B">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contrast, Medea’s approach to her own marriage, even her approach to the way in which her marriage was carried out, is entirely different. She cuts herself away from her own house, removes that part of her identity, and for this reason she is the one who gives herself away to Jason.</w:t>
      </w:r>
      <w:r w:rsidDel="00000000" w:rsidR="00000000" w:rsidRPr="00000000">
        <w:rPr>
          <w:rFonts w:ascii="Times New Roman" w:cs="Times New Roman" w:eastAsia="Times New Roman" w:hAnsi="Times New Roman"/>
          <w:sz w:val="24"/>
          <w:szCs w:val="24"/>
          <w:vertAlign w:val="superscript"/>
        </w:rPr>
        <w:footnoteReference w:customMarkFollows="0" w:id="26"/>
      </w:r>
      <w:r w:rsidDel="00000000" w:rsidR="00000000" w:rsidRPr="00000000">
        <w:rPr>
          <w:rFonts w:ascii="Times New Roman" w:cs="Times New Roman" w:eastAsia="Times New Roman" w:hAnsi="Times New Roman"/>
          <w:sz w:val="24"/>
          <w:szCs w:val="24"/>
          <w:rtl w:val="0"/>
        </w:rPr>
        <w:t xml:space="preserve"> She creates for herself an active role within her own wedding, and this is where the majority of scholars have concentrated, on her subjectivity within her own story, and the oath that she makes Jason swear, the way in which she sees herself as an equal.</w:t>
      </w:r>
      <w:r w:rsidDel="00000000" w:rsidR="00000000" w:rsidRPr="00000000">
        <w:rPr>
          <w:rFonts w:ascii="Times New Roman" w:cs="Times New Roman" w:eastAsia="Times New Roman" w:hAnsi="Times New Roman"/>
          <w:sz w:val="24"/>
          <w:szCs w:val="24"/>
          <w:vertAlign w:val="superscript"/>
        </w:rPr>
        <w:footnoteReference w:customMarkFollows="0" w:id="27"/>
      </w:r>
      <w:r w:rsidDel="00000000" w:rsidR="00000000" w:rsidRPr="00000000">
        <w:rPr>
          <w:rFonts w:ascii="Times New Roman" w:cs="Times New Roman" w:eastAsia="Times New Roman" w:hAnsi="Times New Roman"/>
          <w:sz w:val="24"/>
          <w:szCs w:val="24"/>
          <w:rtl w:val="0"/>
        </w:rPr>
        <w:t xml:space="preserve"> Oaths are almost entirely sworn between men, men who are equals and who show this through the handclasp that is relegated to the realm of men.</w:t>
      </w:r>
      <w:r w:rsidDel="00000000" w:rsidR="00000000" w:rsidRPr="00000000">
        <w:rPr>
          <w:rFonts w:ascii="Times New Roman" w:cs="Times New Roman" w:eastAsia="Times New Roman" w:hAnsi="Times New Roman"/>
          <w:sz w:val="24"/>
          <w:szCs w:val="24"/>
          <w:vertAlign w:val="superscript"/>
        </w:rPr>
        <w:footnoteReference w:customMarkFollows="0" w:id="28"/>
      </w:r>
      <w:r w:rsidDel="00000000" w:rsidR="00000000" w:rsidRPr="00000000">
        <w:rPr>
          <w:rFonts w:ascii="Times New Roman" w:cs="Times New Roman" w:eastAsia="Times New Roman" w:hAnsi="Times New Roman"/>
          <w:sz w:val="24"/>
          <w:szCs w:val="24"/>
          <w:rtl w:val="0"/>
        </w:rPr>
        <w:t xml:space="preserve"> She gives herself away, a move that no one else makes, and she does so in a way that usually is only carried out between equals, she does so in such a fashion that clearly symbolises all of the ways in which her marriage is entirely different to any of the others that are displayed within these texts.</w:t>
      </w:r>
      <w:r w:rsidDel="00000000" w:rsidR="00000000" w:rsidRPr="00000000">
        <w:rPr>
          <w:rFonts w:ascii="Times New Roman" w:cs="Times New Roman" w:eastAsia="Times New Roman" w:hAnsi="Times New Roman"/>
          <w:sz w:val="24"/>
          <w:szCs w:val="24"/>
          <w:vertAlign w:val="superscript"/>
        </w:rPr>
        <w:footnoteReference w:customMarkFollows="0" w:id="29"/>
      </w:r>
      <w:r w:rsidDel="00000000" w:rsidR="00000000" w:rsidRPr="00000000">
        <w:rPr>
          <w:rFonts w:ascii="Times New Roman" w:cs="Times New Roman" w:eastAsia="Times New Roman" w:hAnsi="Times New Roman"/>
          <w:sz w:val="24"/>
          <w:szCs w:val="24"/>
          <w:rtl w:val="0"/>
        </w:rPr>
        <w:t xml:space="preserve"> This leaves us with very little point of comparison between Medea and even Clytemnestra, but especially not Helen, who is the closest to Aristotle’s preferred version of a wife, hiding in a shrine waiting for someone to save her.</w:t>
      </w:r>
      <w:r w:rsidDel="00000000" w:rsidR="00000000" w:rsidRPr="00000000">
        <w:rPr>
          <w:rFonts w:ascii="Times New Roman" w:cs="Times New Roman" w:eastAsia="Times New Roman" w:hAnsi="Times New Roman"/>
          <w:sz w:val="24"/>
          <w:szCs w:val="24"/>
          <w:vertAlign w:val="superscript"/>
        </w:rPr>
        <w:footnoteReference w:customMarkFollows="0" w:id="30"/>
      </w:r>
      <w:r w:rsidDel="00000000" w:rsidR="00000000" w:rsidRPr="00000000">
        <w:rPr>
          <w:rFonts w:ascii="Times New Roman" w:cs="Times New Roman" w:eastAsia="Times New Roman" w:hAnsi="Times New Roman"/>
          <w:sz w:val="24"/>
          <w:szCs w:val="24"/>
          <w:rtl w:val="0"/>
        </w:rPr>
        <w:t xml:space="preserve"> Medea negates any of the power Jason wishes to exert over her, and she does this through adopting what Mueller describes as moving into the “father’s role”, actually giving Jason’s new wife Creusa (or Glauce) items that function as a dowry, a dowry that, although they do not know it, will perform the function of betrothing her to Hades.</w:t>
      </w:r>
      <w:r w:rsidDel="00000000" w:rsidR="00000000" w:rsidRPr="00000000">
        <w:rPr>
          <w:rFonts w:ascii="Times New Roman" w:cs="Times New Roman" w:eastAsia="Times New Roman" w:hAnsi="Times New Roman"/>
          <w:sz w:val="24"/>
          <w:szCs w:val="24"/>
          <w:vertAlign w:val="superscript"/>
        </w:rPr>
        <w:footnoteReference w:customMarkFollows="0" w:id="31"/>
      </w:r>
      <w:r w:rsidDel="00000000" w:rsidR="00000000" w:rsidRPr="00000000">
        <w:rPr>
          <w:rFonts w:ascii="Times New Roman" w:cs="Times New Roman" w:eastAsia="Times New Roman" w:hAnsi="Times New Roman"/>
          <w:sz w:val="24"/>
          <w:szCs w:val="24"/>
          <w:rtl w:val="0"/>
        </w:rPr>
        <w:t xml:space="preserve"> Medea consistently turns the rules of control around, which is especially shown by how Jason tries to brush her off and she won’t allow him, because of her “male” sense of honour, which says that she must not let him go unpunished for disrespecting her.</w:t>
      </w:r>
      <w:r w:rsidDel="00000000" w:rsidR="00000000" w:rsidRPr="00000000">
        <w:rPr>
          <w:rFonts w:ascii="Times New Roman" w:cs="Times New Roman" w:eastAsia="Times New Roman" w:hAnsi="Times New Roman"/>
          <w:sz w:val="24"/>
          <w:szCs w:val="24"/>
          <w:vertAlign w:val="superscript"/>
        </w:rPr>
        <w:footnoteReference w:customMarkFollows="0" w:id="32"/>
      </w:r>
      <w:r w:rsidDel="00000000" w:rsidR="00000000" w:rsidRPr="00000000">
        <w:rPr>
          <w:rFonts w:ascii="Times New Roman" w:cs="Times New Roman" w:eastAsia="Times New Roman" w:hAnsi="Times New Roman"/>
          <w:sz w:val="24"/>
          <w:szCs w:val="24"/>
          <w:rtl w:val="0"/>
        </w:rPr>
        <w:t xml:space="preserve"> This means that she has not allowed to Jason to even begin to build their relationship upon the inequality that all other marriages are built, and this control of even the very beginning of the situation illustrates how, from the very start, she had control and therefore, power, over her marriage with Jason. Although this power, later, turns to her side, in the beginning the marriage was an equal one, similar to what the modern audience would expect from a marriage. Before the events that unfold within this text, Jason and Medea simply had a marriage of equals, as opposed to the marriages that are represented within the other texts.</w:t>
      </w:r>
    </w:p>
    <w:p w:rsidR="00000000" w:rsidDel="00000000" w:rsidP="00000000" w:rsidRDefault="00000000" w:rsidRPr="00000000" w14:paraId="0000003D">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Medea’s frequently referred to in the language of “male” and “female” attributes, and her marriage is something in which this language could actually be of use. Everyone involved with a marriage has their own roles to play within it, and the girl in question is usually expected to merely accept it, to be “acquired” by the man her father chooses, to use the language within </w:t>
      </w:r>
      <w:r w:rsidDel="00000000" w:rsidR="00000000" w:rsidRPr="00000000">
        <w:rPr>
          <w:rFonts w:ascii="Times New Roman" w:cs="Times New Roman" w:eastAsia="Times New Roman" w:hAnsi="Times New Roman"/>
          <w:i w:val="1"/>
          <w:sz w:val="24"/>
          <w:szCs w:val="24"/>
          <w:rtl w:val="0"/>
        </w:rPr>
        <w:t xml:space="preserve">Iphigenia at Aulis</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vertAlign w:val="superscript"/>
        </w:rPr>
        <w:footnoteReference w:customMarkFollows="0" w:id="33"/>
      </w:r>
      <w:r w:rsidDel="00000000" w:rsidR="00000000" w:rsidRPr="00000000">
        <w:rPr>
          <w:rFonts w:ascii="Times New Roman" w:cs="Times New Roman" w:eastAsia="Times New Roman" w:hAnsi="Times New Roman"/>
          <w:sz w:val="24"/>
          <w:szCs w:val="24"/>
          <w:rtl w:val="0"/>
        </w:rPr>
        <w:t xml:space="preserve"> This is even shown in the way in which Jason speaks of their marriage, the way that she thinks of it has been transferred to him, and neither of them affect the roles within it that they “should”, according to what the culture was at the time.</w:t>
      </w:r>
      <w:r w:rsidDel="00000000" w:rsidR="00000000" w:rsidRPr="00000000">
        <w:rPr>
          <w:rFonts w:ascii="Times New Roman" w:cs="Times New Roman" w:eastAsia="Times New Roman" w:hAnsi="Times New Roman"/>
          <w:sz w:val="24"/>
          <w:szCs w:val="24"/>
          <w:vertAlign w:val="superscript"/>
        </w:rPr>
        <w:footnoteReference w:customMarkFollows="0" w:id="34"/>
      </w:r>
      <w:r w:rsidDel="00000000" w:rsidR="00000000" w:rsidRPr="00000000">
        <w:rPr>
          <w:rFonts w:ascii="Times New Roman" w:cs="Times New Roman" w:eastAsia="Times New Roman" w:hAnsi="Times New Roman"/>
          <w:sz w:val="24"/>
          <w:szCs w:val="24"/>
          <w:rtl w:val="0"/>
        </w:rPr>
        <w:t xml:space="preserve"> Cowherd also emphasises the way in which their marriage was unusual, stating that it was like a “political alliance” and that they “were united as two states might be”.</w:t>
      </w:r>
      <w:r w:rsidDel="00000000" w:rsidR="00000000" w:rsidRPr="00000000">
        <w:rPr>
          <w:rFonts w:ascii="Times New Roman" w:cs="Times New Roman" w:eastAsia="Times New Roman" w:hAnsi="Times New Roman"/>
          <w:sz w:val="24"/>
          <w:szCs w:val="24"/>
          <w:vertAlign w:val="superscript"/>
        </w:rPr>
        <w:footnoteReference w:customMarkFollows="0" w:id="35"/>
      </w:r>
      <w:r w:rsidDel="00000000" w:rsidR="00000000" w:rsidRPr="00000000">
        <w:rPr>
          <w:rFonts w:ascii="Times New Roman" w:cs="Times New Roman" w:eastAsia="Times New Roman" w:hAnsi="Times New Roman"/>
          <w:sz w:val="24"/>
          <w:szCs w:val="24"/>
          <w:rtl w:val="0"/>
        </w:rPr>
        <w:t xml:space="preserve"> This clearly elucidates and illuminates the ways in which Medea’s marriage is intrinsically different to those which others, especially Clytemnestra and Helen, would have experienced, showing Medea’s marriage to not be so much an unequal relationship with a domineering husband who had complete control, but something that shared some of the control and power slightly more evenly between the two of them. Eventually, Clytemnestra removes herself from the position of the wife that was expected, but within </w:t>
      </w:r>
      <w:r w:rsidDel="00000000" w:rsidR="00000000" w:rsidRPr="00000000">
        <w:rPr>
          <w:rFonts w:ascii="Times New Roman" w:cs="Times New Roman" w:eastAsia="Times New Roman" w:hAnsi="Times New Roman"/>
          <w:i w:val="1"/>
          <w:sz w:val="24"/>
          <w:szCs w:val="24"/>
          <w:rtl w:val="0"/>
        </w:rPr>
        <w:t xml:space="preserve">Iphigenia at Aulis</w:t>
      </w:r>
      <w:r w:rsidDel="00000000" w:rsidR="00000000" w:rsidRPr="00000000">
        <w:rPr>
          <w:rFonts w:ascii="Times New Roman" w:cs="Times New Roman" w:eastAsia="Times New Roman" w:hAnsi="Times New Roman"/>
          <w:sz w:val="24"/>
          <w:szCs w:val="24"/>
          <w:rtl w:val="0"/>
        </w:rPr>
        <w:t xml:space="preserve"> she is believed to be a good wife and a good mother.</w:t>
      </w:r>
      <w:r w:rsidDel="00000000" w:rsidR="00000000" w:rsidRPr="00000000">
        <w:rPr>
          <w:rFonts w:ascii="Times New Roman" w:cs="Times New Roman" w:eastAsia="Times New Roman" w:hAnsi="Times New Roman"/>
          <w:sz w:val="24"/>
          <w:szCs w:val="24"/>
          <w:vertAlign w:val="superscript"/>
        </w:rPr>
        <w:footnoteReference w:customMarkFollows="0" w:id="36"/>
      </w:r>
      <w:r w:rsidDel="00000000" w:rsidR="00000000" w:rsidRPr="00000000">
        <w:rPr>
          <w:rFonts w:ascii="Times New Roman" w:cs="Times New Roman" w:eastAsia="Times New Roman" w:hAnsi="Times New Roman"/>
          <w:sz w:val="24"/>
          <w:szCs w:val="24"/>
          <w:rtl w:val="0"/>
        </w:rPr>
        <w:t xml:space="preserve"> This is displayed within her insistence that she is a good wife, but this is then completely disproved by her actions with the </w:t>
      </w:r>
      <w:r w:rsidDel="00000000" w:rsidR="00000000" w:rsidRPr="00000000">
        <w:rPr>
          <w:rFonts w:ascii="Times New Roman" w:cs="Times New Roman" w:eastAsia="Times New Roman" w:hAnsi="Times New Roman"/>
          <w:i w:val="1"/>
          <w:sz w:val="24"/>
          <w:szCs w:val="24"/>
          <w:rtl w:val="0"/>
        </w:rPr>
        <w:t xml:space="preserve">Agamemnon</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vertAlign w:val="superscript"/>
        </w:rPr>
        <w:footnoteReference w:customMarkFollows="0" w:id="37"/>
      </w:r>
      <w:r w:rsidDel="00000000" w:rsidR="00000000" w:rsidRPr="00000000">
        <w:rPr>
          <w:rFonts w:ascii="Times New Roman" w:cs="Times New Roman" w:eastAsia="Times New Roman" w:hAnsi="Times New Roman"/>
          <w:sz w:val="24"/>
          <w:szCs w:val="24"/>
          <w:rtl w:val="0"/>
        </w:rPr>
        <w:t xml:space="preserve"> She does as she is instructed until it is Agamemnon that changes the rules, until Agamemnon is the one that attempts to host a “marriage” without her, with an extremely flimsy excuse. This moves Agamemnon into the feminine role of the marriage, subverting general cultural practices, and Clytemnestra arguing this shows that she had previously aligned herself with the role that was expected of her as a </w:t>
      </w:r>
      <w:r w:rsidDel="00000000" w:rsidR="00000000" w:rsidRPr="00000000">
        <w:rPr>
          <w:rFonts w:ascii="Times New Roman" w:cs="Times New Roman" w:eastAsia="Times New Roman" w:hAnsi="Times New Roman"/>
          <w:sz w:val="24"/>
          <w:szCs w:val="24"/>
          <w:rtl w:val="0"/>
        </w:rPr>
        <w:t xml:space="preserve">wife.</w:t>
      </w:r>
      <w:r w:rsidDel="00000000" w:rsidR="00000000" w:rsidRPr="00000000">
        <w:rPr>
          <w:rFonts w:ascii="Times New Roman" w:cs="Times New Roman" w:eastAsia="Times New Roman" w:hAnsi="Times New Roman"/>
          <w:sz w:val="24"/>
          <w:szCs w:val="24"/>
          <w:vertAlign w:val="superscript"/>
        </w:rPr>
        <w:footnoteReference w:customMarkFollows="0" w:id="38"/>
      </w:r>
      <w:r w:rsidDel="00000000" w:rsidR="00000000" w:rsidRPr="00000000">
        <w:rPr>
          <w:rFonts w:ascii="Times New Roman" w:cs="Times New Roman" w:eastAsia="Times New Roman" w:hAnsi="Times New Roman"/>
          <w:sz w:val="24"/>
          <w:szCs w:val="24"/>
          <w:rtl w:val="0"/>
        </w:rPr>
        <w:t xml:space="preserve"> This is also supported by the text, which posits that Clytemnestra had already previously had a child and a husband killed by Agamemnon, and then she had remained with him, had children with him, and was a wife to be admired.</w:t>
      </w:r>
      <w:r w:rsidDel="00000000" w:rsidR="00000000" w:rsidRPr="00000000">
        <w:rPr>
          <w:rFonts w:ascii="Times New Roman" w:cs="Times New Roman" w:eastAsia="Times New Roman" w:hAnsi="Times New Roman"/>
          <w:sz w:val="24"/>
          <w:szCs w:val="24"/>
          <w:vertAlign w:val="superscript"/>
        </w:rPr>
        <w:footnoteReference w:customMarkFollows="0" w:id="39"/>
      </w:r>
      <w:r w:rsidDel="00000000" w:rsidR="00000000" w:rsidRPr="00000000">
        <w:rPr>
          <w:rFonts w:ascii="Times New Roman" w:cs="Times New Roman" w:eastAsia="Times New Roman" w:hAnsi="Times New Roman"/>
          <w:sz w:val="24"/>
          <w:szCs w:val="24"/>
          <w:rtl w:val="0"/>
        </w:rPr>
        <w:t xml:space="preserve"> This means that she had accepted this, the way in which she was stolen, and still had been prepared to continue to fulfil the caring, loving, wife and mother role that was expected of her within this society. This is something which Medea, who kills four people for the act of Jason’s betrayal, would not have allowed, meaning that Agamemnon’s control of Clytemnestra, or society’s expectation, had kept the power from her for long enough that she was unable to make some kind of change until Agamemnon had left for ten years.</w:t>
      </w:r>
    </w:p>
    <w:p w:rsidR="00000000" w:rsidDel="00000000" w:rsidP="00000000" w:rsidRDefault="00000000" w:rsidRPr="00000000" w14:paraId="0000003F">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Helen is also portrayed as a caring, loving wife, who wants nothing more than to get back to her Menelaus, but this is completely different to the Helen that is portrayed within every other text (apart from Stesichorus’ work).</w:t>
      </w:r>
      <w:r w:rsidDel="00000000" w:rsidR="00000000" w:rsidRPr="00000000">
        <w:rPr>
          <w:rFonts w:ascii="Times New Roman" w:cs="Times New Roman" w:eastAsia="Times New Roman" w:hAnsi="Times New Roman"/>
          <w:sz w:val="24"/>
          <w:szCs w:val="24"/>
          <w:vertAlign w:val="superscript"/>
        </w:rPr>
        <w:footnoteReference w:customMarkFollows="0" w:id="40"/>
      </w:r>
      <w:r w:rsidDel="00000000" w:rsidR="00000000" w:rsidRPr="00000000">
        <w:rPr>
          <w:rFonts w:ascii="Times New Roman" w:cs="Times New Roman" w:eastAsia="Times New Roman" w:hAnsi="Times New Roman"/>
          <w:sz w:val="24"/>
          <w:szCs w:val="24"/>
          <w:rtl w:val="0"/>
        </w:rPr>
        <w:t xml:space="preserve"> The Helen that resides within the </w:t>
      </w:r>
      <w:r w:rsidDel="00000000" w:rsidR="00000000" w:rsidRPr="00000000">
        <w:rPr>
          <w:rFonts w:ascii="Times New Roman" w:cs="Times New Roman" w:eastAsia="Times New Roman" w:hAnsi="Times New Roman"/>
          <w:i w:val="1"/>
          <w:sz w:val="24"/>
          <w:szCs w:val="24"/>
          <w:rtl w:val="0"/>
        </w:rPr>
        <w:t xml:space="preserve">Helen</w:t>
      </w:r>
      <w:r w:rsidDel="00000000" w:rsidR="00000000" w:rsidRPr="00000000">
        <w:rPr>
          <w:rFonts w:ascii="Times New Roman" w:cs="Times New Roman" w:eastAsia="Times New Roman" w:hAnsi="Times New Roman"/>
          <w:sz w:val="24"/>
          <w:szCs w:val="24"/>
          <w:rtl w:val="0"/>
        </w:rPr>
        <w:t xml:space="preserve"> is chaste and virtuous, something which the Chorus within </w:t>
      </w:r>
      <w:r w:rsidDel="00000000" w:rsidR="00000000" w:rsidRPr="00000000">
        <w:rPr>
          <w:rFonts w:ascii="Times New Roman" w:cs="Times New Roman" w:eastAsia="Times New Roman" w:hAnsi="Times New Roman"/>
          <w:i w:val="1"/>
          <w:sz w:val="24"/>
          <w:szCs w:val="24"/>
          <w:rtl w:val="0"/>
        </w:rPr>
        <w:t xml:space="preserve">Iphigenia at Aulis </w:t>
      </w:r>
      <w:r w:rsidDel="00000000" w:rsidR="00000000" w:rsidRPr="00000000">
        <w:rPr>
          <w:rFonts w:ascii="Times New Roman" w:cs="Times New Roman" w:eastAsia="Times New Roman" w:hAnsi="Times New Roman"/>
          <w:sz w:val="24"/>
          <w:szCs w:val="24"/>
          <w:rtl w:val="0"/>
        </w:rPr>
        <w:t xml:space="preserve">cite as meaning excellence.</w:t>
      </w:r>
      <w:r w:rsidDel="00000000" w:rsidR="00000000" w:rsidRPr="00000000">
        <w:rPr>
          <w:rFonts w:ascii="Times New Roman" w:cs="Times New Roman" w:eastAsia="Times New Roman" w:hAnsi="Times New Roman"/>
          <w:sz w:val="24"/>
          <w:szCs w:val="24"/>
          <w:vertAlign w:val="superscript"/>
        </w:rPr>
        <w:footnoteReference w:customMarkFollows="0" w:id="41"/>
      </w:r>
      <w:r w:rsidDel="00000000" w:rsidR="00000000" w:rsidRPr="00000000">
        <w:rPr>
          <w:rFonts w:ascii="Times New Roman" w:cs="Times New Roman" w:eastAsia="Times New Roman" w:hAnsi="Times New Roman"/>
          <w:sz w:val="24"/>
          <w:szCs w:val="24"/>
          <w:rtl w:val="0"/>
        </w:rPr>
        <w:t xml:space="preserve"> Chastity is one of the most desirable traits for a wife to have, as any calling into question of the lineage of a child will backfire mostly on the father; there’s no way to prove fatherhood at this time, therefore anything that calls this into question is potentially disastrous.</w:t>
      </w:r>
      <w:r w:rsidDel="00000000" w:rsidR="00000000" w:rsidRPr="00000000">
        <w:rPr>
          <w:rFonts w:ascii="Times New Roman" w:cs="Times New Roman" w:eastAsia="Times New Roman" w:hAnsi="Times New Roman"/>
          <w:sz w:val="24"/>
          <w:szCs w:val="24"/>
          <w:vertAlign w:val="superscript"/>
        </w:rPr>
        <w:footnoteReference w:customMarkFollows="0" w:id="42"/>
      </w:r>
      <w:r w:rsidDel="00000000" w:rsidR="00000000" w:rsidRPr="00000000">
        <w:rPr>
          <w:rFonts w:ascii="Times New Roman" w:cs="Times New Roman" w:eastAsia="Times New Roman" w:hAnsi="Times New Roman"/>
          <w:sz w:val="24"/>
          <w:szCs w:val="24"/>
          <w:rtl w:val="0"/>
        </w:rPr>
        <w:t xml:space="preserve"> This Helen is demonstrably different to the Helen that proves to be her eidolon, but regardless of this some of their traits prove to merge by the end of the play.</w:t>
      </w:r>
      <w:r w:rsidDel="00000000" w:rsidR="00000000" w:rsidRPr="00000000">
        <w:rPr>
          <w:rFonts w:ascii="Times New Roman" w:cs="Times New Roman" w:eastAsia="Times New Roman" w:hAnsi="Times New Roman"/>
          <w:sz w:val="24"/>
          <w:szCs w:val="24"/>
          <w:vertAlign w:val="superscript"/>
        </w:rPr>
        <w:footnoteReference w:customMarkFollows="0" w:id="43"/>
      </w:r>
      <w:r w:rsidDel="00000000" w:rsidR="00000000" w:rsidRPr="00000000">
        <w:rPr>
          <w:rFonts w:ascii="Times New Roman" w:cs="Times New Roman" w:eastAsia="Times New Roman" w:hAnsi="Times New Roman"/>
          <w:sz w:val="24"/>
          <w:szCs w:val="24"/>
          <w:rtl w:val="0"/>
        </w:rPr>
        <w:t xml:space="preserve"> Helen manages to continue to be presented as a good wife even as she guides Menelaus in the devising of their plan to leave, even as she uses some of her feminine deception to get them home.</w:t>
      </w:r>
      <w:r w:rsidDel="00000000" w:rsidR="00000000" w:rsidRPr="00000000">
        <w:rPr>
          <w:rFonts w:ascii="Times New Roman" w:cs="Times New Roman" w:eastAsia="Times New Roman" w:hAnsi="Times New Roman"/>
          <w:sz w:val="24"/>
          <w:szCs w:val="24"/>
          <w:vertAlign w:val="superscript"/>
        </w:rPr>
        <w:footnoteReference w:customMarkFollows="0" w:id="44"/>
      </w:r>
      <w:r w:rsidDel="00000000" w:rsidR="00000000" w:rsidRPr="00000000">
        <w:rPr>
          <w:rFonts w:ascii="Times New Roman" w:cs="Times New Roman" w:eastAsia="Times New Roman" w:hAnsi="Times New Roman"/>
          <w:sz w:val="24"/>
          <w:szCs w:val="24"/>
          <w:rtl w:val="0"/>
        </w:rPr>
        <w:t xml:space="preserve"> Helen is, surprisingly, an example of a “good wife” as they were seen then, but she still displays moments of power within her marriage, showing that it is possible to have some power and not necessarily only by murdering your husband. This contrasts with the other married women presented within these plays, and contrasts with Iphigenia because the only way that she manages to gain control over her situation is by making a conscious choice to allow herself to be sacrificed, giving her control over whether the army would sail or not.</w:t>
      </w:r>
      <w:r w:rsidDel="00000000" w:rsidR="00000000" w:rsidRPr="00000000">
        <w:rPr>
          <w:rFonts w:ascii="Times New Roman" w:cs="Times New Roman" w:eastAsia="Times New Roman" w:hAnsi="Times New Roman"/>
          <w:sz w:val="24"/>
          <w:szCs w:val="24"/>
          <w:vertAlign w:val="superscript"/>
        </w:rPr>
        <w:footnoteReference w:customMarkFollows="0" w:id="45"/>
      </w:r>
      <w:r w:rsidDel="00000000" w:rsidR="00000000" w:rsidRPr="00000000">
        <w:rPr>
          <w:rtl w:val="0"/>
        </w:rPr>
      </w:r>
    </w:p>
    <w:p w:rsidR="00000000" w:rsidDel="00000000" w:rsidP="00000000" w:rsidRDefault="00000000" w:rsidRPr="00000000" w14:paraId="00000041">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Elaborating upon a previous point, women hold power over one single thing within a marriage: the continuation of the male line. This is a large concern, as shown by Aegeus’ reaction when Medea offers him help; he’s prepared to swear an oath to house her, regardless of whatever she does between that conversation and her arrival in Athens.</w:t>
      </w:r>
      <w:r w:rsidDel="00000000" w:rsidR="00000000" w:rsidRPr="00000000">
        <w:rPr>
          <w:rFonts w:ascii="Times New Roman" w:cs="Times New Roman" w:eastAsia="Times New Roman" w:hAnsi="Times New Roman"/>
          <w:sz w:val="24"/>
          <w:szCs w:val="24"/>
          <w:vertAlign w:val="superscript"/>
        </w:rPr>
        <w:footnoteReference w:customMarkFollows="0" w:id="46"/>
      </w:r>
      <w:r w:rsidDel="00000000" w:rsidR="00000000" w:rsidRPr="00000000">
        <w:rPr>
          <w:rFonts w:ascii="Times New Roman" w:cs="Times New Roman" w:eastAsia="Times New Roman" w:hAnsi="Times New Roman"/>
          <w:sz w:val="24"/>
          <w:szCs w:val="24"/>
          <w:rtl w:val="0"/>
        </w:rPr>
        <w:t xml:space="preserve"> Medea has more influence over the ability to have children than most, but this due to her also being a sorceress, but in spite of this the importance of the line is something which most men of noble houses, as these men are, would consider to be paramount. Progeny would be how they would continue their line, which would be their predominant worry, as this is was how they made their reputation, and their status, continue after their death, how they were remembered. This power would usually lead to some sway over their husbands, especially in the consideration of how children validate a marriage, something which Medea appeals to, and Jason thinks only of himself, showing that he is more concerned with the continuation of his line than much else.</w:t>
      </w:r>
      <w:r w:rsidDel="00000000" w:rsidR="00000000" w:rsidRPr="00000000">
        <w:rPr>
          <w:rFonts w:ascii="Times New Roman" w:cs="Times New Roman" w:eastAsia="Times New Roman" w:hAnsi="Times New Roman"/>
          <w:sz w:val="24"/>
          <w:szCs w:val="24"/>
          <w:vertAlign w:val="superscript"/>
        </w:rPr>
        <w:footnoteReference w:customMarkFollows="0" w:id="47"/>
      </w:r>
      <w:r w:rsidDel="00000000" w:rsidR="00000000" w:rsidRPr="00000000">
        <w:rPr>
          <w:rFonts w:ascii="Times New Roman" w:cs="Times New Roman" w:eastAsia="Times New Roman" w:hAnsi="Times New Roman"/>
          <w:sz w:val="24"/>
          <w:szCs w:val="24"/>
          <w:rtl w:val="0"/>
        </w:rPr>
        <w:t xml:space="preserve"> This is something Medea capitalises on, and that is one of the reasons why she chooses her children to murder, why she sees it as necessary; it’s one of the true ways in which she can exercise her power; by killing his children and then the woman that could have provided him with more, she completely destroys his line, and any chance he may have had of resurrecting it. The movement to democracy actually worsened the position of women, because the little power they’d had in regards to families no longer had as much effect in the wake of the further splitting of the two spheres within which men and women lived separately.</w:t>
      </w:r>
      <w:r w:rsidDel="00000000" w:rsidR="00000000" w:rsidRPr="00000000">
        <w:rPr>
          <w:rFonts w:ascii="Times New Roman" w:cs="Times New Roman" w:eastAsia="Times New Roman" w:hAnsi="Times New Roman"/>
          <w:sz w:val="24"/>
          <w:szCs w:val="24"/>
          <w:vertAlign w:val="superscript"/>
        </w:rPr>
        <w:footnoteReference w:customMarkFollows="0" w:id="48"/>
      </w:r>
      <w:r w:rsidDel="00000000" w:rsidR="00000000" w:rsidRPr="00000000">
        <w:rPr>
          <w:rtl w:val="0"/>
        </w:rPr>
      </w:r>
    </w:p>
    <w:p w:rsidR="00000000" w:rsidDel="00000000" w:rsidP="00000000" w:rsidRDefault="00000000" w:rsidRPr="00000000" w14:paraId="00000043">
      <w:pPr>
        <w:spacing w:line="480" w:lineRule="auto"/>
        <w:contextualSpacing w:val="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4">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Within the texts there is frequent reference to marriage as ritual, or marriage as similar to death. This is often contrasted with Persephone, such as in Helen, where there are a number of implied parallels.</w:t>
      </w:r>
      <w:r w:rsidDel="00000000" w:rsidR="00000000" w:rsidRPr="00000000">
        <w:rPr>
          <w:rFonts w:ascii="Times New Roman" w:cs="Times New Roman" w:eastAsia="Times New Roman" w:hAnsi="Times New Roman"/>
          <w:sz w:val="24"/>
          <w:szCs w:val="24"/>
          <w:vertAlign w:val="superscript"/>
        </w:rPr>
        <w:footnoteReference w:customMarkFollows="0" w:id="49"/>
      </w:r>
      <w:r w:rsidDel="00000000" w:rsidR="00000000" w:rsidRPr="00000000">
        <w:rPr>
          <w:rFonts w:ascii="Times New Roman" w:cs="Times New Roman" w:eastAsia="Times New Roman" w:hAnsi="Times New Roman"/>
          <w:sz w:val="24"/>
          <w:szCs w:val="24"/>
          <w:rtl w:val="0"/>
        </w:rPr>
        <w:t xml:space="preserve"> The ritualistic side of marriage, and comparisons with death in regards to this, are present within </w:t>
      </w:r>
      <w:r w:rsidDel="00000000" w:rsidR="00000000" w:rsidRPr="00000000">
        <w:rPr>
          <w:rFonts w:ascii="Times New Roman" w:cs="Times New Roman" w:eastAsia="Times New Roman" w:hAnsi="Times New Roman"/>
          <w:i w:val="1"/>
          <w:sz w:val="24"/>
          <w:szCs w:val="24"/>
          <w:rtl w:val="0"/>
        </w:rPr>
        <w:t xml:space="preserve">Helen</w:t>
      </w:r>
      <w:r w:rsidDel="00000000" w:rsidR="00000000" w:rsidRPr="00000000">
        <w:rPr>
          <w:rFonts w:ascii="Times New Roman" w:cs="Times New Roman" w:eastAsia="Times New Roman" w:hAnsi="Times New Roman"/>
          <w:sz w:val="24"/>
          <w:szCs w:val="24"/>
          <w:rtl w:val="0"/>
        </w:rPr>
        <w:t xml:space="preserve"> in the comparisons to Persephone that are frequently used, but these are more in regards to her being spirited away, far from her husband (whom she loves and wants to return to) and not because of the more ritualistic nature of marriage for a girl.</w:t>
      </w:r>
      <w:r w:rsidDel="00000000" w:rsidR="00000000" w:rsidRPr="00000000">
        <w:rPr>
          <w:rFonts w:ascii="Times New Roman" w:cs="Times New Roman" w:eastAsia="Times New Roman" w:hAnsi="Times New Roman"/>
          <w:sz w:val="24"/>
          <w:szCs w:val="24"/>
          <w:vertAlign w:val="superscript"/>
        </w:rPr>
        <w:footnoteReference w:customMarkFollows="0" w:id="50"/>
      </w:r>
      <w:r w:rsidDel="00000000" w:rsidR="00000000" w:rsidRPr="00000000">
        <w:rPr>
          <w:rFonts w:ascii="Times New Roman" w:cs="Times New Roman" w:eastAsia="Times New Roman" w:hAnsi="Times New Roman"/>
          <w:sz w:val="24"/>
          <w:szCs w:val="24"/>
          <w:rtl w:val="0"/>
        </w:rPr>
        <w:t xml:space="preserve"> In contrast to this Wolff addresses the similarity to Persephone in Helen’s presentation of maiden goddess within Spartan celebrations, taking the same position that Persephone often does within the celebrations and ceremonies for girls maturing to marrying age.</w:t>
      </w:r>
      <w:r w:rsidDel="00000000" w:rsidR="00000000" w:rsidRPr="00000000">
        <w:rPr>
          <w:rFonts w:ascii="Times New Roman" w:cs="Times New Roman" w:eastAsia="Times New Roman" w:hAnsi="Times New Roman"/>
          <w:sz w:val="24"/>
          <w:szCs w:val="24"/>
          <w:vertAlign w:val="superscript"/>
        </w:rPr>
        <w:footnoteReference w:customMarkFollows="0" w:id="51"/>
      </w:r>
      <w:r w:rsidDel="00000000" w:rsidR="00000000" w:rsidRPr="00000000">
        <w:rPr>
          <w:rFonts w:ascii="Times New Roman" w:cs="Times New Roman" w:eastAsia="Times New Roman" w:hAnsi="Times New Roman"/>
          <w:sz w:val="24"/>
          <w:szCs w:val="24"/>
          <w:rtl w:val="0"/>
        </w:rPr>
        <w:t xml:space="preserve"> This has a ritualistic side to it, but does not show the power of marriage, the equalling of it to death that exists within </w:t>
      </w:r>
      <w:r w:rsidDel="00000000" w:rsidR="00000000" w:rsidRPr="00000000">
        <w:rPr>
          <w:rFonts w:ascii="Times New Roman" w:cs="Times New Roman" w:eastAsia="Times New Roman" w:hAnsi="Times New Roman"/>
          <w:i w:val="1"/>
          <w:sz w:val="24"/>
          <w:szCs w:val="24"/>
          <w:rtl w:val="0"/>
        </w:rPr>
        <w:t xml:space="preserve">Iphigenia at Aulis</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vertAlign w:val="superscript"/>
        </w:rPr>
        <w:footnoteReference w:customMarkFollows="0" w:id="52"/>
      </w:r>
      <w:r w:rsidDel="00000000" w:rsidR="00000000" w:rsidRPr="00000000">
        <w:rPr>
          <w:rFonts w:ascii="Times New Roman" w:cs="Times New Roman" w:eastAsia="Times New Roman" w:hAnsi="Times New Roman"/>
          <w:sz w:val="24"/>
          <w:szCs w:val="24"/>
          <w:rtl w:val="0"/>
        </w:rPr>
        <w:t xml:space="preserve"> This, when addressing Iphigenia as a bride - but one of death, shows a potential for comparison between marriage and death for young girls - it illustrates the way in which the ritualistic part of moving from childhood to marriage kills the younger, childish self, shows the way in which women literally lose a part of themselves when they marry. This part of them may well be their power - while they remain powerless as young girls, when they move into marriageable age they are secluded, they are unable to enjoy the few benefits that being a child gave them. Regardless, the power of marriage cannot be underestimated, the control flipping to a husband that they do not know, who has complete control of their life after this ceremony, and for some this can indeed spell death. Power structures and hierarchy are very much present within marriage, and this, for Iphigenia, somewhat means that she chose the option that leaves her with more of a likelihood to not be left in a position where the spouse (of her father’s choice) is able to do damage. Comparisons to death are also shown in the way in which Medea takes it upon herself to give Creusa away, giving her a dowry that also is the cause of her </w:t>
      </w:r>
      <w:r w:rsidDel="00000000" w:rsidR="00000000" w:rsidRPr="00000000">
        <w:rPr>
          <w:rFonts w:ascii="Times New Roman" w:cs="Times New Roman" w:eastAsia="Times New Roman" w:hAnsi="Times New Roman"/>
          <w:sz w:val="24"/>
          <w:szCs w:val="24"/>
          <w:rtl w:val="0"/>
        </w:rPr>
        <w:t xml:space="preserve">death.</w:t>
      </w:r>
      <w:r w:rsidDel="00000000" w:rsidR="00000000" w:rsidRPr="00000000">
        <w:rPr>
          <w:rFonts w:ascii="Times New Roman" w:cs="Times New Roman" w:eastAsia="Times New Roman" w:hAnsi="Times New Roman"/>
          <w:sz w:val="24"/>
          <w:szCs w:val="24"/>
          <w:vertAlign w:val="superscript"/>
        </w:rPr>
        <w:footnoteReference w:customMarkFollows="0" w:id="53"/>
      </w:r>
      <w:r w:rsidDel="00000000" w:rsidR="00000000" w:rsidRPr="00000000">
        <w:rPr>
          <w:rFonts w:ascii="Times New Roman" w:cs="Times New Roman" w:eastAsia="Times New Roman" w:hAnsi="Times New Roman"/>
          <w:sz w:val="24"/>
          <w:szCs w:val="24"/>
          <w:rtl w:val="0"/>
        </w:rPr>
        <w:t xml:space="preserve"> This directly puts her into the hands of Hades, just as Persephone was taken against her own will, so Creusa finds herself celebrating a different marriage to the one she expected.</w:t>
      </w:r>
    </w:p>
    <w:p w:rsidR="00000000" w:rsidDel="00000000" w:rsidP="00000000" w:rsidRDefault="00000000" w:rsidRPr="00000000" w14:paraId="00000045">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Control, as it is presented and used by women, in each of these plays, leads to some kind of death. In Iphigenia’s case, this death is her own; she takes it upon herself to take the control back, to decide, instead of being lead, to the sacrificial altar, which means that she takes the control from her father, and thus stripping him of the control he would have had on the decision as to who she would marry, who would end up with that control later.</w:t>
      </w:r>
      <w:r w:rsidDel="00000000" w:rsidR="00000000" w:rsidRPr="00000000">
        <w:rPr>
          <w:rFonts w:ascii="Times New Roman" w:cs="Times New Roman" w:eastAsia="Times New Roman" w:hAnsi="Times New Roman"/>
          <w:sz w:val="24"/>
          <w:szCs w:val="24"/>
          <w:vertAlign w:val="superscript"/>
        </w:rPr>
        <w:footnoteReference w:customMarkFollows="0" w:id="54"/>
      </w:r>
      <w:r w:rsidDel="00000000" w:rsidR="00000000" w:rsidRPr="00000000">
        <w:rPr>
          <w:rFonts w:ascii="Times New Roman" w:cs="Times New Roman" w:eastAsia="Times New Roman" w:hAnsi="Times New Roman"/>
          <w:sz w:val="24"/>
          <w:szCs w:val="24"/>
          <w:rtl w:val="0"/>
        </w:rPr>
        <w:t xml:space="preserve"> Through reasserting her ability to make an individual choice she is, effectively, making the decision to die, and this shows her control, and the power that comes with that, as she shows that she has the power to lead herself to her own death. Medea asserts her own control through her decision to end Jason’s line, to throw off the control, and thereby the power, that he believes he has through their marriage, while also reasserting her autonomous power that she once used to give herself away in marriage, which had also lead to her brother’s death, previously to the events of this play.</w:t>
      </w:r>
      <w:r w:rsidDel="00000000" w:rsidR="00000000" w:rsidRPr="00000000">
        <w:rPr>
          <w:rFonts w:ascii="Times New Roman" w:cs="Times New Roman" w:eastAsia="Times New Roman" w:hAnsi="Times New Roman"/>
          <w:sz w:val="24"/>
          <w:szCs w:val="24"/>
          <w:vertAlign w:val="superscript"/>
        </w:rPr>
        <w:footnoteReference w:customMarkFollows="0" w:id="55"/>
      </w:r>
      <w:r w:rsidDel="00000000" w:rsidR="00000000" w:rsidRPr="00000000">
        <w:rPr>
          <w:rFonts w:ascii="Times New Roman" w:cs="Times New Roman" w:eastAsia="Times New Roman" w:hAnsi="Times New Roman"/>
          <w:sz w:val="24"/>
          <w:szCs w:val="24"/>
          <w:rtl w:val="0"/>
        </w:rPr>
        <w:t xml:space="preserve"> This shows that every time Medea exerts her control of her own position, every time she exercises her autonomy and proves her independence from her </w:t>
      </w:r>
      <w:r w:rsidDel="00000000" w:rsidR="00000000" w:rsidRPr="00000000">
        <w:rPr>
          <w:rFonts w:ascii="Times New Roman" w:cs="Times New Roman" w:eastAsia="Times New Roman" w:hAnsi="Times New Roman"/>
          <w:i w:val="1"/>
          <w:sz w:val="24"/>
          <w:szCs w:val="24"/>
          <w:rtl w:val="0"/>
        </w:rPr>
        <w:t xml:space="preserve">kurios</w:t>
      </w:r>
      <w:r w:rsidDel="00000000" w:rsidR="00000000" w:rsidRPr="00000000">
        <w:rPr>
          <w:rFonts w:ascii="Times New Roman" w:cs="Times New Roman" w:eastAsia="Times New Roman" w:hAnsi="Times New Roman"/>
          <w:sz w:val="24"/>
          <w:szCs w:val="24"/>
          <w:rtl w:val="0"/>
        </w:rPr>
        <w:t xml:space="preserve"> she subsequently is involved in the murder of a person.</w:t>
      </w:r>
      <w:r w:rsidDel="00000000" w:rsidR="00000000" w:rsidRPr="00000000">
        <w:rPr>
          <w:rFonts w:ascii="Times New Roman" w:cs="Times New Roman" w:eastAsia="Times New Roman" w:hAnsi="Times New Roman"/>
          <w:sz w:val="24"/>
          <w:szCs w:val="24"/>
          <w:vertAlign w:val="superscript"/>
        </w:rPr>
        <w:footnoteReference w:customMarkFollows="0" w:id="56"/>
      </w:r>
      <w:r w:rsidDel="00000000" w:rsidR="00000000" w:rsidRPr="00000000">
        <w:rPr>
          <w:rFonts w:ascii="Times New Roman" w:cs="Times New Roman" w:eastAsia="Times New Roman" w:hAnsi="Times New Roman"/>
          <w:sz w:val="24"/>
          <w:szCs w:val="24"/>
          <w:rtl w:val="0"/>
        </w:rPr>
        <w:t xml:space="preserve"> Clytemnestra does not exercise her autonomy within </w:t>
      </w:r>
      <w:r w:rsidDel="00000000" w:rsidR="00000000" w:rsidRPr="00000000">
        <w:rPr>
          <w:rFonts w:ascii="Times New Roman" w:cs="Times New Roman" w:eastAsia="Times New Roman" w:hAnsi="Times New Roman"/>
          <w:i w:val="1"/>
          <w:sz w:val="24"/>
          <w:szCs w:val="24"/>
          <w:rtl w:val="0"/>
        </w:rPr>
        <w:t xml:space="preserve">Iphigenia at Aulis</w:t>
      </w:r>
      <w:r w:rsidDel="00000000" w:rsidR="00000000" w:rsidRPr="00000000">
        <w:rPr>
          <w:rFonts w:ascii="Times New Roman" w:cs="Times New Roman" w:eastAsia="Times New Roman" w:hAnsi="Times New Roman"/>
          <w:sz w:val="24"/>
          <w:szCs w:val="24"/>
          <w:rtl w:val="0"/>
        </w:rPr>
        <w:t xml:space="preserve">, but rather supplicates Achilles and attempts to use an unconnected male to remedy the situation, and in contrast with the others (and with her later actions), this still leads to a death; Iphigenia’s, although the argument could be made that this is actually because her lack of independent action is counteracted by Iphigenia’s own.</w:t>
      </w:r>
      <w:r w:rsidDel="00000000" w:rsidR="00000000" w:rsidRPr="00000000">
        <w:rPr>
          <w:rFonts w:ascii="Times New Roman" w:cs="Times New Roman" w:eastAsia="Times New Roman" w:hAnsi="Times New Roman"/>
          <w:sz w:val="24"/>
          <w:szCs w:val="24"/>
          <w:vertAlign w:val="superscript"/>
        </w:rPr>
        <w:footnoteReference w:customMarkFollows="0" w:id="57"/>
      </w:r>
      <w:r w:rsidDel="00000000" w:rsidR="00000000" w:rsidRPr="00000000">
        <w:rPr>
          <w:rFonts w:ascii="Times New Roman" w:cs="Times New Roman" w:eastAsia="Times New Roman" w:hAnsi="Times New Roman"/>
          <w:sz w:val="24"/>
          <w:szCs w:val="24"/>
          <w:rtl w:val="0"/>
        </w:rPr>
        <w:t xml:space="preserve"> In the </w:t>
      </w:r>
      <w:r w:rsidDel="00000000" w:rsidR="00000000" w:rsidRPr="00000000">
        <w:rPr>
          <w:rFonts w:ascii="Times New Roman" w:cs="Times New Roman" w:eastAsia="Times New Roman" w:hAnsi="Times New Roman"/>
          <w:i w:val="1"/>
          <w:sz w:val="24"/>
          <w:szCs w:val="24"/>
          <w:rtl w:val="0"/>
        </w:rPr>
        <w:t xml:space="preserve">Agamemnon</w:t>
      </w:r>
      <w:r w:rsidDel="00000000" w:rsidR="00000000" w:rsidRPr="00000000">
        <w:rPr>
          <w:rFonts w:ascii="Times New Roman" w:cs="Times New Roman" w:eastAsia="Times New Roman" w:hAnsi="Times New Roman"/>
          <w:sz w:val="24"/>
          <w:szCs w:val="24"/>
          <w:rtl w:val="0"/>
        </w:rPr>
        <w:t xml:space="preserve"> her movement to become independent to her </w:t>
      </w:r>
      <w:r w:rsidDel="00000000" w:rsidR="00000000" w:rsidRPr="00000000">
        <w:rPr>
          <w:rFonts w:ascii="Times New Roman" w:cs="Times New Roman" w:eastAsia="Times New Roman" w:hAnsi="Times New Roman"/>
          <w:i w:val="1"/>
          <w:sz w:val="24"/>
          <w:szCs w:val="24"/>
          <w:rtl w:val="0"/>
        </w:rPr>
        <w:t xml:space="preserve">kurios</w:t>
      </w:r>
      <w:r w:rsidDel="00000000" w:rsidR="00000000" w:rsidRPr="00000000">
        <w:rPr>
          <w:rFonts w:ascii="Times New Roman" w:cs="Times New Roman" w:eastAsia="Times New Roman" w:hAnsi="Times New Roman"/>
          <w:sz w:val="24"/>
          <w:szCs w:val="24"/>
          <w:rtl w:val="0"/>
        </w:rPr>
        <w:t xml:space="preserve">, her movement to enact her vengeance (that which would be seen as right if it had been a man that fulfilled it), leads to the deaths of Agamemnon and Cassandra, and then, continuing in the acts of vengeance, it also leads to her own death at the hands of her son.</w:t>
      </w:r>
      <w:r w:rsidDel="00000000" w:rsidR="00000000" w:rsidRPr="00000000">
        <w:rPr>
          <w:rFonts w:ascii="Times New Roman" w:cs="Times New Roman" w:eastAsia="Times New Roman" w:hAnsi="Times New Roman"/>
          <w:sz w:val="24"/>
          <w:szCs w:val="24"/>
          <w:vertAlign w:val="superscript"/>
        </w:rPr>
        <w:footnoteReference w:customMarkFollows="0" w:id="58"/>
      </w:r>
      <w:r w:rsidDel="00000000" w:rsidR="00000000" w:rsidRPr="00000000">
        <w:rPr>
          <w:rFonts w:ascii="Times New Roman" w:cs="Times New Roman" w:eastAsia="Times New Roman" w:hAnsi="Times New Roman"/>
          <w:sz w:val="24"/>
          <w:szCs w:val="24"/>
          <w:rtl w:val="0"/>
        </w:rPr>
        <w:t xml:space="preserve"> Finally, Helen’s actions within the </w:t>
      </w:r>
      <w:r w:rsidDel="00000000" w:rsidR="00000000" w:rsidRPr="00000000">
        <w:rPr>
          <w:rFonts w:ascii="Times New Roman" w:cs="Times New Roman" w:eastAsia="Times New Roman" w:hAnsi="Times New Roman"/>
          <w:i w:val="1"/>
          <w:sz w:val="24"/>
          <w:szCs w:val="24"/>
          <w:rtl w:val="0"/>
        </w:rPr>
        <w:t xml:space="preserve">Helen</w:t>
      </w:r>
      <w:r w:rsidDel="00000000" w:rsidR="00000000" w:rsidRPr="00000000">
        <w:rPr>
          <w:rFonts w:ascii="Times New Roman" w:cs="Times New Roman" w:eastAsia="Times New Roman" w:hAnsi="Times New Roman"/>
          <w:sz w:val="24"/>
          <w:szCs w:val="24"/>
          <w:rtl w:val="0"/>
        </w:rPr>
        <w:t xml:space="preserve">, although they are not equal to that which she would have been responsible for, what she does feel responsible for within this text, her exercising her womanly wiles and leading Menelaus to make the plan, to enact her plan, this leads to the death of those that attempt to stop them.</w:t>
      </w:r>
      <w:r w:rsidDel="00000000" w:rsidR="00000000" w:rsidRPr="00000000">
        <w:rPr>
          <w:rFonts w:ascii="Times New Roman" w:cs="Times New Roman" w:eastAsia="Times New Roman" w:hAnsi="Times New Roman"/>
          <w:sz w:val="24"/>
          <w:szCs w:val="24"/>
          <w:vertAlign w:val="superscript"/>
        </w:rPr>
        <w:footnoteReference w:customMarkFollows="0" w:id="59"/>
      </w:r>
      <w:r w:rsidDel="00000000" w:rsidR="00000000" w:rsidRPr="00000000">
        <w:rPr>
          <w:rFonts w:ascii="Times New Roman" w:cs="Times New Roman" w:eastAsia="Times New Roman" w:hAnsi="Times New Roman"/>
          <w:sz w:val="24"/>
          <w:szCs w:val="24"/>
          <w:rtl w:val="0"/>
        </w:rPr>
        <w:t xml:space="preserve"> This shows us that death is what comes from those women who exert their control. </w:t>
      </w:r>
    </w:p>
    <w:p w:rsidR="00000000" w:rsidDel="00000000" w:rsidP="00000000" w:rsidRDefault="00000000" w:rsidRPr="00000000" w14:paraId="00000047">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four texts, taken without context and without widening our purview present an idea that women’s power leads to something that is so outside of the cultural norm, something that is as deviant and morally wrong as murder. These expressions of autonomy and independence from these women lead to at least one death, in every case while in three of the plays it leads to multiple deaths. This hardly seems as though it could be a coincidence, and in addition to this, the </w:t>
      </w:r>
      <w:r w:rsidDel="00000000" w:rsidR="00000000" w:rsidRPr="00000000">
        <w:rPr>
          <w:rFonts w:ascii="Times New Roman" w:cs="Times New Roman" w:eastAsia="Times New Roman" w:hAnsi="Times New Roman"/>
          <w:i w:val="1"/>
          <w:sz w:val="24"/>
          <w:szCs w:val="24"/>
          <w:rtl w:val="0"/>
        </w:rPr>
        <w:t xml:space="preserve">Agamemnon </w:t>
      </w:r>
      <w:r w:rsidDel="00000000" w:rsidR="00000000" w:rsidRPr="00000000">
        <w:rPr>
          <w:rFonts w:ascii="Times New Roman" w:cs="Times New Roman" w:eastAsia="Times New Roman" w:hAnsi="Times New Roman"/>
          <w:sz w:val="24"/>
          <w:szCs w:val="24"/>
          <w:rtl w:val="0"/>
        </w:rPr>
        <w:t xml:space="preserve">is the first text that survives to us in which Helen is blamed entirely for the consequences of the Trojan war.</w:t>
      </w:r>
      <w:r w:rsidDel="00000000" w:rsidR="00000000" w:rsidRPr="00000000">
        <w:rPr>
          <w:rFonts w:ascii="Times New Roman" w:cs="Times New Roman" w:eastAsia="Times New Roman" w:hAnsi="Times New Roman"/>
          <w:sz w:val="24"/>
          <w:szCs w:val="24"/>
          <w:vertAlign w:val="superscript"/>
        </w:rPr>
        <w:footnoteReference w:customMarkFollows="0" w:id="60"/>
      </w:r>
      <w:r w:rsidDel="00000000" w:rsidR="00000000" w:rsidRPr="00000000">
        <w:rPr>
          <w:rFonts w:ascii="Times New Roman" w:cs="Times New Roman" w:eastAsia="Times New Roman" w:hAnsi="Times New Roman"/>
          <w:sz w:val="24"/>
          <w:szCs w:val="24"/>
          <w:rtl w:val="0"/>
        </w:rPr>
        <w:t xml:space="preserve"> This leaves us with nothing but evidence that the two playwrights were involved in a tradition in which blame was meted out to women who felt as though they could act outside of what was allotted to them as their usual actions, women who attempted to reclaim any control, and through that, power, that they could.</w:t>
      </w:r>
    </w:p>
    <w:p w:rsidR="00000000" w:rsidDel="00000000" w:rsidP="00000000" w:rsidRDefault="00000000" w:rsidRPr="00000000" w14:paraId="00000049">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480" w:lineRule="auto"/>
        <w:contextualSpacing w:val="0"/>
        <w:rPr>
          <w:rFonts w:ascii="Times New Roman" w:cs="Times New Roman" w:eastAsia="Times New Roman" w:hAnsi="Times New Roman"/>
        </w:rPr>
      </w:pPr>
      <w:r w:rsidDel="00000000" w:rsidR="00000000" w:rsidRPr="00000000">
        <w:rPr>
          <w:rFonts w:ascii="Times New Roman" w:cs="Times New Roman" w:eastAsia="Times New Roman" w:hAnsi="Times New Roman"/>
          <w:sz w:val="24"/>
          <w:szCs w:val="24"/>
          <w:rtl w:val="0"/>
        </w:rPr>
        <w:t xml:space="preserve">In summary, women within these texts act outside of the control that they are expected to exist under often, but the consequences for these actions are dire. They only show an ability to do so when the situation is entirely out of the norm; not many Athenian women at this time, even those that may be in the audience (even if the audience is usually described as being predominantly men), would be involved in the actions of the gods, or descended from the gods, or involved in a mythological context.</w:t>
      </w:r>
      <w:r w:rsidDel="00000000" w:rsidR="00000000" w:rsidRPr="00000000">
        <w:rPr>
          <w:rFonts w:ascii="Times New Roman" w:cs="Times New Roman" w:eastAsia="Times New Roman" w:hAnsi="Times New Roman"/>
          <w:sz w:val="24"/>
          <w:szCs w:val="24"/>
          <w:vertAlign w:val="superscript"/>
        </w:rPr>
        <w:footnoteReference w:customMarkFollows="0" w:id="61"/>
      </w:r>
      <w:r w:rsidDel="00000000" w:rsidR="00000000" w:rsidRPr="00000000">
        <w:rPr>
          <w:rFonts w:ascii="Times New Roman" w:cs="Times New Roman" w:eastAsia="Times New Roman" w:hAnsi="Times New Roman"/>
          <w:sz w:val="24"/>
          <w:szCs w:val="24"/>
          <w:rtl w:val="0"/>
        </w:rPr>
        <w:t xml:space="preserve"> This still highlights an insistent and nagging fear that those who were benefitting from this patriarchal society had, that women would somehow upset the status quo, in the way that Euripidean oaths tendered by women had been proven to do.</w:t>
      </w:r>
      <w:r w:rsidDel="00000000" w:rsidR="00000000" w:rsidRPr="00000000">
        <w:rPr>
          <w:rFonts w:ascii="Times New Roman" w:cs="Times New Roman" w:eastAsia="Times New Roman" w:hAnsi="Times New Roman"/>
          <w:sz w:val="24"/>
          <w:szCs w:val="24"/>
          <w:vertAlign w:val="superscript"/>
        </w:rPr>
        <w:footnoteReference w:customMarkFollows="0" w:id="62"/>
      </w:r>
      <w:r w:rsidDel="00000000" w:rsidR="00000000" w:rsidRPr="00000000">
        <w:rPr>
          <w:rFonts w:ascii="Times New Roman" w:cs="Times New Roman" w:eastAsia="Times New Roman" w:hAnsi="Times New Roman"/>
          <w:sz w:val="24"/>
          <w:szCs w:val="24"/>
          <w:rtl w:val="0"/>
        </w:rPr>
        <w:t xml:space="preserve"> These women who use “masculine” speech acts, they promote fear within the male populus, that they will destroy that which they have built, and that women diverting from the roles that they have been assigned will lead to anarchy, or, in these cases, literal murder.</w:t>
      </w:r>
      <w:r w:rsidDel="00000000" w:rsidR="00000000" w:rsidRPr="00000000">
        <w:rPr>
          <w:rFonts w:ascii="Times New Roman" w:cs="Times New Roman" w:eastAsia="Times New Roman" w:hAnsi="Times New Roman"/>
          <w:sz w:val="24"/>
          <w:szCs w:val="24"/>
          <w:vertAlign w:val="superscript"/>
        </w:rPr>
        <w:footnoteReference w:customMarkFollows="0" w:id="63"/>
      </w:r>
      <w:r w:rsidDel="00000000" w:rsidR="00000000" w:rsidRPr="00000000">
        <w:rPr>
          <w:rFonts w:ascii="Times New Roman" w:cs="Times New Roman" w:eastAsia="Times New Roman" w:hAnsi="Times New Roman"/>
          <w:sz w:val="24"/>
          <w:szCs w:val="24"/>
          <w:rtl w:val="0"/>
        </w:rPr>
        <w:t xml:space="preserve"> The playwrights have given voice to these anxieties, and while there exists a discussion of Euripides as a feminist, this would argue it, as those who perform outside of their feminine assigned roles as wives are, inherently, also morally corrupt. This defection from what is portrayed as the “correct” or “proper” way to conduct a marriage, or to act in relation to their </w:t>
      </w:r>
      <w:r w:rsidDel="00000000" w:rsidR="00000000" w:rsidRPr="00000000">
        <w:rPr>
          <w:rFonts w:ascii="Times New Roman" w:cs="Times New Roman" w:eastAsia="Times New Roman" w:hAnsi="Times New Roman"/>
          <w:i w:val="1"/>
          <w:sz w:val="24"/>
          <w:szCs w:val="24"/>
          <w:rtl w:val="0"/>
        </w:rPr>
        <w:t xml:space="preserve">kurios</w:t>
      </w:r>
      <w:r w:rsidDel="00000000" w:rsidR="00000000" w:rsidRPr="00000000">
        <w:rPr>
          <w:rFonts w:ascii="Times New Roman" w:cs="Times New Roman" w:eastAsia="Times New Roman" w:hAnsi="Times New Roman"/>
          <w:sz w:val="24"/>
          <w:szCs w:val="24"/>
          <w:rtl w:val="0"/>
        </w:rPr>
        <w:t xml:space="preserve">, is completely illustrated as intensely negative, but, ultimately, it shows that these women are in complete control. Complete control signified through their ability to change and influence events, to lead to these things, control of the continuation of the male line, control of their own acts, regardless of whether these actions lead them outside of the purview of their authority figures, such as their husbands were.</w:t>
      </w:r>
      <w:r w:rsidDel="00000000" w:rsidR="00000000" w:rsidRPr="00000000">
        <w:br w:type="page"/>
      </w:r>
      <w:r w:rsidDel="00000000" w:rsidR="00000000" w:rsidRPr="00000000">
        <w:rPr>
          <w:rtl w:val="0"/>
        </w:rPr>
      </w:r>
    </w:p>
    <w:p w:rsidR="00000000" w:rsidDel="00000000" w:rsidP="00000000" w:rsidRDefault="00000000" w:rsidRPr="00000000" w14:paraId="0000004B">
      <w:pPr>
        <w:pStyle w:val="Heading2"/>
        <w:spacing w:line="480" w:lineRule="auto"/>
        <w:contextualSpacing w:val="0"/>
        <w:rPr>
          <w:rFonts w:ascii="Times New Roman" w:cs="Times New Roman" w:eastAsia="Times New Roman" w:hAnsi="Times New Roman"/>
        </w:rPr>
      </w:pPr>
      <w:bookmarkStart w:colFirst="0" w:colLast="0" w:name="_69uxdl6u7p8n" w:id="4"/>
      <w:bookmarkEnd w:id="4"/>
      <w:r w:rsidDel="00000000" w:rsidR="00000000" w:rsidRPr="00000000">
        <w:rPr>
          <w:rFonts w:ascii="Times New Roman" w:cs="Times New Roman" w:eastAsia="Times New Roman" w:hAnsi="Times New Roman"/>
          <w:rtl w:val="0"/>
        </w:rPr>
        <w:t xml:space="preserve">Chapter II: Spheres of control: the </w:t>
      </w:r>
      <w:r w:rsidDel="00000000" w:rsidR="00000000" w:rsidRPr="00000000">
        <w:rPr>
          <w:rFonts w:ascii="Times New Roman" w:cs="Times New Roman" w:eastAsia="Times New Roman" w:hAnsi="Times New Roman"/>
          <w:i w:val="1"/>
          <w:rtl w:val="0"/>
        </w:rPr>
        <w:t xml:space="preserve">oikos</w:t>
      </w:r>
      <w:r w:rsidDel="00000000" w:rsidR="00000000" w:rsidRPr="00000000">
        <w:rPr>
          <w:rFonts w:ascii="Times New Roman" w:cs="Times New Roman" w:eastAsia="Times New Roman" w:hAnsi="Times New Roman"/>
          <w:rtl w:val="0"/>
        </w:rPr>
        <w:t xml:space="preserve"> vs public spaces</w:t>
      </w:r>
    </w:p>
    <w:p w:rsidR="00000000" w:rsidDel="00000000" w:rsidP="00000000" w:rsidRDefault="00000000" w:rsidRPr="00000000" w14:paraId="0000004C">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Women were largely expected to stay inside the house, where they were given the largest amount of control that they were allowed within their usual lives.</w:t>
      </w:r>
      <w:r w:rsidDel="00000000" w:rsidR="00000000" w:rsidRPr="00000000">
        <w:rPr>
          <w:rFonts w:ascii="Times New Roman" w:cs="Times New Roman" w:eastAsia="Times New Roman" w:hAnsi="Times New Roman"/>
          <w:sz w:val="24"/>
          <w:szCs w:val="24"/>
          <w:vertAlign w:val="superscript"/>
        </w:rPr>
        <w:footnoteReference w:customMarkFollows="0" w:id="64"/>
      </w:r>
      <w:r w:rsidDel="00000000" w:rsidR="00000000" w:rsidRPr="00000000">
        <w:rPr>
          <w:rFonts w:ascii="Times New Roman" w:cs="Times New Roman" w:eastAsia="Times New Roman" w:hAnsi="Times New Roman"/>
          <w:sz w:val="24"/>
          <w:szCs w:val="24"/>
          <w:rtl w:val="0"/>
        </w:rPr>
        <w:t xml:space="preserve"> The </w:t>
      </w:r>
      <w:r w:rsidDel="00000000" w:rsidR="00000000" w:rsidRPr="00000000">
        <w:rPr>
          <w:rFonts w:ascii="Times New Roman" w:cs="Times New Roman" w:eastAsia="Times New Roman" w:hAnsi="Times New Roman"/>
          <w:i w:val="1"/>
          <w:sz w:val="24"/>
          <w:szCs w:val="24"/>
          <w:rtl w:val="0"/>
        </w:rPr>
        <w:t xml:space="preserve">oikos</w:t>
      </w:r>
      <w:r w:rsidDel="00000000" w:rsidR="00000000" w:rsidRPr="00000000">
        <w:rPr>
          <w:rFonts w:ascii="Times New Roman" w:cs="Times New Roman" w:eastAsia="Times New Roman" w:hAnsi="Times New Roman"/>
          <w:sz w:val="24"/>
          <w:szCs w:val="24"/>
          <w:rtl w:val="0"/>
        </w:rPr>
        <w:t xml:space="preserve"> is largely their domain, and acted as the counterbalance to the masculine public sphere of the </w:t>
      </w:r>
      <w:r w:rsidDel="00000000" w:rsidR="00000000" w:rsidRPr="00000000">
        <w:rPr>
          <w:rFonts w:ascii="Times New Roman" w:cs="Times New Roman" w:eastAsia="Times New Roman" w:hAnsi="Times New Roman"/>
          <w:i w:val="1"/>
          <w:sz w:val="24"/>
          <w:szCs w:val="24"/>
          <w:rtl w:val="0"/>
        </w:rPr>
        <w:t xml:space="preserve">polis</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vertAlign w:val="superscript"/>
        </w:rPr>
        <w:footnoteReference w:customMarkFollows="0" w:id="65"/>
      </w:r>
      <w:r w:rsidDel="00000000" w:rsidR="00000000" w:rsidRPr="00000000">
        <w:rPr>
          <w:rFonts w:ascii="Times New Roman" w:cs="Times New Roman" w:eastAsia="Times New Roman" w:hAnsi="Times New Roman"/>
          <w:sz w:val="24"/>
          <w:szCs w:val="24"/>
          <w:rtl w:val="0"/>
        </w:rPr>
        <w:t xml:space="preserve"> The interaction between public and private worlds was primarily something that was the realm of men, who could walk in and out of both freely, but the </w:t>
      </w:r>
      <w:r w:rsidDel="00000000" w:rsidR="00000000" w:rsidRPr="00000000">
        <w:rPr>
          <w:rFonts w:ascii="Times New Roman" w:cs="Times New Roman" w:eastAsia="Times New Roman" w:hAnsi="Times New Roman"/>
          <w:i w:val="1"/>
          <w:sz w:val="24"/>
          <w:szCs w:val="24"/>
          <w:rtl w:val="0"/>
        </w:rPr>
        <w:t xml:space="preserve">oikos</w:t>
      </w:r>
      <w:r w:rsidDel="00000000" w:rsidR="00000000" w:rsidRPr="00000000">
        <w:rPr>
          <w:rFonts w:ascii="Times New Roman" w:cs="Times New Roman" w:eastAsia="Times New Roman" w:hAnsi="Times New Roman"/>
          <w:sz w:val="24"/>
          <w:szCs w:val="24"/>
          <w:rtl w:val="0"/>
        </w:rPr>
        <w:t xml:space="preserve"> truly belongs to the women that make their lives there, something which is illustrated within </w:t>
      </w:r>
      <w:r w:rsidDel="00000000" w:rsidR="00000000" w:rsidRPr="00000000">
        <w:rPr>
          <w:rFonts w:ascii="Times New Roman" w:cs="Times New Roman" w:eastAsia="Times New Roman" w:hAnsi="Times New Roman"/>
          <w:i w:val="1"/>
          <w:sz w:val="24"/>
          <w:szCs w:val="24"/>
          <w:rtl w:val="0"/>
        </w:rPr>
        <w:t xml:space="preserve">The Oresteia</w:t>
      </w:r>
      <w:r w:rsidDel="00000000" w:rsidR="00000000" w:rsidRPr="00000000">
        <w:rPr>
          <w:rFonts w:ascii="Times New Roman" w:cs="Times New Roman" w:eastAsia="Times New Roman" w:hAnsi="Times New Roman"/>
          <w:sz w:val="24"/>
          <w:szCs w:val="24"/>
          <w:rtl w:val="0"/>
        </w:rPr>
        <w:t xml:space="preserve"> as a whole through the movement of the </w:t>
      </w:r>
      <w:r w:rsidDel="00000000" w:rsidR="00000000" w:rsidRPr="00000000">
        <w:rPr>
          <w:rFonts w:ascii="Times New Roman" w:cs="Times New Roman" w:eastAsia="Times New Roman" w:hAnsi="Times New Roman"/>
          <w:i w:val="1"/>
          <w:sz w:val="24"/>
          <w:szCs w:val="24"/>
          <w:rtl w:val="0"/>
        </w:rPr>
        <w:t xml:space="preserve">peplos</w:t>
      </w:r>
      <w:r w:rsidDel="00000000" w:rsidR="00000000" w:rsidRPr="00000000">
        <w:rPr>
          <w:rFonts w:ascii="Times New Roman" w:cs="Times New Roman" w:eastAsia="Times New Roman" w:hAnsi="Times New Roman"/>
          <w:sz w:val="24"/>
          <w:szCs w:val="24"/>
          <w:rtl w:val="0"/>
        </w:rPr>
        <w:t xml:space="preserve"> between interior and exterior, shown through the shift from feminine control to the male, as shown by Lee. Medea and Clytemnestra both operate within both of these spheres, regardless of the </w:t>
      </w:r>
      <w:r w:rsidDel="00000000" w:rsidR="00000000" w:rsidRPr="00000000">
        <w:rPr>
          <w:rFonts w:ascii="Times New Roman" w:cs="Times New Roman" w:eastAsia="Times New Roman" w:hAnsi="Times New Roman"/>
          <w:i w:val="1"/>
          <w:sz w:val="24"/>
          <w:szCs w:val="24"/>
          <w:rtl w:val="0"/>
        </w:rPr>
        <w:t xml:space="preserve">polis</w:t>
      </w:r>
      <w:r w:rsidDel="00000000" w:rsidR="00000000" w:rsidRPr="00000000">
        <w:rPr>
          <w:rFonts w:ascii="Times New Roman" w:cs="Times New Roman" w:eastAsia="Times New Roman" w:hAnsi="Times New Roman"/>
          <w:sz w:val="24"/>
          <w:szCs w:val="24"/>
          <w:rtl w:val="0"/>
        </w:rPr>
        <w:t xml:space="preserve"> being characterised as male, and as Lloyd illustrates Medea has a unique and surprising understanding of the </w:t>
      </w:r>
      <w:r w:rsidDel="00000000" w:rsidR="00000000" w:rsidRPr="00000000">
        <w:rPr>
          <w:rFonts w:ascii="Times New Roman" w:cs="Times New Roman" w:eastAsia="Times New Roman" w:hAnsi="Times New Roman"/>
          <w:i w:val="1"/>
          <w:sz w:val="24"/>
          <w:szCs w:val="24"/>
          <w:rtl w:val="0"/>
        </w:rPr>
        <w:t xml:space="preserve">polis</w:t>
      </w:r>
      <w:r w:rsidDel="00000000" w:rsidR="00000000" w:rsidRPr="00000000">
        <w:rPr>
          <w:rFonts w:ascii="Times New Roman" w:cs="Times New Roman" w:eastAsia="Times New Roman" w:hAnsi="Times New Roman"/>
          <w:sz w:val="24"/>
          <w:szCs w:val="24"/>
          <w:rtl w:val="0"/>
        </w:rPr>
        <w:t xml:space="preserve"> and the speech acts that signify her knowledge of that which she needs in her attempts to persuade, and to present herself as one of them.</w:t>
      </w:r>
      <w:r w:rsidDel="00000000" w:rsidR="00000000" w:rsidRPr="00000000">
        <w:rPr>
          <w:rFonts w:ascii="Times New Roman" w:cs="Times New Roman" w:eastAsia="Times New Roman" w:hAnsi="Times New Roman"/>
          <w:sz w:val="24"/>
          <w:szCs w:val="24"/>
          <w:vertAlign w:val="superscript"/>
        </w:rPr>
        <w:footnoteReference w:customMarkFollows="0" w:id="66"/>
      </w:r>
      <w:r w:rsidDel="00000000" w:rsidR="00000000" w:rsidRPr="00000000">
        <w:rPr>
          <w:rFonts w:ascii="Times New Roman" w:cs="Times New Roman" w:eastAsia="Times New Roman" w:hAnsi="Times New Roman"/>
          <w:sz w:val="24"/>
          <w:szCs w:val="24"/>
          <w:rtl w:val="0"/>
        </w:rPr>
        <w:t xml:space="preserve"> Medea exerts her control through her mastery of both of these spheres, and Clytemnestra does similar within the </w:t>
      </w:r>
      <w:r w:rsidDel="00000000" w:rsidR="00000000" w:rsidRPr="00000000">
        <w:rPr>
          <w:rFonts w:ascii="Times New Roman" w:cs="Times New Roman" w:eastAsia="Times New Roman" w:hAnsi="Times New Roman"/>
          <w:i w:val="1"/>
          <w:sz w:val="24"/>
          <w:szCs w:val="24"/>
          <w:rtl w:val="0"/>
        </w:rPr>
        <w:t xml:space="preserve">Agamemnon</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D">
      <w:pPr>
        <w:spacing w:line="480" w:lineRule="auto"/>
        <w:contextualSpacing w:val="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E">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Medea affects many things within her attempts to persuade the chorus, and Jason, and Creon, onto her side, and Euripides presents her in such a way that does similar in regards to the audience.</w:t>
      </w:r>
      <w:r w:rsidDel="00000000" w:rsidR="00000000" w:rsidRPr="00000000">
        <w:rPr>
          <w:rFonts w:ascii="Times New Roman" w:cs="Times New Roman" w:eastAsia="Times New Roman" w:hAnsi="Times New Roman"/>
          <w:sz w:val="24"/>
          <w:szCs w:val="24"/>
          <w:vertAlign w:val="superscript"/>
        </w:rPr>
        <w:footnoteReference w:customMarkFollows="0" w:id="67"/>
      </w:r>
      <w:r w:rsidDel="00000000" w:rsidR="00000000" w:rsidRPr="00000000">
        <w:rPr>
          <w:rFonts w:ascii="Times New Roman" w:cs="Times New Roman" w:eastAsia="Times New Roman" w:hAnsi="Times New Roman"/>
          <w:sz w:val="24"/>
          <w:szCs w:val="24"/>
          <w:rtl w:val="0"/>
        </w:rPr>
        <w:t xml:space="preserve"> This action, on Euripides’ part requires her to have intimate knowledge of the workings of a </w:t>
      </w:r>
      <w:r w:rsidDel="00000000" w:rsidR="00000000" w:rsidRPr="00000000">
        <w:rPr>
          <w:rFonts w:ascii="Times New Roman" w:cs="Times New Roman" w:eastAsia="Times New Roman" w:hAnsi="Times New Roman"/>
          <w:i w:val="1"/>
          <w:sz w:val="24"/>
          <w:szCs w:val="24"/>
          <w:rtl w:val="0"/>
        </w:rPr>
        <w:t xml:space="preserve">polis</w:t>
      </w:r>
      <w:r w:rsidDel="00000000" w:rsidR="00000000" w:rsidRPr="00000000">
        <w:rPr>
          <w:rFonts w:ascii="Times New Roman" w:cs="Times New Roman" w:eastAsia="Times New Roman" w:hAnsi="Times New Roman"/>
          <w:sz w:val="24"/>
          <w:szCs w:val="24"/>
          <w:rtl w:val="0"/>
        </w:rPr>
        <w:t xml:space="preserve">, Lloyd argues, and as such Euripides’ role within this is clear, considering that she is, ultimately, a barbarian, from a foreign land, who needs the sympathy of her audience, at least within the beginning. This adoption of “male attitudes” and speech is what makes her sympathetic to the audience, and also to the Corinthian chorus of women, who certainly sympathise with her as a woman, but who also </w:t>
      </w:r>
      <w:r w:rsidDel="00000000" w:rsidR="00000000" w:rsidRPr="00000000">
        <w:rPr>
          <w:rFonts w:ascii="Times New Roman" w:cs="Times New Roman" w:eastAsia="Times New Roman" w:hAnsi="Times New Roman"/>
          <w:i w:val="1"/>
          <w:sz w:val="24"/>
          <w:szCs w:val="24"/>
          <w:rtl w:val="0"/>
        </w:rPr>
        <w:t xml:space="preserve">are</w:t>
      </w:r>
      <w:r w:rsidDel="00000000" w:rsidR="00000000" w:rsidRPr="00000000">
        <w:rPr>
          <w:rFonts w:ascii="Times New Roman" w:cs="Times New Roman" w:eastAsia="Times New Roman" w:hAnsi="Times New Roman"/>
          <w:sz w:val="24"/>
          <w:szCs w:val="24"/>
          <w:rtl w:val="0"/>
        </w:rPr>
        <w:t xml:space="preserve"> part of a </w:t>
      </w:r>
      <w:r w:rsidDel="00000000" w:rsidR="00000000" w:rsidRPr="00000000">
        <w:rPr>
          <w:rFonts w:ascii="Times New Roman" w:cs="Times New Roman" w:eastAsia="Times New Roman" w:hAnsi="Times New Roman"/>
          <w:i w:val="1"/>
          <w:sz w:val="24"/>
          <w:szCs w:val="24"/>
          <w:rtl w:val="0"/>
        </w:rPr>
        <w:t xml:space="preserve">polis</w:t>
      </w:r>
      <w:r w:rsidDel="00000000" w:rsidR="00000000" w:rsidRPr="00000000">
        <w:rPr>
          <w:rFonts w:ascii="Times New Roman" w:cs="Times New Roman" w:eastAsia="Times New Roman" w:hAnsi="Times New Roman"/>
          <w:sz w:val="24"/>
          <w:szCs w:val="24"/>
          <w:rtl w:val="0"/>
        </w:rPr>
        <w:t xml:space="preserve">, even as Meridor argues that they are simply women who are siding with her in the face of their oppression.</w:t>
      </w:r>
      <w:r w:rsidDel="00000000" w:rsidR="00000000" w:rsidRPr="00000000">
        <w:rPr>
          <w:rFonts w:ascii="Times New Roman" w:cs="Times New Roman" w:eastAsia="Times New Roman" w:hAnsi="Times New Roman"/>
          <w:sz w:val="24"/>
          <w:szCs w:val="24"/>
          <w:vertAlign w:val="superscript"/>
        </w:rPr>
        <w:footnoteReference w:customMarkFollows="0" w:id="68"/>
      </w:r>
      <w:r w:rsidDel="00000000" w:rsidR="00000000" w:rsidRPr="00000000">
        <w:rPr>
          <w:rFonts w:ascii="Times New Roman" w:cs="Times New Roman" w:eastAsia="Times New Roman" w:hAnsi="Times New Roman"/>
          <w:sz w:val="24"/>
          <w:szCs w:val="24"/>
          <w:rtl w:val="0"/>
        </w:rPr>
        <w:t xml:space="preserve"> This oppression is seen by many of the scholars who have written analysis of this play, but it was used merely as a device to persuade by Euripides, and not as a statement of this as an unfair situation (as discussed earlier, this woman who creates this feminine solidarity later commits infanticide, viewed as one of the worst crimes a mother can commit).</w:t>
      </w:r>
      <w:r w:rsidDel="00000000" w:rsidR="00000000" w:rsidRPr="00000000">
        <w:rPr>
          <w:rFonts w:ascii="Times New Roman" w:cs="Times New Roman" w:eastAsia="Times New Roman" w:hAnsi="Times New Roman"/>
          <w:sz w:val="24"/>
          <w:szCs w:val="24"/>
          <w:vertAlign w:val="superscript"/>
        </w:rPr>
        <w:footnoteReference w:customMarkFollows="0" w:id="69"/>
      </w:r>
      <w:r w:rsidDel="00000000" w:rsidR="00000000" w:rsidRPr="00000000">
        <w:rPr>
          <w:rFonts w:ascii="Times New Roman" w:cs="Times New Roman" w:eastAsia="Times New Roman" w:hAnsi="Times New Roman"/>
          <w:sz w:val="24"/>
          <w:szCs w:val="24"/>
          <w:rtl w:val="0"/>
        </w:rPr>
        <w:t xml:space="preserve"> This female solidarity that both Medea and Clytemnestra could create, leading these women in a movement to leave the personal sphere that they have been relegated to, is a form of control within itself, such as how Medea controls the chorus’ perception of her until they become aware of what she plans.</w:t>
      </w:r>
      <w:r w:rsidDel="00000000" w:rsidR="00000000" w:rsidRPr="00000000">
        <w:rPr>
          <w:rFonts w:ascii="Times New Roman" w:cs="Times New Roman" w:eastAsia="Times New Roman" w:hAnsi="Times New Roman"/>
          <w:sz w:val="24"/>
          <w:szCs w:val="24"/>
          <w:vertAlign w:val="superscript"/>
        </w:rPr>
        <w:footnoteReference w:customMarkFollows="0" w:id="70"/>
      </w:r>
      <w:r w:rsidDel="00000000" w:rsidR="00000000" w:rsidRPr="00000000">
        <w:rPr>
          <w:rFonts w:ascii="Times New Roman" w:cs="Times New Roman" w:eastAsia="Times New Roman" w:hAnsi="Times New Roman"/>
          <w:sz w:val="24"/>
          <w:szCs w:val="24"/>
          <w:rtl w:val="0"/>
        </w:rPr>
        <w:t xml:space="preserve"> This ability within and of itself presents her control over those who have continuously oppressed women within this universe, but in spite of that she is still oppressed, just the same as the fellow women within the chorus continue to be, and while her persuasive speech acts show the control she has over the situation, she still does not, ultimately, completely, manage to throw off the restrictions of her gender.</w:t>
      </w:r>
    </w:p>
    <w:p w:rsidR="00000000" w:rsidDel="00000000" w:rsidP="00000000" w:rsidRDefault="00000000" w:rsidRPr="00000000" w14:paraId="0000004F">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Largely, this binary is proven to be somewhat lacking primarily in the ways in which Clytemnestra and Medea affect the speech and the standing of those who are part of the public spheres, Clytemnestra addressing the chorus in a manner that is reminiscent of a formal defense, carried out only within what is primarily viewed as the area of men, carried out by those who have the opportunity to address the public in settings such as the </w:t>
      </w:r>
      <w:r w:rsidDel="00000000" w:rsidR="00000000" w:rsidRPr="00000000">
        <w:rPr>
          <w:rFonts w:ascii="Times New Roman" w:cs="Times New Roman" w:eastAsia="Times New Roman" w:hAnsi="Times New Roman"/>
          <w:i w:val="1"/>
          <w:sz w:val="24"/>
          <w:szCs w:val="24"/>
          <w:rtl w:val="0"/>
        </w:rPr>
        <w:t xml:space="preserve">agora</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vertAlign w:val="superscript"/>
        </w:rPr>
        <w:footnoteReference w:customMarkFollows="0" w:id="71"/>
      </w:r>
      <w:r w:rsidDel="00000000" w:rsidR="00000000" w:rsidRPr="00000000">
        <w:rPr>
          <w:rFonts w:ascii="Times New Roman" w:cs="Times New Roman" w:eastAsia="Times New Roman" w:hAnsi="Times New Roman"/>
          <w:sz w:val="24"/>
          <w:szCs w:val="24"/>
          <w:rtl w:val="0"/>
        </w:rPr>
        <w:t xml:space="preserve"> Medea speaks to Jason in the language of the heroic warrior who has been wronged, speaks to him as though they are equals, man to man.</w:t>
      </w:r>
      <w:r w:rsidDel="00000000" w:rsidR="00000000" w:rsidRPr="00000000">
        <w:rPr>
          <w:rFonts w:ascii="Times New Roman" w:cs="Times New Roman" w:eastAsia="Times New Roman" w:hAnsi="Times New Roman"/>
          <w:sz w:val="24"/>
          <w:szCs w:val="24"/>
          <w:vertAlign w:val="superscript"/>
        </w:rPr>
        <w:footnoteReference w:customMarkFollows="0" w:id="72"/>
      </w:r>
      <w:r w:rsidDel="00000000" w:rsidR="00000000" w:rsidRPr="00000000">
        <w:rPr>
          <w:rFonts w:ascii="Times New Roman" w:cs="Times New Roman" w:eastAsia="Times New Roman" w:hAnsi="Times New Roman"/>
          <w:sz w:val="24"/>
          <w:szCs w:val="24"/>
          <w:rtl w:val="0"/>
        </w:rPr>
        <w:t xml:space="preserve"> Clytemnestra and Medea both do not allow themselves to be spoken to like women, do not speak to those outside of the </w:t>
      </w:r>
      <w:r w:rsidDel="00000000" w:rsidR="00000000" w:rsidRPr="00000000">
        <w:rPr>
          <w:rFonts w:ascii="Times New Roman" w:cs="Times New Roman" w:eastAsia="Times New Roman" w:hAnsi="Times New Roman"/>
          <w:i w:val="1"/>
          <w:sz w:val="24"/>
          <w:szCs w:val="24"/>
          <w:rtl w:val="0"/>
        </w:rPr>
        <w:t xml:space="preserve">oikos</w:t>
      </w:r>
      <w:r w:rsidDel="00000000" w:rsidR="00000000" w:rsidRPr="00000000">
        <w:rPr>
          <w:rFonts w:ascii="Times New Roman" w:cs="Times New Roman" w:eastAsia="Times New Roman" w:hAnsi="Times New Roman"/>
          <w:sz w:val="24"/>
          <w:szCs w:val="24"/>
          <w:rtl w:val="0"/>
        </w:rPr>
        <w:t xml:space="preserve"> in a way that is at all reminiscent of the women that they are. This illustrates their ability to exist within both the public and private spheres, something which is usually the purview of men alone, and this shows them taking control of the public sphere from the men that they are married to. </w:t>
      </w:r>
    </w:p>
    <w:p w:rsidR="00000000" w:rsidDel="00000000" w:rsidP="00000000" w:rsidRDefault="00000000" w:rsidRPr="00000000" w14:paraId="00000051">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way in which this binary is lacking is presented by Torrance, who points towards the Greek/barbarian antithesis, which she argues does not present itself with the </w:t>
      </w:r>
      <w:r w:rsidDel="00000000" w:rsidR="00000000" w:rsidRPr="00000000">
        <w:rPr>
          <w:rFonts w:ascii="Times New Roman" w:cs="Times New Roman" w:eastAsia="Times New Roman" w:hAnsi="Times New Roman"/>
          <w:i w:val="1"/>
          <w:sz w:val="24"/>
          <w:szCs w:val="24"/>
          <w:rtl w:val="0"/>
        </w:rPr>
        <w:t xml:space="preserve">Helen</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vertAlign w:val="superscript"/>
        </w:rPr>
        <w:footnoteReference w:customMarkFollows="0" w:id="73"/>
      </w:r>
      <w:r w:rsidDel="00000000" w:rsidR="00000000" w:rsidRPr="00000000">
        <w:rPr>
          <w:rFonts w:ascii="Times New Roman" w:cs="Times New Roman" w:eastAsia="Times New Roman" w:hAnsi="Times New Roman"/>
          <w:sz w:val="24"/>
          <w:szCs w:val="24"/>
          <w:rtl w:val="0"/>
        </w:rPr>
        <w:t xml:space="preserve"> In direct contrast to this there is the presentation of Theoclymenus, who is inherently presented as the barbarian in the way in which he attempts to steal another man’s wife who had merely come to this land for protection.</w:t>
      </w:r>
      <w:r w:rsidDel="00000000" w:rsidR="00000000" w:rsidRPr="00000000">
        <w:rPr>
          <w:rFonts w:ascii="Times New Roman" w:cs="Times New Roman" w:eastAsia="Times New Roman" w:hAnsi="Times New Roman"/>
          <w:sz w:val="24"/>
          <w:szCs w:val="24"/>
          <w:vertAlign w:val="superscript"/>
        </w:rPr>
        <w:footnoteReference w:customMarkFollows="0" w:id="74"/>
      </w:r>
      <w:r w:rsidDel="00000000" w:rsidR="00000000" w:rsidRPr="00000000">
        <w:rPr>
          <w:rFonts w:ascii="Times New Roman" w:cs="Times New Roman" w:eastAsia="Times New Roman" w:hAnsi="Times New Roman"/>
          <w:sz w:val="24"/>
          <w:szCs w:val="24"/>
          <w:rtl w:val="0"/>
        </w:rPr>
        <w:t xml:space="preserve"> In the case of the </w:t>
      </w:r>
      <w:r w:rsidDel="00000000" w:rsidR="00000000" w:rsidRPr="00000000">
        <w:rPr>
          <w:rFonts w:ascii="Times New Roman" w:cs="Times New Roman" w:eastAsia="Times New Roman" w:hAnsi="Times New Roman"/>
          <w:i w:val="1"/>
          <w:sz w:val="24"/>
          <w:szCs w:val="24"/>
          <w:rtl w:val="0"/>
        </w:rPr>
        <w:t xml:space="preserve">oikos/polis</w:t>
      </w:r>
      <w:r w:rsidDel="00000000" w:rsidR="00000000" w:rsidRPr="00000000">
        <w:rPr>
          <w:rFonts w:ascii="Times New Roman" w:cs="Times New Roman" w:eastAsia="Times New Roman" w:hAnsi="Times New Roman"/>
          <w:sz w:val="24"/>
          <w:szCs w:val="24"/>
          <w:rtl w:val="0"/>
        </w:rPr>
        <w:t xml:space="preserve"> binary, this barely has a relevance merely based on the location of the play; that which makes it appropriate to assign any kind of adherence to the barbarian/Greek dichotomy is exactly that which takes away the relevance of the public/private spheres; there is no home within this text, has not been a home for Helen since the war started and Hermes spirited her </w:t>
      </w:r>
      <w:r w:rsidDel="00000000" w:rsidR="00000000" w:rsidRPr="00000000">
        <w:rPr>
          <w:rFonts w:ascii="Times New Roman" w:cs="Times New Roman" w:eastAsia="Times New Roman" w:hAnsi="Times New Roman"/>
          <w:sz w:val="24"/>
          <w:szCs w:val="24"/>
          <w:rtl w:val="0"/>
        </w:rPr>
        <w:t xml:space="preserve">away.</w:t>
      </w:r>
      <w:r w:rsidDel="00000000" w:rsidR="00000000" w:rsidRPr="00000000">
        <w:rPr>
          <w:rFonts w:ascii="Times New Roman" w:cs="Times New Roman" w:eastAsia="Times New Roman" w:hAnsi="Times New Roman"/>
          <w:sz w:val="24"/>
          <w:szCs w:val="24"/>
          <w:vertAlign w:val="superscript"/>
        </w:rPr>
        <w:footnoteReference w:customMarkFollows="0" w:id="75"/>
      </w:r>
      <w:r w:rsidDel="00000000" w:rsidR="00000000" w:rsidRPr="00000000">
        <w:rPr>
          <w:rFonts w:ascii="Times New Roman" w:cs="Times New Roman" w:eastAsia="Times New Roman" w:hAnsi="Times New Roman"/>
          <w:sz w:val="24"/>
          <w:szCs w:val="24"/>
          <w:rtl w:val="0"/>
        </w:rPr>
        <w:t xml:space="preserve"> Regardless of the relevance of the Greek/barbarian binary, there still remains control as evidenced through their speech, which has proven itself time and time again to still possess the ability to at least change perception in a way in which gives these mythological figures control of the conversation, engineering for themselves the reaction and opinion that they wish for.</w:t>
      </w:r>
    </w:p>
    <w:p w:rsidR="00000000" w:rsidDel="00000000" w:rsidP="00000000" w:rsidRDefault="00000000" w:rsidRPr="00000000" w14:paraId="00000053">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4">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Within concepts of binarism, the divine/mortal pairing shows itself especially within </w:t>
      </w:r>
      <w:r w:rsidDel="00000000" w:rsidR="00000000" w:rsidRPr="00000000">
        <w:rPr>
          <w:rFonts w:ascii="Times New Roman" w:cs="Times New Roman" w:eastAsia="Times New Roman" w:hAnsi="Times New Roman"/>
          <w:i w:val="1"/>
          <w:sz w:val="24"/>
          <w:szCs w:val="24"/>
          <w:rtl w:val="0"/>
        </w:rPr>
        <w:t xml:space="preserve">Helen</w:t>
      </w:r>
      <w:r w:rsidDel="00000000" w:rsidR="00000000" w:rsidRPr="00000000">
        <w:rPr>
          <w:rFonts w:ascii="Times New Roman" w:cs="Times New Roman" w:eastAsia="Times New Roman" w:hAnsi="Times New Roman"/>
          <w:sz w:val="24"/>
          <w:szCs w:val="24"/>
          <w:rtl w:val="0"/>
        </w:rPr>
        <w:t xml:space="preserve"> and </w:t>
      </w:r>
      <w:r w:rsidDel="00000000" w:rsidR="00000000" w:rsidRPr="00000000">
        <w:rPr>
          <w:rFonts w:ascii="Times New Roman" w:cs="Times New Roman" w:eastAsia="Times New Roman" w:hAnsi="Times New Roman"/>
          <w:i w:val="1"/>
          <w:sz w:val="24"/>
          <w:szCs w:val="24"/>
          <w:rtl w:val="0"/>
        </w:rPr>
        <w:t xml:space="preserve">Medea</w:t>
      </w:r>
      <w:r w:rsidDel="00000000" w:rsidR="00000000" w:rsidRPr="00000000">
        <w:rPr>
          <w:rFonts w:ascii="Times New Roman" w:cs="Times New Roman" w:eastAsia="Times New Roman" w:hAnsi="Times New Roman"/>
          <w:sz w:val="24"/>
          <w:szCs w:val="24"/>
          <w:rtl w:val="0"/>
        </w:rPr>
        <w:t xml:space="preserve">, mostly within the presentation of these figures experiencing some kind of apotheosis at the end of their plays. Helen’s apotheosis is foreshadowed by her brothers, the Dioscuroi, and is also foreshadowed by her position within Spartan coming of age festivals.</w:t>
      </w:r>
      <w:r w:rsidDel="00000000" w:rsidR="00000000" w:rsidRPr="00000000">
        <w:rPr>
          <w:rFonts w:ascii="Times New Roman" w:cs="Times New Roman" w:eastAsia="Times New Roman" w:hAnsi="Times New Roman"/>
          <w:sz w:val="24"/>
          <w:szCs w:val="24"/>
          <w:vertAlign w:val="superscript"/>
        </w:rPr>
        <w:footnoteReference w:customMarkFollows="0" w:id="76"/>
      </w:r>
      <w:r w:rsidDel="00000000" w:rsidR="00000000" w:rsidRPr="00000000">
        <w:rPr>
          <w:rFonts w:ascii="Times New Roman" w:cs="Times New Roman" w:eastAsia="Times New Roman" w:hAnsi="Times New Roman"/>
          <w:sz w:val="24"/>
          <w:szCs w:val="24"/>
          <w:rtl w:val="0"/>
        </w:rPr>
        <w:t xml:space="preserve"> Medea is presented as some kind of god-like figure with her reemergence above the stage within the last scene of the </w:t>
      </w:r>
      <w:r w:rsidDel="00000000" w:rsidR="00000000" w:rsidRPr="00000000">
        <w:rPr>
          <w:rFonts w:ascii="Times New Roman" w:cs="Times New Roman" w:eastAsia="Times New Roman" w:hAnsi="Times New Roman"/>
          <w:i w:val="1"/>
          <w:sz w:val="24"/>
          <w:szCs w:val="24"/>
          <w:rtl w:val="0"/>
        </w:rPr>
        <w:t xml:space="preserve">Medea</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vertAlign w:val="superscript"/>
        </w:rPr>
        <w:footnoteReference w:customMarkFollows="0" w:id="77"/>
      </w:r>
      <w:r w:rsidDel="00000000" w:rsidR="00000000" w:rsidRPr="00000000">
        <w:rPr>
          <w:rFonts w:ascii="Times New Roman" w:cs="Times New Roman" w:eastAsia="Times New Roman" w:hAnsi="Times New Roman"/>
          <w:sz w:val="24"/>
          <w:szCs w:val="24"/>
          <w:rtl w:val="0"/>
        </w:rPr>
        <w:t xml:space="preserve"> This movement between the two states, the two sides of this binary, proves that this binary, presented as something which they cannot move across, is essentially arbitrary. This does not provide anything of worth to us, an examination of apotheosis in regards to this binarist point of view, and proves little in the question of control, other than that those who apotheosize after they seize control are still able to seize some sort of happy ending, as Helen and Medea are the only two who manage to avoid any sort of consequences for their actions.</w:t>
      </w:r>
    </w:p>
    <w:p w:rsidR="00000000" w:rsidDel="00000000" w:rsidP="00000000" w:rsidRDefault="00000000" w:rsidRPr="00000000" w14:paraId="00000055">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Surprisingly, fabric has bearing upon this representation of </w:t>
      </w:r>
      <w:r w:rsidDel="00000000" w:rsidR="00000000" w:rsidRPr="00000000">
        <w:rPr>
          <w:rFonts w:ascii="Times New Roman" w:cs="Times New Roman" w:eastAsia="Times New Roman" w:hAnsi="Times New Roman"/>
          <w:i w:val="1"/>
          <w:sz w:val="24"/>
          <w:szCs w:val="24"/>
          <w:rtl w:val="0"/>
        </w:rPr>
        <w:t xml:space="preserve">oikos</w:t>
      </w:r>
      <w:r w:rsidDel="00000000" w:rsidR="00000000" w:rsidRPr="00000000">
        <w:rPr>
          <w:rFonts w:ascii="Times New Roman" w:cs="Times New Roman" w:eastAsia="Times New Roman" w:hAnsi="Times New Roman"/>
          <w:sz w:val="24"/>
          <w:szCs w:val="24"/>
          <w:rtl w:val="0"/>
        </w:rPr>
        <w:t xml:space="preserve"> versus </w:t>
      </w:r>
      <w:r w:rsidDel="00000000" w:rsidR="00000000" w:rsidRPr="00000000">
        <w:rPr>
          <w:rFonts w:ascii="Times New Roman" w:cs="Times New Roman" w:eastAsia="Times New Roman" w:hAnsi="Times New Roman"/>
          <w:i w:val="1"/>
          <w:sz w:val="24"/>
          <w:szCs w:val="24"/>
          <w:rtl w:val="0"/>
        </w:rPr>
        <w:t xml:space="preserve">polis</w:t>
      </w:r>
      <w:r w:rsidDel="00000000" w:rsidR="00000000" w:rsidRPr="00000000">
        <w:rPr>
          <w:rFonts w:ascii="Times New Roman" w:cs="Times New Roman" w:eastAsia="Times New Roman" w:hAnsi="Times New Roman"/>
          <w:sz w:val="24"/>
          <w:szCs w:val="24"/>
          <w:rtl w:val="0"/>
        </w:rPr>
        <w:t xml:space="preserve">, namely, the </w:t>
      </w:r>
      <w:r w:rsidDel="00000000" w:rsidR="00000000" w:rsidRPr="00000000">
        <w:rPr>
          <w:rFonts w:ascii="Times New Roman" w:cs="Times New Roman" w:eastAsia="Times New Roman" w:hAnsi="Times New Roman"/>
          <w:i w:val="1"/>
          <w:sz w:val="24"/>
          <w:szCs w:val="24"/>
          <w:rtl w:val="0"/>
        </w:rPr>
        <w:t xml:space="preserve">peplos</w:t>
      </w:r>
      <w:r w:rsidDel="00000000" w:rsidR="00000000" w:rsidRPr="00000000">
        <w:rPr>
          <w:rFonts w:ascii="Times New Roman" w:cs="Times New Roman" w:eastAsia="Times New Roman" w:hAnsi="Times New Roman"/>
          <w:sz w:val="24"/>
          <w:szCs w:val="24"/>
          <w:rtl w:val="0"/>
        </w:rPr>
        <w:t xml:space="preserve">. The </w:t>
      </w:r>
      <w:r w:rsidDel="00000000" w:rsidR="00000000" w:rsidRPr="00000000">
        <w:rPr>
          <w:rFonts w:ascii="Times New Roman" w:cs="Times New Roman" w:eastAsia="Times New Roman" w:hAnsi="Times New Roman"/>
          <w:i w:val="1"/>
          <w:sz w:val="24"/>
          <w:szCs w:val="24"/>
          <w:rtl w:val="0"/>
        </w:rPr>
        <w:t xml:space="preserve">peplos</w:t>
      </w:r>
      <w:r w:rsidDel="00000000" w:rsidR="00000000" w:rsidRPr="00000000">
        <w:rPr>
          <w:rFonts w:ascii="Times New Roman" w:cs="Times New Roman" w:eastAsia="Times New Roman" w:hAnsi="Times New Roman"/>
          <w:sz w:val="24"/>
          <w:szCs w:val="24"/>
          <w:rtl w:val="0"/>
        </w:rPr>
        <w:t xml:space="preserve"> has been anointed with the literary motif of being a weapon wielded by a woman, a weapon that is truly and purely feminine.</w:t>
      </w:r>
      <w:r w:rsidDel="00000000" w:rsidR="00000000" w:rsidRPr="00000000">
        <w:rPr>
          <w:rFonts w:ascii="Times New Roman" w:cs="Times New Roman" w:eastAsia="Times New Roman" w:hAnsi="Times New Roman"/>
          <w:sz w:val="24"/>
          <w:szCs w:val="24"/>
          <w:vertAlign w:val="superscript"/>
        </w:rPr>
        <w:footnoteReference w:customMarkFollows="0" w:id="78"/>
      </w:r>
      <w:r w:rsidDel="00000000" w:rsidR="00000000" w:rsidRPr="00000000">
        <w:rPr>
          <w:rFonts w:ascii="Times New Roman" w:cs="Times New Roman" w:eastAsia="Times New Roman" w:hAnsi="Times New Roman"/>
          <w:sz w:val="24"/>
          <w:szCs w:val="24"/>
          <w:rtl w:val="0"/>
        </w:rPr>
        <w:t xml:space="preserve"> This is something that was adopted by the tragedians and which is represented within both </w:t>
      </w:r>
      <w:r w:rsidDel="00000000" w:rsidR="00000000" w:rsidRPr="00000000">
        <w:rPr>
          <w:rFonts w:ascii="Times New Roman" w:cs="Times New Roman" w:eastAsia="Times New Roman" w:hAnsi="Times New Roman"/>
          <w:i w:val="1"/>
          <w:sz w:val="24"/>
          <w:szCs w:val="24"/>
          <w:rtl w:val="0"/>
        </w:rPr>
        <w:t xml:space="preserve">The Oresteia</w:t>
      </w:r>
      <w:r w:rsidDel="00000000" w:rsidR="00000000" w:rsidRPr="00000000">
        <w:rPr>
          <w:rFonts w:ascii="Times New Roman" w:cs="Times New Roman" w:eastAsia="Times New Roman" w:hAnsi="Times New Roman"/>
          <w:sz w:val="24"/>
          <w:szCs w:val="24"/>
          <w:rtl w:val="0"/>
        </w:rPr>
        <w:t xml:space="preserve"> and the </w:t>
      </w:r>
      <w:r w:rsidDel="00000000" w:rsidR="00000000" w:rsidRPr="00000000">
        <w:rPr>
          <w:rFonts w:ascii="Times New Roman" w:cs="Times New Roman" w:eastAsia="Times New Roman" w:hAnsi="Times New Roman"/>
          <w:i w:val="1"/>
          <w:sz w:val="24"/>
          <w:szCs w:val="24"/>
          <w:rtl w:val="0"/>
        </w:rPr>
        <w:t xml:space="preserve">Medea</w:t>
      </w:r>
      <w:r w:rsidDel="00000000" w:rsidR="00000000" w:rsidRPr="00000000">
        <w:rPr>
          <w:rFonts w:ascii="Times New Roman" w:cs="Times New Roman" w:eastAsia="Times New Roman" w:hAnsi="Times New Roman"/>
          <w:sz w:val="24"/>
          <w:szCs w:val="24"/>
          <w:rtl w:val="0"/>
        </w:rPr>
        <w:t xml:space="preserve">, this concept of the particular item of feminine clothing being the ultimate symbol of feminine </w:t>
      </w:r>
      <w:r w:rsidDel="00000000" w:rsidR="00000000" w:rsidRPr="00000000">
        <w:rPr>
          <w:rFonts w:ascii="Times New Roman" w:cs="Times New Roman" w:eastAsia="Times New Roman" w:hAnsi="Times New Roman"/>
          <w:i w:val="1"/>
          <w:sz w:val="24"/>
          <w:szCs w:val="24"/>
          <w:rtl w:val="0"/>
        </w:rPr>
        <w:t xml:space="preserve">metis</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vertAlign w:val="superscript"/>
        </w:rPr>
        <w:footnoteReference w:customMarkFollows="0" w:id="79"/>
      </w:r>
      <w:r w:rsidDel="00000000" w:rsidR="00000000" w:rsidRPr="00000000">
        <w:rPr>
          <w:rFonts w:ascii="Times New Roman" w:cs="Times New Roman" w:eastAsia="Times New Roman" w:hAnsi="Times New Roman"/>
          <w:sz w:val="24"/>
          <w:szCs w:val="24"/>
          <w:rtl w:val="0"/>
        </w:rPr>
        <w:t xml:space="preserve"> In connection to this representation of women it also symbolises the “inversion of the proper social order” according to Lee.</w:t>
      </w:r>
      <w:r w:rsidDel="00000000" w:rsidR="00000000" w:rsidRPr="00000000">
        <w:rPr>
          <w:rFonts w:ascii="Times New Roman" w:cs="Times New Roman" w:eastAsia="Times New Roman" w:hAnsi="Times New Roman"/>
          <w:sz w:val="24"/>
          <w:szCs w:val="24"/>
          <w:vertAlign w:val="superscript"/>
        </w:rPr>
        <w:footnoteReference w:customMarkFollows="0" w:id="80"/>
      </w:r>
      <w:r w:rsidDel="00000000" w:rsidR="00000000" w:rsidRPr="00000000">
        <w:rPr>
          <w:rFonts w:ascii="Times New Roman" w:cs="Times New Roman" w:eastAsia="Times New Roman" w:hAnsi="Times New Roman"/>
          <w:sz w:val="24"/>
          <w:szCs w:val="24"/>
          <w:rtl w:val="0"/>
        </w:rPr>
        <w:t xml:space="preserve"> This fabric and the movement of it, brings death with it, which within these texts is presented as power; power can be brought to the person who commits the murder, even if it doesn't last (in the case of Clytemnestra) and this garment itself, as a tool for murder, is something that has the ability to give these two women </w:t>
      </w:r>
      <w:r w:rsidDel="00000000" w:rsidR="00000000" w:rsidRPr="00000000">
        <w:rPr>
          <w:rFonts w:ascii="Times New Roman" w:cs="Times New Roman" w:eastAsia="Times New Roman" w:hAnsi="Times New Roman"/>
          <w:sz w:val="24"/>
          <w:szCs w:val="24"/>
          <w:rtl w:val="0"/>
        </w:rPr>
        <w:t xml:space="preserve">power.</w:t>
      </w:r>
      <w:r w:rsidDel="00000000" w:rsidR="00000000" w:rsidRPr="00000000">
        <w:rPr>
          <w:rFonts w:ascii="Times New Roman" w:cs="Times New Roman" w:eastAsia="Times New Roman" w:hAnsi="Times New Roman"/>
          <w:sz w:val="24"/>
          <w:szCs w:val="24"/>
          <w:vertAlign w:val="superscript"/>
        </w:rPr>
        <w:footnoteReference w:customMarkFollows="0" w:id="81"/>
      </w:r>
      <w:r w:rsidDel="00000000" w:rsidR="00000000" w:rsidRPr="00000000">
        <w:rPr>
          <w:rFonts w:ascii="Times New Roman" w:cs="Times New Roman" w:eastAsia="Times New Roman" w:hAnsi="Times New Roman"/>
          <w:sz w:val="24"/>
          <w:szCs w:val="24"/>
          <w:rtl w:val="0"/>
        </w:rPr>
        <w:t xml:space="preserve"> This contrasts with the other arguments made here, as this is a purely feminine symbol, a feminine garment wielded by women, and through which they can gain control over situations and over those who challenge them, unlike the other examples and arguments used within this section, that present power as something which is garnered through the adoption of masculine roles, or the movement into the public </w:t>
      </w:r>
      <w:r w:rsidDel="00000000" w:rsidR="00000000" w:rsidRPr="00000000">
        <w:rPr>
          <w:rFonts w:ascii="Times New Roman" w:cs="Times New Roman" w:eastAsia="Times New Roman" w:hAnsi="Times New Roman"/>
          <w:sz w:val="24"/>
          <w:szCs w:val="24"/>
          <w:rtl w:val="0"/>
        </w:rPr>
        <w:t xml:space="preserve">sphere.</w:t>
      </w:r>
      <w:r w:rsidDel="00000000" w:rsidR="00000000" w:rsidRPr="00000000">
        <w:rPr>
          <w:rFonts w:ascii="Times New Roman" w:cs="Times New Roman" w:eastAsia="Times New Roman" w:hAnsi="Times New Roman"/>
          <w:sz w:val="24"/>
          <w:szCs w:val="24"/>
          <w:vertAlign w:val="superscript"/>
        </w:rPr>
        <w:footnoteReference w:customMarkFollows="0" w:id="82"/>
      </w:r>
      <w:r w:rsidDel="00000000" w:rsidR="00000000" w:rsidRPr="00000000">
        <w:rPr>
          <w:rFonts w:ascii="Times New Roman" w:cs="Times New Roman" w:eastAsia="Times New Roman" w:hAnsi="Times New Roman"/>
          <w:sz w:val="24"/>
          <w:szCs w:val="24"/>
          <w:rtl w:val="0"/>
        </w:rPr>
        <w:t xml:space="preserve"> One obvious example of this, within the </w:t>
      </w:r>
      <w:r w:rsidDel="00000000" w:rsidR="00000000" w:rsidRPr="00000000">
        <w:rPr>
          <w:rFonts w:ascii="Times New Roman" w:cs="Times New Roman" w:eastAsia="Times New Roman" w:hAnsi="Times New Roman"/>
          <w:i w:val="1"/>
          <w:sz w:val="24"/>
          <w:szCs w:val="24"/>
          <w:rtl w:val="0"/>
        </w:rPr>
        <w:t xml:space="preserve">Agamemnon</w:t>
      </w:r>
      <w:r w:rsidDel="00000000" w:rsidR="00000000" w:rsidRPr="00000000">
        <w:rPr>
          <w:rFonts w:ascii="Times New Roman" w:cs="Times New Roman" w:eastAsia="Times New Roman" w:hAnsi="Times New Roman"/>
          <w:sz w:val="24"/>
          <w:szCs w:val="24"/>
          <w:rtl w:val="0"/>
        </w:rPr>
        <w:t xml:space="preserve">, is the use of the elaborate tapestries that are laid out for Agamemnon’s return.</w:t>
      </w:r>
      <w:r w:rsidDel="00000000" w:rsidR="00000000" w:rsidRPr="00000000">
        <w:rPr>
          <w:rFonts w:ascii="Times New Roman" w:cs="Times New Roman" w:eastAsia="Times New Roman" w:hAnsi="Times New Roman"/>
          <w:sz w:val="24"/>
          <w:szCs w:val="24"/>
          <w:vertAlign w:val="superscript"/>
        </w:rPr>
        <w:footnoteReference w:customMarkFollows="0" w:id="83"/>
      </w:r>
      <w:r w:rsidDel="00000000" w:rsidR="00000000" w:rsidRPr="00000000">
        <w:rPr>
          <w:rFonts w:ascii="Times New Roman" w:cs="Times New Roman" w:eastAsia="Times New Roman" w:hAnsi="Times New Roman"/>
          <w:sz w:val="24"/>
          <w:szCs w:val="24"/>
          <w:rtl w:val="0"/>
        </w:rPr>
        <w:t xml:space="preserve"> Clytemnestra, through forcing him into accepting what he views as a hedonistic, unhonourable action, flexes her control over him, and this reintroduces him back into what is her sphere of control, from the public sphere of the battlefield. This reminds him of where he is, of whose control he is now under as he re-enters what is his house but is primarily </w:t>
      </w:r>
      <w:r w:rsidDel="00000000" w:rsidR="00000000" w:rsidRPr="00000000">
        <w:rPr>
          <w:rFonts w:ascii="Times New Roman" w:cs="Times New Roman" w:eastAsia="Times New Roman" w:hAnsi="Times New Roman"/>
          <w:i w:val="1"/>
          <w:sz w:val="24"/>
          <w:szCs w:val="24"/>
          <w:rtl w:val="0"/>
        </w:rPr>
        <w:t xml:space="preserve">her</w:t>
      </w:r>
      <w:r w:rsidDel="00000000" w:rsidR="00000000" w:rsidRPr="00000000">
        <w:rPr>
          <w:rFonts w:ascii="Times New Roman" w:cs="Times New Roman" w:eastAsia="Times New Roman" w:hAnsi="Times New Roman"/>
          <w:sz w:val="24"/>
          <w:szCs w:val="24"/>
          <w:rtl w:val="0"/>
        </w:rPr>
        <w:t xml:space="preserve"> house, especially after he’s spent ten years away. This is a clear example of the public and private spheres in action, and this obvious reminder of who is in control here is just the beginning of Clytemnestra exerting her power over Agamemnon, which ends in death.</w:t>
      </w:r>
    </w:p>
    <w:p w:rsidR="00000000" w:rsidDel="00000000" w:rsidP="00000000" w:rsidRDefault="00000000" w:rsidRPr="00000000" w14:paraId="00000057">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masculine/feminine divide is most easily bridged through language and action, as these two things seem to be assigned genders throughout scholarship. The masculinity of the skill with speech that Medea and Clytemnestra have has previously been discussed above, but their actions have not been. Clytemnestra’s very act of the murder of her husband is something that is intrinsically masculine upon this binary, and Aeschylus </w:t>
      </w:r>
      <w:r w:rsidDel="00000000" w:rsidR="00000000" w:rsidRPr="00000000">
        <w:rPr>
          <w:rFonts w:ascii="Times New Roman" w:cs="Times New Roman" w:eastAsia="Times New Roman" w:hAnsi="Times New Roman"/>
          <w:i w:val="1"/>
          <w:sz w:val="24"/>
          <w:szCs w:val="24"/>
          <w:rtl w:val="0"/>
        </w:rPr>
        <w:t xml:space="preserve">chooses</w:t>
      </w:r>
      <w:r w:rsidDel="00000000" w:rsidR="00000000" w:rsidRPr="00000000">
        <w:rPr>
          <w:rFonts w:ascii="Times New Roman" w:cs="Times New Roman" w:eastAsia="Times New Roman" w:hAnsi="Times New Roman"/>
          <w:sz w:val="24"/>
          <w:szCs w:val="24"/>
          <w:rtl w:val="0"/>
        </w:rPr>
        <w:t xml:space="preserve"> to make Clytemnestra the primary murderer, as she had not been previously.</w:t>
      </w:r>
      <w:r w:rsidDel="00000000" w:rsidR="00000000" w:rsidRPr="00000000">
        <w:rPr>
          <w:rFonts w:ascii="Times New Roman" w:cs="Times New Roman" w:eastAsia="Times New Roman" w:hAnsi="Times New Roman"/>
          <w:sz w:val="24"/>
          <w:szCs w:val="24"/>
          <w:vertAlign w:val="superscript"/>
        </w:rPr>
        <w:footnoteReference w:customMarkFollows="0" w:id="84"/>
      </w:r>
      <w:r w:rsidDel="00000000" w:rsidR="00000000" w:rsidRPr="00000000">
        <w:rPr>
          <w:rFonts w:ascii="Times New Roman" w:cs="Times New Roman" w:eastAsia="Times New Roman" w:hAnsi="Times New Roman"/>
          <w:sz w:val="24"/>
          <w:szCs w:val="24"/>
          <w:rtl w:val="0"/>
        </w:rPr>
        <w:t xml:space="preserve"> Prag also indulges upon the sword or axe debate, a large area of contention within the scholarship surrounding this play, and one of the reasons that this scholar gives is based upon the masculinity of the sword, calling Clytemnestra an “unwomanly woman”.</w:t>
      </w:r>
      <w:r w:rsidDel="00000000" w:rsidR="00000000" w:rsidRPr="00000000">
        <w:rPr>
          <w:rFonts w:ascii="Times New Roman" w:cs="Times New Roman" w:eastAsia="Times New Roman" w:hAnsi="Times New Roman"/>
          <w:sz w:val="24"/>
          <w:szCs w:val="24"/>
          <w:vertAlign w:val="superscript"/>
        </w:rPr>
        <w:footnoteReference w:customMarkFollows="0" w:id="85"/>
      </w:r>
      <w:r w:rsidDel="00000000" w:rsidR="00000000" w:rsidRPr="00000000">
        <w:rPr>
          <w:rFonts w:ascii="Times New Roman" w:cs="Times New Roman" w:eastAsia="Times New Roman" w:hAnsi="Times New Roman"/>
          <w:sz w:val="24"/>
          <w:szCs w:val="24"/>
          <w:rtl w:val="0"/>
        </w:rPr>
        <w:t xml:space="preserve"> Prag also emphasises the </w:t>
      </w:r>
      <w:r w:rsidDel="00000000" w:rsidR="00000000" w:rsidRPr="00000000">
        <w:rPr>
          <w:rFonts w:ascii="Times New Roman" w:cs="Times New Roman" w:eastAsia="Times New Roman" w:hAnsi="Times New Roman"/>
          <w:i w:val="1"/>
          <w:sz w:val="24"/>
          <w:szCs w:val="24"/>
          <w:rtl w:val="0"/>
        </w:rPr>
        <w:t xml:space="preserve">horror</w:t>
      </w:r>
      <w:r w:rsidDel="00000000" w:rsidR="00000000" w:rsidRPr="00000000">
        <w:rPr>
          <w:rFonts w:ascii="Times New Roman" w:cs="Times New Roman" w:eastAsia="Times New Roman" w:hAnsi="Times New Roman"/>
          <w:sz w:val="24"/>
          <w:szCs w:val="24"/>
          <w:rtl w:val="0"/>
        </w:rPr>
        <w:t xml:space="preserve"> that comes with this action having been carried out by a woman, which illustrates the way in which this is defined as an unfeminine act. Upon this same binary, Medea’s internal honour code is something which is defined as “masculine”.</w:t>
      </w:r>
      <w:r w:rsidDel="00000000" w:rsidR="00000000" w:rsidRPr="00000000">
        <w:rPr>
          <w:rFonts w:ascii="Times New Roman" w:cs="Times New Roman" w:eastAsia="Times New Roman" w:hAnsi="Times New Roman"/>
          <w:sz w:val="24"/>
          <w:szCs w:val="24"/>
          <w:vertAlign w:val="superscript"/>
        </w:rPr>
        <w:footnoteReference w:customMarkFollows="0" w:id="86"/>
      </w:r>
      <w:r w:rsidDel="00000000" w:rsidR="00000000" w:rsidRPr="00000000">
        <w:rPr>
          <w:rFonts w:ascii="Times New Roman" w:cs="Times New Roman" w:eastAsia="Times New Roman" w:hAnsi="Times New Roman"/>
          <w:sz w:val="24"/>
          <w:szCs w:val="24"/>
          <w:rtl w:val="0"/>
        </w:rPr>
        <w:t xml:space="preserve"> While Medea is also capable of the masculine act of murder, of violence, one of her most striking masculine characteristics would be that of her honour code. She subscribes to the same code that Achilles and other great Greek heroes subscribe to, which should promote her to the ranks of the greats, but this is not allowed to her because of her status as a woman, and the terrible atrocities that she commits.</w:t>
      </w:r>
      <w:r w:rsidDel="00000000" w:rsidR="00000000" w:rsidRPr="00000000">
        <w:rPr>
          <w:rFonts w:ascii="Times New Roman" w:cs="Times New Roman" w:eastAsia="Times New Roman" w:hAnsi="Times New Roman"/>
          <w:sz w:val="24"/>
          <w:szCs w:val="24"/>
          <w:vertAlign w:val="superscript"/>
        </w:rPr>
        <w:footnoteReference w:customMarkFollows="0" w:id="87"/>
      </w:r>
      <w:r w:rsidDel="00000000" w:rsidR="00000000" w:rsidRPr="00000000">
        <w:rPr>
          <w:rFonts w:ascii="Times New Roman" w:cs="Times New Roman" w:eastAsia="Times New Roman" w:hAnsi="Times New Roman"/>
          <w:sz w:val="24"/>
          <w:szCs w:val="24"/>
          <w:rtl w:val="0"/>
        </w:rPr>
        <w:t xml:space="preserve"> This is especially demonstrated within her holding Jason to the debt that he owes her for the way in which she, personally, is responsible for his retrieval of the Golden Fleece.</w:t>
      </w:r>
      <w:r w:rsidDel="00000000" w:rsidR="00000000" w:rsidRPr="00000000">
        <w:rPr>
          <w:rFonts w:ascii="Times New Roman" w:cs="Times New Roman" w:eastAsia="Times New Roman" w:hAnsi="Times New Roman"/>
          <w:sz w:val="24"/>
          <w:szCs w:val="24"/>
          <w:vertAlign w:val="superscript"/>
        </w:rPr>
        <w:footnoteReference w:customMarkFollows="0" w:id="88"/>
      </w:r>
      <w:r w:rsidDel="00000000" w:rsidR="00000000" w:rsidRPr="00000000">
        <w:rPr>
          <w:rFonts w:ascii="Times New Roman" w:cs="Times New Roman" w:eastAsia="Times New Roman" w:hAnsi="Times New Roman"/>
          <w:sz w:val="24"/>
          <w:szCs w:val="24"/>
          <w:rtl w:val="0"/>
        </w:rPr>
        <w:t xml:space="preserve"> Without her help, she believes, he would not have retrieved it, and she also thinks that their marriage was a product of the way in which she helped him, and in response he attempts to strip her of the responsibility for this action.</w:t>
      </w:r>
      <w:r w:rsidDel="00000000" w:rsidR="00000000" w:rsidRPr="00000000">
        <w:rPr>
          <w:rFonts w:ascii="Times New Roman" w:cs="Times New Roman" w:eastAsia="Times New Roman" w:hAnsi="Times New Roman"/>
          <w:sz w:val="24"/>
          <w:szCs w:val="24"/>
          <w:vertAlign w:val="superscript"/>
        </w:rPr>
        <w:footnoteReference w:customMarkFollows="0" w:id="89"/>
      </w:r>
      <w:r w:rsidDel="00000000" w:rsidR="00000000" w:rsidRPr="00000000">
        <w:rPr>
          <w:rFonts w:ascii="Times New Roman" w:cs="Times New Roman" w:eastAsia="Times New Roman" w:hAnsi="Times New Roman"/>
          <w:sz w:val="24"/>
          <w:szCs w:val="24"/>
          <w:rtl w:val="0"/>
        </w:rPr>
        <w:t xml:space="preserve"> This is especially galling when he, in response to his retrieval of the Golden Fleece, is seen as a Greek hero, and as a non-Greek woman she is not allowed to be awarded the same honour, regardless of how much of the responsibility for the retrieval she bore. This shows that Jason still has the backing of the institutions in place at this time, but regardless of this Medea still regains control of this situation, she still presents herself in a way that proceeds to gain her something like masculine respect; her and Aegeus greet each other and swear an oath as equals, the handclasp something which women at this time were not usually able to enter into on their own behalf.</w:t>
      </w:r>
      <w:r w:rsidDel="00000000" w:rsidR="00000000" w:rsidRPr="00000000">
        <w:rPr>
          <w:rFonts w:ascii="Times New Roman" w:cs="Times New Roman" w:eastAsia="Times New Roman" w:hAnsi="Times New Roman"/>
          <w:sz w:val="24"/>
          <w:szCs w:val="24"/>
          <w:vertAlign w:val="superscript"/>
        </w:rPr>
        <w:footnoteReference w:customMarkFollows="0" w:id="90"/>
      </w:r>
      <w:r w:rsidDel="00000000" w:rsidR="00000000" w:rsidRPr="00000000">
        <w:rPr>
          <w:rFonts w:ascii="Times New Roman" w:cs="Times New Roman" w:eastAsia="Times New Roman" w:hAnsi="Times New Roman"/>
          <w:sz w:val="24"/>
          <w:szCs w:val="24"/>
          <w:rtl w:val="0"/>
        </w:rPr>
        <w:t xml:space="preserve"> These very ways in which these characters are referred to in a masculine light are the ways in which they take the control of situations that they’re in for themselves.</w:t>
      </w:r>
    </w:p>
    <w:p w:rsidR="00000000" w:rsidDel="00000000" w:rsidP="00000000" w:rsidRDefault="00000000" w:rsidRPr="00000000" w14:paraId="00000059">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spacing w:line="480" w:lineRule="auto"/>
        <w:contextualSpacing w:val="0"/>
        <w:rPr>
          <w:rFonts w:ascii="Times New Roman" w:cs="Times New Roman" w:eastAsia="Times New Roman" w:hAnsi="Times New Roman"/>
        </w:rPr>
      </w:pPr>
      <w:r w:rsidDel="00000000" w:rsidR="00000000" w:rsidRPr="00000000">
        <w:rPr>
          <w:rFonts w:ascii="Times New Roman" w:cs="Times New Roman" w:eastAsia="Times New Roman" w:hAnsi="Times New Roman"/>
          <w:sz w:val="24"/>
          <w:szCs w:val="24"/>
          <w:rtl w:val="0"/>
        </w:rPr>
        <w:t xml:space="preserve">Clytemnestra and Medea within the two texts embrace things that are referred to as masculine, and through this embrace the public sphere of the </w:t>
      </w:r>
      <w:r w:rsidDel="00000000" w:rsidR="00000000" w:rsidRPr="00000000">
        <w:rPr>
          <w:rFonts w:ascii="Times New Roman" w:cs="Times New Roman" w:eastAsia="Times New Roman" w:hAnsi="Times New Roman"/>
          <w:i w:val="1"/>
          <w:sz w:val="24"/>
          <w:szCs w:val="24"/>
          <w:rtl w:val="0"/>
        </w:rPr>
        <w:t xml:space="preserve">polis</w:t>
      </w:r>
      <w:r w:rsidDel="00000000" w:rsidR="00000000" w:rsidRPr="00000000">
        <w:rPr>
          <w:rFonts w:ascii="Times New Roman" w:cs="Times New Roman" w:eastAsia="Times New Roman" w:hAnsi="Times New Roman"/>
          <w:sz w:val="24"/>
          <w:szCs w:val="24"/>
          <w:rtl w:val="0"/>
        </w:rPr>
        <w:t xml:space="preserve">. Both within their speech and their actions they subvert this binary approach, applying themselves, intrinsically feminine, to domains in which they are told they do not belong.</w:t>
      </w:r>
      <w:r w:rsidDel="00000000" w:rsidR="00000000" w:rsidRPr="00000000">
        <w:rPr>
          <w:rFonts w:ascii="Times New Roman" w:cs="Times New Roman" w:eastAsia="Times New Roman" w:hAnsi="Times New Roman"/>
          <w:sz w:val="24"/>
          <w:szCs w:val="24"/>
          <w:vertAlign w:val="superscript"/>
        </w:rPr>
        <w:footnoteReference w:customMarkFollows="0" w:id="91"/>
      </w:r>
      <w:r w:rsidDel="00000000" w:rsidR="00000000" w:rsidRPr="00000000">
        <w:rPr>
          <w:rFonts w:ascii="Times New Roman" w:cs="Times New Roman" w:eastAsia="Times New Roman" w:hAnsi="Times New Roman"/>
          <w:sz w:val="24"/>
          <w:szCs w:val="24"/>
          <w:rtl w:val="0"/>
        </w:rPr>
        <w:t xml:space="preserve"> In contrast to this, one thing that this does elucidate is that control lies within that which is believed to be the domain of the masculine. They show themselves to be in possession of this control and/or power in the ways in which scholars align these mythological figures with masculine coded behaviours, which does say something about Athenian society but also says things about our society and the lens through which scholars view these texts. There is a pronounced belief on the parts of both the ancient playwrights and the modern scholars, that any action which gains these women power or control, in any situation, is something which is a masculine action. This is shown through how even stepping outside of the </w:t>
      </w:r>
      <w:r w:rsidDel="00000000" w:rsidR="00000000" w:rsidRPr="00000000">
        <w:rPr>
          <w:rFonts w:ascii="Times New Roman" w:cs="Times New Roman" w:eastAsia="Times New Roman" w:hAnsi="Times New Roman"/>
          <w:i w:val="1"/>
          <w:sz w:val="24"/>
          <w:szCs w:val="24"/>
          <w:rtl w:val="0"/>
        </w:rPr>
        <w:t xml:space="preserve">oikos</w:t>
      </w:r>
      <w:r w:rsidDel="00000000" w:rsidR="00000000" w:rsidRPr="00000000">
        <w:rPr>
          <w:rFonts w:ascii="Times New Roman" w:cs="Times New Roman" w:eastAsia="Times New Roman" w:hAnsi="Times New Roman"/>
          <w:sz w:val="24"/>
          <w:szCs w:val="24"/>
          <w:rtl w:val="0"/>
        </w:rPr>
        <w:t xml:space="preserve"> is seen as a masculine action, regardless of the one performing it.</w:t>
      </w:r>
      <w:r w:rsidDel="00000000" w:rsidR="00000000" w:rsidRPr="00000000">
        <w:br w:type="page"/>
      </w:r>
      <w:r w:rsidDel="00000000" w:rsidR="00000000" w:rsidRPr="00000000">
        <w:rPr>
          <w:rtl w:val="0"/>
        </w:rPr>
      </w:r>
    </w:p>
    <w:p w:rsidR="00000000" w:rsidDel="00000000" w:rsidP="00000000" w:rsidRDefault="00000000" w:rsidRPr="00000000" w14:paraId="0000005B">
      <w:pPr>
        <w:pStyle w:val="Heading2"/>
        <w:spacing w:line="480" w:lineRule="auto"/>
        <w:contextualSpacing w:val="0"/>
        <w:rPr>
          <w:rFonts w:ascii="Times New Roman" w:cs="Times New Roman" w:eastAsia="Times New Roman" w:hAnsi="Times New Roman"/>
        </w:rPr>
      </w:pPr>
      <w:bookmarkStart w:colFirst="0" w:colLast="0" w:name="_zdwmn0k79h99" w:id="5"/>
      <w:bookmarkEnd w:id="5"/>
      <w:r w:rsidDel="00000000" w:rsidR="00000000" w:rsidRPr="00000000">
        <w:rPr>
          <w:rFonts w:ascii="Times New Roman" w:cs="Times New Roman" w:eastAsia="Times New Roman" w:hAnsi="Times New Roman"/>
          <w:rtl w:val="0"/>
        </w:rPr>
        <w:t xml:space="preserve">Chapter III: The importance of obedience</w:t>
      </w:r>
    </w:p>
    <w:p w:rsidR="00000000" w:rsidDel="00000000" w:rsidP="00000000" w:rsidRDefault="00000000" w:rsidRPr="00000000" w14:paraId="0000005C">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Obedience within a woman’s position as a wife was expected, something which is clearly shown within </w:t>
      </w:r>
      <w:r w:rsidDel="00000000" w:rsidR="00000000" w:rsidRPr="00000000">
        <w:rPr>
          <w:rFonts w:ascii="Times New Roman" w:cs="Times New Roman" w:eastAsia="Times New Roman" w:hAnsi="Times New Roman"/>
          <w:i w:val="1"/>
          <w:sz w:val="24"/>
          <w:szCs w:val="24"/>
          <w:rtl w:val="0"/>
        </w:rPr>
        <w:t xml:space="preserve">Iphigenia at Aulis</w:t>
      </w:r>
      <w:r w:rsidDel="00000000" w:rsidR="00000000" w:rsidRPr="00000000">
        <w:rPr>
          <w:rFonts w:ascii="Times New Roman" w:cs="Times New Roman" w:eastAsia="Times New Roman" w:hAnsi="Times New Roman"/>
          <w:sz w:val="24"/>
          <w:szCs w:val="24"/>
          <w:rtl w:val="0"/>
        </w:rPr>
        <w:t xml:space="preserve"> through Agamemnon demanding that Clytemnestra obeys him.</w:t>
      </w:r>
      <w:r w:rsidDel="00000000" w:rsidR="00000000" w:rsidRPr="00000000">
        <w:rPr>
          <w:rFonts w:ascii="Times New Roman" w:cs="Times New Roman" w:eastAsia="Times New Roman" w:hAnsi="Times New Roman"/>
          <w:sz w:val="24"/>
          <w:szCs w:val="24"/>
          <w:vertAlign w:val="superscript"/>
        </w:rPr>
        <w:footnoteReference w:customMarkFollows="0" w:id="92"/>
      </w:r>
      <w:r w:rsidDel="00000000" w:rsidR="00000000" w:rsidRPr="00000000">
        <w:rPr>
          <w:rFonts w:ascii="Times New Roman" w:cs="Times New Roman" w:eastAsia="Times New Roman" w:hAnsi="Times New Roman"/>
          <w:sz w:val="24"/>
          <w:szCs w:val="24"/>
          <w:rtl w:val="0"/>
        </w:rPr>
        <w:t xml:space="preserve"> This is a consistent theme throughout this play and the complete defiance of this is a theme throughout the </w:t>
      </w:r>
      <w:r w:rsidDel="00000000" w:rsidR="00000000" w:rsidRPr="00000000">
        <w:rPr>
          <w:rFonts w:ascii="Times New Roman" w:cs="Times New Roman" w:eastAsia="Times New Roman" w:hAnsi="Times New Roman"/>
          <w:i w:val="1"/>
          <w:sz w:val="24"/>
          <w:szCs w:val="24"/>
          <w:rtl w:val="0"/>
        </w:rPr>
        <w:t xml:space="preserve">Medea</w:t>
      </w:r>
      <w:r w:rsidDel="00000000" w:rsidR="00000000" w:rsidRPr="00000000">
        <w:rPr>
          <w:rFonts w:ascii="Times New Roman" w:cs="Times New Roman" w:eastAsia="Times New Roman" w:hAnsi="Times New Roman"/>
          <w:sz w:val="24"/>
          <w:szCs w:val="24"/>
          <w:rtl w:val="0"/>
        </w:rPr>
        <w:t xml:space="preserve">. Iphigenia shows herself throughout the play in which she features to be willing to do what her father tells her, is the epitome of the model female child, and Helen, also, locks herself away so that she cannot be blamed for someone else taking advantage of her lack of protection in the form of a husband. This theme of obedience can be investigated through several different areas, including through the ways in which mythological figures comment upon this theme, the ways in which women use their stereotype of cunning and deceit to undercut the obedience that’s expected of them, and how oaths are tendered by women to influence the men within their lives to complete the actions that they want of them.</w:t>
      </w:r>
    </w:p>
    <w:p w:rsidR="00000000" w:rsidDel="00000000" w:rsidP="00000000" w:rsidRDefault="00000000" w:rsidRPr="00000000" w14:paraId="0000005D">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Agamemnon and Clytemnestra within </w:t>
      </w:r>
      <w:r w:rsidDel="00000000" w:rsidR="00000000" w:rsidRPr="00000000">
        <w:rPr>
          <w:rFonts w:ascii="Times New Roman" w:cs="Times New Roman" w:eastAsia="Times New Roman" w:hAnsi="Times New Roman"/>
          <w:i w:val="1"/>
          <w:sz w:val="24"/>
          <w:szCs w:val="24"/>
          <w:rtl w:val="0"/>
        </w:rPr>
        <w:t xml:space="preserve">Iphigenia at Aulis</w:t>
      </w:r>
      <w:r w:rsidDel="00000000" w:rsidR="00000000" w:rsidRPr="00000000">
        <w:rPr>
          <w:rFonts w:ascii="Times New Roman" w:cs="Times New Roman" w:eastAsia="Times New Roman" w:hAnsi="Times New Roman"/>
          <w:sz w:val="24"/>
          <w:szCs w:val="24"/>
          <w:rtl w:val="0"/>
        </w:rPr>
        <w:t xml:space="preserve"> are the obvious examples to use for this particular question, as Agamemnon himself mentions his need for Clytemnestra to simply do as she’s told.</w:t>
      </w:r>
      <w:r w:rsidDel="00000000" w:rsidR="00000000" w:rsidRPr="00000000">
        <w:rPr>
          <w:rFonts w:ascii="Times New Roman" w:cs="Times New Roman" w:eastAsia="Times New Roman" w:hAnsi="Times New Roman"/>
          <w:sz w:val="24"/>
          <w:szCs w:val="24"/>
          <w:vertAlign w:val="superscript"/>
        </w:rPr>
        <w:footnoteReference w:customMarkFollows="0" w:id="93"/>
      </w:r>
      <w:r w:rsidDel="00000000" w:rsidR="00000000" w:rsidRPr="00000000">
        <w:rPr>
          <w:rFonts w:ascii="Times New Roman" w:cs="Times New Roman" w:eastAsia="Times New Roman" w:hAnsi="Times New Roman"/>
          <w:sz w:val="24"/>
          <w:szCs w:val="24"/>
          <w:rtl w:val="0"/>
        </w:rPr>
        <w:t xml:space="preserve"> Obedience within a marriage, from a wife, was incredibly important, as a wife that was out of control would reflect badly back on the man who was married to her, as shown by Plato’s claim that the “excellence of a woman [depended upon her] being obedient to her husband”.</w:t>
      </w:r>
      <w:r w:rsidDel="00000000" w:rsidR="00000000" w:rsidRPr="00000000">
        <w:rPr>
          <w:rFonts w:ascii="Times New Roman" w:cs="Times New Roman" w:eastAsia="Times New Roman" w:hAnsi="Times New Roman"/>
          <w:sz w:val="24"/>
          <w:szCs w:val="24"/>
          <w:vertAlign w:val="superscript"/>
        </w:rPr>
        <w:footnoteReference w:customMarkFollows="0" w:id="94"/>
      </w:r>
      <w:r w:rsidDel="00000000" w:rsidR="00000000" w:rsidRPr="00000000">
        <w:rPr>
          <w:rFonts w:ascii="Times New Roman" w:cs="Times New Roman" w:eastAsia="Times New Roman" w:hAnsi="Times New Roman"/>
          <w:sz w:val="24"/>
          <w:szCs w:val="24"/>
          <w:rtl w:val="0"/>
        </w:rPr>
        <w:t xml:space="preserve"> Agamemnon often within </w:t>
      </w:r>
      <w:r w:rsidDel="00000000" w:rsidR="00000000" w:rsidRPr="00000000">
        <w:rPr>
          <w:rFonts w:ascii="Times New Roman" w:cs="Times New Roman" w:eastAsia="Times New Roman" w:hAnsi="Times New Roman"/>
          <w:i w:val="1"/>
          <w:sz w:val="24"/>
          <w:szCs w:val="24"/>
          <w:rtl w:val="0"/>
        </w:rPr>
        <w:t xml:space="preserve">Iphigenia at Aulis</w:t>
      </w:r>
      <w:r w:rsidDel="00000000" w:rsidR="00000000" w:rsidRPr="00000000">
        <w:rPr>
          <w:rFonts w:ascii="Times New Roman" w:cs="Times New Roman" w:eastAsia="Times New Roman" w:hAnsi="Times New Roman"/>
          <w:sz w:val="24"/>
          <w:szCs w:val="24"/>
          <w:rtl w:val="0"/>
        </w:rPr>
        <w:t xml:space="preserve"> reminds Clytemnestra of her place, as discussed earlier, and later within the text Clytemnestra herself states that she is obedient to him, that she does as he tells her.</w:t>
      </w:r>
      <w:r w:rsidDel="00000000" w:rsidR="00000000" w:rsidRPr="00000000">
        <w:rPr>
          <w:rFonts w:ascii="Times New Roman" w:cs="Times New Roman" w:eastAsia="Times New Roman" w:hAnsi="Times New Roman"/>
          <w:sz w:val="24"/>
          <w:szCs w:val="24"/>
          <w:vertAlign w:val="superscript"/>
        </w:rPr>
        <w:footnoteReference w:customMarkFollows="0" w:id="95"/>
      </w:r>
      <w:r w:rsidDel="00000000" w:rsidR="00000000" w:rsidRPr="00000000">
        <w:rPr>
          <w:rFonts w:ascii="Times New Roman" w:cs="Times New Roman" w:eastAsia="Times New Roman" w:hAnsi="Times New Roman"/>
          <w:sz w:val="24"/>
          <w:szCs w:val="24"/>
          <w:rtl w:val="0"/>
        </w:rPr>
        <w:t xml:space="preserve"> From </w:t>
      </w:r>
      <w:r w:rsidDel="00000000" w:rsidR="00000000" w:rsidRPr="00000000">
        <w:rPr>
          <w:rFonts w:ascii="Times New Roman" w:cs="Times New Roman" w:eastAsia="Times New Roman" w:hAnsi="Times New Roman"/>
          <w:i w:val="1"/>
          <w:sz w:val="24"/>
          <w:szCs w:val="24"/>
          <w:rtl w:val="0"/>
        </w:rPr>
        <w:t xml:space="preserve">Iphigenia at Aulis</w:t>
      </w:r>
      <w:r w:rsidDel="00000000" w:rsidR="00000000" w:rsidRPr="00000000">
        <w:rPr>
          <w:rFonts w:ascii="Times New Roman" w:cs="Times New Roman" w:eastAsia="Times New Roman" w:hAnsi="Times New Roman"/>
          <w:sz w:val="24"/>
          <w:szCs w:val="24"/>
          <w:rtl w:val="0"/>
        </w:rPr>
        <w:t xml:space="preserve"> to </w:t>
      </w:r>
      <w:r w:rsidDel="00000000" w:rsidR="00000000" w:rsidRPr="00000000">
        <w:rPr>
          <w:rFonts w:ascii="Times New Roman" w:cs="Times New Roman" w:eastAsia="Times New Roman" w:hAnsi="Times New Roman"/>
          <w:i w:val="1"/>
          <w:sz w:val="24"/>
          <w:szCs w:val="24"/>
          <w:rtl w:val="0"/>
        </w:rPr>
        <w:t xml:space="preserve">Agamemnon</w:t>
      </w:r>
      <w:r w:rsidDel="00000000" w:rsidR="00000000" w:rsidRPr="00000000">
        <w:rPr>
          <w:rFonts w:ascii="Times New Roman" w:cs="Times New Roman" w:eastAsia="Times New Roman" w:hAnsi="Times New Roman"/>
          <w:sz w:val="24"/>
          <w:szCs w:val="24"/>
          <w:rtl w:val="0"/>
        </w:rPr>
        <w:t xml:space="preserve"> there is a clear timeline of how, exactly, Clytemnestra removes herself from being under that control, and the clearest moment of how she subverts this within the </w:t>
      </w:r>
      <w:r w:rsidDel="00000000" w:rsidR="00000000" w:rsidRPr="00000000">
        <w:rPr>
          <w:rFonts w:ascii="Times New Roman" w:cs="Times New Roman" w:eastAsia="Times New Roman" w:hAnsi="Times New Roman"/>
          <w:i w:val="1"/>
          <w:sz w:val="24"/>
          <w:szCs w:val="24"/>
          <w:rtl w:val="0"/>
        </w:rPr>
        <w:t xml:space="preserve">Agamemnon</w:t>
      </w:r>
      <w:r w:rsidDel="00000000" w:rsidR="00000000" w:rsidRPr="00000000">
        <w:rPr>
          <w:rFonts w:ascii="Times New Roman" w:cs="Times New Roman" w:eastAsia="Times New Roman" w:hAnsi="Times New Roman"/>
          <w:sz w:val="24"/>
          <w:szCs w:val="24"/>
          <w:rtl w:val="0"/>
        </w:rPr>
        <w:t xml:space="preserve"> comes with her telling him to “surrender” to her.</w:t>
      </w:r>
      <w:r w:rsidDel="00000000" w:rsidR="00000000" w:rsidRPr="00000000">
        <w:rPr>
          <w:rFonts w:ascii="Times New Roman" w:cs="Times New Roman" w:eastAsia="Times New Roman" w:hAnsi="Times New Roman"/>
          <w:sz w:val="24"/>
          <w:szCs w:val="24"/>
          <w:vertAlign w:val="superscript"/>
        </w:rPr>
        <w:footnoteReference w:customMarkFollows="0" w:id="96"/>
      </w:r>
      <w:r w:rsidDel="00000000" w:rsidR="00000000" w:rsidRPr="00000000">
        <w:rPr>
          <w:rFonts w:ascii="Times New Roman" w:cs="Times New Roman" w:eastAsia="Times New Roman" w:hAnsi="Times New Roman"/>
          <w:sz w:val="24"/>
          <w:szCs w:val="24"/>
          <w:rtl w:val="0"/>
        </w:rPr>
        <w:t xml:space="preserve"> This is very clearly the exact moment within the text where the control within the relationship shifts from man to wife. This moment very clearly links with, as discussed above, the power of the </w:t>
      </w:r>
      <w:r w:rsidDel="00000000" w:rsidR="00000000" w:rsidRPr="00000000">
        <w:rPr>
          <w:rFonts w:ascii="Times New Roman" w:cs="Times New Roman" w:eastAsia="Times New Roman" w:hAnsi="Times New Roman"/>
          <w:i w:val="1"/>
          <w:sz w:val="24"/>
          <w:szCs w:val="24"/>
          <w:rtl w:val="0"/>
        </w:rPr>
        <w:t xml:space="preserve">peplos</w:t>
      </w:r>
      <w:r w:rsidDel="00000000" w:rsidR="00000000" w:rsidRPr="00000000">
        <w:rPr>
          <w:rFonts w:ascii="Times New Roman" w:cs="Times New Roman" w:eastAsia="Times New Roman" w:hAnsi="Times New Roman"/>
          <w:sz w:val="24"/>
          <w:szCs w:val="24"/>
          <w:rtl w:val="0"/>
        </w:rPr>
        <w:t xml:space="preserve">, which subverts the clear gender barriers that are adhered to by the wives that remain “good”.</w:t>
      </w:r>
      <w:r w:rsidDel="00000000" w:rsidR="00000000" w:rsidRPr="00000000">
        <w:rPr>
          <w:rFonts w:ascii="Times New Roman" w:cs="Times New Roman" w:eastAsia="Times New Roman" w:hAnsi="Times New Roman"/>
          <w:sz w:val="24"/>
          <w:szCs w:val="24"/>
          <w:vertAlign w:val="superscript"/>
        </w:rPr>
        <w:footnoteReference w:customMarkFollows="0" w:id="97"/>
      </w:r>
      <w:r w:rsidDel="00000000" w:rsidR="00000000" w:rsidRPr="00000000">
        <w:rPr>
          <w:rFonts w:ascii="Times New Roman" w:cs="Times New Roman" w:eastAsia="Times New Roman" w:hAnsi="Times New Roman"/>
          <w:sz w:val="24"/>
          <w:szCs w:val="24"/>
          <w:rtl w:val="0"/>
        </w:rPr>
        <w:t xml:space="preserve"> This moment, when Agamemnon submits to her, is that which confirms what is about to happen; Clytemnestra is going to kill him, and later, within this text, she will be profoundly proud and certain that she did the right thing</w:t>
      </w:r>
      <w:r w:rsidDel="00000000" w:rsidR="00000000" w:rsidRPr="00000000">
        <w:rPr>
          <w:rFonts w:ascii="Times New Roman" w:cs="Times New Roman" w:eastAsia="Times New Roman" w:hAnsi="Times New Roman"/>
          <w:sz w:val="24"/>
          <w:szCs w:val="24"/>
          <w:vertAlign w:val="superscript"/>
        </w:rPr>
        <w:footnoteReference w:customMarkFollows="0" w:id="98"/>
      </w:r>
      <w:r w:rsidDel="00000000" w:rsidR="00000000" w:rsidRPr="00000000">
        <w:rPr>
          <w:rFonts w:ascii="Times New Roman" w:cs="Times New Roman" w:eastAsia="Times New Roman" w:hAnsi="Times New Roman"/>
          <w:sz w:val="24"/>
          <w:szCs w:val="24"/>
          <w:rtl w:val="0"/>
        </w:rPr>
        <w:t xml:space="preserve"> Clytemnestra’s language after the fact asserts her own agency and her pride, and this shows that her move to murder her husband is something that she’s glad she did, but this also illustrates how, through her movement to gain the controlling power within the relationship, this then leads to his death.</w:t>
      </w:r>
    </w:p>
    <w:p w:rsidR="00000000" w:rsidDel="00000000" w:rsidP="00000000" w:rsidRDefault="00000000" w:rsidRPr="00000000" w14:paraId="0000005F">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0">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ways in which male control is expressed is through their grip on the women within their lives. This is shown within the </w:t>
      </w:r>
      <w:r w:rsidDel="00000000" w:rsidR="00000000" w:rsidRPr="00000000">
        <w:rPr>
          <w:rFonts w:ascii="Times New Roman" w:cs="Times New Roman" w:eastAsia="Times New Roman" w:hAnsi="Times New Roman"/>
          <w:i w:val="1"/>
          <w:sz w:val="24"/>
          <w:szCs w:val="24"/>
          <w:rtl w:val="0"/>
        </w:rPr>
        <w:t xml:space="preserve">Helen</w:t>
      </w:r>
      <w:r w:rsidDel="00000000" w:rsidR="00000000" w:rsidRPr="00000000">
        <w:rPr>
          <w:rFonts w:ascii="Times New Roman" w:cs="Times New Roman" w:eastAsia="Times New Roman" w:hAnsi="Times New Roman"/>
          <w:sz w:val="24"/>
          <w:szCs w:val="24"/>
          <w:rtl w:val="0"/>
        </w:rPr>
        <w:t xml:space="preserve"> through Helen’s gentle nudging of Menelaus; she is not able to outright enact the plan alone, but she can, through slightly devious means, steer him towards what she wants.</w:t>
      </w:r>
      <w:r w:rsidDel="00000000" w:rsidR="00000000" w:rsidRPr="00000000">
        <w:rPr>
          <w:rFonts w:ascii="Times New Roman" w:cs="Times New Roman" w:eastAsia="Times New Roman" w:hAnsi="Times New Roman"/>
          <w:sz w:val="24"/>
          <w:szCs w:val="24"/>
          <w:vertAlign w:val="superscript"/>
        </w:rPr>
        <w:footnoteReference w:customMarkFollows="0" w:id="99"/>
      </w:r>
      <w:r w:rsidDel="00000000" w:rsidR="00000000" w:rsidRPr="00000000">
        <w:rPr>
          <w:rFonts w:ascii="Times New Roman" w:cs="Times New Roman" w:eastAsia="Times New Roman" w:hAnsi="Times New Roman"/>
          <w:sz w:val="24"/>
          <w:szCs w:val="24"/>
          <w:rtl w:val="0"/>
        </w:rPr>
        <w:t xml:space="preserve"> Through her use of deceptive tricks she is able to claim the control of this situation, while remaining under what Menelaus views as her obedience to him, and this does not have a negative result due to her purity of purpose.</w:t>
      </w:r>
      <w:r w:rsidDel="00000000" w:rsidR="00000000" w:rsidRPr="00000000">
        <w:rPr>
          <w:rFonts w:ascii="Times New Roman" w:cs="Times New Roman" w:eastAsia="Times New Roman" w:hAnsi="Times New Roman"/>
          <w:sz w:val="24"/>
          <w:szCs w:val="24"/>
          <w:vertAlign w:val="superscript"/>
        </w:rPr>
        <w:footnoteReference w:customMarkFollows="0" w:id="100"/>
      </w:r>
      <w:r w:rsidDel="00000000" w:rsidR="00000000" w:rsidRPr="00000000">
        <w:rPr>
          <w:rFonts w:ascii="Times New Roman" w:cs="Times New Roman" w:eastAsia="Times New Roman" w:hAnsi="Times New Roman"/>
          <w:sz w:val="24"/>
          <w:szCs w:val="24"/>
          <w:rtl w:val="0"/>
        </w:rPr>
        <w:t xml:space="preserve"> Through this, she claims some power in their relationship, doing so using what is viewed as a somewhat typical feminine skill, using “feminine tricks” as Theoclymenus claims.</w:t>
      </w:r>
      <w:r w:rsidDel="00000000" w:rsidR="00000000" w:rsidRPr="00000000">
        <w:rPr>
          <w:rFonts w:ascii="Times New Roman" w:cs="Times New Roman" w:eastAsia="Times New Roman" w:hAnsi="Times New Roman"/>
          <w:sz w:val="24"/>
          <w:szCs w:val="24"/>
          <w:vertAlign w:val="superscript"/>
        </w:rPr>
        <w:footnoteReference w:customMarkFollows="0" w:id="101"/>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61">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2">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Helen’s deception and her retaining of control uses some of the same tricks that Medea deploys, but Medea uses her skill of feminine deviousness for much more nefarious purposes, as evidenced by her conversation with Creon, where she begs him to allow her to stay for a single day, and he allows it regardless of his misgivings, due to Medea’s knowledge that he will be deceived through supplication. Medea allows Creon to believe that he has all of the power within this situation and then deviously tricks him, using this time to kill him and his daughter.</w:t>
      </w:r>
      <w:r w:rsidDel="00000000" w:rsidR="00000000" w:rsidRPr="00000000">
        <w:rPr>
          <w:rFonts w:ascii="Times New Roman" w:cs="Times New Roman" w:eastAsia="Times New Roman" w:hAnsi="Times New Roman"/>
          <w:sz w:val="24"/>
          <w:szCs w:val="24"/>
          <w:vertAlign w:val="superscript"/>
        </w:rPr>
        <w:footnoteReference w:customMarkFollows="0" w:id="102"/>
      </w:r>
      <w:r w:rsidDel="00000000" w:rsidR="00000000" w:rsidRPr="00000000">
        <w:rPr>
          <w:rFonts w:ascii="Times New Roman" w:cs="Times New Roman" w:eastAsia="Times New Roman" w:hAnsi="Times New Roman"/>
          <w:sz w:val="24"/>
          <w:szCs w:val="24"/>
          <w:rtl w:val="0"/>
        </w:rPr>
        <w:t xml:space="preserve"> Both of these examples illustrate how women within their marriages, and simply in relation to other men around them, they need to make the men believe that they have the control, and through this, the power, in any situation. This ties into the theme of obedience, since the insistence that women remain to appear as being “a good, trustworthy wife”,</w:t>
      </w:r>
      <w:r w:rsidDel="00000000" w:rsidR="00000000" w:rsidRPr="00000000">
        <w:rPr>
          <w:rFonts w:ascii="Times New Roman" w:cs="Times New Roman" w:eastAsia="Times New Roman" w:hAnsi="Times New Roman"/>
          <w:sz w:val="24"/>
          <w:szCs w:val="24"/>
          <w:vertAlign w:val="superscript"/>
        </w:rPr>
        <w:footnoteReference w:customMarkFollows="0" w:id="103"/>
      </w:r>
      <w:r w:rsidDel="00000000" w:rsidR="00000000" w:rsidRPr="00000000">
        <w:rPr>
          <w:rFonts w:ascii="Times New Roman" w:cs="Times New Roman" w:eastAsia="Times New Roman" w:hAnsi="Times New Roman"/>
          <w:sz w:val="24"/>
          <w:szCs w:val="24"/>
          <w:rtl w:val="0"/>
        </w:rPr>
        <w:t xml:space="preserve"> in the words of Agamemnon, is what leads to their use of “feminine” duplicity, and this is what has lead to the society’s fear of this skill, which they’ve nurtured in answer to their patriarchal surroundings, being what threatens this patriarchal system.</w:t>
      </w:r>
      <w:r w:rsidDel="00000000" w:rsidR="00000000" w:rsidRPr="00000000">
        <w:rPr>
          <w:rFonts w:ascii="Times New Roman" w:cs="Times New Roman" w:eastAsia="Times New Roman" w:hAnsi="Times New Roman"/>
          <w:sz w:val="24"/>
          <w:szCs w:val="24"/>
          <w:vertAlign w:val="superscript"/>
        </w:rPr>
        <w:footnoteReference w:customMarkFollows="0" w:id="104"/>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63">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contrast with these two uses of those supposedly “feminine” skills, within the </w:t>
      </w:r>
      <w:r w:rsidDel="00000000" w:rsidR="00000000" w:rsidRPr="00000000">
        <w:rPr>
          <w:rFonts w:ascii="Times New Roman" w:cs="Times New Roman" w:eastAsia="Times New Roman" w:hAnsi="Times New Roman"/>
          <w:i w:val="1"/>
          <w:sz w:val="24"/>
          <w:szCs w:val="24"/>
          <w:rtl w:val="0"/>
        </w:rPr>
        <w:t xml:space="preserve">Agamemnon</w:t>
      </w:r>
      <w:r w:rsidDel="00000000" w:rsidR="00000000" w:rsidRPr="00000000">
        <w:rPr>
          <w:rFonts w:ascii="Times New Roman" w:cs="Times New Roman" w:eastAsia="Times New Roman" w:hAnsi="Times New Roman"/>
          <w:sz w:val="24"/>
          <w:szCs w:val="24"/>
          <w:rtl w:val="0"/>
        </w:rPr>
        <w:t xml:space="preserve"> Clytemnestra does not express a skill for the underhanded, and perhaps this is why Fagles refers to her as a “mannish” woman.</w:t>
      </w:r>
      <w:r w:rsidDel="00000000" w:rsidR="00000000" w:rsidRPr="00000000">
        <w:rPr>
          <w:rFonts w:ascii="Times New Roman" w:cs="Times New Roman" w:eastAsia="Times New Roman" w:hAnsi="Times New Roman"/>
          <w:sz w:val="24"/>
          <w:szCs w:val="24"/>
          <w:vertAlign w:val="superscript"/>
        </w:rPr>
        <w:footnoteReference w:customMarkFollows="0" w:id="105"/>
      </w:r>
      <w:r w:rsidDel="00000000" w:rsidR="00000000" w:rsidRPr="00000000">
        <w:rPr>
          <w:rFonts w:ascii="Times New Roman" w:cs="Times New Roman" w:eastAsia="Times New Roman" w:hAnsi="Times New Roman"/>
          <w:sz w:val="24"/>
          <w:szCs w:val="24"/>
          <w:rtl w:val="0"/>
        </w:rPr>
        <w:t xml:space="preserve"> These behaviours are gendered, both within the texts and by scholars, and it is not a stretch of the imagination to see that the scholarship is affected by the same patriarchal system that the women within the texts were. Clytemnestra does not need to use devious tricks, not once she has convinced Agamemnon to submit to her, she has already claimed the power within her relationship, and she can control the events that follow without having to claim to be something that she is not, or to act as though she is still the good wife that she is perceived to be within </w:t>
      </w:r>
      <w:r w:rsidDel="00000000" w:rsidR="00000000" w:rsidRPr="00000000">
        <w:rPr>
          <w:rFonts w:ascii="Times New Roman" w:cs="Times New Roman" w:eastAsia="Times New Roman" w:hAnsi="Times New Roman"/>
          <w:i w:val="1"/>
          <w:sz w:val="24"/>
          <w:szCs w:val="24"/>
          <w:rtl w:val="0"/>
        </w:rPr>
        <w:t xml:space="preserve">Iphigenia at Aulis</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65">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act of carrying out an oath is something that, according to Fletcher, is the domain of men, and yet both Medea and Helen tender oaths from men.</w:t>
      </w:r>
      <w:r w:rsidDel="00000000" w:rsidR="00000000" w:rsidRPr="00000000">
        <w:rPr>
          <w:rFonts w:ascii="Times New Roman" w:cs="Times New Roman" w:eastAsia="Times New Roman" w:hAnsi="Times New Roman"/>
          <w:sz w:val="24"/>
          <w:szCs w:val="24"/>
          <w:vertAlign w:val="superscript"/>
        </w:rPr>
        <w:footnoteReference w:customMarkFollows="0" w:id="106"/>
      </w:r>
      <w:r w:rsidDel="00000000" w:rsidR="00000000" w:rsidRPr="00000000">
        <w:rPr>
          <w:rFonts w:ascii="Times New Roman" w:cs="Times New Roman" w:eastAsia="Times New Roman" w:hAnsi="Times New Roman"/>
          <w:sz w:val="24"/>
          <w:szCs w:val="24"/>
          <w:rtl w:val="0"/>
        </w:rPr>
        <w:t xml:space="preserve"> These oaths, especially in the case of Medea, allow them to have increased agency; they have control over the outcome of a situation, with the backing of the gods.</w:t>
      </w:r>
      <w:r w:rsidDel="00000000" w:rsidR="00000000" w:rsidRPr="00000000">
        <w:rPr>
          <w:rFonts w:ascii="Times New Roman" w:cs="Times New Roman" w:eastAsia="Times New Roman" w:hAnsi="Times New Roman"/>
          <w:sz w:val="24"/>
          <w:szCs w:val="24"/>
          <w:vertAlign w:val="superscript"/>
        </w:rPr>
        <w:footnoteReference w:customMarkFollows="0" w:id="107"/>
      </w:r>
      <w:r w:rsidDel="00000000" w:rsidR="00000000" w:rsidRPr="00000000">
        <w:rPr>
          <w:rFonts w:ascii="Times New Roman" w:cs="Times New Roman" w:eastAsia="Times New Roman" w:hAnsi="Times New Roman"/>
          <w:sz w:val="24"/>
          <w:szCs w:val="24"/>
          <w:rtl w:val="0"/>
        </w:rPr>
        <w:t xml:space="preserve"> Oaths force a person into obediently fulfilling that which they have promised, and through these oaths Helen and Medea exercise their control, and through this their power, over the men in their lives, flipping the usual relationship into one in which these men have to obediently fulfill these wishes.Tendering an oath is, essentially, a simple way to lock a person into fulfilling what they have promised; oaths within ancient Greek society were incredibly important, and those breakers of oaths are punished very severely; such as Jason is.</w:t>
      </w:r>
      <w:r w:rsidDel="00000000" w:rsidR="00000000" w:rsidRPr="00000000">
        <w:rPr>
          <w:rFonts w:ascii="Times New Roman" w:cs="Times New Roman" w:eastAsia="Times New Roman" w:hAnsi="Times New Roman"/>
          <w:sz w:val="24"/>
          <w:szCs w:val="24"/>
          <w:vertAlign w:val="superscript"/>
        </w:rPr>
        <w:footnoteReference w:customMarkFollows="0" w:id="108"/>
      </w:r>
      <w:r w:rsidDel="00000000" w:rsidR="00000000" w:rsidRPr="00000000">
        <w:rPr>
          <w:rFonts w:ascii="Times New Roman" w:cs="Times New Roman" w:eastAsia="Times New Roman" w:hAnsi="Times New Roman"/>
          <w:sz w:val="24"/>
          <w:szCs w:val="24"/>
          <w:rtl w:val="0"/>
        </w:rPr>
        <w:t xml:space="preserve"> Medea’s punishment of Jason could be read as her showing herself to be an avenging fury, and this would explain the gods helping her escape at the end of the play; the gods have never taken the breaking oaths lightly.</w:t>
      </w:r>
      <w:r w:rsidDel="00000000" w:rsidR="00000000" w:rsidRPr="00000000">
        <w:rPr>
          <w:rFonts w:ascii="Times New Roman" w:cs="Times New Roman" w:eastAsia="Times New Roman" w:hAnsi="Times New Roman"/>
          <w:sz w:val="24"/>
          <w:szCs w:val="24"/>
          <w:vertAlign w:val="superscript"/>
        </w:rPr>
        <w:footnoteReference w:customMarkFollows="0" w:id="109"/>
      </w:r>
      <w:r w:rsidDel="00000000" w:rsidR="00000000" w:rsidRPr="00000000">
        <w:rPr>
          <w:rFonts w:ascii="Times New Roman" w:cs="Times New Roman" w:eastAsia="Times New Roman" w:hAnsi="Times New Roman"/>
          <w:sz w:val="24"/>
          <w:szCs w:val="24"/>
          <w:rtl w:val="0"/>
        </w:rPr>
        <w:t xml:space="preserve"> The difference between the two oaths tendered from men is that Helen’s oath is what allows Menelaus to be able to take the control within the relationship back from her.</w:t>
      </w:r>
      <w:r w:rsidDel="00000000" w:rsidR="00000000" w:rsidRPr="00000000">
        <w:rPr>
          <w:rFonts w:ascii="Times New Roman" w:cs="Times New Roman" w:eastAsia="Times New Roman" w:hAnsi="Times New Roman"/>
          <w:sz w:val="24"/>
          <w:szCs w:val="24"/>
          <w:vertAlign w:val="superscript"/>
        </w:rPr>
        <w:footnoteReference w:customMarkFollows="0" w:id="110"/>
      </w:r>
      <w:r w:rsidDel="00000000" w:rsidR="00000000" w:rsidRPr="00000000">
        <w:rPr>
          <w:rFonts w:ascii="Times New Roman" w:cs="Times New Roman" w:eastAsia="Times New Roman" w:hAnsi="Times New Roman"/>
          <w:sz w:val="24"/>
          <w:szCs w:val="24"/>
          <w:rtl w:val="0"/>
        </w:rPr>
        <w:t xml:space="preserve"> Helen allays Menelaus’ fears and they manage to get into a position where they are near to returning to what they view as civilised lands, and along with this civility there returns the patriarchal system of power within their relationship.</w:t>
      </w:r>
    </w:p>
    <w:p w:rsidR="00000000" w:rsidDel="00000000" w:rsidP="00000000" w:rsidRDefault="00000000" w:rsidRPr="00000000" w14:paraId="00000067">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8">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Medea’s oath, on the other hand, enables her to trick Aegeus into housing her regardless of whether she’s a child murderer or not.</w:t>
      </w:r>
      <w:r w:rsidDel="00000000" w:rsidR="00000000" w:rsidRPr="00000000">
        <w:rPr>
          <w:rFonts w:ascii="Times New Roman" w:cs="Times New Roman" w:eastAsia="Times New Roman" w:hAnsi="Times New Roman"/>
          <w:sz w:val="24"/>
          <w:szCs w:val="24"/>
          <w:vertAlign w:val="superscript"/>
        </w:rPr>
        <w:footnoteReference w:customMarkFollows="0" w:id="111"/>
      </w:r>
      <w:r w:rsidDel="00000000" w:rsidR="00000000" w:rsidRPr="00000000">
        <w:rPr>
          <w:rFonts w:ascii="Times New Roman" w:cs="Times New Roman" w:eastAsia="Times New Roman" w:hAnsi="Times New Roman"/>
          <w:sz w:val="24"/>
          <w:szCs w:val="24"/>
          <w:rtl w:val="0"/>
        </w:rPr>
        <w:t xml:space="preserve"> Dunkle posits that “Medea characteristically binds men to herself with oaths,”</w:t>
      </w:r>
      <w:r w:rsidDel="00000000" w:rsidR="00000000" w:rsidRPr="00000000">
        <w:rPr>
          <w:rFonts w:ascii="Times New Roman" w:cs="Times New Roman" w:eastAsia="Times New Roman" w:hAnsi="Times New Roman"/>
          <w:sz w:val="24"/>
          <w:szCs w:val="24"/>
          <w:vertAlign w:val="superscript"/>
        </w:rPr>
        <w:footnoteReference w:customMarkFollows="0" w:id="112"/>
      </w:r>
      <w:r w:rsidDel="00000000" w:rsidR="00000000" w:rsidRPr="00000000">
        <w:rPr>
          <w:rFonts w:ascii="Times New Roman" w:cs="Times New Roman" w:eastAsia="Times New Roman" w:hAnsi="Times New Roman"/>
          <w:sz w:val="24"/>
          <w:szCs w:val="24"/>
          <w:rtl w:val="0"/>
        </w:rPr>
        <w:t xml:space="preserve"> and with Jason and Aegeus this is certainly true. These actions, on her part, lead to her being able to control these men; she controlled Jason into a marriage with her, and the breaking of this oath lead to his leaving of this control, something which she harshly punishes him for. Medea uses oaths to garner things from men, things that she needs or wants, and she punishes Jason, blames him for what he has done to her, because he breaks one of these oaths.</w:t>
      </w:r>
      <w:r w:rsidDel="00000000" w:rsidR="00000000" w:rsidRPr="00000000">
        <w:rPr>
          <w:rFonts w:ascii="Times New Roman" w:cs="Times New Roman" w:eastAsia="Times New Roman" w:hAnsi="Times New Roman"/>
          <w:sz w:val="24"/>
          <w:szCs w:val="24"/>
          <w:vertAlign w:val="superscript"/>
        </w:rPr>
        <w:footnoteReference w:customMarkFollows="0" w:id="113"/>
      </w:r>
      <w:r w:rsidDel="00000000" w:rsidR="00000000" w:rsidRPr="00000000">
        <w:rPr>
          <w:rFonts w:ascii="Times New Roman" w:cs="Times New Roman" w:eastAsia="Times New Roman" w:hAnsi="Times New Roman"/>
          <w:sz w:val="24"/>
          <w:szCs w:val="24"/>
          <w:rtl w:val="0"/>
        </w:rPr>
        <w:t xml:space="preserve"> Flory claims that the “joining of right hands … only occurs between male heroes,”</w:t>
      </w:r>
      <w:r w:rsidDel="00000000" w:rsidR="00000000" w:rsidRPr="00000000">
        <w:rPr>
          <w:rFonts w:ascii="Times New Roman" w:cs="Times New Roman" w:eastAsia="Times New Roman" w:hAnsi="Times New Roman"/>
          <w:sz w:val="24"/>
          <w:szCs w:val="24"/>
          <w:vertAlign w:val="superscript"/>
        </w:rPr>
        <w:footnoteReference w:customMarkFollows="0" w:id="114"/>
      </w:r>
      <w:r w:rsidDel="00000000" w:rsidR="00000000" w:rsidRPr="00000000">
        <w:rPr>
          <w:rFonts w:ascii="Times New Roman" w:cs="Times New Roman" w:eastAsia="Times New Roman" w:hAnsi="Times New Roman"/>
          <w:sz w:val="24"/>
          <w:szCs w:val="24"/>
          <w:rtl w:val="0"/>
        </w:rPr>
        <w:t xml:space="preserve"> and this shows the way in which Medea pushes off the control of her male counterparts, and through these oaths she has garnered the upper hand, using the gods to help her establish the control, and through this the power, within these relationships.</w:t>
      </w:r>
    </w:p>
    <w:p w:rsidR="00000000" w:rsidDel="00000000" w:rsidP="00000000" w:rsidRDefault="00000000" w:rsidRPr="00000000" w14:paraId="00000069">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A">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these three areas of close reading it is clear that women within these texts were expected to perform perfect obedience to both their </w:t>
      </w:r>
      <w:r w:rsidDel="00000000" w:rsidR="00000000" w:rsidRPr="00000000">
        <w:rPr>
          <w:rFonts w:ascii="Times New Roman" w:cs="Times New Roman" w:eastAsia="Times New Roman" w:hAnsi="Times New Roman"/>
          <w:i w:val="1"/>
          <w:sz w:val="24"/>
          <w:szCs w:val="24"/>
          <w:rtl w:val="0"/>
        </w:rPr>
        <w:t xml:space="preserve">kurios</w:t>
      </w:r>
      <w:r w:rsidDel="00000000" w:rsidR="00000000" w:rsidRPr="00000000">
        <w:rPr>
          <w:rFonts w:ascii="Times New Roman" w:cs="Times New Roman" w:eastAsia="Times New Roman" w:hAnsi="Times New Roman"/>
          <w:sz w:val="24"/>
          <w:szCs w:val="24"/>
          <w:rtl w:val="0"/>
        </w:rPr>
        <w:t xml:space="preserve"> and other men within their lives. Iphigenia is the perfect, obedient young girl, and the one choice that she eventually makes is initially something that Agamemnon, her father, was going to force her to do.</w:t>
      </w:r>
      <w:r w:rsidDel="00000000" w:rsidR="00000000" w:rsidRPr="00000000">
        <w:rPr>
          <w:rFonts w:ascii="Times New Roman" w:cs="Times New Roman" w:eastAsia="Times New Roman" w:hAnsi="Times New Roman"/>
          <w:sz w:val="24"/>
          <w:szCs w:val="24"/>
          <w:vertAlign w:val="superscript"/>
        </w:rPr>
        <w:footnoteReference w:customMarkFollows="0" w:id="115"/>
      </w:r>
      <w:r w:rsidDel="00000000" w:rsidR="00000000" w:rsidRPr="00000000">
        <w:rPr>
          <w:rFonts w:ascii="Times New Roman" w:cs="Times New Roman" w:eastAsia="Times New Roman" w:hAnsi="Times New Roman"/>
          <w:sz w:val="24"/>
          <w:szCs w:val="24"/>
          <w:rtl w:val="0"/>
        </w:rPr>
        <w:t xml:space="preserve"> These representations, in spite of the ways in which that they strove to get around them (with both oaths and devious behaviour), prove that a usual woman, without these fantastical events surrounding them, would have had a tough time exerting any power or control over their </w:t>
      </w:r>
      <w:r w:rsidDel="00000000" w:rsidR="00000000" w:rsidRPr="00000000">
        <w:rPr>
          <w:rFonts w:ascii="Times New Roman" w:cs="Times New Roman" w:eastAsia="Times New Roman" w:hAnsi="Times New Roman"/>
          <w:i w:val="1"/>
          <w:sz w:val="24"/>
          <w:szCs w:val="24"/>
          <w:rtl w:val="0"/>
        </w:rPr>
        <w:t xml:space="preserve">kurios</w:t>
      </w:r>
      <w:r w:rsidDel="00000000" w:rsidR="00000000" w:rsidRPr="00000000">
        <w:rPr>
          <w:rFonts w:ascii="Times New Roman" w:cs="Times New Roman" w:eastAsia="Times New Roman" w:hAnsi="Times New Roman"/>
          <w:sz w:val="24"/>
          <w:szCs w:val="24"/>
          <w:rtl w:val="0"/>
        </w:rPr>
        <w:t xml:space="preserve">. The examples of oaths and the feminine power of deception prove the ways in which these mythological figures must go to extreme lengths to garner any of the control, even of themselves, moving towards attempting to reclaim even a small amount of the power within their lives.</w:t>
      </w:r>
    </w:p>
    <w:p w:rsidR="00000000" w:rsidDel="00000000" w:rsidP="00000000" w:rsidRDefault="00000000" w:rsidRPr="00000000" w14:paraId="0000006B">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C">
      <w:pPr>
        <w:spacing w:line="480" w:lineRule="auto"/>
        <w:contextualSpacing w:val="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D">
      <w:pPr>
        <w:spacing w:line="480" w:lineRule="auto"/>
        <w:contextualSpacing w:val="0"/>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6E">
      <w:pPr>
        <w:pStyle w:val="Heading2"/>
        <w:spacing w:line="480" w:lineRule="auto"/>
        <w:contextualSpacing w:val="0"/>
        <w:rPr>
          <w:rFonts w:ascii="Times New Roman" w:cs="Times New Roman" w:eastAsia="Times New Roman" w:hAnsi="Times New Roman"/>
        </w:rPr>
      </w:pPr>
      <w:bookmarkStart w:colFirst="0" w:colLast="0" w:name="_xn9qn0f5z5zd" w:id="6"/>
      <w:bookmarkEnd w:id="6"/>
      <w:r w:rsidDel="00000000" w:rsidR="00000000" w:rsidRPr="00000000">
        <w:rPr>
          <w:rFonts w:ascii="Times New Roman" w:cs="Times New Roman" w:eastAsia="Times New Roman" w:hAnsi="Times New Roman"/>
          <w:rtl w:val="0"/>
        </w:rPr>
        <w:t xml:space="preserve">Conclusion</w:t>
      </w:r>
      <w:r w:rsidDel="00000000" w:rsidR="00000000" w:rsidRPr="00000000">
        <w:rPr>
          <w:rtl w:val="0"/>
        </w:rPr>
      </w:r>
    </w:p>
    <w:p w:rsidR="00000000" w:rsidDel="00000000" w:rsidP="00000000" w:rsidRDefault="00000000" w:rsidRPr="00000000" w14:paraId="0000006F">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four plays contain a great many parallels, and these four women do also, but primarily they are extraordinary figures, women who are placed into what are, quite simply, ridiculous scenarios, and sometimes handle them badly. Between them they represent the full spectrum of what a Greek audience could, or sometimes couldn’t, picture a woman doing. Here we have bad wives and a good wife, a good daughter, we have women with honour, women who are proud, women who are cunning, deceitful. We have two Greek women, a Spartan, and a woman who is often referred to in scholarship as a “barbarian”.</w:t>
      </w:r>
      <w:r w:rsidDel="00000000" w:rsidR="00000000" w:rsidRPr="00000000">
        <w:rPr>
          <w:rFonts w:ascii="Times New Roman" w:cs="Times New Roman" w:eastAsia="Times New Roman" w:hAnsi="Times New Roman"/>
          <w:sz w:val="24"/>
          <w:szCs w:val="24"/>
          <w:vertAlign w:val="superscript"/>
        </w:rPr>
        <w:footnoteReference w:customMarkFollows="0" w:id="116"/>
      </w:r>
      <w:r w:rsidDel="00000000" w:rsidR="00000000" w:rsidRPr="00000000">
        <w:rPr>
          <w:rFonts w:ascii="Times New Roman" w:cs="Times New Roman" w:eastAsia="Times New Roman" w:hAnsi="Times New Roman"/>
          <w:sz w:val="24"/>
          <w:szCs w:val="24"/>
          <w:rtl w:val="0"/>
        </w:rPr>
        <w:t xml:space="preserve"> Helen and Iphigenia were both, somehow, responsible for the Trojan War; one through her beauty and one through her decision to allow her sacrifice to happen.</w:t>
      </w:r>
      <w:r w:rsidDel="00000000" w:rsidR="00000000" w:rsidRPr="00000000">
        <w:rPr>
          <w:rFonts w:ascii="Times New Roman" w:cs="Times New Roman" w:eastAsia="Times New Roman" w:hAnsi="Times New Roman"/>
          <w:sz w:val="24"/>
          <w:szCs w:val="24"/>
          <w:vertAlign w:val="superscript"/>
        </w:rPr>
        <w:footnoteReference w:customMarkFollows="0" w:id="117"/>
      </w:r>
      <w:r w:rsidDel="00000000" w:rsidR="00000000" w:rsidRPr="00000000">
        <w:rPr>
          <w:rFonts w:ascii="Times New Roman" w:cs="Times New Roman" w:eastAsia="Times New Roman" w:hAnsi="Times New Roman"/>
          <w:sz w:val="24"/>
          <w:szCs w:val="24"/>
          <w:rtl w:val="0"/>
        </w:rPr>
        <w:t xml:space="preserve"> Clytemnestra indulges in allowing the house of Atreus to continue it’s bloody line, and Medea is the granddaughter of Helios.</w:t>
      </w:r>
      <w:r w:rsidDel="00000000" w:rsidR="00000000" w:rsidRPr="00000000">
        <w:rPr>
          <w:rFonts w:ascii="Times New Roman" w:cs="Times New Roman" w:eastAsia="Times New Roman" w:hAnsi="Times New Roman"/>
          <w:sz w:val="24"/>
          <w:szCs w:val="24"/>
          <w:vertAlign w:val="superscript"/>
        </w:rPr>
        <w:footnoteReference w:customMarkFollows="0" w:id="118"/>
      </w:r>
      <w:r w:rsidDel="00000000" w:rsidR="00000000" w:rsidRPr="00000000">
        <w:rPr>
          <w:rFonts w:ascii="Times New Roman" w:cs="Times New Roman" w:eastAsia="Times New Roman" w:hAnsi="Times New Roman"/>
          <w:sz w:val="24"/>
          <w:szCs w:val="24"/>
          <w:rtl w:val="0"/>
        </w:rPr>
        <w:t xml:space="preserve"> Each woman has an effect within their stories, is seen to be taking charge and is prepared to take control, and power, for their own, regardless of the consequences.</w:t>
      </w:r>
    </w:p>
    <w:p w:rsidR="00000000" w:rsidDel="00000000" w:rsidP="00000000" w:rsidRDefault="00000000" w:rsidRPr="00000000" w14:paraId="00000070">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1">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They take their control back, in their own ways, and in a comparison across the board each one has their own areas of power, their own expressions of control. This is evident in their endings, especially. Medea, truly, has the largest consequence to mete out, and she is the one that causes the most havoc, the most bloodshed, the one that exerts her control over the most people. Helen is the only one that truly gets to walk away to some form of happy ending, which is power within itself; the power to walk away alive, happy, healthy, but her actions do not reach so far as Medea’s, not now that she has been absolved of the blame for the Trojan War, now that she is merely the victim of it, as is everyone else.</w:t>
      </w:r>
      <w:r w:rsidDel="00000000" w:rsidR="00000000" w:rsidRPr="00000000">
        <w:rPr>
          <w:rFonts w:ascii="Times New Roman" w:cs="Times New Roman" w:eastAsia="Times New Roman" w:hAnsi="Times New Roman"/>
          <w:sz w:val="24"/>
          <w:szCs w:val="24"/>
          <w:vertAlign w:val="superscript"/>
        </w:rPr>
        <w:footnoteReference w:customMarkFollows="0" w:id="119"/>
      </w:r>
      <w:r w:rsidDel="00000000" w:rsidR="00000000" w:rsidRPr="00000000">
        <w:rPr>
          <w:rFonts w:ascii="Times New Roman" w:cs="Times New Roman" w:eastAsia="Times New Roman" w:hAnsi="Times New Roman"/>
          <w:sz w:val="24"/>
          <w:szCs w:val="24"/>
          <w:rtl w:val="0"/>
        </w:rPr>
        <w:t xml:space="preserve"> Clytemnestra can claim ruler of Argos within her titles, after the events of the </w:t>
      </w:r>
      <w:r w:rsidDel="00000000" w:rsidR="00000000" w:rsidRPr="00000000">
        <w:rPr>
          <w:rFonts w:ascii="Times New Roman" w:cs="Times New Roman" w:eastAsia="Times New Roman" w:hAnsi="Times New Roman"/>
          <w:i w:val="1"/>
          <w:sz w:val="24"/>
          <w:szCs w:val="24"/>
          <w:rtl w:val="0"/>
        </w:rPr>
        <w:t xml:space="preserve">Agamemnon</w:t>
      </w:r>
      <w:r w:rsidDel="00000000" w:rsidR="00000000" w:rsidRPr="00000000">
        <w:rPr>
          <w:rFonts w:ascii="Times New Roman" w:cs="Times New Roman" w:eastAsia="Times New Roman" w:hAnsi="Times New Roman"/>
          <w:sz w:val="24"/>
          <w:szCs w:val="24"/>
          <w:rtl w:val="0"/>
        </w:rPr>
        <w:t xml:space="preserve">, which gives her a lot of power, gives her control over an entire </w:t>
      </w:r>
      <w:r w:rsidDel="00000000" w:rsidR="00000000" w:rsidRPr="00000000">
        <w:rPr>
          <w:rFonts w:ascii="Times New Roman" w:cs="Times New Roman" w:eastAsia="Times New Roman" w:hAnsi="Times New Roman"/>
          <w:i w:val="1"/>
          <w:sz w:val="24"/>
          <w:szCs w:val="24"/>
          <w:rtl w:val="0"/>
        </w:rPr>
        <w:t xml:space="preserve">polis</w:t>
      </w:r>
      <w:r w:rsidDel="00000000" w:rsidR="00000000" w:rsidRPr="00000000">
        <w:rPr>
          <w:rFonts w:ascii="Times New Roman" w:cs="Times New Roman" w:eastAsia="Times New Roman" w:hAnsi="Times New Roman"/>
          <w:sz w:val="24"/>
          <w:szCs w:val="24"/>
          <w:rtl w:val="0"/>
        </w:rPr>
        <w:t xml:space="preserve">, but this is then dashed when Orestes comes to get his revenge in the events of the </w:t>
      </w:r>
      <w:r w:rsidDel="00000000" w:rsidR="00000000" w:rsidRPr="00000000">
        <w:rPr>
          <w:rFonts w:ascii="Times New Roman" w:cs="Times New Roman" w:eastAsia="Times New Roman" w:hAnsi="Times New Roman"/>
          <w:i w:val="1"/>
          <w:sz w:val="24"/>
          <w:szCs w:val="24"/>
          <w:rtl w:val="0"/>
        </w:rPr>
        <w:t xml:space="preserve">Choephori</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vertAlign w:val="superscript"/>
        </w:rPr>
        <w:footnoteReference w:customMarkFollows="0" w:id="120"/>
      </w:r>
      <w:r w:rsidDel="00000000" w:rsidR="00000000" w:rsidRPr="00000000">
        <w:rPr>
          <w:rFonts w:ascii="Times New Roman" w:cs="Times New Roman" w:eastAsia="Times New Roman" w:hAnsi="Times New Roman"/>
          <w:sz w:val="24"/>
          <w:szCs w:val="24"/>
          <w:rtl w:val="0"/>
        </w:rPr>
        <w:t xml:space="preserve"> Iphigenia’s actions actually enable the entire Trojan War to start, but she lacks any sort of happy ending, lacks the ability to even see the consequences of her one choice of note. Each of these actions, the ways in which these women prove themselves to be under the control of no one but themselves, shows them to throw off their proverbial chains, to undermine any and all ways in which others attempt to control them.</w:t>
      </w:r>
    </w:p>
    <w:p w:rsidR="00000000" w:rsidDel="00000000" w:rsidP="00000000" w:rsidRDefault="00000000" w:rsidRPr="00000000" w14:paraId="00000072">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3">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Discussion of their place within marriage shows us that each of these women is different to that which we, as a modern audience, expect, shows them to be able to claim some sort of control within their marriages, within their relationships with men. This is something that modern perceptions would not expect, and is responsible for the pervasive view that these men who write Greek tragedy could be some kind of “feminist”. Each woman subverts the expectations of their marriage, but in doing so they lead to someone’s death. Their place within the </w:t>
      </w:r>
      <w:r w:rsidDel="00000000" w:rsidR="00000000" w:rsidRPr="00000000">
        <w:rPr>
          <w:rFonts w:ascii="Times New Roman" w:cs="Times New Roman" w:eastAsia="Times New Roman" w:hAnsi="Times New Roman"/>
          <w:i w:val="1"/>
          <w:sz w:val="24"/>
          <w:szCs w:val="24"/>
          <w:rtl w:val="0"/>
        </w:rPr>
        <w:t xml:space="preserve">oikos</w:t>
      </w:r>
      <w:r w:rsidDel="00000000" w:rsidR="00000000" w:rsidRPr="00000000">
        <w:rPr>
          <w:rFonts w:ascii="Times New Roman" w:cs="Times New Roman" w:eastAsia="Times New Roman" w:hAnsi="Times New Roman"/>
          <w:sz w:val="24"/>
          <w:szCs w:val="24"/>
          <w:rtl w:val="0"/>
        </w:rPr>
        <w:t xml:space="preserve"> shows us that while we believed that they were relegated to the private sphere, they in fact proved themselves to be able to step outside of this, to control the public sphere also. They occupy positions that are believed to be subservient to their </w:t>
      </w:r>
      <w:r w:rsidDel="00000000" w:rsidR="00000000" w:rsidRPr="00000000">
        <w:rPr>
          <w:rFonts w:ascii="Times New Roman" w:cs="Times New Roman" w:eastAsia="Times New Roman" w:hAnsi="Times New Roman"/>
          <w:i w:val="1"/>
          <w:sz w:val="24"/>
          <w:szCs w:val="24"/>
          <w:rtl w:val="0"/>
        </w:rPr>
        <w:t xml:space="preserve">kurios</w:t>
      </w:r>
      <w:r w:rsidDel="00000000" w:rsidR="00000000" w:rsidRPr="00000000">
        <w:rPr>
          <w:rFonts w:ascii="Times New Roman" w:cs="Times New Roman" w:eastAsia="Times New Roman" w:hAnsi="Times New Roman"/>
          <w:sz w:val="24"/>
          <w:szCs w:val="24"/>
          <w:rtl w:val="0"/>
        </w:rPr>
        <w:t xml:space="preserve">, but four out of three of these women are able to find ways to seize the control from them, are able to force them to fulfill their wishes. Embarking upon this there was a set conclusion in mind, that they were exceptions, but taking these four texts out of context of the age, of any other texts from the same period, it appears that women in ancient Greece were cunning and powerful and that they controlled the other characters, that they controlled the outcomes of these texts, regardless of the period or assumptions that others had made about their skill set according to their gender.</w:t>
      </w:r>
      <w:r w:rsidDel="00000000" w:rsidR="00000000" w:rsidRPr="00000000">
        <w:br w:type="page"/>
      </w:r>
      <w:r w:rsidDel="00000000" w:rsidR="00000000" w:rsidRPr="00000000">
        <w:rPr>
          <w:rtl w:val="0"/>
        </w:rPr>
      </w:r>
    </w:p>
    <w:p w:rsidR="00000000" w:rsidDel="00000000" w:rsidP="00000000" w:rsidRDefault="00000000" w:rsidRPr="00000000" w14:paraId="00000074">
      <w:pPr>
        <w:pStyle w:val="Heading2"/>
        <w:spacing w:line="480" w:lineRule="auto"/>
        <w:contextualSpacing w:val="0"/>
        <w:rPr>
          <w:rFonts w:ascii="Times New Roman" w:cs="Times New Roman" w:eastAsia="Times New Roman" w:hAnsi="Times New Roman"/>
        </w:rPr>
      </w:pPr>
      <w:bookmarkStart w:colFirst="0" w:colLast="0" w:name="_q40fnzo7q274" w:id="7"/>
      <w:bookmarkEnd w:id="7"/>
      <w:r w:rsidDel="00000000" w:rsidR="00000000" w:rsidRPr="00000000">
        <w:rPr>
          <w:rFonts w:ascii="Times New Roman" w:cs="Times New Roman" w:eastAsia="Times New Roman" w:hAnsi="Times New Roman"/>
          <w:rtl w:val="0"/>
        </w:rPr>
        <w:t xml:space="preserve">Bibliography</w:t>
      </w:r>
    </w:p>
    <w:p w:rsidR="00000000" w:rsidDel="00000000" w:rsidP="00000000" w:rsidRDefault="00000000" w:rsidRPr="00000000" w14:paraId="00000075">
      <w:pPr>
        <w:spacing w:line="480" w:lineRule="auto"/>
        <w:contextualSpacing w:val="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Ancient Texts</w:t>
      </w:r>
    </w:p>
    <w:p w:rsidR="00000000" w:rsidDel="00000000" w:rsidP="00000000" w:rsidRDefault="00000000" w:rsidRPr="00000000" w14:paraId="00000076">
      <w:pPr>
        <w:widowControl w:val="0"/>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Aeschylus,</w:t>
      </w:r>
      <w:r w:rsidDel="00000000" w:rsidR="00000000" w:rsidRPr="00000000">
        <w:rPr>
          <w:rFonts w:ascii="Times New Roman" w:cs="Times New Roman" w:eastAsia="Times New Roman" w:hAnsi="Times New Roman"/>
          <w:i w:val="1"/>
          <w:sz w:val="24"/>
          <w:szCs w:val="24"/>
          <w:rtl w:val="0"/>
        </w:rPr>
        <w:t xml:space="preserve"> The Oresteia.</w:t>
      </w:r>
      <w:r w:rsidDel="00000000" w:rsidR="00000000" w:rsidRPr="00000000">
        <w:rPr>
          <w:rFonts w:ascii="Times New Roman" w:cs="Times New Roman" w:eastAsia="Times New Roman" w:hAnsi="Times New Roman"/>
          <w:sz w:val="24"/>
          <w:szCs w:val="24"/>
          <w:rtl w:val="0"/>
        </w:rPr>
        <w:t xml:space="preserve"> R. Fagles (trans.). 1984. USA: Penguin Books.</w:t>
        <w:br w:type="textWrapping"/>
        <w:t xml:space="preserve">Euripides, </w:t>
      </w:r>
      <w:r w:rsidDel="00000000" w:rsidR="00000000" w:rsidRPr="00000000">
        <w:rPr>
          <w:rFonts w:ascii="Times New Roman" w:cs="Times New Roman" w:eastAsia="Times New Roman" w:hAnsi="Times New Roman"/>
          <w:i w:val="1"/>
          <w:sz w:val="24"/>
          <w:szCs w:val="24"/>
          <w:rtl w:val="0"/>
        </w:rPr>
        <w:t xml:space="preserve">Medea.</w:t>
      </w:r>
      <w:r w:rsidDel="00000000" w:rsidR="00000000" w:rsidRPr="00000000">
        <w:rPr>
          <w:rFonts w:ascii="Times New Roman" w:cs="Times New Roman" w:eastAsia="Times New Roman" w:hAnsi="Times New Roman"/>
          <w:sz w:val="24"/>
          <w:szCs w:val="24"/>
          <w:rtl w:val="0"/>
        </w:rPr>
        <w:t xml:space="preserve"> R. Blondell (trans.). 1999. USA: Routledge.</w:t>
        <w:br w:type="textWrapping"/>
        <w:t xml:space="preserve">Euripides,</w:t>
      </w:r>
      <w:r w:rsidDel="00000000" w:rsidR="00000000" w:rsidRPr="00000000">
        <w:rPr>
          <w:rFonts w:ascii="Times New Roman" w:cs="Times New Roman" w:eastAsia="Times New Roman" w:hAnsi="Times New Roman"/>
          <w:i w:val="1"/>
          <w:sz w:val="24"/>
          <w:szCs w:val="24"/>
          <w:rtl w:val="0"/>
        </w:rPr>
        <w:t xml:space="preserve"> Helen</w:t>
      </w:r>
      <w:r w:rsidDel="00000000" w:rsidR="00000000" w:rsidRPr="00000000">
        <w:rPr>
          <w:rFonts w:ascii="Times New Roman" w:cs="Times New Roman" w:eastAsia="Times New Roman" w:hAnsi="Times New Roman"/>
          <w:sz w:val="24"/>
          <w:szCs w:val="24"/>
          <w:rtl w:val="0"/>
        </w:rPr>
        <w:t xml:space="preserve">. B. Zweig (trans.). 1999. USA: Routledge.</w:t>
        <w:br w:type="textWrapping"/>
        <w:t xml:space="preserve">Euripides, </w:t>
      </w:r>
      <w:r w:rsidDel="00000000" w:rsidR="00000000" w:rsidRPr="00000000">
        <w:rPr>
          <w:rFonts w:ascii="Times New Roman" w:cs="Times New Roman" w:eastAsia="Times New Roman" w:hAnsi="Times New Roman"/>
          <w:i w:val="1"/>
          <w:sz w:val="24"/>
          <w:szCs w:val="24"/>
          <w:rtl w:val="0"/>
        </w:rPr>
        <w:t xml:space="preserve">Iphigenia at Aulis.</w:t>
      </w:r>
      <w:r w:rsidDel="00000000" w:rsidR="00000000" w:rsidRPr="00000000">
        <w:rPr>
          <w:rFonts w:ascii="Times New Roman" w:cs="Times New Roman" w:eastAsia="Times New Roman" w:hAnsi="Times New Roman"/>
          <w:sz w:val="24"/>
          <w:szCs w:val="24"/>
          <w:rtl w:val="0"/>
        </w:rPr>
        <w:t xml:space="preserve"> M. Gamel (trans.). 1999. USA: Routledge.</w:t>
      </w:r>
    </w:p>
    <w:p w:rsidR="00000000" w:rsidDel="00000000" w:rsidP="00000000" w:rsidRDefault="00000000" w:rsidRPr="00000000" w14:paraId="00000077">
      <w:pPr>
        <w:widowControl w:val="0"/>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Apollonius of Rhodes, </w:t>
      </w:r>
      <w:r w:rsidDel="00000000" w:rsidR="00000000" w:rsidRPr="00000000">
        <w:rPr>
          <w:rFonts w:ascii="Times New Roman" w:cs="Times New Roman" w:eastAsia="Times New Roman" w:hAnsi="Times New Roman"/>
          <w:i w:val="1"/>
          <w:sz w:val="24"/>
          <w:szCs w:val="24"/>
          <w:rtl w:val="0"/>
        </w:rPr>
        <w:t xml:space="preserve">Jason and the Golden Fleece (The Argonautica)</w:t>
      </w:r>
      <w:r w:rsidDel="00000000" w:rsidR="00000000" w:rsidRPr="00000000">
        <w:rPr>
          <w:rFonts w:ascii="Times New Roman" w:cs="Times New Roman" w:eastAsia="Times New Roman" w:hAnsi="Times New Roman"/>
          <w:sz w:val="24"/>
          <w:szCs w:val="24"/>
          <w:rtl w:val="0"/>
        </w:rPr>
        <w:t xml:space="preserve">. R. L. Hunter (trans.). 1998. London: Oxford World’s Classics.</w:t>
      </w:r>
    </w:p>
    <w:p w:rsidR="00000000" w:rsidDel="00000000" w:rsidP="00000000" w:rsidRDefault="00000000" w:rsidRPr="00000000" w14:paraId="00000078">
      <w:pPr>
        <w:widowControl w:val="0"/>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Plato, </w:t>
      </w:r>
      <w:r w:rsidDel="00000000" w:rsidR="00000000" w:rsidRPr="00000000">
        <w:rPr>
          <w:rFonts w:ascii="Times New Roman" w:cs="Times New Roman" w:eastAsia="Times New Roman" w:hAnsi="Times New Roman"/>
          <w:i w:val="1"/>
          <w:sz w:val="24"/>
          <w:szCs w:val="24"/>
          <w:rtl w:val="0"/>
        </w:rPr>
        <w:t xml:space="preserve">Plato in Twelve Volumes, Vol. 3</w:t>
      </w:r>
      <w:r w:rsidDel="00000000" w:rsidR="00000000" w:rsidRPr="00000000">
        <w:rPr>
          <w:rFonts w:ascii="Times New Roman" w:cs="Times New Roman" w:eastAsia="Times New Roman" w:hAnsi="Times New Roman"/>
          <w:sz w:val="24"/>
          <w:szCs w:val="24"/>
          <w:rtl w:val="0"/>
        </w:rPr>
        <w:t xml:space="preserve">. W. R. M. Lamb (trans.). 1967. Cambridge, MA: Harvard University Press.</w:t>
      </w:r>
    </w:p>
    <w:p w:rsidR="00000000" w:rsidDel="00000000" w:rsidP="00000000" w:rsidRDefault="00000000" w:rsidRPr="00000000" w14:paraId="00000079">
      <w:pPr>
        <w:widowControl w:val="0"/>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Aristotle, </w:t>
      </w:r>
      <w:r w:rsidDel="00000000" w:rsidR="00000000" w:rsidRPr="00000000">
        <w:rPr>
          <w:rFonts w:ascii="Times New Roman" w:cs="Times New Roman" w:eastAsia="Times New Roman" w:hAnsi="Times New Roman"/>
          <w:i w:val="1"/>
          <w:sz w:val="24"/>
          <w:szCs w:val="24"/>
          <w:rtl w:val="0"/>
        </w:rPr>
        <w:t xml:space="preserve">Politics</w:t>
      </w:r>
      <w:r w:rsidDel="00000000" w:rsidR="00000000" w:rsidRPr="00000000">
        <w:rPr>
          <w:rFonts w:ascii="Times New Roman" w:cs="Times New Roman" w:eastAsia="Times New Roman" w:hAnsi="Times New Roman"/>
          <w:sz w:val="24"/>
          <w:szCs w:val="24"/>
          <w:rtl w:val="0"/>
        </w:rPr>
        <w:t xml:space="preserve">. H. Rackman (trans.). 1944. Cambridge, MA: Harvard University Press.</w:t>
      </w:r>
      <w:r w:rsidDel="00000000" w:rsidR="00000000" w:rsidRPr="00000000">
        <w:rPr>
          <w:rtl w:val="0"/>
        </w:rPr>
      </w:r>
    </w:p>
    <w:p w:rsidR="00000000" w:rsidDel="00000000" w:rsidP="00000000" w:rsidRDefault="00000000" w:rsidRPr="00000000" w14:paraId="0000007A">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B">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u w:val="single"/>
          <w:rtl w:val="0"/>
        </w:rPr>
        <w:t xml:space="preserve">Scholarship</w:t>
      </w:r>
      <w:r w:rsidDel="00000000" w:rsidR="00000000" w:rsidRPr="00000000">
        <w:rPr>
          <w:rtl w:val="0"/>
        </w:rPr>
      </w:r>
    </w:p>
    <w:p w:rsidR="00000000" w:rsidDel="00000000" w:rsidP="00000000" w:rsidRDefault="00000000" w:rsidRPr="00000000" w14:paraId="0000007C">
      <w:pPr>
        <w:numPr>
          <w:ilvl w:val="0"/>
          <w:numId w:val="1"/>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Lawrence, S. (1997). Audience Uncertainty and Euripides' Medea. </w:t>
      </w:r>
      <w:r w:rsidDel="00000000" w:rsidR="00000000" w:rsidRPr="00000000">
        <w:rPr>
          <w:rFonts w:ascii="Times New Roman" w:cs="Times New Roman" w:eastAsia="Times New Roman" w:hAnsi="Times New Roman"/>
          <w:i w:val="1"/>
          <w:sz w:val="24"/>
          <w:szCs w:val="24"/>
          <w:rtl w:val="0"/>
        </w:rPr>
        <w:t xml:space="preserve">Hermes</w:t>
      </w:r>
      <w:r w:rsidDel="00000000" w:rsidR="00000000" w:rsidRPr="00000000">
        <w:rPr>
          <w:rFonts w:ascii="Times New Roman" w:cs="Times New Roman" w:eastAsia="Times New Roman" w:hAnsi="Times New Roman"/>
          <w:sz w:val="24"/>
          <w:szCs w:val="24"/>
          <w:rtl w:val="0"/>
        </w:rPr>
        <w:t xml:space="preserve">, 125(1), pp.49-55.</w:t>
      </w:r>
    </w:p>
    <w:p w:rsidR="00000000" w:rsidDel="00000000" w:rsidP="00000000" w:rsidRDefault="00000000" w:rsidRPr="00000000" w14:paraId="0000007D">
      <w:pPr>
        <w:numPr>
          <w:ilvl w:val="0"/>
          <w:numId w:val="1"/>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Tessitore, A. (1991). Euripides' Medea and the Problem of Spiritedness. </w:t>
      </w:r>
      <w:r w:rsidDel="00000000" w:rsidR="00000000" w:rsidRPr="00000000">
        <w:rPr>
          <w:rFonts w:ascii="Times New Roman" w:cs="Times New Roman" w:eastAsia="Times New Roman" w:hAnsi="Times New Roman"/>
          <w:i w:val="1"/>
          <w:sz w:val="24"/>
          <w:szCs w:val="24"/>
          <w:rtl w:val="0"/>
        </w:rPr>
        <w:t xml:space="preserve">The Review of Politics</w:t>
      </w:r>
      <w:r w:rsidDel="00000000" w:rsidR="00000000" w:rsidRPr="00000000">
        <w:rPr>
          <w:rFonts w:ascii="Times New Roman" w:cs="Times New Roman" w:eastAsia="Times New Roman" w:hAnsi="Times New Roman"/>
          <w:sz w:val="24"/>
          <w:szCs w:val="24"/>
          <w:rtl w:val="0"/>
        </w:rPr>
        <w:t xml:space="preserve">, 53(04), p.587.</w:t>
      </w:r>
    </w:p>
    <w:p w:rsidR="00000000" w:rsidDel="00000000" w:rsidP="00000000" w:rsidRDefault="00000000" w:rsidRPr="00000000" w14:paraId="0000007E">
      <w:pPr>
        <w:numPr>
          <w:ilvl w:val="0"/>
          <w:numId w:val="1"/>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Dunkle, J. (1969). The Aegeus Episode and the Theme of Euripides' Medea. </w:t>
      </w:r>
      <w:r w:rsidDel="00000000" w:rsidR="00000000" w:rsidRPr="00000000">
        <w:rPr>
          <w:rFonts w:ascii="Times New Roman" w:cs="Times New Roman" w:eastAsia="Times New Roman" w:hAnsi="Times New Roman"/>
          <w:i w:val="1"/>
          <w:sz w:val="24"/>
          <w:szCs w:val="24"/>
          <w:rtl w:val="0"/>
        </w:rPr>
        <w:t xml:space="preserve">Transactions and Proceedings of the American Philological Association</w:t>
      </w:r>
      <w:r w:rsidDel="00000000" w:rsidR="00000000" w:rsidRPr="00000000">
        <w:rPr>
          <w:rFonts w:ascii="Times New Roman" w:cs="Times New Roman" w:eastAsia="Times New Roman" w:hAnsi="Times New Roman"/>
          <w:sz w:val="24"/>
          <w:szCs w:val="24"/>
          <w:rtl w:val="0"/>
        </w:rPr>
        <w:t xml:space="preserve">, 100, p.97.</w:t>
      </w:r>
    </w:p>
    <w:p w:rsidR="00000000" w:rsidDel="00000000" w:rsidP="00000000" w:rsidRDefault="00000000" w:rsidRPr="00000000" w14:paraId="0000007F">
      <w:pPr>
        <w:numPr>
          <w:ilvl w:val="0"/>
          <w:numId w:val="1"/>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Cowherd, C. (1983). The Ending of the "Medea." </w:t>
      </w:r>
      <w:r w:rsidDel="00000000" w:rsidR="00000000" w:rsidRPr="00000000">
        <w:rPr>
          <w:rFonts w:ascii="Times New Roman" w:cs="Times New Roman" w:eastAsia="Times New Roman" w:hAnsi="Times New Roman"/>
          <w:i w:val="1"/>
          <w:sz w:val="24"/>
          <w:szCs w:val="24"/>
          <w:rtl w:val="0"/>
        </w:rPr>
        <w:t xml:space="preserve">The Classical World</w:t>
      </w:r>
      <w:r w:rsidDel="00000000" w:rsidR="00000000" w:rsidRPr="00000000">
        <w:rPr>
          <w:rFonts w:ascii="Times New Roman" w:cs="Times New Roman" w:eastAsia="Times New Roman" w:hAnsi="Times New Roman"/>
          <w:sz w:val="24"/>
          <w:szCs w:val="24"/>
          <w:rtl w:val="0"/>
        </w:rPr>
        <w:t xml:space="preserve">, 76(3), p.129.</w:t>
      </w:r>
    </w:p>
    <w:p w:rsidR="00000000" w:rsidDel="00000000" w:rsidP="00000000" w:rsidRDefault="00000000" w:rsidRPr="00000000" w14:paraId="00000080">
      <w:pPr>
        <w:numPr>
          <w:ilvl w:val="0"/>
          <w:numId w:val="1"/>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Knight, V. (1991). Apollonius, Argonautica 4.167–70 and Euripides' Medea. </w:t>
      </w:r>
      <w:r w:rsidDel="00000000" w:rsidR="00000000" w:rsidRPr="00000000">
        <w:rPr>
          <w:rFonts w:ascii="Times New Roman" w:cs="Times New Roman" w:eastAsia="Times New Roman" w:hAnsi="Times New Roman"/>
          <w:i w:val="1"/>
          <w:sz w:val="24"/>
          <w:szCs w:val="24"/>
          <w:rtl w:val="0"/>
        </w:rPr>
        <w:t xml:space="preserve">The Classical Quarterly</w:t>
      </w:r>
      <w:r w:rsidDel="00000000" w:rsidR="00000000" w:rsidRPr="00000000">
        <w:rPr>
          <w:rFonts w:ascii="Times New Roman" w:cs="Times New Roman" w:eastAsia="Times New Roman" w:hAnsi="Times New Roman"/>
          <w:sz w:val="24"/>
          <w:szCs w:val="24"/>
          <w:rtl w:val="0"/>
        </w:rPr>
        <w:t xml:space="preserve">, 41(01), p.248.</w:t>
      </w:r>
    </w:p>
    <w:p w:rsidR="00000000" w:rsidDel="00000000" w:rsidP="00000000" w:rsidRDefault="00000000" w:rsidRPr="00000000" w14:paraId="00000081">
      <w:pPr>
        <w:numPr>
          <w:ilvl w:val="0"/>
          <w:numId w:val="1"/>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Kovacs, D. (2008). And Baby Makes Three: Aegeus’ Wife as Mother‐to‐Be of Theseus in Euripides’ Medea. </w:t>
      </w:r>
      <w:r w:rsidDel="00000000" w:rsidR="00000000" w:rsidRPr="00000000">
        <w:rPr>
          <w:rFonts w:ascii="Times New Roman" w:cs="Times New Roman" w:eastAsia="Times New Roman" w:hAnsi="Times New Roman"/>
          <w:i w:val="1"/>
          <w:sz w:val="24"/>
          <w:szCs w:val="24"/>
          <w:rtl w:val="0"/>
        </w:rPr>
        <w:t xml:space="preserve">Classical Philology</w:t>
      </w:r>
      <w:r w:rsidDel="00000000" w:rsidR="00000000" w:rsidRPr="00000000">
        <w:rPr>
          <w:rFonts w:ascii="Times New Roman" w:cs="Times New Roman" w:eastAsia="Times New Roman" w:hAnsi="Times New Roman"/>
          <w:sz w:val="24"/>
          <w:szCs w:val="24"/>
          <w:rtl w:val="0"/>
        </w:rPr>
        <w:t xml:space="preserve">, 103(3), pp.298-304.</w:t>
      </w:r>
    </w:p>
    <w:p w:rsidR="00000000" w:rsidDel="00000000" w:rsidP="00000000" w:rsidRDefault="00000000" w:rsidRPr="00000000" w14:paraId="00000082">
      <w:pPr>
        <w:numPr>
          <w:ilvl w:val="0"/>
          <w:numId w:val="1"/>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Flory, S. (1978). Medea's Right Hand: Promises and Revenge. </w:t>
      </w:r>
      <w:r w:rsidDel="00000000" w:rsidR="00000000" w:rsidRPr="00000000">
        <w:rPr>
          <w:rFonts w:ascii="Times New Roman" w:cs="Times New Roman" w:eastAsia="Times New Roman" w:hAnsi="Times New Roman"/>
          <w:i w:val="1"/>
          <w:sz w:val="24"/>
          <w:szCs w:val="24"/>
          <w:rtl w:val="0"/>
        </w:rPr>
        <w:t xml:space="preserve">Transactions of the American Philological Association (1974-)</w:t>
      </w:r>
      <w:r w:rsidDel="00000000" w:rsidR="00000000" w:rsidRPr="00000000">
        <w:rPr>
          <w:rFonts w:ascii="Times New Roman" w:cs="Times New Roman" w:eastAsia="Times New Roman" w:hAnsi="Times New Roman"/>
          <w:sz w:val="24"/>
          <w:szCs w:val="24"/>
          <w:rtl w:val="0"/>
        </w:rPr>
        <w:t xml:space="preserve">, 108, p.69.</w:t>
      </w:r>
    </w:p>
    <w:p w:rsidR="00000000" w:rsidDel="00000000" w:rsidP="00000000" w:rsidRDefault="00000000" w:rsidRPr="00000000" w14:paraId="00000083">
      <w:pPr>
        <w:numPr>
          <w:ilvl w:val="0"/>
          <w:numId w:val="1"/>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Meridor, R. (1986). Euripides, Medea 639. </w:t>
      </w:r>
      <w:r w:rsidDel="00000000" w:rsidR="00000000" w:rsidRPr="00000000">
        <w:rPr>
          <w:rFonts w:ascii="Times New Roman" w:cs="Times New Roman" w:eastAsia="Times New Roman" w:hAnsi="Times New Roman"/>
          <w:i w:val="1"/>
          <w:sz w:val="24"/>
          <w:szCs w:val="24"/>
          <w:rtl w:val="0"/>
        </w:rPr>
        <w:t xml:space="preserve">The Classical Quarterly</w:t>
      </w:r>
      <w:r w:rsidDel="00000000" w:rsidR="00000000" w:rsidRPr="00000000">
        <w:rPr>
          <w:rFonts w:ascii="Times New Roman" w:cs="Times New Roman" w:eastAsia="Times New Roman" w:hAnsi="Times New Roman"/>
          <w:sz w:val="24"/>
          <w:szCs w:val="24"/>
          <w:rtl w:val="0"/>
        </w:rPr>
        <w:t xml:space="preserve">, 36(01), p.95.</w:t>
      </w:r>
    </w:p>
    <w:p w:rsidR="00000000" w:rsidDel="00000000" w:rsidP="00000000" w:rsidRDefault="00000000" w:rsidRPr="00000000" w14:paraId="00000084">
      <w:pPr>
        <w:numPr>
          <w:ilvl w:val="0"/>
          <w:numId w:val="1"/>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Mueller, M. (2001). The Language of Reciprocity in Euripides' Medea. </w:t>
      </w:r>
      <w:r w:rsidDel="00000000" w:rsidR="00000000" w:rsidRPr="00000000">
        <w:rPr>
          <w:rFonts w:ascii="Times New Roman" w:cs="Times New Roman" w:eastAsia="Times New Roman" w:hAnsi="Times New Roman"/>
          <w:i w:val="1"/>
          <w:sz w:val="24"/>
          <w:szCs w:val="24"/>
          <w:rtl w:val="0"/>
        </w:rPr>
        <w:t xml:space="preserve">American Journal of Philology</w:t>
      </w:r>
      <w:r w:rsidDel="00000000" w:rsidR="00000000" w:rsidRPr="00000000">
        <w:rPr>
          <w:rFonts w:ascii="Times New Roman" w:cs="Times New Roman" w:eastAsia="Times New Roman" w:hAnsi="Times New Roman"/>
          <w:sz w:val="24"/>
          <w:szCs w:val="24"/>
          <w:rtl w:val="0"/>
        </w:rPr>
        <w:t xml:space="preserve">, 122(4), pp.471-504.</w:t>
      </w:r>
    </w:p>
    <w:p w:rsidR="00000000" w:rsidDel="00000000" w:rsidP="00000000" w:rsidRDefault="00000000" w:rsidRPr="00000000" w14:paraId="00000085">
      <w:pPr>
        <w:numPr>
          <w:ilvl w:val="0"/>
          <w:numId w:val="1"/>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Lloyd, C. (2006). The Polis in Medea: Urban Attitudes and Euripides' Characterization in "Medea" 214-224. </w:t>
      </w:r>
      <w:r w:rsidDel="00000000" w:rsidR="00000000" w:rsidRPr="00000000">
        <w:rPr>
          <w:rFonts w:ascii="Times New Roman" w:cs="Times New Roman" w:eastAsia="Times New Roman" w:hAnsi="Times New Roman"/>
          <w:i w:val="1"/>
          <w:sz w:val="24"/>
          <w:szCs w:val="24"/>
          <w:rtl w:val="0"/>
        </w:rPr>
        <w:t xml:space="preserve">The Classical World</w:t>
      </w:r>
      <w:r w:rsidDel="00000000" w:rsidR="00000000" w:rsidRPr="00000000">
        <w:rPr>
          <w:rFonts w:ascii="Times New Roman" w:cs="Times New Roman" w:eastAsia="Times New Roman" w:hAnsi="Times New Roman"/>
          <w:sz w:val="24"/>
          <w:szCs w:val="24"/>
          <w:rtl w:val="0"/>
        </w:rPr>
        <w:t xml:space="preserve">, 99(2), p.115.</w:t>
      </w:r>
    </w:p>
    <w:p w:rsidR="00000000" w:rsidDel="00000000" w:rsidP="00000000" w:rsidRDefault="00000000" w:rsidRPr="00000000" w14:paraId="00000086">
      <w:pPr>
        <w:numPr>
          <w:ilvl w:val="0"/>
          <w:numId w:val="1"/>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Sorum, C. (1992). Myth, Choice, and Meaning in Euripides' Iphigenia at Aulis. </w:t>
      </w:r>
      <w:r w:rsidDel="00000000" w:rsidR="00000000" w:rsidRPr="00000000">
        <w:rPr>
          <w:rFonts w:ascii="Times New Roman" w:cs="Times New Roman" w:eastAsia="Times New Roman" w:hAnsi="Times New Roman"/>
          <w:i w:val="1"/>
          <w:sz w:val="24"/>
          <w:szCs w:val="24"/>
          <w:rtl w:val="0"/>
        </w:rPr>
        <w:t xml:space="preserve">The American Journal of Philology</w:t>
      </w:r>
      <w:r w:rsidDel="00000000" w:rsidR="00000000" w:rsidRPr="00000000">
        <w:rPr>
          <w:rFonts w:ascii="Times New Roman" w:cs="Times New Roman" w:eastAsia="Times New Roman" w:hAnsi="Times New Roman"/>
          <w:sz w:val="24"/>
          <w:szCs w:val="24"/>
          <w:rtl w:val="0"/>
        </w:rPr>
        <w:t xml:space="preserve">, 113(4), p.527.</w:t>
      </w:r>
    </w:p>
    <w:p w:rsidR="00000000" w:rsidDel="00000000" w:rsidP="00000000" w:rsidRDefault="00000000" w:rsidRPr="00000000" w14:paraId="00000087">
      <w:pPr>
        <w:numPr>
          <w:ilvl w:val="0"/>
          <w:numId w:val="1"/>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Pietruczuk, K. (2012). The Prologue of Iphigenia Aulidensis Reconsidered. </w:t>
      </w:r>
      <w:r w:rsidDel="00000000" w:rsidR="00000000" w:rsidRPr="00000000">
        <w:rPr>
          <w:rFonts w:ascii="Times New Roman" w:cs="Times New Roman" w:eastAsia="Times New Roman" w:hAnsi="Times New Roman"/>
          <w:i w:val="1"/>
          <w:sz w:val="24"/>
          <w:szCs w:val="24"/>
          <w:rtl w:val="0"/>
        </w:rPr>
        <w:t xml:space="preserve">Mnemosyne</w:t>
      </w:r>
      <w:r w:rsidDel="00000000" w:rsidR="00000000" w:rsidRPr="00000000">
        <w:rPr>
          <w:rFonts w:ascii="Times New Roman" w:cs="Times New Roman" w:eastAsia="Times New Roman" w:hAnsi="Times New Roman"/>
          <w:sz w:val="24"/>
          <w:szCs w:val="24"/>
          <w:rtl w:val="0"/>
        </w:rPr>
        <w:t xml:space="preserve">, 65(4-5), pp.565-583.</w:t>
      </w:r>
    </w:p>
    <w:p w:rsidR="00000000" w:rsidDel="00000000" w:rsidP="00000000" w:rsidRDefault="00000000" w:rsidRPr="00000000" w14:paraId="00000088">
      <w:pPr>
        <w:numPr>
          <w:ilvl w:val="0"/>
          <w:numId w:val="1"/>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Fletcher, J. (2003). Women and Oaths in Euripides. </w:t>
      </w:r>
      <w:r w:rsidDel="00000000" w:rsidR="00000000" w:rsidRPr="00000000">
        <w:rPr>
          <w:rFonts w:ascii="Times New Roman" w:cs="Times New Roman" w:eastAsia="Times New Roman" w:hAnsi="Times New Roman"/>
          <w:i w:val="1"/>
          <w:sz w:val="24"/>
          <w:szCs w:val="24"/>
          <w:rtl w:val="0"/>
        </w:rPr>
        <w:t xml:space="preserve">Theatre Journal</w:t>
      </w:r>
      <w:r w:rsidDel="00000000" w:rsidR="00000000" w:rsidRPr="00000000">
        <w:rPr>
          <w:rFonts w:ascii="Times New Roman" w:cs="Times New Roman" w:eastAsia="Times New Roman" w:hAnsi="Times New Roman"/>
          <w:sz w:val="24"/>
          <w:szCs w:val="24"/>
          <w:rtl w:val="0"/>
        </w:rPr>
        <w:t xml:space="preserve">, 55(1), pp.29-44.</w:t>
      </w:r>
    </w:p>
    <w:p w:rsidR="00000000" w:rsidDel="00000000" w:rsidP="00000000" w:rsidRDefault="00000000" w:rsidRPr="00000000" w14:paraId="00000089">
      <w:pPr>
        <w:numPr>
          <w:ilvl w:val="0"/>
          <w:numId w:val="1"/>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Lee, M. (2004). "Evil Wealth of Raiment": Deadly ΠέΠλοι in Greek Tragedy. </w:t>
      </w:r>
      <w:r w:rsidDel="00000000" w:rsidR="00000000" w:rsidRPr="00000000">
        <w:rPr>
          <w:rFonts w:ascii="Times New Roman" w:cs="Times New Roman" w:eastAsia="Times New Roman" w:hAnsi="Times New Roman"/>
          <w:i w:val="1"/>
          <w:sz w:val="24"/>
          <w:szCs w:val="24"/>
          <w:rtl w:val="0"/>
        </w:rPr>
        <w:t xml:space="preserve">The Classical Journal</w:t>
      </w:r>
      <w:r w:rsidDel="00000000" w:rsidR="00000000" w:rsidRPr="00000000">
        <w:rPr>
          <w:rFonts w:ascii="Times New Roman" w:cs="Times New Roman" w:eastAsia="Times New Roman" w:hAnsi="Times New Roman"/>
          <w:sz w:val="24"/>
          <w:szCs w:val="24"/>
          <w:rtl w:val="0"/>
        </w:rPr>
        <w:t xml:space="preserve">, 99(3), pp.253-279.</w:t>
      </w:r>
    </w:p>
    <w:p w:rsidR="00000000" w:rsidDel="00000000" w:rsidP="00000000" w:rsidRDefault="00000000" w:rsidRPr="00000000" w14:paraId="0000008A">
      <w:pPr>
        <w:numPr>
          <w:ilvl w:val="0"/>
          <w:numId w:val="1"/>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Arnott, G. (1973). Euripides and the Unexpected. </w:t>
      </w:r>
      <w:r w:rsidDel="00000000" w:rsidR="00000000" w:rsidRPr="00000000">
        <w:rPr>
          <w:rFonts w:ascii="Times New Roman" w:cs="Times New Roman" w:eastAsia="Times New Roman" w:hAnsi="Times New Roman"/>
          <w:i w:val="1"/>
          <w:sz w:val="24"/>
          <w:szCs w:val="24"/>
          <w:rtl w:val="0"/>
        </w:rPr>
        <w:t xml:space="preserve">Greece and Rome</w:t>
      </w:r>
      <w:r w:rsidDel="00000000" w:rsidR="00000000" w:rsidRPr="00000000">
        <w:rPr>
          <w:rFonts w:ascii="Times New Roman" w:cs="Times New Roman" w:eastAsia="Times New Roman" w:hAnsi="Times New Roman"/>
          <w:sz w:val="24"/>
          <w:szCs w:val="24"/>
          <w:rtl w:val="0"/>
        </w:rPr>
        <w:t xml:space="preserve">, 20(01), pp.49-64.</w:t>
      </w:r>
    </w:p>
    <w:p w:rsidR="00000000" w:rsidDel="00000000" w:rsidP="00000000" w:rsidRDefault="00000000" w:rsidRPr="00000000" w14:paraId="0000008B">
      <w:pPr>
        <w:numPr>
          <w:ilvl w:val="0"/>
          <w:numId w:val="1"/>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Prag, A. (1991). Clytemnestra's Weapon Yet Once More. </w:t>
      </w:r>
      <w:r w:rsidDel="00000000" w:rsidR="00000000" w:rsidRPr="00000000">
        <w:rPr>
          <w:rFonts w:ascii="Times New Roman" w:cs="Times New Roman" w:eastAsia="Times New Roman" w:hAnsi="Times New Roman"/>
          <w:i w:val="1"/>
          <w:sz w:val="24"/>
          <w:szCs w:val="24"/>
          <w:rtl w:val="0"/>
        </w:rPr>
        <w:t xml:space="preserve">The Classical Quarterly</w:t>
      </w:r>
      <w:r w:rsidDel="00000000" w:rsidR="00000000" w:rsidRPr="00000000">
        <w:rPr>
          <w:rFonts w:ascii="Times New Roman" w:cs="Times New Roman" w:eastAsia="Times New Roman" w:hAnsi="Times New Roman"/>
          <w:sz w:val="24"/>
          <w:szCs w:val="24"/>
          <w:rtl w:val="0"/>
        </w:rPr>
        <w:t xml:space="preserve">, 41(01), p.242.</w:t>
      </w:r>
    </w:p>
    <w:p w:rsidR="00000000" w:rsidDel="00000000" w:rsidP="00000000" w:rsidRDefault="00000000" w:rsidRPr="00000000" w14:paraId="0000008C">
      <w:pPr>
        <w:numPr>
          <w:ilvl w:val="0"/>
          <w:numId w:val="1"/>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Marshall, C. (2001). The Next Time Agamemnon Died. </w:t>
      </w:r>
      <w:r w:rsidDel="00000000" w:rsidR="00000000" w:rsidRPr="00000000">
        <w:rPr>
          <w:rFonts w:ascii="Times New Roman" w:cs="Times New Roman" w:eastAsia="Times New Roman" w:hAnsi="Times New Roman"/>
          <w:i w:val="1"/>
          <w:sz w:val="24"/>
          <w:szCs w:val="24"/>
          <w:rtl w:val="0"/>
        </w:rPr>
        <w:t xml:space="preserve">The Classical World</w:t>
      </w:r>
      <w:r w:rsidDel="00000000" w:rsidR="00000000" w:rsidRPr="00000000">
        <w:rPr>
          <w:rFonts w:ascii="Times New Roman" w:cs="Times New Roman" w:eastAsia="Times New Roman" w:hAnsi="Times New Roman"/>
          <w:sz w:val="24"/>
          <w:szCs w:val="24"/>
          <w:rtl w:val="0"/>
        </w:rPr>
        <w:t xml:space="preserve">, 95(1), p.59.</w:t>
      </w:r>
    </w:p>
    <w:p w:rsidR="00000000" w:rsidDel="00000000" w:rsidP="00000000" w:rsidRDefault="00000000" w:rsidRPr="00000000" w14:paraId="0000008D">
      <w:pPr>
        <w:numPr>
          <w:ilvl w:val="0"/>
          <w:numId w:val="1"/>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Morgan, K. (1992). "Agamemnon" 1391-1392: Clytemnestra's Defense Foreshadowed. </w:t>
      </w:r>
      <w:r w:rsidDel="00000000" w:rsidR="00000000" w:rsidRPr="00000000">
        <w:rPr>
          <w:rFonts w:ascii="Times New Roman" w:cs="Times New Roman" w:eastAsia="Times New Roman" w:hAnsi="Times New Roman"/>
          <w:i w:val="1"/>
          <w:sz w:val="24"/>
          <w:szCs w:val="24"/>
          <w:rtl w:val="0"/>
        </w:rPr>
        <w:t xml:space="preserve">Quaderni Urbinati di Cultura Classica</w:t>
      </w:r>
      <w:r w:rsidDel="00000000" w:rsidR="00000000" w:rsidRPr="00000000">
        <w:rPr>
          <w:rFonts w:ascii="Times New Roman" w:cs="Times New Roman" w:eastAsia="Times New Roman" w:hAnsi="Times New Roman"/>
          <w:sz w:val="24"/>
          <w:szCs w:val="24"/>
          <w:rtl w:val="0"/>
        </w:rPr>
        <w:t xml:space="preserve">, 42(3), p.25.</w:t>
      </w:r>
    </w:p>
    <w:p w:rsidR="00000000" w:rsidDel="00000000" w:rsidP="00000000" w:rsidRDefault="00000000" w:rsidRPr="00000000" w14:paraId="0000008E">
      <w:pPr>
        <w:numPr>
          <w:ilvl w:val="0"/>
          <w:numId w:val="1"/>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Neuburg, M. (1991). Clytemnestra and the Alastor (Aeschylus, Agamemnon 1497ff). </w:t>
      </w:r>
      <w:r w:rsidDel="00000000" w:rsidR="00000000" w:rsidRPr="00000000">
        <w:rPr>
          <w:rFonts w:ascii="Times New Roman" w:cs="Times New Roman" w:eastAsia="Times New Roman" w:hAnsi="Times New Roman"/>
          <w:i w:val="1"/>
          <w:sz w:val="24"/>
          <w:szCs w:val="24"/>
          <w:rtl w:val="0"/>
        </w:rPr>
        <w:t xml:space="preserve">Quaderni Urbinati di Cultura Classica</w:t>
      </w:r>
      <w:r w:rsidDel="00000000" w:rsidR="00000000" w:rsidRPr="00000000">
        <w:rPr>
          <w:rFonts w:ascii="Times New Roman" w:cs="Times New Roman" w:eastAsia="Times New Roman" w:hAnsi="Times New Roman"/>
          <w:sz w:val="24"/>
          <w:szCs w:val="24"/>
          <w:rtl w:val="0"/>
        </w:rPr>
        <w:t xml:space="preserve">, 38(2), p.37.</w:t>
      </w:r>
    </w:p>
    <w:p w:rsidR="00000000" w:rsidDel="00000000" w:rsidP="00000000" w:rsidRDefault="00000000" w:rsidRPr="00000000" w14:paraId="0000008F">
      <w:pPr>
        <w:numPr>
          <w:ilvl w:val="0"/>
          <w:numId w:val="1"/>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Aeschylus, Fagles, R. and Stanford, W. (1979). </w:t>
      </w:r>
      <w:r w:rsidDel="00000000" w:rsidR="00000000" w:rsidRPr="00000000">
        <w:rPr>
          <w:rFonts w:ascii="Times New Roman" w:cs="Times New Roman" w:eastAsia="Times New Roman" w:hAnsi="Times New Roman"/>
          <w:i w:val="1"/>
          <w:sz w:val="24"/>
          <w:szCs w:val="24"/>
          <w:rtl w:val="0"/>
        </w:rPr>
        <w:t xml:space="preserve">The Oresteia</w:t>
      </w:r>
      <w:r w:rsidDel="00000000" w:rsidR="00000000" w:rsidRPr="00000000">
        <w:rPr>
          <w:rFonts w:ascii="Times New Roman" w:cs="Times New Roman" w:eastAsia="Times New Roman" w:hAnsi="Times New Roman"/>
          <w:sz w:val="24"/>
          <w:szCs w:val="24"/>
          <w:rtl w:val="0"/>
        </w:rPr>
        <w:t xml:space="preserve">. 2nd ed. London, England: Penguin Classics.</w:t>
      </w:r>
    </w:p>
    <w:p w:rsidR="00000000" w:rsidDel="00000000" w:rsidP="00000000" w:rsidRDefault="00000000" w:rsidRPr="00000000" w14:paraId="00000090">
      <w:pPr>
        <w:widowControl w:val="0"/>
        <w:numPr>
          <w:ilvl w:val="0"/>
          <w:numId w:val="1"/>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Euripides, Blondell, R., Gamel, M., Rabinowitz, N. and Zweig, B. (1999). </w:t>
      </w:r>
      <w:r w:rsidDel="00000000" w:rsidR="00000000" w:rsidRPr="00000000">
        <w:rPr>
          <w:rFonts w:ascii="Times New Roman" w:cs="Times New Roman" w:eastAsia="Times New Roman" w:hAnsi="Times New Roman"/>
          <w:i w:val="1"/>
          <w:sz w:val="24"/>
          <w:szCs w:val="24"/>
          <w:rtl w:val="0"/>
        </w:rPr>
        <w:t xml:space="preserve">Women on the edge</w:t>
      </w:r>
      <w:r w:rsidDel="00000000" w:rsidR="00000000" w:rsidRPr="00000000">
        <w:rPr>
          <w:rFonts w:ascii="Times New Roman" w:cs="Times New Roman" w:eastAsia="Times New Roman" w:hAnsi="Times New Roman"/>
          <w:sz w:val="24"/>
          <w:szCs w:val="24"/>
          <w:rtl w:val="0"/>
        </w:rPr>
        <w:t xml:space="preserve">. New York: Routledge.</w:t>
      </w:r>
    </w:p>
    <w:p w:rsidR="00000000" w:rsidDel="00000000" w:rsidP="00000000" w:rsidRDefault="00000000" w:rsidRPr="00000000" w14:paraId="00000091">
      <w:pPr>
        <w:numPr>
          <w:ilvl w:val="0"/>
          <w:numId w:val="1"/>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Holmberg, I. (1995). Euripides' Helen: Most Noble and Most Chaste. </w:t>
      </w:r>
      <w:r w:rsidDel="00000000" w:rsidR="00000000" w:rsidRPr="00000000">
        <w:rPr>
          <w:rFonts w:ascii="Times New Roman" w:cs="Times New Roman" w:eastAsia="Times New Roman" w:hAnsi="Times New Roman"/>
          <w:i w:val="1"/>
          <w:sz w:val="24"/>
          <w:szCs w:val="24"/>
          <w:rtl w:val="0"/>
        </w:rPr>
        <w:t xml:space="preserve">The American Journal of Philology</w:t>
      </w:r>
      <w:r w:rsidDel="00000000" w:rsidR="00000000" w:rsidRPr="00000000">
        <w:rPr>
          <w:rFonts w:ascii="Times New Roman" w:cs="Times New Roman" w:eastAsia="Times New Roman" w:hAnsi="Times New Roman"/>
          <w:sz w:val="24"/>
          <w:szCs w:val="24"/>
          <w:rtl w:val="0"/>
        </w:rPr>
        <w:t xml:space="preserve">, 116(1), p.19.</w:t>
      </w:r>
    </w:p>
    <w:p w:rsidR="00000000" w:rsidDel="00000000" w:rsidP="00000000" w:rsidRDefault="00000000" w:rsidRPr="00000000" w14:paraId="00000092">
      <w:pPr>
        <w:numPr>
          <w:ilvl w:val="0"/>
          <w:numId w:val="1"/>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TORRANCE, I. (2009). ON YOUR HEAD BE IT SWORN: OATH AND VIRTUE IN EURIPIDES' HELEN. </w:t>
      </w:r>
      <w:r w:rsidDel="00000000" w:rsidR="00000000" w:rsidRPr="00000000">
        <w:rPr>
          <w:rFonts w:ascii="Times New Roman" w:cs="Times New Roman" w:eastAsia="Times New Roman" w:hAnsi="Times New Roman"/>
          <w:i w:val="1"/>
          <w:sz w:val="24"/>
          <w:szCs w:val="24"/>
          <w:rtl w:val="0"/>
        </w:rPr>
        <w:t xml:space="preserve">The Classical Quarterly</w:t>
      </w:r>
      <w:r w:rsidDel="00000000" w:rsidR="00000000" w:rsidRPr="00000000">
        <w:rPr>
          <w:rFonts w:ascii="Times New Roman" w:cs="Times New Roman" w:eastAsia="Times New Roman" w:hAnsi="Times New Roman"/>
          <w:sz w:val="24"/>
          <w:szCs w:val="24"/>
          <w:rtl w:val="0"/>
        </w:rPr>
        <w:t xml:space="preserve">, 59(01), p.1.</w:t>
      </w:r>
    </w:p>
    <w:p w:rsidR="00000000" w:rsidDel="00000000" w:rsidP="00000000" w:rsidRDefault="00000000" w:rsidRPr="00000000" w14:paraId="00000093">
      <w:pPr>
        <w:numPr>
          <w:ilvl w:val="0"/>
          <w:numId w:val="1"/>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Juffras, D. (1993). Helen and Other Victims in Euripides' 'Helen'. </w:t>
      </w:r>
      <w:r w:rsidDel="00000000" w:rsidR="00000000" w:rsidRPr="00000000">
        <w:rPr>
          <w:rFonts w:ascii="Times New Roman" w:cs="Times New Roman" w:eastAsia="Times New Roman" w:hAnsi="Times New Roman"/>
          <w:i w:val="1"/>
          <w:sz w:val="24"/>
          <w:szCs w:val="24"/>
          <w:rtl w:val="0"/>
        </w:rPr>
        <w:t xml:space="preserve">Hermes</w:t>
      </w:r>
      <w:r w:rsidDel="00000000" w:rsidR="00000000" w:rsidRPr="00000000">
        <w:rPr>
          <w:rFonts w:ascii="Times New Roman" w:cs="Times New Roman" w:eastAsia="Times New Roman" w:hAnsi="Times New Roman"/>
          <w:sz w:val="24"/>
          <w:szCs w:val="24"/>
          <w:rtl w:val="0"/>
        </w:rPr>
        <w:t xml:space="preserve">, 121(1), pp.45-57.</w:t>
      </w:r>
    </w:p>
    <w:p w:rsidR="00000000" w:rsidDel="00000000" w:rsidP="00000000" w:rsidRDefault="00000000" w:rsidRPr="00000000" w14:paraId="00000094">
      <w:pPr>
        <w:numPr>
          <w:ilvl w:val="0"/>
          <w:numId w:val="1"/>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Wolff, C. (1973). On Euripides' Helen. </w:t>
      </w:r>
      <w:r w:rsidDel="00000000" w:rsidR="00000000" w:rsidRPr="00000000">
        <w:rPr>
          <w:rFonts w:ascii="Times New Roman" w:cs="Times New Roman" w:eastAsia="Times New Roman" w:hAnsi="Times New Roman"/>
          <w:i w:val="1"/>
          <w:sz w:val="24"/>
          <w:szCs w:val="24"/>
          <w:rtl w:val="0"/>
        </w:rPr>
        <w:t xml:space="preserve">Harvard Studies in Classical Philology</w:t>
      </w:r>
      <w:r w:rsidDel="00000000" w:rsidR="00000000" w:rsidRPr="00000000">
        <w:rPr>
          <w:rFonts w:ascii="Times New Roman" w:cs="Times New Roman" w:eastAsia="Times New Roman" w:hAnsi="Times New Roman"/>
          <w:sz w:val="24"/>
          <w:szCs w:val="24"/>
          <w:rtl w:val="0"/>
        </w:rPr>
        <w:t xml:space="preserve">, 77, p.61.</w:t>
      </w:r>
    </w:p>
    <w:p w:rsidR="00000000" w:rsidDel="00000000" w:rsidP="00000000" w:rsidRDefault="00000000" w:rsidRPr="00000000" w14:paraId="00000095">
      <w:pPr>
        <w:numPr>
          <w:ilvl w:val="0"/>
          <w:numId w:val="1"/>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Vellacott, P. and Euripides (1973). </w:t>
      </w:r>
      <w:r w:rsidDel="00000000" w:rsidR="00000000" w:rsidRPr="00000000">
        <w:rPr>
          <w:rFonts w:ascii="Times New Roman" w:cs="Times New Roman" w:eastAsia="Times New Roman" w:hAnsi="Times New Roman"/>
          <w:i w:val="1"/>
          <w:sz w:val="24"/>
          <w:szCs w:val="24"/>
          <w:rtl w:val="0"/>
        </w:rPr>
        <w:t xml:space="preserve">The Bacchae and other plays</w:t>
      </w:r>
      <w:r w:rsidDel="00000000" w:rsidR="00000000" w:rsidRPr="00000000">
        <w:rPr>
          <w:rFonts w:ascii="Times New Roman" w:cs="Times New Roman" w:eastAsia="Times New Roman" w:hAnsi="Times New Roman"/>
          <w:sz w:val="24"/>
          <w:szCs w:val="24"/>
          <w:rtl w:val="0"/>
        </w:rPr>
        <w:t xml:space="preserve">. 2nd ed. England: Penguin.</w:t>
      </w:r>
      <w:r w:rsidDel="00000000" w:rsidR="00000000" w:rsidRPr="00000000">
        <w:rPr>
          <w:rtl w:val="0"/>
        </w:rPr>
      </w:r>
    </w:p>
    <w:sectPr>
      <w:headerReference r:id="rId7" w:type="default"/>
      <w:footerReference r:id="rId8" w:type="default"/>
      <w:footerReference r:id="rId9" w:type="first"/>
      <w:pgSz w:h="16834" w:w="11909"/>
      <w:pgMar w:bottom="1440" w:top="1440" w:left="1440" w:right="1440" w:header="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6">
    <w:pPr>
      <w:contextualSpacing w:val="0"/>
      <w:jc w:val="right"/>
      <w:rPr>
        <w:rFonts w:ascii="Times New Roman" w:cs="Times New Roman" w:eastAsia="Times New Roman" w:hAnsi="Times New Roman"/>
      </w:rPr>
    </w:pPr>
    <w:r w:rsidDel="00000000" w:rsidR="00000000" w:rsidRPr="00000000">
      <w:rPr>
        <w:rFonts w:ascii="Times New Roman" w:cs="Times New Roman" w:eastAsia="Times New Roman" w:hAnsi="Times New Roman"/>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7">
    <w:pPr>
      <w:contextualSpacing w:val="0"/>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98">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Fletcher 2003:30</w:t>
      </w:r>
    </w:p>
  </w:footnote>
  <w:footnote w:id="1">
    <w:p w:rsidR="00000000" w:rsidDel="00000000" w:rsidP="00000000" w:rsidRDefault="00000000" w:rsidRPr="00000000" w14:paraId="00000099">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Blondell et al 1999:63, 81</w:t>
      </w:r>
    </w:p>
  </w:footnote>
  <w:footnote w:id="2">
    <w:p w:rsidR="00000000" w:rsidDel="00000000" w:rsidP="00000000" w:rsidRDefault="00000000" w:rsidRPr="00000000" w14:paraId="0000009A">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Fagles 1979:8, Vellacott 1973:27</w:t>
      </w:r>
    </w:p>
  </w:footnote>
  <w:footnote w:id="3">
    <w:p w:rsidR="00000000" w:rsidDel="00000000" w:rsidP="00000000" w:rsidRDefault="00000000" w:rsidRPr="00000000" w14:paraId="0000009B">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Blondell et al 1999:49</w:t>
      </w:r>
    </w:p>
  </w:footnote>
  <w:footnote w:id="22">
    <w:p w:rsidR="00000000" w:rsidDel="00000000" w:rsidP="00000000" w:rsidRDefault="00000000" w:rsidRPr="00000000" w14:paraId="0000009C">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Aristot. Pol. 1259a</w:t>
      </w:r>
    </w:p>
  </w:footnote>
  <w:footnote w:id="4">
    <w:p w:rsidR="00000000" w:rsidDel="00000000" w:rsidP="00000000" w:rsidRDefault="00000000" w:rsidRPr="00000000" w14:paraId="0000009D">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Holmberg 1995:35, Sorum 1992:533</w:t>
      </w:r>
    </w:p>
  </w:footnote>
  <w:footnote w:id="5">
    <w:p w:rsidR="00000000" w:rsidDel="00000000" w:rsidP="00000000" w:rsidRDefault="00000000" w:rsidRPr="00000000" w14:paraId="0000009E">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Eur. Med. 1399</w:t>
      </w:r>
    </w:p>
  </w:footnote>
  <w:footnote w:id="7">
    <w:p w:rsidR="00000000" w:rsidDel="00000000" w:rsidP="00000000" w:rsidRDefault="00000000" w:rsidRPr="00000000" w14:paraId="0000009F">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Holmberg 1995:38</w:t>
      </w:r>
    </w:p>
  </w:footnote>
  <w:footnote w:id="8">
    <w:p w:rsidR="00000000" w:rsidDel="00000000" w:rsidP="00000000" w:rsidRDefault="00000000" w:rsidRPr="00000000" w14:paraId="000000A0">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Blondell et al 1999:px</w:t>
      </w:r>
    </w:p>
  </w:footnote>
  <w:footnote w:id="10">
    <w:p w:rsidR="00000000" w:rsidDel="00000000" w:rsidP="00000000" w:rsidRDefault="00000000" w:rsidRPr="00000000" w14:paraId="000000A1">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Blondell et al 1999:pxi</w:t>
      </w:r>
    </w:p>
  </w:footnote>
  <w:footnote w:id="11">
    <w:p w:rsidR="00000000" w:rsidDel="00000000" w:rsidP="00000000" w:rsidRDefault="00000000" w:rsidRPr="00000000" w14:paraId="000000A2">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Torrance 2009:6</w:t>
      </w:r>
    </w:p>
  </w:footnote>
  <w:footnote w:id="12">
    <w:p w:rsidR="00000000" w:rsidDel="00000000" w:rsidP="00000000" w:rsidRDefault="00000000" w:rsidRPr="00000000" w14:paraId="000000A3">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Sorum 1992:539</w:t>
      </w:r>
    </w:p>
  </w:footnote>
  <w:footnote w:id="13">
    <w:p w:rsidR="00000000" w:rsidDel="00000000" w:rsidP="00000000" w:rsidRDefault="00000000" w:rsidRPr="00000000" w14:paraId="000000A4">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Mueller 2001:472</w:t>
      </w:r>
    </w:p>
  </w:footnote>
  <w:footnote w:id="16">
    <w:p w:rsidR="00000000" w:rsidDel="00000000" w:rsidP="00000000" w:rsidRDefault="00000000" w:rsidRPr="00000000" w14:paraId="000000A5">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Holmberg 1995:38</w:t>
      </w:r>
    </w:p>
  </w:footnote>
  <w:footnote w:id="17">
    <w:p w:rsidR="00000000" w:rsidDel="00000000" w:rsidP="00000000" w:rsidRDefault="00000000" w:rsidRPr="00000000" w14:paraId="000000A6">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Prag 1991:246, Blondell et al 1999:162</w:t>
      </w:r>
    </w:p>
  </w:footnote>
  <w:footnote w:id="18">
    <w:p w:rsidR="00000000" w:rsidDel="00000000" w:rsidP="00000000" w:rsidRDefault="00000000" w:rsidRPr="00000000" w14:paraId="000000A7">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Tessitore 1991:594</w:t>
      </w:r>
    </w:p>
  </w:footnote>
  <w:footnote w:id="19">
    <w:p w:rsidR="00000000" w:rsidDel="00000000" w:rsidP="00000000" w:rsidRDefault="00000000" w:rsidRPr="00000000" w14:paraId="000000A8">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Blondell et al 1999:48</w:t>
      </w:r>
    </w:p>
  </w:footnote>
  <w:footnote w:id="20">
    <w:p w:rsidR="00000000" w:rsidDel="00000000" w:rsidP="00000000" w:rsidRDefault="00000000" w:rsidRPr="00000000" w14:paraId="000000A9">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Blondell 1999:156</w:t>
      </w:r>
    </w:p>
  </w:footnote>
  <w:footnote w:id="21">
    <w:p w:rsidR="00000000" w:rsidDel="00000000" w:rsidP="00000000" w:rsidRDefault="00000000" w:rsidRPr="00000000" w14:paraId="000000AA">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Blondell 1999:149</w:t>
      </w:r>
    </w:p>
  </w:footnote>
  <w:footnote w:id="14">
    <w:p w:rsidR="00000000" w:rsidDel="00000000" w:rsidP="00000000" w:rsidRDefault="00000000" w:rsidRPr="00000000" w14:paraId="000000AB">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Sorum 1992:533</w:t>
      </w:r>
    </w:p>
  </w:footnote>
  <w:footnote w:id="23">
    <w:p w:rsidR="00000000" w:rsidDel="00000000" w:rsidP="00000000" w:rsidRDefault="00000000" w:rsidRPr="00000000" w14:paraId="000000AC">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Eur. IA. 690, 55</w:t>
      </w:r>
    </w:p>
  </w:footnote>
  <w:footnote w:id="24">
    <w:p w:rsidR="00000000" w:rsidDel="00000000" w:rsidP="00000000" w:rsidRDefault="00000000" w:rsidRPr="00000000" w14:paraId="000000AD">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Eur. IA. 702</w:t>
      </w:r>
    </w:p>
  </w:footnote>
  <w:footnote w:id="25">
    <w:p w:rsidR="00000000" w:rsidDel="00000000" w:rsidP="00000000" w:rsidRDefault="00000000" w:rsidRPr="00000000" w14:paraId="000000AE">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Arnott 1973:49</w:t>
      </w:r>
    </w:p>
  </w:footnote>
  <w:footnote w:id="26">
    <w:p w:rsidR="00000000" w:rsidDel="00000000" w:rsidP="00000000" w:rsidRDefault="00000000" w:rsidRPr="00000000" w14:paraId="000000AF">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Mueller 2001:480</w:t>
      </w:r>
    </w:p>
  </w:footnote>
  <w:footnote w:id="27">
    <w:p w:rsidR="00000000" w:rsidDel="00000000" w:rsidP="00000000" w:rsidRDefault="00000000" w:rsidRPr="00000000" w14:paraId="000000B0">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Mueller 2001:489</w:t>
      </w:r>
    </w:p>
  </w:footnote>
  <w:footnote w:id="28">
    <w:p w:rsidR="00000000" w:rsidDel="00000000" w:rsidP="00000000" w:rsidRDefault="00000000" w:rsidRPr="00000000" w14:paraId="000000B1">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Flory 1978:71</w:t>
      </w:r>
    </w:p>
  </w:footnote>
  <w:footnote w:id="29">
    <w:p w:rsidR="00000000" w:rsidDel="00000000" w:rsidP="00000000" w:rsidRDefault="00000000" w:rsidRPr="00000000" w14:paraId="000000B2">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Mueller 2001:499</w:t>
      </w:r>
    </w:p>
  </w:footnote>
  <w:footnote w:id="30">
    <w:p w:rsidR="00000000" w:rsidDel="00000000" w:rsidP="00000000" w:rsidRDefault="00000000" w:rsidRPr="00000000" w14:paraId="000000B3">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Eur. Hel. 65</w:t>
      </w:r>
    </w:p>
  </w:footnote>
  <w:footnote w:id="31">
    <w:p w:rsidR="00000000" w:rsidDel="00000000" w:rsidP="00000000" w:rsidRDefault="00000000" w:rsidRPr="00000000" w14:paraId="000000B4">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Mueller 2001:499</w:t>
      </w:r>
    </w:p>
  </w:footnote>
  <w:footnote w:id="32">
    <w:p w:rsidR="00000000" w:rsidDel="00000000" w:rsidP="00000000" w:rsidRDefault="00000000" w:rsidRPr="00000000" w14:paraId="000000B5">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Tessitore 1991:595</w:t>
      </w:r>
    </w:p>
  </w:footnote>
  <w:footnote w:id="33">
    <w:p w:rsidR="00000000" w:rsidDel="00000000" w:rsidP="00000000" w:rsidRDefault="00000000" w:rsidRPr="00000000" w14:paraId="000000B6">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Eur. IA. 715</w:t>
      </w:r>
    </w:p>
  </w:footnote>
  <w:footnote w:id="34">
    <w:p w:rsidR="00000000" w:rsidDel="00000000" w:rsidP="00000000" w:rsidRDefault="00000000" w:rsidRPr="00000000" w14:paraId="000000B7">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Dunkle 1969:100</w:t>
      </w:r>
    </w:p>
  </w:footnote>
  <w:footnote w:id="36">
    <w:p w:rsidR="00000000" w:rsidDel="00000000" w:rsidP="00000000" w:rsidRDefault="00000000" w:rsidRPr="00000000" w14:paraId="000000B8">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Sorum 1992:537</w:t>
      </w:r>
    </w:p>
  </w:footnote>
  <w:footnote w:id="37">
    <w:p w:rsidR="00000000" w:rsidDel="00000000" w:rsidP="00000000" w:rsidRDefault="00000000" w:rsidRPr="00000000" w14:paraId="000000B9">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Eur. IA. 728-42</w:t>
      </w:r>
    </w:p>
  </w:footnote>
  <w:footnote w:id="39">
    <w:p w:rsidR="00000000" w:rsidDel="00000000" w:rsidP="00000000" w:rsidRDefault="00000000" w:rsidRPr="00000000" w14:paraId="000000BA">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Eur. IA. 1146-56</w:t>
      </w:r>
    </w:p>
  </w:footnote>
  <w:footnote w:id="40">
    <w:p w:rsidR="00000000" w:rsidDel="00000000" w:rsidP="00000000" w:rsidRDefault="00000000" w:rsidRPr="00000000" w14:paraId="000000BB">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Holmberg 1995:25</w:t>
      </w:r>
    </w:p>
  </w:footnote>
  <w:footnote w:id="41">
    <w:p w:rsidR="00000000" w:rsidDel="00000000" w:rsidP="00000000" w:rsidRDefault="00000000" w:rsidRPr="00000000" w14:paraId="000000BC">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Torrance 2009:1, Eur. IA. 569</w:t>
      </w:r>
    </w:p>
  </w:footnote>
  <w:footnote w:id="42">
    <w:p w:rsidR="00000000" w:rsidDel="00000000" w:rsidP="00000000" w:rsidRDefault="00000000" w:rsidRPr="00000000" w14:paraId="000000BD">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Blondell 1999:155</w:t>
      </w:r>
    </w:p>
  </w:footnote>
  <w:footnote w:id="43">
    <w:p w:rsidR="00000000" w:rsidDel="00000000" w:rsidP="00000000" w:rsidRDefault="00000000" w:rsidRPr="00000000" w14:paraId="000000BE">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Wolff 1973:77</w:t>
      </w:r>
    </w:p>
  </w:footnote>
  <w:footnote w:id="44">
    <w:p w:rsidR="00000000" w:rsidDel="00000000" w:rsidP="00000000" w:rsidRDefault="00000000" w:rsidRPr="00000000" w14:paraId="000000BF">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Holmberg 1995:36</w:t>
      </w:r>
    </w:p>
  </w:footnote>
  <w:footnote w:id="45">
    <w:p w:rsidR="00000000" w:rsidDel="00000000" w:rsidP="00000000" w:rsidRDefault="00000000" w:rsidRPr="00000000" w14:paraId="000000C0">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Sorum 1992:530</w:t>
      </w:r>
    </w:p>
  </w:footnote>
  <w:footnote w:id="49">
    <w:p w:rsidR="00000000" w:rsidDel="00000000" w:rsidP="00000000" w:rsidRDefault="00000000" w:rsidRPr="00000000" w14:paraId="000000C1">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Torrance 2009:1</w:t>
      </w:r>
    </w:p>
  </w:footnote>
  <w:footnote w:id="50">
    <w:p w:rsidR="00000000" w:rsidDel="00000000" w:rsidP="00000000" w:rsidRDefault="00000000" w:rsidRPr="00000000" w14:paraId="000000C2">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Juffras 1993:46</w:t>
      </w:r>
    </w:p>
  </w:footnote>
  <w:footnote w:id="51">
    <w:p w:rsidR="00000000" w:rsidDel="00000000" w:rsidP="00000000" w:rsidRDefault="00000000" w:rsidRPr="00000000" w14:paraId="000000C3">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Wolff 1975:75</w:t>
      </w:r>
    </w:p>
  </w:footnote>
  <w:footnote w:id="52">
    <w:p w:rsidR="00000000" w:rsidDel="00000000" w:rsidP="00000000" w:rsidRDefault="00000000" w:rsidRPr="00000000" w14:paraId="000000C4">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Eur. IA. 460</w:t>
      </w:r>
    </w:p>
  </w:footnote>
  <w:footnote w:id="46">
    <w:p w:rsidR="00000000" w:rsidDel="00000000" w:rsidP="00000000" w:rsidRDefault="00000000" w:rsidRPr="00000000" w14:paraId="000000C5">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Mueller 2001:488</w:t>
      </w:r>
    </w:p>
  </w:footnote>
  <w:footnote w:id="47">
    <w:p w:rsidR="00000000" w:rsidDel="00000000" w:rsidP="00000000" w:rsidRDefault="00000000" w:rsidRPr="00000000" w14:paraId="000000C6">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Mueller 2001:477, Cowherd 1983:134</w:t>
      </w:r>
    </w:p>
  </w:footnote>
  <w:footnote w:id="35">
    <w:p w:rsidR="00000000" w:rsidDel="00000000" w:rsidP="00000000" w:rsidRDefault="00000000" w:rsidRPr="00000000" w14:paraId="000000C7">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Cowherd 1983:130</w:t>
      </w:r>
    </w:p>
  </w:footnote>
  <w:footnote w:id="54">
    <w:p w:rsidR="00000000" w:rsidDel="00000000" w:rsidP="00000000" w:rsidRDefault="00000000" w:rsidRPr="00000000" w14:paraId="000000C8">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Sorum 1992:540</w:t>
      </w:r>
    </w:p>
  </w:footnote>
  <w:footnote w:id="55">
    <w:p w:rsidR="00000000" w:rsidDel="00000000" w:rsidP="00000000" w:rsidRDefault="00000000" w:rsidRPr="00000000" w14:paraId="000000C9">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Mueller 2001:472</w:t>
      </w:r>
      <w:r w:rsidDel="00000000" w:rsidR="00000000" w:rsidRPr="00000000">
        <w:rPr>
          <w:sz w:val="20"/>
          <w:szCs w:val="20"/>
          <w:rtl w:val="0"/>
        </w:rPr>
        <w:t xml:space="preserve">,</w:t>
      </w:r>
      <w:r w:rsidDel="00000000" w:rsidR="00000000" w:rsidRPr="00000000">
        <w:rPr>
          <w:rFonts w:ascii="Times New Roman" w:cs="Times New Roman" w:eastAsia="Times New Roman" w:hAnsi="Times New Roman"/>
          <w:sz w:val="20"/>
          <w:szCs w:val="20"/>
          <w:rtl w:val="0"/>
        </w:rPr>
        <w:t xml:space="preserve"> Apollon. 4</w:t>
      </w:r>
    </w:p>
  </w:footnote>
  <w:footnote w:id="56">
    <w:p w:rsidR="00000000" w:rsidDel="00000000" w:rsidP="00000000" w:rsidRDefault="00000000" w:rsidRPr="00000000" w14:paraId="000000CA">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Blondell 1999:160</w:t>
      </w:r>
    </w:p>
  </w:footnote>
  <w:footnote w:id="57">
    <w:p w:rsidR="00000000" w:rsidDel="00000000" w:rsidP="00000000" w:rsidRDefault="00000000" w:rsidRPr="00000000" w14:paraId="000000CB">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Gamel 1999:322</w:t>
      </w:r>
    </w:p>
  </w:footnote>
  <w:footnote w:id="58">
    <w:p w:rsidR="00000000" w:rsidDel="00000000" w:rsidP="00000000" w:rsidRDefault="00000000" w:rsidRPr="00000000" w14:paraId="000000CC">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Neuburg 1991:57</w:t>
      </w:r>
    </w:p>
  </w:footnote>
  <w:footnote w:id="59">
    <w:p w:rsidR="00000000" w:rsidDel="00000000" w:rsidP="00000000" w:rsidRDefault="00000000" w:rsidRPr="00000000" w14:paraId="000000CD">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Juffras 1993:56</w:t>
      </w:r>
    </w:p>
  </w:footnote>
  <w:footnote w:id="60">
    <w:p w:rsidR="00000000" w:rsidDel="00000000" w:rsidP="00000000" w:rsidRDefault="00000000" w:rsidRPr="00000000" w14:paraId="000000CE">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Juffras 1993:55</w:t>
      </w:r>
    </w:p>
  </w:footnote>
  <w:footnote w:id="61">
    <w:p w:rsidR="00000000" w:rsidDel="00000000" w:rsidP="00000000" w:rsidRDefault="00000000" w:rsidRPr="00000000" w14:paraId="000000CF">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Fletcher 2003:30</w:t>
      </w:r>
    </w:p>
  </w:footnote>
  <w:footnote w:id="62">
    <w:p w:rsidR="00000000" w:rsidDel="00000000" w:rsidP="00000000" w:rsidRDefault="00000000" w:rsidRPr="00000000" w14:paraId="000000D0">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Fletcher 2003:30</w:t>
      </w:r>
    </w:p>
  </w:footnote>
  <w:footnote w:id="63">
    <w:p w:rsidR="00000000" w:rsidDel="00000000" w:rsidP="00000000" w:rsidRDefault="00000000" w:rsidRPr="00000000" w14:paraId="000000D1">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Fletcher 2003:29, Blondell 1999:154</w:t>
      </w:r>
    </w:p>
  </w:footnote>
  <w:footnote w:id="64">
    <w:p w:rsidR="00000000" w:rsidDel="00000000" w:rsidP="00000000" w:rsidRDefault="00000000" w:rsidRPr="00000000" w14:paraId="000000D2">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Lee 2004:268</w:t>
      </w:r>
    </w:p>
  </w:footnote>
  <w:footnote w:id="65">
    <w:p w:rsidR="00000000" w:rsidDel="00000000" w:rsidP="00000000" w:rsidRDefault="00000000" w:rsidRPr="00000000" w14:paraId="000000D3">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Lee 2004:267</w:t>
      </w:r>
    </w:p>
  </w:footnote>
  <w:footnote w:id="66">
    <w:p w:rsidR="00000000" w:rsidDel="00000000" w:rsidP="00000000" w:rsidRDefault="00000000" w:rsidRPr="00000000" w14:paraId="000000D4">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Lloyd 2006:116, 120</w:t>
      </w:r>
    </w:p>
  </w:footnote>
  <w:footnote w:id="67">
    <w:p w:rsidR="00000000" w:rsidDel="00000000" w:rsidP="00000000" w:rsidRDefault="00000000" w:rsidRPr="00000000" w14:paraId="000000D5">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Lloyd 2006:120</w:t>
      </w:r>
    </w:p>
  </w:footnote>
  <w:footnote w:id="68">
    <w:p w:rsidR="00000000" w:rsidDel="00000000" w:rsidP="00000000" w:rsidRDefault="00000000" w:rsidRPr="00000000" w14:paraId="000000D6">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Meridor 1986:95</w:t>
      </w:r>
    </w:p>
  </w:footnote>
  <w:footnote w:id="69">
    <w:p w:rsidR="00000000" w:rsidDel="00000000" w:rsidP="00000000" w:rsidRDefault="00000000" w:rsidRPr="00000000" w14:paraId="000000D7">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Tessitore 1991:590</w:t>
      </w:r>
    </w:p>
  </w:footnote>
  <w:footnote w:id="71">
    <w:p w:rsidR="00000000" w:rsidDel="00000000" w:rsidP="00000000" w:rsidRDefault="00000000" w:rsidRPr="00000000" w14:paraId="000000D8">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Morgan 1992:26, Fletcher 2003:29</w:t>
      </w:r>
    </w:p>
  </w:footnote>
  <w:footnote w:id="70">
    <w:p w:rsidR="00000000" w:rsidDel="00000000" w:rsidP="00000000" w:rsidRDefault="00000000" w:rsidRPr="00000000" w14:paraId="000000D9">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Meridor 1986:99</w:t>
      </w:r>
    </w:p>
  </w:footnote>
  <w:footnote w:id="73">
    <w:p w:rsidR="00000000" w:rsidDel="00000000" w:rsidP="00000000" w:rsidRDefault="00000000" w:rsidRPr="00000000" w14:paraId="000000DA">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Torrance 2009:5</w:t>
      </w:r>
    </w:p>
  </w:footnote>
  <w:footnote w:id="74">
    <w:p w:rsidR="00000000" w:rsidDel="00000000" w:rsidP="00000000" w:rsidRDefault="00000000" w:rsidRPr="00000000" w14:paraId="000000DB">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Eur. Hel. 62</w:t>
      </w:r>
    </w:p>
  </w:footnote>
  <w:footnote w:id="76">
    <w:p w:rsidR="00000000" w:rsidDel="00000000" w:rsidP="00000000" w:rsidRDefault="00000000" w:rsidRPr="00000000" w14:paraId="000000DC">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Juffras 1993:54</w:t>
      </w:r>
    </w:p>
  </w:footnote>
  <w:footnote w:id="77">
    <w:p w:rsidR="00000000" w:rsidDel="00000000" w:rsidP="00000000" w:rsidRDefault="00000000" w:rsidRPr="00000000" w14:paraId="000000DD">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Cowherd 1983:129</w:t>
      </w:r>
    </w:p>
  </w:footnote>
  <w:footnote w:id="6">
    <w:p w:rsidR="00000000" w:rsidDel="00000000" w:rsidP="00000000" w:rsidRDefault="00000000" w:rsidRPr="00000000" w14:paraId="000000DE">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Lawrence 1997:51</w:t>
      </w:r>
    </w:p>
  </w:footnote>
  <w:footnote w:id="9">
    <w:p w:rsidR="00000000" w:rsidDel="00000000" w:rsidP="00000000" w:rsidRDefault="00000000" w:rsidRPr="00000000" w14:paraId="000000DF">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Arnott 1973:50</w:t>
      </w:r>
    </w:p>
  </w:footnote>
  <w:footnote w:id="84">
    <w:p w:rsidR="00000000" w:rsidDel="00000000" w:rsidP="00000000" w:rsidRDefault="00000000" w:rsidRPr="00000000" w14:paraId="000000E0">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Prag 1991:245</w:t>
      </w:r>
    </w:p>
  </w:footnote>
  <w:footnote w:id="85">
    <w:p w:rsidR="00000000" w:rsidDel="00000000" w:rsidP="00000000" w:rsidRDefault="00000000" w:rsidRPr="00000000" w14:paraId="000000E1">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Prag 1991:246</w:t>
      </w:r>
    </w:p>
  </w:footnote>
  <w:footnote w:id="86">
    <w:p w:rsidR="00000000" w:rsidDel="00000000" w:rsidP="00000000" w:rsidRDefault="00000000" w:rsidRPr="00000000" w14:paraId="000000E2">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Lawrence 1997:55</w:t>
      </w:r>
    </w:p>
  </w:footnote>
  <w:footnote w:id="87">
    <w:p w:rsidR="00000000" w:rsidDel="00000000" w:rsidP="00000000" w:rsidRDefault="00000000" w:rsidRPr="00000000" w14:paraId="000000E3">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Mueller 2001:483</w:t>
      </w:r>
    </w:p>
  </w:footnote>
  <w:footnote w:id="72">
    <w:p w:rsidR="00000000" w:rsidDel="00000000" w:rsidP="00000000" w:rsidRDefault="00000000" w:rsidRPr="00000000" w14:paraId="000000E4">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Mueller 2001:471</w:t>
      </w:r>
    </w:p>
  </w:footnote>
  <w:footnote w:id="88">
    <w:p w:rsidR="00000000" w:rsidDel="00000000" w:rsidP="00000000" w:rsidRDefault="00000000" w:rsidRPr="00000000" w14:paraId="000000E5">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Mueller 2001:477</w:t>
      </w:r>
    </w:p>
  </w:footnote>
  <w:footnote w:id="89">
    <w:p w:rsidR="00000000" w:rsidDel="00000000" w:rsidP="00000000" w:rsidRDefault="00000000" w:rsidRPr="00000000" w14:paraId="000000E6">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Mueller 2001:480, Knight 1991:249</w:t>
      </w:r>
    </w:p>
  </w:footnote>
  <w:footnote w:id="90">
    <w:p w:rsidR="00000000" w:rsidDel="00000000" w:rsidP="00000000" w:rsidRDefault="00000000" w:rsidRPr="00000000" w14:paraId="000000E7">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Flory 1978:70</w:t>
      </w:r>
    </w:p>
  </w:footnote>
  <w:footnote w:id="91">
    <w:p w:rsidR="00000000" w:rsidDel="00000000" w:rsidP="00000000" w:rsidRDefault="00000000" w:rsidRPr="00000000" w14:paraId="000000E8">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Lloyd 2006:122</w:t>
      </w:r>
    </w:p>
  </w:footnote>
  <w:footnote w:id="15">
    <w:p w:rsidR="00000000" w:rsidDel="00000000" w:rsidP="00000000" w:rsidRDefault="00000000" w:rsidRPr="00000000" w14:paraId="000000E9">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Blondell et al 1999:49</w:t>
      </w:r>
    </w:p>
  </w:footnote>
  <w:footnote w:id="92">
    <w:p w:rsidR="00000000" w:rsidDel="00000000" w:rsidP="00000000" w:rsidRDefault="00000000" w:rsidRPr="00000000" w14:paraId="000000EA">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Eur. IA. 724</w:t>
      </w:r>
    </w:p>
  </w:footnote>
  <w:footnote w:id="78">
    <w:p w:rsidR="00000000" w:rsidDel="00000000" w:rsidP="00000000" w:rsidRDefault="00000000" w:rsidRPr="00000000" w14:paraId="000000EB">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Lee 2004:261</w:t>
      </w:r>
    </w:p>
  </w:footnote>
  <w:footnote w:id="79">
    <w:p w:rsidR="00000000" w:rsidDel="00000000" w:rsidP="00000000" w:rsidRDefault="00000000" w:rsidRPr="00000000" w14:paraId="000000EC">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Lee 2004:254, 261</w:t>
      </w:r>
    </w:p>
  </w:footnote>
  <w:footnote w:id="80">
    <w:p w:rsidR="00000000" w:rsidDel="00000000" w:rsidP="00000000" w:rsidRDefault="00000000" w:rsidRPr="00000000" w14:paraId="000000ED">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Lee 2004:275</w:t>
      </w:r>
    </w:p>
  </w:footnote>
  <w:footnote w:id="83">
    <w:p w:rsidR="00000000" w:rsidDel="00000000" w:rsidP="00000000" w:rsidRDefault="00000000" w:rsidRPr="00000000" w14:paraId="000000EE">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Aesch. Ag. 900-975</w:t>
      </w:r>
    </w:p>
  </w:footnote>
  <w:footnote w:id="93">
    <w:p w:rsidR="00000000" w:rsidDel="00000000" w:rsidP="00000000" w:rsidRDefault="00000000" w:rsidRPr="00000000" w14:paraId="000000EF">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Eur. IA. 738</w:t>
      </w:r>
    </w:p>
  </w:footnote>
  <w:footnote w:id="48">
    <w:p w:rsidR="00000000" w:rsidDel="00000000" w:rsidP="00000000" w:rsidRDefault="00000000" w:rsidRPr="00000000" w14:paraId="000000F0">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Blondell et al 1999:49</w:t>
      </w:r>
    </w:p>
  </w:footnote>
  <w:footnote w:id="94">
    <w:p w:rsidR="00000000" w:rsidDel="00000000" w:rsidP="00000000" w:rsidRDefault="00000000" w:rsidRPr="00000000" w14:paraId="000000F1">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Plat. Meno. 10e</w:t>
      </w:r>
    </w:p>
  </w:footnote>
  <w:footnote w:id="81">
    <w:p w:rsidR="00000000" w:rsidDel="00000000" w:rsidP="00000000" w:rsidRDefault="00000000" w:rsidRPr="00000000" w14:paraId="000000F2">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Lee 2004:275</w:t>
      </w:r>
    </w:p>
  </w:footnote>
  <w:footnote w:id="82">
    <w:p w:rsidR="00000000" w:rsidDel="00000000" w:rsidP="00000000" w:rsidRDefault="00000000" w:rsidRPr="00000000" w14:paraId="000000F3">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Lloyd 2006:120</w:t>
      </w:r>
    </w:p>
  </w:footnote>
  <w:footnote w:id="75">
    <w:p w:rsidR="00000000" w:rsidDel="00000000" w:rsidP="00000000" w:rsidRDefault="00000000" w:rsidRPr="00000000" w14:paraId="000000F4">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Eur. Hel. 45</w:t>
      </w:r>
    </w:p>
  </w:footnote>
  <w:footnote w:id="53">
    <w:p w:rsidR="00000000" w:rsidDel="00000000" w:rsidP="00000000" w:rsidRDefault="00000000" w:rsidRPr="00000000" w14:paraId="000000F5">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Mueller 2001:499</w:t>
      </w:r>
    </w:p>
  </w:footnote>
  <w:footnote w:id="38">
    <w:p w:rsidR="00000000" w:rsidDel="00000000" w:rsidP="00000000" w:rsidRDefault="00000000" w:rsidRPr="00000000" w14:paraId="000000F6">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Lee 2004:264</w:t>
      </w:r>
    </w:p>
  </w:footnote>
  <w:footnote w:id="95">
    <w:p w:rsidR="00000000" w:rsidDel="00000000" w:rsidP="00000000" w:rsidRDefault="00000000" w:rsidRPr="00000000" w14:paraId="000000F7">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Eur. IA. 1120</w:t>
      </w:r>
    </w:p>
  </w:footnote>
  <w:footnote w:id="96">
    <w:p w:rsidR="00000000" w:rsidDel="00000000" w:rsidP="00000000" w:rsidRDefault="00000000" w:rsidRPr="00000000" w14:paraId="000000F8">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Aesch. Ag. 938</w:t>
      </w:r>
    </w:p>
  </w:footnote>
  <w:footnote w:id="97">
    <w:p w:rsidR="00000000" w:rsidDel="00000000" w:rsidP="00000000" w:rsidRDefault="00000000" w:rsidRPr="00000000" w14:paraId="000000F9">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Lee 2004:266</w:t>
      </w:r>
    </w:p>
  </w:footnote>
  <w:footnote w:id="98">
    <w:p w:rsidR="00000000" w:rsidDel="00000000" w:rsidP="00000000" w:rsidRDefault="00000000" w:rsidRPr="00000000" w14:paraId="000000FA">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Neuburg 1991:41</w:t>
      </w:r>
    </w:p>
  </w:footnote>
  <w:footnote w:id="99">
    <w:p w:rsidR="00000000" w:rsidDel="00000000" w:rsidP="00000000" w:rsidRDefault="00000000" w:rsidRPr="00000000" w14:paraId="000000FB">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Holmberg 1995:36</w:t>
      </w:r>
    </w:p>
  </w:footnote>
  <w:footnote w:id="100">
    <w:p w:rsidR="00000000" w:rsidDel="00000000" w:rsidP="00000000" w:rsidRDefault="00000000" w:rsidRPr="00000000" w14:paraId="000000FC">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Holmberg 1995:36</w:t>
      </w:r>
    </w:p>
  </w:footnote>
  <w:footnote w:id="101">
    <w:p w:rsidR="00000000" w:rsidDel="00000000" w:rsidP="00000000" w:rsidRDefault="00000000" w:rsidRPr="00000000" w14:paraId="000000FD">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Eur. IA. 1621</w:t>
      </w:r>
    </w:p>
  </w:footnote>
  <w:footnote w:id="102">
    <w:p w:rsidR="00000000" w:rsidDel="00000000" w:rsidP="00000000" w:rsidRDefault="00000000" w:rsidRPr="00000000" w14:paraId="000000FE">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Lawrence 1997:51</w:t>
      </w:r>
    </w:p>
  </w:footnote>
  <w:footnote w:id="103">
    <w:p w:rsidR="00000000" w:rsidDel="00000000" w:rsidP="00000000" w:rsidRDefault="00000000" w:rsidRPr="00000000" w14:paraId="000000FF">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Eur. IA. 750</w:t>
      </w:r>
    </w:p>
  </w:footnote>
  <w:footnote w:id="104">
    <w:p w:rsidR="00000000" w:rsidDel="00000000" w:rsidP="00000000" w:rsidRDefault="00000000" w:rsidRPr="00000000" w14:paraId="00000100">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Homberg 1995:37</w:t>
      </w:r>
    </w:p>
  </w:footnote>
  <w:footnote w:id="105">
    <w:p w:rsidR="00000000" w:rsidDel="00000000" w:rsidP="00000000" w:rsidRDefault="00000000" w:rsidRPr="00000000" w14:paraId="00000101">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Fagles 1979:24</w:t>
      </w:r>
    </w:p>
  </w:footnote>
  <w:footnote w:id="106">
    <w:p w:rsidR="00000000" w:rsidDel="00000000" w:rsidP="00000000" w:rsidRDefault="00000000" w:rsidRPr="00000000" w14:paraId="00000102">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Fletcher 2003:29</w:t>
      </w:r>
    </w:p>
  </w:footnote>
  <w:footnote w:id="107">
    <w:p w:rsidR="00000000" w:rsidDel="00000000" w:rsidP="00000000" w:rsidRDefault="00000000" w:rsidRPr="00000000" w14:paraId="00000103">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Fletcher 2003:30</w:t>
      </w:r>
    </w:p>
  </w:footnote>
  <w:footnote w:id="108">
    <w:p w:rsidR="00000000" w:rsidDel="00000000" w:rsidP="00000000" w:rsidRDefault="00000000" w:rsidRPr="00000000" w14:paraId="00000104">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Torrance 2009:3, 4</w:t>
      </w:r>
    </w:p>
  </w:footnote>
  <w:footnote w:id="109">
    <w:p w:rsidR="00000000" w:rsidDel="00000000" w:rsidP="00000000" w:rsidRDefault="00000000" w:rsidRPr="00000000" w14:paraId="00000105">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Torrance 2009: 4</w:t>
      </w:r>
    </w:p>
  </w:footnote>
  <w:footnote w:id="110">
    <w:p w:rsidR="00000000" w:rsidDel="00000000" w:rsidP="00000000" w:rsidRDefault="00000000" w:rsidRPr="00000000" w14:paraId="00000106">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Torrance 2009:6</w:t>
      </w:r>
    </w:p>
  </w:footnote>
  <w:footnote w:id="111">
    <w:p w:rsidR="00000000" w:rsidDel="00000000" w:rsidP="00000000" w:rsidRDefault="00000000" w:rsidRPr="00000000" w14:paraId="00000107">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Dunkle 1969:100</w:t>
      </w:r>
    </w:p>
  </w:footnote>
  <w:footnote w:id="112">
    <w:p w:rsidR="00000000" w:rsidDel="00000000" w:rsidP="00000000" w:rsidRDefault="00000000" w:rsidRPr="00000000" w14:paraId="00000108">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Dunkle 1969:99</w:t>
      </w:r>
    </w:p>
  </w:footnote>
  <w:footnote w:id="113">
    <w:p w:rsidR="00000000" w:rsidDel="00000000" w:rsidP="00000000" w:rsidRDefault="00000000" w:rsidRPr="00000000" w14:paraId="00000109">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Meridor 1986:98</w:t>
      </w:r>
    </w:p>
  </w:footnote>
  <w:footnote w:id="114">
    <w:p w:rsidR="00000000" w:rsidDel="00000000" w:rsidP="00000000" w:rsidRDefault="00000000" w:rsidRPr="00000000" w14:paraId="0000010A">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Flory 1978:71</w:t>
      </w:r>
    </w:p>
  </w:footnote>
  <w:footnote w:id="115">
    <w:p w:rsidR="00000000" w:rsidDel="00000000" w:rsidP="00000000" w:rsidRDefault="00000000" w:rsidRPr="00000000" w14:paraId="0000010B">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Eur. IA. 1120</w:t>
      </w:r>
    </w:p>
  </w:footnote>
  <w:footnote w:id="116">
    <w:p w:rsidR="00000000" w:rsidDel="00000000" w:rsidP="00000000" w:rsidRDefault="00000000" w:rsidRPr="00000000" w14:paraId="0000010C">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Lawrence 1997:49</w:t>
      </w:r>
    </w:p>
  </w:footnote>
  <w:footnote w:id="117">
    <w:p w:rsidR="00000000" w:rsidDel="00000000" w:rsidP="00000000" w:rsidRDefault="00000000" w:rsidRPr="00000000" w14:paraId="0000010D">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Aesch. Ag. 1483, Eur. IA. 1510</w:t>
      </w:r>
    </w:p>
  </w:footnote>
  <w:footnote w:id="118">
    <w:p w:rsidR="00000000" w:rsidDel="00000000" w:rsidP="00000000" w:rsidRDefault="00000000" w:rsidRPr="00000000" w14:paraId="0000010E">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Fagles 1979:14, Mueller 2001:494</w:t>
      </w:r>
    </w:p>
  </w:footnote>
  <w:footnote w:id="119">
    <w:p w:rsidR="00000000" w:rsidDel="00000000" w:rsidP="00000000" w:rsidRDefault="00000000" w:rsidRPr="00000000" w14:paraId="0000010F">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Juffras 1993:50</w:t>
      </w:r>
    </w:p>
  </w:footnote>
  <w:footnote w:id="120">
    <w:p w:rsidR="00000000" w:rsidDel="00000000" w:rsidP="00000000" w:rsidRDefault="00000000" w:rsidRPr="00000000" w14:paraId="00000110">
      <w:pPr>
        <w:spacing w:line="240" w:lineRule="auto"/>
        <w:contextualSpacing w:val="0"/>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Fagles 1979:15</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1">
    <w:pPr>
      <w:contextualSpacing w:val="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