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C6B518" w14:textId="77777777" w:rsidR="00087234" w:rsidRPr="009F2B8B" w:rsidRDefault="00087234" w:rsidP="009F2B8B">
      <w:pPr>
        <w:jc w:val="center"/>
        <w:rPr>
          <w:rFonts w:cs="Arial"/>
          <w:b/>
          <w:bCs/>
          <w:szCs w:val="22"/>
        </w:rPr>
      </w:pPr>
    </w:p>
    <w:p w14:paraId="79FCEBFA" w14:textId="77777777" w:rsidR="00087234" w:rsidRPr="009F2B8B" w:rsidRDefault="00087234" w:rsidP="009F2B8B">
      <w:pPr>
        <w:jc w:val="center"/>
        <w:rPr>
          <w:rFonts w:cs="Arial"/>
          <w:b/>
          <w:bCs/>
          <w:szCs w:val="22"/>
        </w:rPr>
      </w:pPr>
    </w:p>
    <w:p w14:paraId="4F517F3D" w14:textId="77777777" w:rsidR="00087234" w:rsidRPr="009F2B8B" w:rsidRDefault="00087234" w:rsidP="009F2B8B">
      <w:pPr>
        <w:jc w:val="center"/>
        <w:rPr>
          <w:rFonts w:cs="Arial"/>
          <w:b/>
          <w:bCs/>
          <w:szCs w:val="22"/>
        </w:rPr>
      </w:pPr>
    </w:p>
    <w:p w14:paraId="67F3D4E1" w14:textId="77777777" w:rsidR="00087234" w:rsidRPr="009F2B8B" w:rsidRDefault="00087234" w:rsidP="009F2B8B">
      <w:pPr>
        <w:jc w:val="center"/>
        <w:rPr>
          <w:rFonts w:cs="Arial"/>
          <w:b/>
          <w:bCs/>
          <w:szCs w:val="22"/>
        </w:rPr>
      </w:pPr>
    </w:p>
    <w:p w14:paraId="335DD6DE" w14:textId="77777777" w:rsidR="00087234" w:rsidRPr="009F2B8B" w:rsidRDefault="00087234" w:rsidP="009F2B8B">
      <w:pPr>
        <w:jc w:val="center"/>
        <w:rPr>
          <w:rFonts w:cs="Arial"/>
          <w:b/>
          <w:bCs/>
          <w:szCs w:val="22"/>
        </w:rPr>
      </w:pPr>
    </w:p>
    <w:p w14:paraId="1938F680" w14:textId="77777777" w:rsidR="00087234" w:rsidRPr="009F2B8B" w:rsidRDefault="00087234" w:rsidP="009F2B8B">
      <w:pPr>
        <w:jc w:val="center"/>
        <w:rPr>
          <w:rFonts w:cs="Arial"/>
          <w:b/>
          <w:bCs/>
          <w:szCs w:val="22"/>
        </w:rPr>
      </w:pPr>
    </w:p>
    <w:p w14:paraId="1598761A" w14:textId="77777777" w:rsidR="00087234" w:rsidRPr="009F2B8B" w:rsidRDefault="00087234" w:rsidP="009F2B8B">
      <w:pPr>
        <w:jc w:val="center"/>
        <w:rPr>
          <w:rFonts w:cs="Arial"/>
          <w:b/>
          <w:bCs/>
          <w:szCs w:val="22"/>
        </w:rPr>
      </w:pPr>
    </w:p>
    <w:p w14:paraId="736F1ADA" w14:textId="77777777" w:rsidR="00087234" w:rsidRPr="009F2B8B" w:rsidRDefault="00087234" w:rsidP="009F2B8B">
      <w:pPr>
        <w:jc w:val="center"/>
        <w:rPr>
          <w:rFonts w:cs="Arial"/>
          <w:b/>
          <w:bCs/>
          <w:szCs w:val="22"/>
        </w:rPr>
      </w:pPr>
    </w:p>
    <w:p w14:paraId="516E5932" w14:textId="77777777" w:rsidR="00087234" w:rsidRPr="009F2B8B" w:rsidRDefault="00087234" w:rsidP="009F2B8B">
      <w:pPr>
        <w:jc w:val="center"/>
        <w:rPr>
          <w:rFonts w:cs="Arial"/>
          <w:b/>
          <w:bCs/>
          <w:szCs w:val="22"/>
        </w:rPr>
      </w:pPr>
    </w:p>
    <w:p w14:paraId="46ED991C" w14:textId="77777777" w:rsidR="00087234" w:rsidRPr="009F2B8B" w:rsidRDefault="00087234" w:rsidP="009F2B8B">
      <w:pPr>
        <w:jc w:val="center"/>
        <w:rPr>
          <w:rFonts w:cs="Arial"/>
          <w:b/>
          <w:bCs/>
          <w:szCs w:val="22"/>
        </w:rPr>
      </w:pPr>
    </w:p>
    <w:p w14:paraId="2FA5345C" w14:textId="38B896C7" w:rsidR="00087234" w:rsidRPr="009F2B8B" w:rsidRDefault="00087234" w:rsidP="009F2B8B">
      <w:pPr>
        <w:jc w:val="center"/>
        <w:rPr>
          <w:rFonts w:cs="Arial"/>
          <w:b/>
          <w:bCs/>
          <w:szCs w:val="22"/>
        </w:rPr>
      </w:pPr>
      <w:r w:rsidRPr="009F2B8B">
        <w:rPr>
          <w:rFonts w:cs="Arial"/>
          <w:b/>
          <w:bCs/>
          <w:szCs w:val="22"/>
        </w:rPr>
        <w:t>Person-Centred Care and Partnership Working in Health and Social Care</w:t>
      </w:r>
    </w:p>
    <w:p w14:paraId="1C7D34A0" w14:textId="77777777" w:rsidR="00087234" w:rsidRPr="009F2B8B" w:rsidRDefault="00087234" w:rsidP="009F2B8B">
      <w:pPr>
        <w:jc w:val="left"/>
        <w:rPr>
          <w:rFonts w:cs="Arial"/>
          <w:b/>
          <w:bCs/>
          <w:szCs w:val="22"/>
        </w:rPr>
      </w:pPr>
      <w:r w:rsidRPr="009F2B8B">
        <w:rPr>
          <w:rFonts w:cs="Arial"/>
          <w:b/>
          <w:bCs/>
          <w:szCs w:val="22"/>
        </w:rPr>
        <w:br w:type="page"/>
      </w:r>
    </w:p>
    <w:sdt>
      <w:sdtPr>
        <w:rPr>
          <w:rFonts w:ascii="Arial" w:eastAsiaTheme="minorHAnsi" w:hAnsi="Arial" w:cs="Arial"/>
          <w:color w:val="000000" w:themeColor="text1"/>
          <w:kern w:val="2"/>
          <w:sz w:val="22"/>
          <w:szCs w:val="22"/>
          <w:lang w:val="en-IN" w:bidi="th-TH"/>
          <w14:ligatures w14:val="standardContextual"/>
        </w:rPr>
        <w:id w:val="601385129"/>
        <w:docPartObj>
          <w:docPartGallery w:val="Table of Contents"/>
          <w:docPartUnique/>
        </w:docPartObj>
      </w:sdtPr>
      <w:sdtEndPr>
        <w:rPr>
          <w:b/>
          <w:bCs/>
          <w:noProof/>
        </w:rPr>
      </w:sdtEndPr>
      <w:sdtContent>
        <w:p w14:paraId="042DB969" w14:textId="1721E6D7" w:rsidR="00087234" w:rsidRPr="009F2B8B" w:rsidRDefault="00087234" w:rsidP="009F2B8B">
          <w:pPr>
            <w:pStyle w:val="TOCHeading"/>
            <w:spacing w:line="360" w:lineRule="auto"/>
            <w:jc w:val="center"/>
            <w:rPr>
              <w:rFonts w:ascii="Arial" w:hAnsi="Arial" w:cs="Arial"/>
              <w:b/>
              <w:bCs/>
              <w:color w:val="000000" w:themeColor="text1"/>
              <w:sz w:val="22"/>
              <w:szCs w:val="22"/>
            </w:rPr>
          </w:pPr>
          <w:r w:rsidRPr="009F2B8B">
            <w:rPr>
              <w:rFonts w:ascii="Arial" w:hAnsi="Arial" w:cs="Arial"/>
              <w:b/>
              <w:bCs/>
              <w:color w:val="000000" w:themeColor="text1"/>
              <w:sz w:val="22"/>
              <w:szCs w:val="22"/>
            </w:rPr>
            <w:t>Table of Contents</w:t>
          </w:r>
        </w:p>
        <w:p w14:paraId="3FFEA6DD" w14:textId="77777777" w:rsidR="00087234" w:rsidRPr="009F2B8B" w:rsidRDefault="00087234" w:rsidP="009F2B8B">
          <w:pPr>
            <w:rPr>
              <w:rFonts w:cs="Arial"/>
              <w:szCs w:val="22"/>
              <w:lang w:val="en-US" w:bidi="ar-SA"/>
            </w:rPr>
          </w:pPr>
        </w:p>
        <w:p w14:paraId="6EE49CEA" w14:textId="0FF80950" w:rsidR="00F439EB" w:rsidRDefault="00087234">
          <w:pPr>
            <w:pStyle w:val="TOC1"/>
            <w:tabs>
              <w:tab w:val="right" w:leader="dot" w:pos="9016"/>
            </w:tabs>
            <w:rPr>
              <w:rFonts w:asciiTheme="minorHAnsi" w:eastAsiaTheme="minorEastAsia" w:hAnsiTheme="minorHAnsi"/>
              <w:noProof/>
              <w:color w:val="auto"/>
              <w:sz w:val="24"/>
              <w:szCs w:val="24"/>
              <w:lang w:eastAsia="en-IN" w:bidi="ar-SA"/>
            </w:rPr>
          </w:pPr>
          <w:r w:rsidRPr="009F2B8B">
            <w:rPr>
              <w:rFonts w:cs="Arial"/>
              <w:szCs w:val="22"/>
            </w:rPr>
            <w:fldChar w:fldCharType="begin"/>
          </w:r>
          <w:r w:rsidRPr="009F2B8B">
            <w:rPr>
              <w:rFonts w:cs="Arial"/>
              <w:szCs w:val="22"/>
            </w:rPr>
            <w:instrText xml:space="preserve"> TOC \o "1-3" \h \z \u </w:instrText>
          </w:r>
          <w:r w:rsidRPr="009F2B8B">
            <w:rPr>
              <w:rFonts w:cs="Arial"/>
              <w:szCs w:val="22"/>
            </w:rPr>
            <w:fldChar w:fldCharType="separate"/>
          </w:r>
          <w:hyperlink w:anchor="_Toc235532821" w:history="1">
            <w:r w:rsidR="00F439EB" w:rsidRPr="00DA08F9">
              <w:rPr>
                <w:rStyle w:val="Hyperlink"/>
                <w:rFonts w:cs="Arial"/>
                <w:noProof/>
              </w:rPr>
              <w:t>a)  Define person centre care and identify the main benefits and limitations of this practice</w:t>
            </w:r>
            <w:r w:rsidR="00F439EB">
              <w:rPr>
                <w:noProof/>
                <w:webHidden/>
              </w:rPr>
              <w:tab/>
            </w:r>
            <w:r w:rsidR="00F439EB">
              <w:rPr>
                <w:noProof/>
                <w:webHidden/>
              </w:rPr>
              <w:fldChar w:fldCharType="begin"/>
            </w:r>
            <w:r w:rsidR="00F439EB">
              <w:rPr>
                <w:noProof/>
                <w:webHidden/>
              </w:rPr>
              <w:instrText xml:space="preserve"> PAGEREF _Toc235532821 \h </w:instrText>
            </w:r>
            <w:r w:rsidR="00F439EB">
              <w:rPr>
                <w:noProof/>
                <w:webHidden/>
              </w:rPr>
            </w:r>
            <w:r w:rsidR="00F439EB">
              <w:rPr>
                <w:noProof/>
                <w:webHidden/>
              </w:rPr>
              <w:fldChar w:fldCharType="separate"/>
            </w:r>
            <w:r w:rsidR="00F439EB">
              <w:rPr>
                <w:noProof/>
                <w:webHidden/>
              </w:rPr>
              <w:t>3</w:t>
            </w:r>
            <w:r w:rsidR="00F439EB">
              <w:rPr>
                <w:noProof/>
                <w:webHidden/>
              </w:rPr>
              <w:fldChar w:fldCharType="end"/>
            </w:r>
          </w:hyperlink>
        </w:p>
        <w:p w14:paraId="5364A3A9" w14:textId="7AC61603"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2" w:history="1">
            <w:r w:rsidRPr="00DA08F9">
              <w:rPr>
                <w:rStyle w:val="Hyperlink"/>
                <w:rFonts w:cs="Arial"/>
                <w:noProof/>
              </w:rPr>
              <w:t>(b) Critically examine a relevant theory or model of care of your choice which underpins PCC</w:t>
            </w:r>
            <w:r>
              <w:rPr>
                <w:noProof/>
                <w:webHidden/>
              </w:rPr>
              <w:tab/>
            </w:r>
            <w:r>
              <w:rPr>
                <w:noProof/>
                <w:webHidden/>
              </w:rPr>
              <w:fldChar w:fldCharType="begin"/>
            </w:r>
            <w:r>
              <w:rPr>
                <w:noProof/>
                <w:webHidden/>
              </w:rPr>
              <w:instrText xml:space="preserve"> PAGEREF _Toc235532822 \h </w:instrText>
            </w:r>
            <w:r>
              <w:rPr>
                <w:noProof/>
                <w:webHidden/>
              </w:rPr>
            </w:r>
            <w:r>
              <w:rPr>
                <w:noProof/>
                <w:webHidden/>
              </w:rPr>
              <w:fldChar w:fldCharType="separate"/>
            </w:r>
            <w:r>
              <w:rPr>
                <w:noProof/>
                <w:webHidden/>
              </w:rPr>
              <w:t>3</w:t>
            </w:r>
            <w:r>
              <w:rPr>
                <w:noProof/>
                <w:webHidden/>
              </w:rPr>
              <w:fldChar w:fldCharType="end"/>
            </w:r>
          </w:hyperlink>
        </w:p>
        <w:p w14:paraId="56E75E8A" w14:textId="798D761D"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3" w:history="1">
            <w:r w:rsidRPr="00DA08F9">
              <w:rPr>
                <w:rStyle w:val="Hyperlink"/>
                <w:rFonts w:cs="Arial"/>
                <w:noProof/>
              </w:rPr>
              <w:t>c) Analyse the ethical fundamentals of health and social care</w:t>
            </w:r>
            <w:r>
              <w:rPr>
                <w:noProof/>
                <w:webHidden/>
              </w:rPr>
              <w:tab/>
            </w:r>
            <w:r>
              <w:rPr>
                <w:noProof/>
                <w:webHidden/>
              </w:rPr>
              <w:fldChar w:fldCharType="begin"/>
            </w:r>
            <w:r>
              <w:rPr>
                <w:noProof/>
                <w:webHidden/>
              </w:rPr>
              <w:instrText xml:space="preserve"> PAGEREF _Toc235532823 \h </w:instrText>
            </w:r>
            <w:r>
              <w:rPr>
                <w:noProof/>
                <w:webHidden/>
              </w:rPr>
            </w:r>
            <w:r>
              <w:rPr>
                <w:noProof/>
                <w:webHidden/>
              </w:rPr>
              <w:fldChar w:fldCharType="separate"/>
            </w:r>
            <w:r>
              <w:rPr>
                <w:noProof/>
                <w:webHidden/>
              </w:rPr>
              <w:t>4</w:t>
            </w:r>
            <w:r>
              <w:rPr>
                <w:noProof/>
                <w:webHidden/>
              </w:rPr>
              <w:fldChar w:fldCharType="end"/>
            </w:r>
          </w:hyperlink>
        </w:p>
        <w:p w14:paraId="0522AD4D" w14:textId="6CF52AFF"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4" w:history="1">
            <w:r w:rsidRPr="00DA08F9">
              <w:rPr>
                <w:rStyle w:val="Hyperlink"/>
                <w:rFonts w:cs="Arial"/>
                <w:noProof/>
              </w:rPr>
              <w:t>d) Evaluate partnership working in health and social care</w:t>
            </w:r>
            <w:r>
              <w:rPr>
                <w:noProof/>
                <w:webHidden/>
              </w:rPr>
              <w:tab/>
            </w:r>
            <w:r>
              <w:rPr>
                <w:noProof/>
                <w:webHidden/>
              </w:rPr>
              <w:fldChar w:fldCharType="begin"/>
            </w:r>
            <w:r>
              <w:rPr>
                <w:noProof/>
                <w:webHidden/>
              </w:rPr>
              <w:instrText xml:space="preserve"> PAGEREF _Toc235532824 \h </w:instrText>
            </w:r>
            <w:r>
              <w:rPr>
                <w:noProof/>
                <w:webHidden/>
              </w:rPr>
            </w:r>
            <w:r>
              <w:rPr>
                <w:noProof/>
                <w:webHidden/>
              </w:rPr>
              <w:fldChar w:fldCharType="separate"/>
            </w:r>
            <w:r>
              <w:rPr>
                <w:noProof/>
                <w:webHidden/>
              </w:rPr>
              <w:t>4</w:t>
            </w:r>
            <w:r>
              <w:rPr>
                <w:noProof/>
                <w:webHidden/>
              </w:rPr>
              <w:fldChar w:fldCharType="end"/>
            </w:r>
          </w:hyperlink>
        </w:p>
        <w:p w14:paraId="1E5F1C4C" w14:textId="749CF7DA"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5" w:history="1">
            <w:r w:rsidRPr="00DA08F9">
              <w:rPr>
                <w:rStyle w:val="Hyperlink"/>
                <w:rFonts w:cs="Arial"/>
                <w:noProof/>
              </w:rPr>
              <w:t>e) Explore the application of partnership working in a practical health and social care setting of your choice</w:t>
            </w:r>
            <w:r>
              <w:rPr>
                <w:noProof/>
                <w:webHidden/>
              </w:rPr>
              <w:tab/>
            </w:r>
            <w:r>
              <w:rPr>
                <w:noProof/>
                <w:webHidden/>
              </w:rPr>
              <w:fldChar w:fldCharType="begin"/>
            </w:r>
            <w:r>
              <w:rPr>
                <w:noProof/>
                <w:webHidden/>
              </w:rPr>
              <w:instrText xml:space="preserve"> PAGEREF _Toc235532825 \h </w:instrText>
            </w:r>
            <w:r>
              <w:rPr>
                <w:noProof/>
                <w:webHidden/>
              </w:rPr>
            </w:r>
            <w:r>
              <w:rPr>
                <w:noProof/>
                <w:webHidden/>
              </w:rPr>
              <w:fldChar w:fldCharType="separate"/>
            </w:r>
            <w:r>
              <w:rPr>
                <w:noProof/>
                <w:webHidden/>
              </w:rPr>
              <w:t>5</w:t>
            </w:r>
            <w:r>
              <w:rPr>
                <w:noProof/>
                <w:webHidden/>
              </w:rPr>
              <w:fldChar w:fldCharType="end"/>
            </w:r>
          </w:hyperlink>
        </w:p>
        <w:p w14:paraId="41CD415D" w14:textId="7D85BF2C"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6" w:history="1">
            <w:r w:rsidRPr="00DA08F9">
              <w:rPr>
                <w:rStyle w:val="Hyperlink"/>
                <w:rFonts w:cs="Arial"/>
                <w:noProof/>
              </w:rPr>
              <w:t>f) Discuss and examine relevant policy and legislation in relation to PCC and PW</w:t>
            </w:r>
            <w:r>
              <w:rPr>
                <w:noProof/>
                <w:webHidden/>
              </w:rPr>
              <w:tab/>
            </w:r>
            <w:r>
              <w:rPr>
                <w:noProof/>
                <w:webHidden/>
              </w:rPr>
              <w:fldChar w:fldCharType="begin"/>
            </w:r>
            <w:r>
              <w:rPr>
                <w:noProof/>
                <w:webHidden/>
              </w:rPr>
              <w:instrText xml:space="preserve"> PAGEREF _Toc235532826 \h </w:instrText>
            </w:r>
            <w:r>
              <w:rPr>
                <w:noProof/>
                <w:webHidden/>
              </w:rPr>
            </w:r>
            <w:r>
              <w:rPr>
                <w:noProof/>
                <w:webHidden/>
              </w:rPr>
              <w:fldChar w:fldCharType="separate"/>
            </w:r>
            <w:r>
              <w:rPr>
                <w:noProof/>
                <w:webHidden/>
              </w:rPr>
              <w:t>6</w:t>
            </w:r>
            <w:r>
              <w:rPr>
                <w:noProof/>
                <w:webHidden/>
              </w:rPr>
              <w:fldChar w:fldCharType="end"/>
            </w:r>
          </w:hyperlink>
        </w:p>
        <w:p w14:paraId="7A5157A3" w14:textId="287A3EBC"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7" w:history="1">
            <w:r w:rsidRPr="00DA08F9">
              <w:rPr>
                <w:rStyle w:val="Hyperlink"/>
                <w:rFonts w:cs="Arial"/>
                <w:noProof/>
              </w:rPr>
              <w:t>g) Include recommendations for future development of PCC and partnership working in the UK</w:t>
            </w:r>
            <w:r>
              <w:rPr>
                <w:noProof/>
                <w:webHidden/>
              </w:rPr>
              <w:tab/>
            </w:r>
            <w:r>
              <w:rPr>
                <w:noProof/>
                <w:webHidden/>
              </w:rPr>
              <w:fldChar w:fldCharType="begin"/>
            </w:r>
            <w:r>
              <w:rPr>
                <w:noProof/>
                <w:webHidden/>
              </w:rPr>
              <w:instrText xml:space="preserve"> PAGEREF _Toc235532827 \h </w:instrText>
            </w:r>
            <w:r>
              <w:rPr>
                <w:noProof/>
                <w:webHidden/>
              </w:rPr>
            </w:r>
            <w:r>
              <w:rPr>
                <w:noProof/>
                <w:webHidden/>
              </w:rPr>
              <w:fldChar w:fldCharType="separate"/>
            </w:r>
            <w:r>
              <w:rPr>
                <w:noProof/>
                <w:webHidden/>
              </w:rPr>
              <w:t>7</w:t>
            </w:r>
            <w:r>
              <w:rPr>
                <w:noProof/>
                <w:webHidden/>
              </w:rPr>
              <w:fldChar w:fldCharType="end"/>
            </w:r>
          </w:hyperlink>
        </w:p>
        <w:p w14:paraId="1D9BF3AA" w14:textId="549EC5F0"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8" w:history="1">
            <w:r w:rsidRPr="00DA08F9">
              <w:rPr>
                <w:rStyle w:val="Hyperlink"/>
                <w:rFonts w:cs="Arial"/>
                <w:noProof/>
              </w:rPr>
              <w:t>References</w:t>
            </w:r>
            <w:r>
              <w:rPr>
                <w:noProof/>
                <w:webHidden/>
              </w:rPr>
              <w:tab/>
            </w:r>
            <w:r>
              <w:rPr>
                <w:noProof/>
                <w:webHidden/>
              </w:rPr>
              <w:fldChar w:fldCharType="begin"/>
            </w:r>
            <w:r>
              <w:rPr>
                <w:noProof/>
                <w:webHidden/>
              </w:rPr>
              <w:instrText xml:space="preserve"> PAGEREF _Toc235532828 \h </w:instrText>
            </w:r>
            <w:r>
              <w:rPr>
                <w:noProof/>
                <w:webHidden/>
              </w:rPr>
            </w:r>
            <w:r>
              <w:rPr>
                <w:noProof/>
                <w:webHidden/>
              </w:rPr>
              <w:fldChar w:fldCharType="separate"/>
            </w:r>
            <w:r>
              <w:rPr>
                <w:noProof/>
                <w:webHidden/>
              </w:rPr>
              <w:t>8</w:t>
            </w:r>
            <w:r>
              <w:rPr>
                <w:noProof/>
                <w:webHidden/>
              </w:rPr>
              <w:fldChar w:fldCharType="end"/>
            </w:r>
          </w:hyperlink>
        </w:p>
        <w:p w14:paraId="692E9615" w14:textId="02DF8685" w:rsidR="00087234" w:rsidRPr="009F2B8B" w:rsidRDefault="00087234" w:rsidP="009F2B8B">
          <w:pPr>
            <w:rPr>
              <w:rFonts w:cs="Arial"/>
              <w:szCs w:val="22"/>
            </w:rPr>
          </w:pPr>
          <w:r w:rsidRPr="009F2B8B">
            <w:rPr>
              <w:rFonts w:cs="Arial"/>
              <w:b/>
              <w:bCs/>
              <w:noProof/>
              <w:szCs w:val="22"/>
            </w:rPr>
            <w:fldChar w:fldCharType="end"/>
          </w:r>
        </w:p>
      </w:sdtContent>
    </w:sdt>
    <w:p w14:paraId="3A325A22" w14:textId="45A3AD1B" w:rsidR="00087234" w:rsidRPr="009F2B8B" w:rsidRDefault="00087234" w:rsidP="009F2B8B">
      <w:pPr>
        <w:jc w:val="left"/>
        <w:rPr>
          <w:rFonts w:cs="Arial"/>
          <w:b/>
          <w:bCs/>
          <w:szCs w:val="22"/>
        </w:rPr>
      </w:pPr>
      <w:r w:rsidRPr="009F2B8B">
        <w:rPr>
          <w:rFonts w:cs="Arial"/>
          <w:b/>
          <w:bCs/>
          <w:szCs w:val="22"/>
        </w:rPr>
        <w:br w:type="page"/>
      </w:r>
    </w:p>
    <w:p w14:paraId="49B912E0" w14:textId="51BBF90E" w:rsidR="00441A3A" w:rsidRPr="009F2B8B" w:rsidRDefault="00441A3A" w:rsidP="009F2B8B">
      <w:pPr>
        <w:pStyle w:val="Heading1"/>
        <w:rPr>
          <w:rFonts w:cs="Arial"/>
          <w:szCs w:val="22"/>
        </w:rPr>
      </w:pPr>
      <w:bookmarkStart w:id="0" w:name="_Toc235532821"/>
      <w:r w:rsidRPr="009F2B8B">
        <w:rPr>
          <w:rFonts w:cs="Arial"/>
          <w:szCs w:val="22"/>
        </w:rPr>
        <w:lastRenderedPageBreak/>
        <w:t xml:space="preserve">a)  </w:t>
      </w:r>
      <w:r w:rsidR="00CD78C2" w:rsidRPr="009F2B8B">
        <w:rPr>
          <w:rFonts w:cs="Arial"/>
          <w:szCs w:val="22"/>
        </w:rPr>
        <w:t>Define person centre care and identify the main benefits and limitations of this practice</w:t>
      </w:r>
      <w:bookmarkEnd w:id="0"/>
    </w:p>
    <w:p w14:paraId="078905D3" w14:textId="79A147B8" w:rsidR="00441A3A" w:rsidRPr="009F2B8B" w:rsidRDefault="00982A31" w:rsidP="009F2B8B">
      <w:pPr>
        <w:rPr>
          <w:rFonts w:cs="Arial"/>
          <w:szCs w:val="22"/>
        </w:rPr>
      </w:pPr>
      <w:r w:rsidRPr="009F2B8B">
        <w:rPr>
          <w:rFonts w:cs="Arial"/>
          <w:szCs w:val="22"/>
        </w:rPr>
        <w:t>Person centred care means care decisions focus on the person, not the illness. The approach treats individuals as complex and multifaceted and seeks to understand the context of illness by building a relationship based on trust and shared decision making. According to Byrne, Baldwin and Harvey (2020), the absence of a formal definition is the first substantial critique of the concept, since definitional ambiguity allows person centred care to act as a proxy for less favourable practices, and the approach is seen to lack a firm empirical basis (Byrne, Baldwin and Harvey, 2020). The wider literature, however, records many clear benefits. Liao et al. (2023) found that care aligned with the needs and preferences of older people improved the quality of relevant community services. Lorber et al. (2024) noted better management of non-communicable diseases alongside improved life satisfaction and quality of life, while Wulfse-Huisman et al. (2025) linked person centred shared decision making to stronger autonomy and independence for older persons living with multiple chronic conditions. Limitations remain, and Lorber et al. (2024) stress that a robust national framework and supportive leadership stay essential. Workload, limited resources and organisational culture also persist as common barriers (Liao et al., 2023)</w:t>
      </w:r>
      <w:r w:rsidR="00441A3A" w:rsidRPr="009F2B8B">
        <w:rPr>
          <w:rFonts w:cs="Arial"/>
          <w:szCs w:val="22"/>
        </w:rPr>
        <w:t>.</w:t>
      </w:r>
    </w:p>
    <w:p w14:paraId="5F3E1C65" w14:textId="4E5C0B79" w:rsidR="00441A3A" w:rsidRPr="009F2B8B" w:rsidRDefault="00441A3A" w:rsidP="009F2B8B">
      <w:pPr>
        <w:pStyle w:val="Heading1"/>
        <w:rPr>
          <w:rFonts w:cs="Arial"/>
          <w:szCs w:val="22"/>
        </w:rPr>
      </w:pPr>
      <w:bookmarkStart w:id="1" w:name="_Toc235532822"/>
      <w:r w:rsidRPr="009F2B8B">
        <w:rPr>
          <w:rFonts w:cs="Arial"/>
          <w:szCs w:val="22"/>
        </w:rPr>
        <w:t xml:space="preserve">(b) </w:t>
      </w:r>
      <w:r w:rsidR="00CD78C2" w:rsidRPr="009F2B8B">
        <w:rPr>
          <w:rFonts w:cs="Arial"/>
          <w:szCs w:val="22"/>
        </w:rPr>
        <w:t>Critically examine a relevant theory or model of care of your choice which underpins PCC</w:t>
      </w:r>
      <w:bookmarkEnd w:id="1"/>
    </w:p>
    <w:p w14:paraId="270902B2" w14:textId="7885C74F" w:rsidR="00441A3A" w:rsidRPr="009F2B8B" w:rsidRDefault="00441A3A" w:rsidP="009F2B8B">
      <w:pPr>
        <w:rPr>
          <w:rFonts w:cs="Arial"/>
          <w:szCs w:val="22"/>
        </w:rPr>
      </w:pPr>
      <w:r w:rsidRPr="009F2B8B">
        <w:rPr>
          <w:rFonts w:cs="Arial"/>
          <w:szCs w:val="22"/>
        </w:rPr>
        <w:t xml:space="preserve">The Person-Centred Nursing Framework stands as one of the stronger examples of the application of a person-centred care theory. McCance and McCormack (2025) present the framework as a mid-range theory consisting of prerequisites, the care environment, person-centred processes, and expected outcomes. In their framework, the traits of the care practitioner and the care environment determine the outcomes of the given care. A strength of the framework is the way in which it relates values to everyday practice. However, McCance and McCormack (2025) acknowledge the difficulty in practice during times of organizational turbulence and staff shortages. Santana et al. (2018) further extend the view of person-centred care in their conceptual framework as care that is person-centred consisting of structure, process, and outcomes. In comparison to other frameworks, their view offers organizations a practical guide and is not based only on abstract principles. This brings a system level perspective to a nursing framework, which is beneficial. Kwame and Petrucka (2021) present the person-centred communication continuum. Their argument maintains that in care, there is no separation of communication and care due to the existence of both organizational and personal barriers toward authentic contact. Critical depth is provided through the comparison of the roots. Serbser-Koal et al. (2024) differentiate the theoretical roots of Kitwood, Brooker, </w:t>
      </w:r>
      <w:r w:rsidRPr="009F2B8B">
        <w:rPr>
          <w:rFonts w:cs="Arial"/>
          <w:szCs w:val="22"/>
        </w:rPr>
        <w:lastRenderedPageBreak/>
        <w:t>and Rogers, and contend that many frameworks and theories that relate to person-centred care overly focus on the individual and too easily disregard relationality and sociality. This critique identifies a legitimate void in the conceptualization of person-centred care frameworks. In the absence of consideration for relationality and sociality, the person-centred care frameworks neglect the community and the family.</w:t>
      </w:r>
    </w:p>
    <w:p w14:paraId="1C129E68" w14:textId="3F3C0CB2" w:rsidR="00441A3A" w:rsidRPr="009F2B8B" w:rsidRDefault="00441A3A" w:rsidP="009F2B8B">
      <w:pPr>
        <w:rPr>
          <w:rFonts w:cs="Arial"/>
          <w:szCs w:val="22"/>
        </w:rPr>
      </w:pPr>
      <w:r w:rsidRPr="009F2B8B">
        <w:rPr>
          <w:rFonts w:cs="Arial"/>
          <w:szCs w:val="22"/>
        </w:rPr>
        <w:t>The frameworks exhibit complimenting characteristics while showing no potential to resolve the friction between rigid theory and chaotic practice (McCance and McCormack, 2025). Where design rigidity is emphasized, care to its full potential is lacking, and a proper application of the model is required to identify and address the disparity in its application.</w:t>
      </w:r>
    </w:p>
    <w:p w14:paraId="54BBEE86" w14:textId="1A41335C" w:rsidR="00441A3A" w:rsidRPr="009F2B8B" w:rsidRDefault="00441A3A" w:rsidP="009F2B8B">
      <w:pPr>
        <w:pStyle w:val="Heading1"/>
        <w:rPr>
          <w:rFonts w:cs="Arial"/>
          <w:szCs w:val="22"/>
        </w:rPr>
      </w:pPr>
      <w:bookmarkStart w:id="2" w:name="_Toc235532823"/>
      <w:r w:rsidRPr="009F2B8B">
        <w:rPr>
          <w:rFonts w:cs="Arial"/>
          <w:szCs w:val="22"/>
        </w:rPr>
        <w:t xml:space="preserve">c) </w:t>
      </w:r>
      <w:r w:rsidR="00CD78C2" w:rsidRPr="009F2B8B">
        <w:rPr>
          <w:rFonts w:cs="Arial"/>
          <w:szCs w:val="22"/>
        </w:rPr>
        <w:t>Analyse the ethical fundamentals of health and social care</w:t>
      </w:r>
      <w:bookmarkEnd w:id="2"/>
    </w:p>
    <w:p w14:paraId="335880D9" w14:textId="73FDC16C" w:rsidR="00441A3A" w:rsidRPr="009F2B8B" w:rsidRDefault="00441A3A" w:rsidP="009F2B8B">
      <w:pPr>
        <w:rPr>
          <w:rFonts w:cs="Arial"/>
          <w:szCs w:val="22"/>
        </w:rPr>
      </w:pPr>
      <w:r w:rsidRPr="009F2B8B">
        <w:rPr>
          <w:rFonts w:cs="Arial"/>
          <w:szCs w:val="22"/>
        </w:rPr>
        <w:t>At the core of every health and social care process is a set of ethics. According to Mousavi (2024), these established principles are autonomy, beneficence, non-maleficence and justice. Balancing the principles of justice and beneficence is essential to ensuring access and the safety and continuity of care to all patients. Schröder-</w:t>
      </w:r>
      <w:r w:rsidR="00693BBA" w:rsidRPr="00693BBA">
        <w:rPr>
          <w:rFonts w:cs="Arial"/>
          <w:szCs w:val="22"/>
        </w:rPr>
        <w:t>Bäck</w:t>
      </w:r>
      <w:r w:rsidRPr="009F2B8B">
        <w:rPr>
          <w:rFonts w:cs="Arial"/>
          <w:szCs w:val="22"/>
        </w:rPr>
        <w:t xml:space="preserve"> et al. (2014) apply mid-level principles of health maximization and efficiency, and show that the remaining principles can also be applied. This extended set of principles proves useful as, in everyday healthcare, it is rare that dilemmas occur that are encompassed by only four principles, and one of these principles is always paternalism. Tieu and Matthews (2024) go one step further and show that the bedrock of ethics within health care is dignity, personhood and selfhood. Weak or narrow concepts of personhood can undermine the intention of care. This is especially important to people who suffer a decline in mental capacity. Furthermore, there is a significant and important contradiction that exists, in which autonomy can be in opposition to beneficence. This occurs when a person, in a professional capacity, believes that a course of care that a patient has chosen will be harmful. Here, the most important consideration is the quality of judgements, as opposed to the ordering of the principles.</w:t>
      </w:r>
    </w:p>
    <w:p w14:paraId="5E167835" w14:textId="677D9466" w:rsidR="00441A3A" w:rsidRPr="009F2B8B" w:rsidRDefault="00441A3A" w:rsidP="009F2B8B">
      <w:pPr>
        <w:rPr>
          <w:rFonts w:cs="Arial"/>
          <w:szCs w:val="22"/>
        </w:rPr>
      </w:pPr>
      <w:r w:rsidRPr="009F2B8B">
        <w:rPr>
          <w:rFonts w:cs="Arial"/>
          <w:szCs w:val="22"/>
        </w:rPr>
        <w:t>The ethical fundamentals operate not as a rigid checklist, but as a competing set of goods that, in each specific case, practitioners must balance using skill and honesty.</w:t>
      </w:r>
    </w:p>
    <w:p w14:paraId="06415E4A" w14:textId="4797561E" w:rsidR="00441A3A" w:rsidRPr="009F2B8B" w:rsidRDefault="00CD78C2" w:rsidP="009F2B8B">
      <w:pPr>
        <w:pStyle w:val="Heading1"/>
        <w:rPr>
          <w:rFonts w:cs="Arial"/>
          <w:szCs w:val="22"/>
        </w:rPr>
      </w:pPr>
      <w:bookmarkStart w:id="3" w:name="_Toc235532824"/>
      <w:r w:rsidRPr="009F2B8B">
        <w:rPr>
          <w:rFonts w:cs="Arial"/>
          <w:szCs w:val="22"/>
        </w:rPr>
        <w:t>d) Evaluate partnership working in health and social care</w:t>
      </w:r>
      <w:bookmarkEnd w:id="3"/>
    </w:p>
    <w:p w14:paraId="4ACF6FEF" w14:textId="359B7292" w:rsidR="00441A3A" w:rsidRPr="009F2B8B" w:rsidRDefault="00441A3A" w:rsidP="009F2B8B">
      <w:pPr>
        <w:rPr>
          <w:rFonts w:cs="Arial"/>
          <w:szCs w:val="22"/>
        </w:rPr>
      </w:pPr>
      <w:r w:rsidRPr="009F2B8B">
        <w:rPr>
          <w:rFonts w:cs="Arial"/>
          <w:szCs w:val="22"/>
        </w:rPr>
        <w:t>The collaboration of various organizations is necessary to meet the health and social care needs of individuals with complex needs. Heek et al</w:t>
      </w:r>
      <w:r w:rsidR="00693BBA">
        <w:rPr>
          <w:rFonts w:cs="Arial"/>
          <w:szCs w:val="22"/>
        </w:rPr>
        <w:t>.</w:t>
      </w:r>
      <w:r w:rsidRPr="009F2B8B">
        <w:rPr>
          <w:rFonts w:cs="Arial"/>
          <w:szCs w:val="22"/>
        </w:rPr>
        <w:t xml:space="preserve"> (2026) describe four components for effective partnership</w:t>
      </w:r>
      <w:r w:rsidR="00FC686E" w:rsidRPr="009F2B8B">
        <w:rPr>
          <w:rFonts w:cs="Arial"/>
          <w:szCs w:val="22"/>
        </w:rPr>
        <w:t>,</w:t>
      </w:r>
      <w:r w:rsidRPr="009F2B8B">
        <w:rPr>
          <w:rFonts w:cs="Arial"/>
          <w:szCs w:val="22"/>
        </w:rPr>
        <w:t xml:space="preserve"> shared vision, clear roles and responsibilities, monitoring and evaluation, and funding. Flexible participation, open communication, and ease of adaptation are facilitators, while conflicting interests, vague roles and leadership, and fragmented systems </w:t>
      </w:r>
      <w:r w:rsidRPr="009F2B8B">
        <w:rPr>
          <w:rFonts w:cs="Arial"/>
          <w:szCs w:val="22"/>
        </w:rPr>
        <w:lastRenderedPageBreak/>
        <w:t>are barriers. This framework is useful because the success or failure of partnership working is the result of specific components and not only the good will of participants. Thomson and Chatterjee (2024) reinforce the evaluation at the national level. The review reported real enablers such as coproduction and interprofessional collaboration, but described the lack of rigorous studies and absence of a mechanism to evaluate its cost-effectiveness, which makes it hard to justify that the integration of services reliably improves outcomes, and this is a limitation that should be acknowledged. Sheppard et al. (2022) focus on real world application. Service providers appreciated the collaboration and believed joint working improved outcomes. However, staff turnover, role ambiguity, and problems with the ability to share confidential information across business lines, and processes that operated slowly and ineffectively were barriers. This contrast is evident in every domain. It is important to have a fair assessment of the opportunities and challenges of partnership working, which include the ability to communicate and share a common vision (Heek et al. 2026). The evidence base is not good, and the same barriers are encountered in various domains and different countries.</w:t>
      </w:r>
    </w:p>
    <w:p w14:paraId="6A5997FA" w14:textId="7B5D1F9E" w:rsidR="00441A3A" w:rsidRPr="009F2B8B" w:rsidRDefault="00441A3A" w:rsidP="009F2B8B">
      <w:pPr>
        <w:rPr>
          <w:rFonts w:cs="Arial"/>
          <w:szCs w:val="22"/>
        </w:rPr>
      </w:pPr>
      <w:r w:rsidRPr="009F2B8B">
        <w:rPr>
          <w:rFonts w:cs="Arial"/>
          <w:szCs w:val="22"/>
        </w:rPr>
        <w:t>When assessing relationships developed from collaborative practice, the analysis must be careful not to focus on the relational aspect alone, but the underlying structural design of the collaboration. It cannot be assumed that if a partnership agreement is in place, integrated care will occur.</w:t>
      </w:r>
    </w:p>
    <w:p w14:paraId="442AEC87" w14:textId="7B5128DA" w:rsidR="00441A3A" w:rsidRPr="009F2B8B" w:rsidRDefault="00441A3A" w:rsidP="009F2B8B">
      <w:pPr>
        <w:pStyle w:val="Heading1"/>
        <w:rPr>
          <w:rFonts w:cs="Arial"/>
          <w:szCs w:val="22"/>
        </w:rPr>
      </w:pPr>
      <w:bookmarkStart w:id="4" w:name="_Toc235532825"/>
      <w:r w:rsidRPr="009F2B8B">
        <w:rPr>
          <w:rFonts w:cs="Arial"/>
          <w:szCs w:val="22"/>
        </w:rPr>
        <w:t xml:space="preserve">e) </w:t>
      </w:r>
      <w:r w:rsidR="00CD78C2" w:rsidRPr="009F2B8B">
        <w:rPr>
          <w:rFonts w:cs="Arial"/>
          <w:szCs w:val="22"/>
        </w:rPr>
        <w:t>Explore the application of partnership working in a practical health and social care setting of your choice</w:t>
      </w:r>
      <w:bookmarkEnd w:id="4"/>
    </w:p>
    <w:p w14:paraId="2B9E22CE" w14:textId="57B2F055" w:rsidR="00441A3A" w:rsidRPr="009F2B8B" w:rsidRDefault="00441A3A" w:rsidP="009F2B8B">
      <w:pPr>
        <w:rPr>
          <w:rFonts w:cs="Arial"/>
          <w:szCs w:val="22"/>
        </w:rPr>
      </w:pPr>
      <w:r w:rsidRPr="009F2B8B">
        <w:rPr>
          <w:rFonts w:cs="Arial"/>
          <w:szCs w:val="22"/>
        </w:rPr>
        <w:t xml:space="preserve">Community mental health services exemplify partnership working in practice. As described by Chmielowska et al. (2022), the Open Dialogue approach provides a social network-based model of crisis and ongoing mental health care. It includes the use of peer support workers with lived experience who act as partners, alongside clinicians. The model hinges on shared decision-making and co-production. The reported advantages include improved service engagement, symptom alleviation, increased likelihood of employment, and decreased health service utilization. This model demonstrates that partnerships can be extended beyond the realm of professionals. The scope of the partnership can include service users and social networks as co-equal partners. Parker et al. (2023) examine a variation of this partnership model, which is the shared care of patients with severe mental illness between general practitioners and community mental health services. Facilitating this model included the alignment to existing organization and practices, the establishment of a dedicated coordinating role for involved parties, multidisciplinary teams, and real-time shared patient records. Barriers to this model included the lack of motivation and confidence of primary care staff, poor alignment of funding and monetary incentives, and persistent issues with the sharing of patient </w:t>
      </w:r>
      <w:r w:rsidRPr="009F2B8B">
        <w:rPr>
          <w:rFonts w:cs="Arial"/>
          <w:szCs w:val="22"/>
        </w:rPr>
        <w:lastRenderedPageBreak/>
        <w:t>information. These results correspond with many of the partnership models and emphasize that structure and relationships are of equal importance. When considering the application of this model to community mental health services, the limitations are easily apparent.</w:t>
      </w:r>
    </w:p>
    <w:p w14:paraId="532E0D6F" w14:textId="06BAE092" w:rsidR="00441A3A" w:rsidRPr="009F2B8B" w:rsidRDefault="00441A3A" w:rsidP="009F2B8B">
      <w:pPr>
        <w:rPr>
          <w:rFonts w:cs="Arial"/>
          <w:szCs w:val="22"/>
        </w:rPr>
      </w:pPr>
      <w:r w:rsidRPr="009F2B8B">
        <w:rPr>
          <w:rFonts w:cs="Arial"/>
          <w:szCs w:val="22"/>
        </w:rPr>
        <w:t>According to Chmielowska et al. (2022), there are no concrete assumptions about where Peer Support fits within Open Dialogue. Parker et al. (2023), argue that shared care relies on the commitment of the individual practitioner. Therefore, community mental health services exemplify the strength of person-centred partnership, while revealing the fragility that appears when roles, funding and information systems are not properly aligned across involved sectors.</w:t>
      </w:r>
    </w:p>
    <w:p w14:paraId="5759D946" w14:textId="7FA2CE4F" w:rsidR="00441A3A" w:rsidRPr="009F2B8B" w:rsidRDefault="00CD78C2" w:rsidP="009F2B8B">
      <w:pPr>
        <w:pStyle w:val="Heading1"/>
        <w:rPr>
          <w:rFonts w:cs="Arial"/>
          <w:szCs w:val="22"/>
        </w:rPr>
      </w:pPr>
      <w:bookmarkStart w:id="5" w:name="_Toc235532826"/>
      <w:r w:rsidRPr="009F2B8B">
        <w:rPr>
          <w:rFonts w:cs="Arial"/>
          <w:szCs w:val="22"/>
        </w:rPr>
        <w:t>f) Discuss and examine relevant policy and legislation in relation to PCC and PW</w:t>
      </w:r>
      <w:bookmarkEnd w:id="5"/>
    </w:p>
    <w:p w14:paraId="3BEE5CB8" w14:textId="23D1B705" w:rsidR="00441A3A" w:rsidRPr="009F2B8B" w:rsidRDefault="00441A3A" w:rsidP="009F2B8B">
      <w:pPr>
        <w:rPr>
          <w:rFonts w:cs="Arial"/>
          <w:szCs w:val="22"/>
        </w:rPr>
      </w:pPr>
      <w:r w:rsidRPr="009F2B8B">
        <w:rPr>
          <w:rFonts w:cs="Arial"/>
          <w:szCs w:val="22"/>
        </w:rPr>
        <w:t xml:space="preserve">Policies and legislation transform system ideals and practicable frameworks. The study of Moore et al. (2023) identified that, while there has been increased advocacy for the inclusion of person-centred care in the UK healthcare systems, there is variation in the definition of, and the placement of, person centred care within the curricula of postgraduate medical education. The inclusion of person-centred care in curricula is dependent on legislation and the provision of educational frameworks. The inconsistent inclusion of person-centred care is problematic. This is because a concept that is advocated in policy, but is taught in a variation of ways, is unlikely to be conveyed to all practitioners in the same format. Thomson and Chatterjee (2024) provide the legislative basis for partnership working. In April 2022, Integrated Care Systems (ICS) were established in England, and partnerships that were focused on the planning and delivery of integrated health and care services, were placed on a statutory basis. This provided a legal framework for collaboration and a shift away from separate responsibilities in the commissioning of services for defined populations. Even so, the same review identified a lack of rigorous evaluations and an absence of evidence concerning the cost effectiveness of integrated care. Reading across the studies, a tendency to the same framework is seen. Policies and statutes have begun to promote person centred care and partnership </w:t>
      </w:r>
      <w:proofErr w:type="gramStart"/>
      <w:r w:rsidRPr="009F2B8B">
        <w:rPr>
          <w:rFonts w:cs="Arial"/>
          <w:szCs w:val="22"/>
        </w:rPr>
        <w:t>working,</w:t>
      </w:r>
      <w:proofErr w:type="gramEnd"/>
      <w:r w:rsidRPr="009F2B8B">
        <w:rPr>
          <w:rFonts w:cs="Arial"/>
          <w:szCs w:val="22"/>
        </w:rPr>
        <w:t xml:space="preserve"> however, a gap persists between the documented frameworks and their actualisation (Moore et al., 2023). Statutes provide the framework for collaboration, and policies and frameworks have the potential to incorporate person centred values, but the actualisation of the frameworks is dependent on adequate provision of the dimensions of ongoing training, adequate resources and evaluation.</w:t>
      </w:r>
    </w:p>
    <w:p w14:paraId="26D36D85" w14:textId="3E7107F2" w:rsidR="00441A3A" w:rsidRPr="009F2B8B" w:rsidRDefault="00441A3A" w:rsidP="009F2B8B">
      <w:pPr>
        <w:rPr>
          <w:rFonts w:cs="Arial"/>
          <w:szCs w:val="22"/>
        </w:rPr>
      </w:pPr>
      <w:r w:rsidRPr="009F2B8B">
        <w:rPr>
          <w:rFonts w:cs="Arial"/>
          <w:szCs w:val="22"/>
        </w:rPr>
        <w:t>The policy and legislative framework reveal how the gap between the aims outlined in the health and social care policies and their implementation in the real world reflects more on the structural and conceptual obstacles evident, as opposed to how the frameworks reveal a lack of good will.</w:t>
      </w:r>
    </w:p>
    <w:p w14:paraId="39CED115" w14:textId="16702DF5" w:rsidR="00441A3A" w:rsidRPr="009F2B8B" w:rsidRDefault="00441A3A" w:rsidP="009F2B8B">
      <w:pPr>
        <w:pStyle w:val="Heading1"/>
        <w:rPr>
          <w:rFonts w:cs="Arial"/>
          <w:szCs w:val="22"/>
        </w:rPr>
      </w:pPr>
      <w:bookmarkStart w:id="6" w:name="_Toc235532827"/>
      <w:r w:rsidRPr="009F2B8B">
        <w:rPr>
          <w:rFonts w:cs="Arial"/>
          <w:szCs w:val="22"/>
        </w:rPr>
        <w:lastRenderedPageBreak/>
        <w:t xml:space="preserve">g) </w:t>
      </w:r>
      <w:r w:rsidR="00CD78C2" w:rsidRPr="009F2B8B">
        <w:rPr>
          <w:rFonts w:cs="Arial"/>
          <w:szCs w:val="22"/>
        </w:rPr>
        <w:t>Include recommendations for future development of PCC and partnership working in the UK</w:t>
      </w:r>
      <w:bookmarkEnd w:id="6"/>
    </w:p>
    <w:p w14:paraId="53ADFB4C" w14:textId="75D76133" w:rsidR="00441A3A" w:rsidRPr="009F2B8B" w:rsidRDefault="00441A3A" w:rsidP="009F2B8B">
      <w:pPr>
        <w:rPr>
          <w:rFonts w:cs="Arial"/>
          <w:szCs w:val="22"/>
        </w:rPr>
      </w:pPr>
      <w:r w:rsidRPr="009F2B8B">
        <w:rPr>
          <w:rFonts w:cs="Arial"/>
          <w:szCs w:val="22"/>
        </w:rPr>
        <w:t>Chmielowska et al. (2022) believe the development of co-production-centric person-centred approaches and partnership working in the UK should be based on the best available evidence. Chmielowska et al. (2022) suggest that co-production, peer support, and shared decision-making should be given a stronger foundation and supported by appropriate training and research so that lived experience is incorporated into mental health care and is not an add-on. Clarifying peer support would add integrity to this approach. Thomson and Chatterjee (2024) argue for reform at the system level. Stronger co-production, better information sharing, and a greater degree of inter-professional collaboration were listed as critical enablers, along with an immediate requirement for valid and standardized approaches to assess integrated care and determine cost effectiveness. Wulfse-Huisman et al. (2025) add a practical training component. Professional training should include person-centred shared decision-making, and training in holistic assessment, along with communication skills, should be designed and developed for care practice. These skills should be taught early for the improvement of person-centred care and partnership working. These suggestions have their limitations. It is honest to state that the teaching in partnership and co-production requires time, money, and cultural shifts that are not certain (Thomson and Chatterjee, 2024). The evidence that is available from single initiatives and studies cannot guarantee similar outcomes for all. The trajectory is clear, though.</w:t>
      </w:r>
    </w:p>
    <w:p w14:paraId="6859E475" w14:textId="77777777" w:rsidR="00441A3A" w:rsidRPr="009F2B8B" w:rsidRDefault="00441A3A" w:rsidP="009F2B8B">
      <w:pPr>
        <w:rPr>
          <w:rFonts w:cs="Arial"/>
          <w:szCs w:val="22"/>
        </w:rPr>
      </w:pPr>
      <w:r w:rsidRPr="009F2B8B">
        <w:rPr>
          <w:rFonts w:cs="Arial"/>
          <w:szCs w:val="22"/>
        </w:rPr>
        <w:t>Progress depends on integrating co-creation, inter-sector information sharing, evaluation standardization, and educational investment. Well-founded conclusions, therefore, endorse gradual, evidence-based improvements instead of yet another round of top-down imposed structural changes.</w:t>
      </w:r>
    </w:p>
    <w:p w14:paraId="612CED67" w14:textId="77777777" w:rsidR="00441A3A" w:rsidRPr="009F2B8B" w:rsidRDefault="00441A3A" w:rsidP="009F2B8B">
      <w:pPr>
        <w:jc w:val="left"/>
        <w:rPr>
          <w:rFonts w:cs="Arial"/>
          <w:szCs w:val="22"/>
        </w:rPr>
      </w:pPr>
      <w:r w:rsidRPr="009F2B8B">
        <w:rPr>
          <w:rFonts w:cs="Arial"/>
          <w:szCs w:val="22"/>
        </w:rPr>
        <w:br w:type="page"/>
      </w:r>
    </w:p>
    <w:p w14:paraId="3334C278" w14:textId="5B9E40E8" w:rsidR="008D7A45" w:rsidRPr="009F2B8B" w:rsidRDefault="00087234" w:rsidP="009F2B8B">
      <w:pPr>
        <w:pStyle w:val="Heading1"/>
        <w:rPr>
          <w:rFonts w:cs="Arial"/>
          <w:szCs w:val="22"/>
        </w:rPr>
      </w:pPr>
      <w:bookmarkStart w:id="7" w:name="_Toc235532828"/>
      <w:r w:rsidRPr="009F2B8B">
        <w:rPr>
          <w:rFonts w:cs="Arial"/>
          <w:szCs w:val="22"/>
        </w:rPr>
        <w:lastRenderedPageBreak/>
        <w:t>References</w:t>
      </w:r>
      <w:bookmarkEnd w:id="7"/>
      <w:r w:rsidRPr="009F2B8B">
        <w:rPr>
          <w:rFonts w:cs="Arial"/>
          <w:szCs w:val="22"/>
        </w:rPr>
        <w:t xml:space="preserve"> </w:t>
      </w:r>
    </w:p>
    <w:p w14:paraId="00CED02E" w14:textId="77777777" w:rsidR="003A0D79" w:rsidRPr="009F2B8B" w:rsidRDefault="003A0D79" w:rsidP="009F2B8B">
      <w:pPr>
        <w:ind w:left="720" w:hanging="720"/>
        <w:rPr>
          <w:rFonts w:cs="Arial"/>
          <w:szCs w:val="22"/>
        </w:rPr>
      </w:pPr>
      <w:r w:rsidRPr="009F2B8B">
        <w:rPr>
          <w:rFonts w:cs="Arial"/>
          <w:szCs w:val="22"/>
        </w:rPr>
        <w:t xml:space="preserve">Byrne, A.-L., Baldwin, A. and Harvey, C. (2020) 'Whose centre is it anyway? Defining person-centred care in nursing: An integrative review', </w:t>
      </w:r>
      <w:r w:rsidRPr="009F2B8B">
        <w:rPr>
          <w:rFonts w:cs="Arial"/>
          <w:i/>
          <w:iCs/>
          <w:szCs w:val="22"/>
        </w:rPr>
        <w:t>PLoS ONE</w:t>
      </w:r>
      <w:r w:rsidRPr="009F2B8B">
        <w:rPr>
          <w:rFonts w:cs="Arial"/>
          <w:szCs w:val="22"/>
        </w:rPr>
        <w:t xml:space="preserve">, 15(3), e0229923. </w:t>
      </w:r>
      <w:hyperlink r:id="rId7" w:history="1">
        <w:r w:rsidRPr="009F2B8B">
          <w:rPr>
            <w:rStyle w:val="Hyperlink"/>
            <w:rFonts w:cs="Arial"/>
            <w:szCs w:val="22"/>
          </w:rPr>
          <w:t>https://journals.plos.org/plosone/article/file?id=10.1371/journal.pone.0229923&amp;type=printable</w:t>
        </w:r>
      </w:hyperlink>
    </w:p>
    <w:p w14:paraId="1915245E" w14:textId="77777777" w:rsidR="003A0D79" w:rsidRPr="009F2B8B" w:rsidRDefault="003A0D79" w:rsidP="009F2B8B">
      <w:pPr>
        <w:ind w:left="720" w:hanging="720"/>
        <w:rPr>
          <w:rFonts w:cs="Arial"/>
          <w:szCs w:val="22"/>
        </w:rPr>
      </w:pPr>
      <w:r w:rsidRPr="009F2B8B">
        <w:rPr>
          <w:rFonts w:cs="Arial"/>
          <w:szCs w:val="22"/>
        </w:rPr>
        <w:t xml:space="preserve">Chmielowska, M., Mannocci, N., Tansel, A. and Zisman-Ilani, Y. (2022) 'Peer support and shared decision making in Open Dialogue: Opportunities and recommendations', </w:t>
      </w:r>
      <w:r w:rsidRPr="009F2B8B">
        <w:rPr>
          <w:rFonts w:cs="Arial"/>
          <w:i/>
          <w:iCs/>
          <w:szCs w:val="22"/>
        </w:rPr>
        <w:t>Frontiers in Psychology</w:t>
      </w:r>
      <w:r w:rsidRPr="009F2B8B">
        <w:rPr>
          <w:rFonts w:cs="Arial"/>
          <w:szCs w:val="22"/>
        </w:rPr>
        <w:t xml:space="preserve">, 13, 1059412. </w:t>
      </w:r>
      <w:hyperlink r:id="rId8" w:history="1">
        <w:r w:rsidRPr="009F2B8B">
          <w:rPr>
            <w:rStyle w:val="Hyperlink"/>
            <w:rFonts w:cs="Arial"/>
            <w:szCs w:val="22"/>
          </w:rPr>
          <w:t>https://www.frontiersin.org/articles/10.3389/fpsyg.2022.1059412/pdf</w:t>
        </w:r>
      </w:hyperlink>
    </w:p>
    <w:p w14:paraId="5B20F1B4" w14:textId="68199811" w:rsidR="003A0D79" w:rsidRPr="009F2B8B" w:rsidRDefault="003A0D79" w:rsidP="009F2B8B">
      <w:pPr>
        <w:ind w:left="720" w:hanging="720"/>
        <w:rPr>
          <w:rFonts w:cs="Arial"/>
          <w:szCs w:val="22"/>
        </w:rPr>
      </w:pPr>
      <w:r w:rsidRPr="009F2B8B">
        <w:rPr>
          <w:rFonts w:cs="Arial"/>
          <w:szCs w:val="22"/>
        </w:rPr>
        <w:t xml:space="preserve">Heek, H.C., Nooteboom, L.A., Barnhoorn-Bos, A.M., Vermeiren, R.R.J.M. and Mulder, E.A. (2026) 'A Balancing Act: Partnership Dynamics in Practice When Organising and Developing Integrated Care Initiatives', </w:t>
      </w:r>
      <w:r w:rsidRPr="009F2B8B">
        <w:rPr>
          <w:rFonts w:cs="Arial"/>
          <w:i/>
          <w:iCs/>
          <w:szCs w:val="22"/>
        </w:rPr>
        <w:t>International Journal of Integrated Care</w:t>
      </w:r>
      <w:r w:rsidRPr="009F2B8B">
        <w:rPr>
          <w:rFonts w:cs="Arial"/>
          <w:szCs w:val="22"/>
        </w:rPr>
        <w:t>, 26(1), 5, pp</w:t>
      </w:r>
      <w:r w:rsidR="00D76B33">
        <w:rPr>
          <w:rFonts w:cs="Arial"/>
          <w:szCs w:val="22"/>
        </w:rPr>
        <w:t xml:space="preserve"> </w:t>
      </w:r>
      <w:r w:rsidR="00D76B33" w:rsidRPr="00D76B33">
        <w:rPr>
          <w:rFonts w:cs="Arial"/>
          <w:szCs w:val="22"/>
        </w:rPr>
        <w:t>1</w:t>
      </w:r>
      <w:r w:rsidR="00D76B33">
        <w:rPr>
          <w:rFonts w:cs="Arial"/>
          <w:szCs w:val="22"/>
        </w:rPr>
        <w:t>-</w:t>
      </w:r>
      <w:r w:rsidR="00D76B33" w:rsidRPr="00D76B33">
        <w:rPr>
          <w:rFonts w:cs="Arial"/>
          <w:szCs w:val="22"/>
        </w:rPr>
        <w:t>12</w:t>
      </w:r>
      <w:r w:rsidRPr="009F2B8B">
        <w:rPr>
          <w:rFonts w:cs="Arial"/>
          <w:szCs w:val="22"/>
        </w:rPr>
        <w:t xml:space="preserve">. </w:t>
      </w:r>
      <w:hyperlink r:id="rId9" w:history="1">
        <w:r w:rsidRPr="009F2B8B">
          <w:rPr>
            <w:rStyle w:val="Hyperlink"/>
            <w:rFonts w:cs="Arial"/>
            <w:szCs w:val="22"/>
          </w:rPr>
          <w:t>https://ijic.org/articles/9359/files/6985c81fe45cb.pdf</w:t>
        </w:r>
      </w:hyperlink>
    </w:p>
    <w:p w14:paraId="19E57DA4" w14:textId="77777777" w:rsidR="003A0D79" w:rsidRPr="009F2B8B" w:rsidRDefault="003A0D79" w:rsidP="009F2B8B">
      <w:pPr>
        <w:ind w:left="720" w:hanging="720"/>
        <w:rPr>
          <w:rFonts w:cs="Arial"/>
          <w:szCs w:val="22"/>
        </w:rPr>
      </w:pPr>
      <w:r w:rsidRPr="009F2B8B">
        <w:rPr>
          <w:rFonts w:cs="Arial"/>
          <w:szCs w:val="22"/>
        </w:rPr>
        <w:t xml:space="preserve">Kwame, A. and Petrucka, P.M. (2021) 'A literature-based study of patient-centered care and communication in nurse-patient interactions: barriers, facilitators, and the way forward', </w:t>
      </w:r>
      <w:r w:rsidRPr="009F2B8B">
        <w:rPr>
          <w:rFonts w:cs="Arial"/>
          <w:i/>
          <w:iCs/>
          <w:szCs w:val="22"/>
        </w:rPr>
        <w:t>BMC Nursing</w:t>
      </w:r>
      <w:r w:rsidRPr="009F2B8B">
        <w:rPr>
          <w:rFonts w:cs="Arial"/>
          <w:szCs w:val="22"/>
        </w:rPr>
        <w:t xml:space="preserve">, 20, 158. </w:t>
      </w:r>
      <w:hyperlink r:id="rId10" w:history="1">
        <w:r w:rsidRPr="009F2B8B">
          <w:rPr>
            <w:rStyle w:val="Hyperlink"/>
            <w:rFonts w:cs="Arial"/>
            <w:szCs w:val="22"/>
          </w:rPr>
          <w:t>https://bmcnurs.biomedcentral.com/counter/pdf/10.1186/s12912-021-00684-2.pdf</w:t>
        </w:r>
      </w:hyperlink>
    </w:p>
    <w:p w14:paraId="1411C650" w14:textId="77777777" w:rsidR="003A0D79" w:rsidRPr="009F2B8B" w:rsidRDefault="003A0D79" w:rsidP="009F2B8B">
      <w:pPr>
        <w:ind w:left="720" w:hanging="720"/>
        <w:rPr>
          <w:rFonts w:cs="Arial"/>
          <w:szCs w:val="22"/>
        </w:rPr>
      </w:pPr>
      <w:r w:rsidRPr="009F2B8B">
        <w:rPr>
          <w:rFonts w:cs="Arial"/>
          <w:szCs w:val="22"/>
        </w:rPr>
        <w:t xml:space="preserve">Liao, L., Feng, M., You, Y., Chen, Y., Guan, C. and Liu, Y. (2023) 'Experiences of older people, healthcare providers and caregivers on implementing person-centered care for community-dwelling older people: a systematic review and qualitative meta-synthesis', </w:t>
      </w:r>
      <w:r w:rsidRPr="009F2B8B">
        <w:rPr>
          <w:rFonts w:cs="Arial"/>
          <w:i/>
          <w:iCs/>
          <w:szCs w:val="22"/>
        </w:rPr>
        <w:t>BMC Geriatrics</w:t>
      </w:r>
      <w:r w:rsidRPr="009F2B8B">
        <w:rPr>
          <w:rFonts w:cs="Arial"/>
          <w:szCs w:val="22"/>
        </w:rPr>
        <w:t xml:space="preserve">, 23, 207. </w:t>
      </w:r>
      <w:hyperlink r:id="rId11" w:history="1">
        <w:r w:rsidRPr="009F2B8B">
          <w:rPr>
            <w:rStyle w:val="Hyperlink"/>
            <w:rFonts w:cs="Arial"/>
            <w:szCs w:val="22"/>
          </w:rPr>
          <w:t>https://bmcgeriatr.biomedcentral.com/counter/pdf/10.1186/s12877-023-03915-0.pdf</w:t>
        </w:r>
      </w:hyperlink>
    </w:p>
    <w:p w14:paraId="08F1945A" w14:textId="77777777" w:rsidR="003A0D79" w:rsidRPr="009F2B8B" w:rsidRDefault="003A0D79" w:rsidP="009F2B8B">
      <w:pPr>
        <w:ind w:left="720" w:hanging="720"/>
        <w:rPr>
          <w:rFonts w:cs="Arial"/>
          <w:szCs w:val="22"/>
        </w:rPr>
      </w:pPr>
      <w:r w:rsidRPr="009F2B8B">
        <w:rPr>
          <w:rFonts w:cs="Arial"/>
          <w:szCs w:val="22"/>
        </w:rPr>
        <w:t xml:space="preserve">Lorber, M., Mlinar Reljić, N., Kegl, B., Fekonja, Z., Štiglic, G., Davey, A. and Kmetec, S. (2024) 'Person-Centred Care: A Support Strategy for Managing Non-Communicable Diseases', </w:t>
      </w:r>
      <w:r w:rsidRPr="009F2B8B">
        <w:rPr>
          <w:rFonts w:cs="Arial"/>
          <w:i/>
          <w:iCs/>
          <w:szCs w:val="22"/>
        </w:rPr>
        <w:t>Healthcare</w:t>
      </w:r>
      <w:r w:rsidRPr="009F2B8B">
        <w:rPr>
          <w:rFonts w:cs="Arial"/>
          <w:szCs w:val="22"/>
        </w:rPr>
        <w:t xml:space="preserve">, 12(5), 526. </w:t>
      </w:r>
      <w:hyperlink r:id="rId12" w:history="1">
        <w:r w:rsidRPr="009F2B8B">
          <w:rPr>
            <w:rStyle w:val="Hyperlink"/>
            <w:rFonts w:cs="Arial"/>
            <w:szCs w:val="22"/>
          </w:rPr>
          <w:t>https://www.mdpi.com/2227-9032/12/5/526/pdf</w:t>
        </w:r>
      </w:hyperlink>
    </w:p>
    <w:p w14:paraId="36D4F765" w14:textId="77777777" w:rsidR="003A0D79" w:rsidRPr="009F2B8B" w:rsidRDefault="003A0D79" w:rsidP="009F2B8B">
      <w:pPr>
        <w:ind w:left="720" w:hanging="720"/>
        <w:rPr>
          <w:rFonts w:cs="Arial"/>
          <w:szCs w:val="22"/>
        </w:rPr>
      </w:pPr>
      <w:r w:rsidRPr="009F2B8B">
        <w:rPr>
          <w:rFonts w:cs="Arial"/>
          <w:szCs w:val="22"/>
        </w:rPr>
        <w:t xml:space="preserve">McCance, T. and McCormack, B. (2025) 'The Person-centred Nursing Framework: a mid-range theory for nursing practice', </w:t>
      </w:r>
      <w:r w:rsidRPr="009F2B8B">
        <w:rPr>
          <w:rFonts w:cs="Arial"/>
          <w:i/>
          <w:iCs/>
          <w:szCs w:val="22"/>
        </w:rPr>
        <w:t>Journal of Research in Nursing</w:t>
      </w:r>
      <w:r w:rsidRPr="009F2B8B">
        <w:rPr>
          <w:rFonts w:cs="Arial"/>
          <w:szCs w:val="22"/>
        </w:rPr>
        <w:t xml:space="preserve">, 30(1), pp. 47–60. </w:t>
      </w:r>
      <w:hyperlink r:id="rId13" w:history="1">
        <w:r w:rsidRPr="009F2B8B">
          <w:rPr>
            <w:rStyle w:val="Hyperlink"/>
            <w:rFonts w:cs="Arial"/>
            <w:szCs w:val="22"/>
          </w:rPr>
          <w:t>https://pmc.ncbi.nlm.nih.gov/articles/PMC11907491/pdf/</w:t>
        </w:r>
      </w:hyperlink>
    </w:p>
    <w:p w14:paraId="2323A819" w14:textId="77777777" w:rsidR="003A0D79" w:rsidRPr="009F2B8B" w:rsidRDefault="003A0D79" w:rsidP="009F2B8B">
      <w:pPr>
        <w:ind w:left="720" w:hanging="720"/>
        <w:rPr>
          <w:rFonts w:cs="Arial"/>
          <w:szCs w:val="22"/>
        </w:rPr>
      </w:pPr>
      <w:r w:rsidRPr="009F2B8B">
        <w:rPr>
          <w:rFonts w:cs="Arial"/>
          <w:szCs w:val="22"/>
        </w:rPr>
        <w:t xml:space="preserve">Moore, H.L., Watson, R., Farnworth, A., Giles, K., Tomson, D. and Thomson, R.G. (2023) 'Inclusion of person-centred care in UK postgraduate medical education curricula: Interviews and documentary analysis', </w:t>
      </w:r>
      <w:r w:rsidRPr="009F2B8B">
        <w:rPr>
          <w:rFonts w:cs="Arial"/>
          <w:i/>
          <w:iCs/>
          <w:szCs w:val="22"/>
        </w:rPr>
        <w:t>BMC Medical Education</w:t>
      </w:r>
      <w:r w:rsidRPr="009F2B8B">
        <w:rPr>
          <w:rFonts w:cs="Arial"/>
          <w:szCs w:val="22"/>
        </w:rPr>
        <w:t>, 23, 757. doi:10.1186/s12909-023-04730-2.</w:t>
      </w:r>
      <w:r w:rsidRPr="009F2B8B">
        <w:rPr>
          <w:rFonts w:cs="Arial"/>
          <w:szCs w:val="22"/>
        </w:rPr>
        <w:br/>
      </w:r>
      <w:hyperlink r:id="rId14" w:history="1">
        <w:r w:rsidRPr="009F2B8B">
          <w:rPr>
            <w:rStyle w:val="Hyperlink"/>
            <w:rFonts w:cs="Arial"/>
            <w:szCs w:val="22"/>
          </w:rPr>
          <w:t>https://bmcmededuc.biomedcentral.com/counter/pdf/10.1186/s12909-023-04730-2.pdf</w:t>
        </w:r>
      </w:hyperlink>
    </w:p>
    <w:p w14:paraId="29F488B9" w14:textId="77777777" w:rsidR="003A0D79" w:rsidRPr="009F2B8B" w:rsidRDefault="003A0D79" w:rsidP="009F2B8B">
      <w:pPr>
        <w:ind w:left="720" w:hanging="720"/>
        <w:rPr>
          <w:rFonts w:cs="Arial"/>
          <w:szCs w:val="22"/>
        </w:rPr>
      </w:pPr>
      <w:r w:rsidRPr="009F2B8B">
        <w:rPr>
          <w:rFonts w:cs="Arial"/>
          <w:szCs w:val="22"/>
        </w:rPr>
        <w:t xml:space="preserve">Mousavi, S. (2024) 'Global Ethical Principles in Healthcare Networks, Including Debates on Euthanasia and Abortion', </w:t>
      </w:r>
      <w:r w:rsidRPr="009F2B8B">
        <w:rPr>
          <w:rFonts w:cs="Arial"/>
          <w:i/>
          <w:iCs/>
          <w:szCs w:val="22"/>
        </w:rPr>
        <w:t>Cureus</w:t>
      </w:r>
      <w:r w:rsidRPr="009F2B8B">
        <w:rPr>
          <w:rFonts w:cs="Arial"/>
          <w:szCs w:val="22"/>
        </w:rPr>
        <w:t xml:space="preserve">, 16(4), e59116. </w:t>
      </w:r>
      <w:r w:rsidRPr="009F2B8B">
        <w:rPr>
          <w:rFonts w:cs="Arial"/>
          <w:szCs w:val="22"/>
        </w:rPr>
        <w:br/>
      </w:r>
      <w:hyperlink r:id="rId15" w:history="1">
        <w:r w:rsidRPr="009F2B8B">
          <w:rPr>
            <w:rStyle w:val="Hyperlink"/>
            <w:rFonts w:cs="Arial"/>
            <w:szCs w:val="22"/>
          </w:rPr>
          <w:t>https://pmc.ncbi.nlm.nih.gov/articles/PMC11128767/pdf/</w:t>
        </w:r>
      </w:hyperlink>
    </w:p>
    <w:p w14:paraId="252DD92E" w14:textId="77777777" w:rsidR="003A0D79" w:rsidRPr="009F2B8B" w:rsidRDefault="003A0D79" w:rsidP="009F2B8B">
      <w:pPr>
        <w:ind w:left="720" w:hanging="720"/>
        <w:rPr>
          <w:rFonts w:cs="Arial"/>
          <w:szCs w:val="22"/>
        </w:rPr>
      </w:pPr>
      <w:r w:rsidRPr="009F2B8B">
        <w:rPr>
          <w:rFonts w:cs="Arial"/>
          <w:szCs w:val="22"/>
        </w:rPr>
        <w:t xml:space="preserve">Parker, S.M., Paine, K., Spooner, C. and Harris, M. (2023) 'Barriers and facilitators to the participation and engagement of primary care in shared-care arrangements with community mental health services for preventive care of people with serious mental illness: a scoping review', </w:t>
      </w:r>
      <w:r w:rsidRPr="009F2B8B">
        <w:rPr>
          <w:rFonts w:cs="Arial"/>
          <w:i/>
          <w:iCs/>
          <w:szCs w:val="22"/>
        </w:rPr>
        <w:t>BMC Health Services Research</w:t>
      </w:r>
      <w:r w:rsidRPr="009F2B8B">
        <w:rPr>
          <w:rFonts w:cs="Arial"/>
          <w:szCs w:val="22"/>
        </w:rPr>
        <w:t xml:space="preserve">, 23, 977. </w:t>
      </w:r>
      <w:hyperlink r:id="rId16" w:history="1">
        <w:r w:rsidRPr="009F2B8B">
          <w:rPr>
            <w:rStyle w:val="Hyperlink"/>
            <w:rFonts w:cs="Arial"/>
            <w:szCs w:val="22"/>
          </w:rPr>
          <w:t>https://bmchealthservres.biomedcentral.com/counter/pdf/10.1186/s12913-023-09918-2.pdf</w:t>
        </w:r>
      </w:hyperlink>
    </w:p>
    <w:p w14:paraId="6AF1877C" w14:textId="77777777" w:rsidR="003A0D79" w:rsidRPr="009F2B8B" w:rsidRDefault="003A0D79" w:rsidP="009F2B8B">
      <w:pPr>
        <w:ind w:left="720" w:hanging="720"/>
        <w:rPr>
          <w:rFonts w:cs="Arial"/>
          <w:szCs w:val="22"/>
        </w:rPr>
      </w:pPr>
      <w:r w:rsidRPr="009F2B8B">
        <w:rPr>
          <w:rFonts w:cs="Arial"/>
          <w:szCs w:val="22"/>
        </w:rPr>
        <w:t xml:space="preserve">Santana, M.J., Manalili, K., Jolley, R.J., Zelinsky, S., Quan, H. and Lu, M. (2018) 'How to practice person-centred care: A conceptual framework', </w:t>
      </w:r>
      <w:r w:rsidRPr="009F2B8B">
        <w:rPr>
          <w:rFonts w:cs="Arial"/>
          <w:i/>
          <w:iCs/>
          <w:szCs w:val="22"/>
        </w:rPr>
        <w:t>Health Expectations</w:t>
      </w:r>
      <w:r w:rsidRPr="009F2B8B">
        <w:rPr>
          <w:rFonts w:cs="Arial"/>
          <w:szCs w:val="22"/>
        </w:rPr>
        <w:t xml:space="preserve">, 21(2), pp. 429–440. </w:t>
      </w:r>
      <w:hyperlink r:id="rId17" w:history="1">
        <w:r w:rsidRPr="009F2B8B">
          <w:rPr>
            <w:rStyle w:val="Hyperlink"/>
            <w:rFonts w:cs="Arial"/>
            <w:szCs w:val="22"/>
          </w:rPr>
          <w:t>https://onlinelibrary.wiley.com/doi/pdfdirect/10.1111/hex.12640</w:t>
        </w:r>
      </w:hyperlink>
      <w:r w:rsidRPr="009F2B8B">
        <w:rPr>
          <w:rFonts w:cs="Arial"/>
          <w:szCs w:val="22"/>
        </w:rPr>
        <w:t xml:space="preserve"> </w:t>
      </w:r>
    </w:p>
    <w:p w14:paraId="4EE78EB7" w14:textId="77777777" w:rsidR="003A0D79" w:rsidRPr="009F2B8B" w:rsidRDefault="003A0D79" w:rsidP="009F2B8B">
      <w:pPr>
        <w:ind w:left="720" w:hanging="720"/>
        <w:rPr>
          <w:rFonts w:cs="Arial"/>
          <w:szCs w:val="22"/>
        </w:rPr>
      </w:pPr>
      <w:r w:rsidRPr="009F2B8B">
        <w:rPr>
          <w:rFonts w:cs="Arial"/>
          <w:szCs w:val="22"/>
        </w:rPr>
        <w:t xml:space="preserve">Schröder-Bäck, P., Duncan, P., Sherlaw, W., Brall, C. and Czabanowska, K. (2014) 'Teaching seven principles for public health ethics: towards a curriculum for a short course on ethics in public health programmes', </w:t>
      </w:r>
      <w:r w:rsidRPr="009F2B8B">
        <w:rPr>
          <w:rFonts w:cs="Arial"/>
          <w:i/>
          <w:iCs/>
          <w:szCs w:val="22"/>
        </w:rPr>
        <w:t>BMC Medical Ethics</w:t>
      </w:r>
      <w:r w:rsidRPr="009F2B8B">
        <w:rPr>
          <w:rFonts w:cs="Arial"/>
          <w:szCs w:val="22"/>
        </w:rPr>
        <w:t xml:space="preserve">, 15, 73. </w:t>
      </w:r>
      <w:hyperlink r:id="rId18" w:history="1">
        <w:r w:rsidRPr="009F2B8B">
          <w:rPr>
            <w:rStyle w:val="Hyperlink"/>
            <w:rFonts w:cs="Arial"/>
            <w:szCs w:val="22"/>
          </w:rPr>
          <w:t>https://bmcmedethics.biomedcentral.com/counter/pdf/10.1186/1472-6939-15-73.pdf</w:t>
        </w:r>
      </w:hyperlink>
    </w:p>
    <w:p w14:paraId="245AE743" w14:textId="77777777" w:rsidR="003A0D79" w:rsidRPr="009F2B8B" w:rsidRDefault="003A0D79" w:rsidP="009F2B8B">
      <w:pPr>
        <w:ind w:left="720" w:hanging="720"/>
        <w:rPr>
          <w:rFonts w:cs="Arial"/>
          <w:szCs w:val="22"/>
        </w:rPr>
      </w:pPr>
      <w:r w:rsidRPr="009F2B8B">
        <w:rPr>
          <w:rFonts w:cs="Arial"/>
          <w:szCs w:val="22"/>
        </w:rPr>
        <w:t xml:space="preserve">Serbser-Koal, J., Rommerskirch-Manietta, M., Purwins, D. and Roes, M. (2024) 'Person-centredness in dementia care: an integrative review of theoretical approaches', </w:t>
      </w:r>
      <w:r w:rsidRPr="009F2B8B">
        <w:rPr>
          <w:rFonts w:cs="Arial"/>
          <w:i/>
          <w:iCs/>
          <w:szCs w:val="22"/>
        </w:rPr>
        <w:t>BMJ Open</w:t>
      </w:r>
      <w:r w:rsidRPr="009F2B8B">
        <w:rPr>
          <w:rFonts w:cs="Arial"/>
          <w:szCs w:val="22"/>
        </w:rPr>
        <w:t xml:space="preserve">, 14(6), e085051. </w:t>
      </w:r>
      <w:hyperlink r:id="rId19" w:history="1">
        <w:r w:rsidRPr="009F2B8B">
          <w:rPr>
            <w:rStyle w:val="Hyperlink"/>
            <w:rFonts w:cs="Arial"/>
            <w:szCs w:val="22"/>
          </w:rPr>
          <w:t>https://bmjopen.bmj.com/content/bmjopen/14/6/e085051.full.pdf</w:t>
        </w:r>
      </w:hyperlink>
    </w:p>
    <w:p w14:paraId="4E66B494" w14:textId="143BAB79" w:rsidR="003A0D79" w:rsidRPr="009F2B8B" w:rsidRDefault="00D76B33" w:rsidP="009F2B8B">
      <w:pPr>
        <w:ind w:left="720" w:hanging="720"/>
        <w:rPr>
          <w:rFonts w:cs="Arial"/>
          <w:szCs w:val="22"/>
        </w:rPr>
      </w:pPr>
      <w:r w:rsidRPr="00D76B33">
        <w:t>Sheppard, C.L., Gould, S., Guilcher, S.J., Liu, B., Linkewich, E., Austen, A. and Hitzig, S.L., 2022. “We could be good partners if we work together”: the perspectives of health and social service providers on the barriers to forming collaborative partnerships with social housing providers for older adults. </w:t>
      </w:r>
      <w:r w:rsidRPr="00D76B33">
        <w:rPr>
          <w:i/>
          <w:iCs/>
        </w:rPr>
        <w:t>BMC Health Services Research</w:t>
      </w:r>
      <w:r w:rsidRPr="00D76B33">
        <w:t>, </w:t>
      </w:r>
      <w:r w:rsidRPr="00D76B33">
        <w:rPr>
          <w:i/>
          <w:iCs/>
        </w:rPr>
        <w:t>22</w:t>
      </w:r>
      <w:r w:rsidRPr="00D76B33">
        <w:t>(1), p.313.</w:t>
      </w:r>
      <w:r>
        <w:t xml:space="preserve"> </w:t>
      </w:r>
      <w:hyperlink r:id="rId20" w:history="1">
        <w:r w:rsidR="003A0D79" w:rsidRPr="009F2B8B">
          <w:rPr>
            <w:rStyle w:val="Hyperlink"/>
            <w:rFonts w:cs="Arial"/>
            <w:szCs w:val="22"/>
          </w:rPr>
          <w:t>https://bmchealthservres.biomedcentral.com/counter/pdf/10.1186/s12913-022-07671-6.pdf</w:t>
        </w:r>
      </w:hyperlink>
    </w:p>
    <w:p w14:paraId="552A774B" w14:textId="77777777" w:rsidR="003A0D79" w:rsidRPr="009F2B8B" w:rsidRDefault="003A0D79" w:rsidP="009F2B8B">
      <w:pPr>
        <w:ind w:left="720" w:hanging="720"/>
        <w:rPr>
          <w:rFonts w:cs="Arial"/>
          <w:szCs w:val="22"/>
        </w:rPr>
      </w:pPr>
      <w:r w:rsidRPr="009F2B8B">
        <w:rPr>
          <w:rFonts w:cs="Arial"/>
          <w:szCs w:val="22"/>
        </w:rPr>
        <w:t xml:space="preserve">Thomson, L.J.M. and Chatterjee, H.J. (2024) 'Barriers and enablers of integrated care in the UK: a rapid evidence review of review articles and grey literature 2018–2022', </w:t>
      </w:r>
      <w:r w:rsidRPr="009F2B8B">
        <w:rPr>
          <w:rFonts w:cs="Arial"/>
          <w:i/>
          <w:iCs/>
          <w:szCs w:val="22"/>
        </w:rPr>
        <w:t>Frontiers in Public Health</w:t>
      </w:r>
      <w:r w:rsidRPr="009F2B8B">
        <w:rPr>
          <w:rFonts w:cs="Arial"/>
          <w:szCs w:val="22"/>
        </w:rPr>
        <w:t xml:space="preserve">, 11, 1286479. </w:t>
      </w:r>
      <w:hyperlink r:id="rId21" w:history="1">
        <w:r w:rsidRPr="009F2B8B">
          <w:rPr>
            <w:rStyle w:val="Hyperlink"/>
            <w:rFonts w:cs="Arial"/>
            <w:szCs w:val="22"/>
          </w:rPr>
          <w:t>https://www.frontiersin.org/articles/10.3389/fpubh.2023.1286479/pdf</w:t>
        </w:r>
      </w:hyperlink>
    </w:p>
    <w:p w14:paraId="592F56CE" w14:textId="77777777" w:rsidR="003A0D79" w:rsidRPr="009F2B8B" w:rsidRDefault="003A0D79" w:rsidP="009F2B8B">
      <w:pPr>
        <w:ind w:left="720" w:hanging="720"/>
        <w:rPr>
          <w:rFonts w:cs="Arial"/>
          <w:szCs w:val="22"/>
        </w:rPr>
      </w:pPr>
      <w:r w:rsidRPr="009F2B8B">
        <w:rPr>
          <w:rFonts w:cs="Arial"/>
          <w:szCs w:val="22"/>
        </w:rPr>
        <w:lastRenderedPageBreak/>
        <w:t xml:space="preserve">Tieu, M. and Matthews, S. (2024) 'The Relational Care Framework: Promoting Continuity or Maintenance of Selfhood in Person-Centered Care', </w:t>
      </w:r>
      <w:r w:rsidRPr="009F2B8B">
        <w:rPr>
          <w:rFonts w:cs="Arial"/>
          <w:i/>
          <w:iCs/>
          <w:szCs w:val="22"/>
        </w:rPr>
        <w:t>The Journal of Medicine and Philosophy</w:t>
      </w:r>
      <w:r w:rsidRPr="009F2B8B">
        <w:rPr>
          <w:rFonts w:cs="Arial"/>
          <w:szCs w:val="22"/>
        </w:rPr>
        <w:t xml:space="preserve">, 49(1), pp. 85–101. </w:t>
      </w:r>
      <w:hyperlink r:id="rId22" w:history="1">
        <w:r w:rsidRPr="009F2B8B">
          <w:rPr>
            <w:rStyle w:val="Hyperlink"/>
            <w:rFonts w:cs="Arial"/>
            <w:szCs w:val="22"/>
          </w:rPr>
          <w:t>https://pmc.ncbi.nlm.nih.gov/articles/PMC10787111/pdf/</w:t>
        </w:r>
      </w:hyperlink>
    </w:p>
    <w:p w14:paraId="0821FF85" w14:textId="77777777" w:rsidR="003A0D79" w:rsidRPr="009F2B8B" w:rsidRDefault="003A0D79" w:rsidP="009F2B8B">
      <w:pPr>
        <w:ind w:left="720" w:hanging="720"/>
        <w:rPr>
          <w:rFonts w:cs="Arial"/>
          <w:szCs w:val="22"/>
        </w:rPr>
      </w:pPr>
      <w:r w:rsidRPr="009F2B8B">
        <w:rPr>
          <w:rFonts w:cs="Arial"/>
          <w:szCs w:val="22"/>
        </w:rPr>
        <w:t xml:space="preserve">Wulfse-Huisman, S., Oostra, D., Veldhuizen, J., Bleijenberg, N., Buurman-van Es, B. and Pel-Littel, R. (2025) 'Person-centered shared decision-making in district nursing care on interventions to support independence in older adults with multiple chronic conditions: a video observation study', </w:t>
      </w:r>
      <w:r w:rsidRPr="009F2B8B">
        <w:rPr>
          <w:rFonts w:cs="Arial"/>
          <w:i/>
          <w:iCs/>
          <w:szCs w:val="22"/>
        </w:rPr>
        <w:t>BMC Nursing</w:t>
      </w:r>
      <w:r w:rsidRPr="009F2B8B">
        <w:rPr>
          <w:rFonts w:cs="Arial"/>
          <w:szCs w:val="22"/>
        </w:rPr>
        <w:t xml:space="preserve">, 24, 1189. </w:t>
      </w:r>
      <w:hyperlink r:id="rId23" w:history="1">
        <w:r w:rsidRPr="009F2B8B">
          <w:rPr>
            <w:rStyle w:val="Hyperlink"/>
            <w:rFonts w:cs="Arial"/>
            <w:szCs w:val="22"/>
          </w:rPr>
          <w:t>https://bmcnurs.biomedcentral.com/counter/pdf/10.1186/s12912-025-03778-3.pdf</w:t>
        </w:r>
      </w:hyperlink>
    </w:p>
    <w:p w14:paraId="393196E7" w14:textId="77777777" w:rsidR="00D361DF" w:rsidRPr="009F2B8B" w:rsidRDefault="00D361DF" w:rsidP="009F2B8B">
      <w:pPr>
        <w:rPr>
          <w:rFonts w:cs="Arial"/>
          <w:szCs w:val="22"/>
        </w:rPr>
      </w:pPr>
    </w:p>
    <w:p w14:paraId="42E494F3" w14:textId="77777777" w:rsidR="00FF121D" w:rsidRPr="009F2B8B" w:rsidRDefault="00FF121D" w:rsidP="009F2B8B">
      <w:pPr>
        <w:rPr>
          <w:rFonts w:cs="Arial"/>
          <w:szCs w:val="22"/>
        </w:rPr>
      </w:pPr>
    </w:p>
    <w:p w14:paraId="6E9F09A3" w14:textId="77777777" w:rsidR="00FF121D" w:rsidRPr="009F2B8B" w:rsidRDefault="00FF121D" w:rsidP="009F2B8B">
      <w:pPr>
        <w:rPr>
          <w:rFonts w:cs="Arial"/>
          <w:szCs w:val="22"/>
        </w:rPr>
      </w:pPr>
    </w:p>
    <w:p w14:paraId="0CBFF9A8" w14:textId="77777777" w:rsidR="00087234" w:rsidRPr="009F2B8B" w:rsidRDefault="00087234" w:rsidP="009F2B8B">
      <w:pPr>
        <w:rPr>
          <w:rFonts w:cs="Arial"/>
          <w:szCs w:val="22"/>
        </w:rPr>
      </w:pPr>
    </w:p>
    <w:p w14:paraId="4EB750F6" w14:textId="77777777" w:rsidR="00087234" w:rsidRPr="009F2B8B" w:rsidRDefault="00087234" w:rsidP="009F2B8B">
      <w:pPr>
        <w:rPr>
          <w:rFonts w:cs="Arial"/>
          <w:szCs w:val="22"/>
        </w:rPr>
      </w:pPr>
    </w:p>
    <w:p w14:paraId="06BAAEDB" w14:textId="77777777" w:rsidR="00087234" w:rsidRPr="009F2B8B" w:rsidRDefault="00087234" w:rsidP="009F2B8B">
      <w:pPr>
        <w:rPr>
          <w:rFonts w:cs="Arial"/>
          <w:szCs w:val="22"/>
        </w:rPr>
      </w:pPr>
    </w:p>
    <w:p w14:paraId="1CED1687" w14:textId="77777777" w:rsidR="00087234" w:rsidRPr="009F2B8B" w:rsidRDefault="00087234" w:rsidP="009F2B8B">
      <w:pPr>
        <w:jc w:val="center"/>
        <w:rPr>
          <w:rFonts w:cs="Arial"/>
          <w:b/>
          <w:bCs/>
          <w:szCs w:val="22"/>
        </w:rPr>
      </w:pPr>
    </w:p>
    <w:sectPr w:rsidR="00087234" w:rsidRPr="009F2B8B" w:rsidSect="00087234">
      <w:footerReference w:type="default" r:id="rId24"/>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72E77" w14:textId="77777777" w:rsidR="00F5237A" w:rsidRDefault="00F5237A" w:rsidP="00087234">
      <w:pPr>
        <w:spacing w:after="0" w:line="240" w:lineRule="auto"/>
      </w:pPr>
      <w:r>
        <w:separator/>
      </w:r>
    </w:p>
  </w:endnote>
  <w:endnote w:type="continuationSeparator" w:id="0">
    <w:p w14:paraId="1ACB5B8D" w14:textId="77777777" w:rsidR="00F5237A" w:rsidRDefault="00F5237A" w:rsidP="00087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9930237"/>
      <w:docPartObj>
        <w:docPartGallery w:val="Page Numbers (Bottom of Page)"/>
        <w:docPartUnique/>
      </w:docPartObj>
    </w:sdtPr>
    <w:sdtEndPr>
      <w:rPr>
        <w:noProof/>
      </w:rPr>
    </w:sdtEndPr>
    <w:sdtContent>
      <w:p w14:paraId="44C2B09F" w14:textId="732D2063" w:rsidR="00087234" w:rsidRDefault="000872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69E3AE" w14:textId="77777777" w:rsidR="00087234" w:rsidRDefault="000872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ABA15" w14:textId="77777777" w:rsidR="00F5237A" w:rsidRDefault="00F5237A" w:rsidP="00087234">
      <w:pPr>
        <w:spacing w:after="0" w:line="240" w:lineRule="auto"/>
      </w:pPr>
      <w:r>
        <w:separator/>
      </w:r>
    </w:p>
  </w:footnote>
  <w:footnote w:type="continuationSeparator" w:id="0">
    <w:p w14:paraId="31042754" w14:textId="77777777" w:rsidR="00F5237A" w:rsidRDefault="00F5237A" w:rsidP="000872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7DB"/>
    <w:rsid w:val="00087234"/>
    <w:rsid w:val="00163204"/>
    <w:rsid w:val="00355D03"/>
    <w:rsid w:val="003A0D79"/>
    <w:rsid w:val="003D26F7"/>
    <w:rsid w:val="003D47CB"/>
    <w:rsid w:val="00441A3A"/>
    <w:rsid w:val="004A3684"/>
    <w:rsid w:val="006417DB"/>
    <w:rsid w:val="00654723"/>
    <w:rsid w:val="00693BBA"/>
    <w:rsid w:val="008D7A45"/>
    <w:rsid w:val="008F72B1"/>
    <w:rsid w:val="00982A31"/>
    <w:rsid w:val="009D0641"/>
    <w:rsid w:val="009D7174"/>
    <w:rsid w:val="009F2B8B"/>
    <w:rsid w:val="00A972C2"/>
    <w:rsid w:val="00B13910"/>
    <w:rsid w:val="00CD78C2"/>
    <w:rsid w:val="00D361DF"/>
    <w:rsid w:val="00D76B33"/>
    <w:rsid w:val="00F439EB"/>
    <w:rsid w:val="00F5237A"/>
    <w:rsid w:val="00FC686E"/>
    <w:rsid w:val="00FF121D"/>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374E4"/>
  <w15:chartTrackingRefBased/>
  <w15:docId w15:val="{52E71CA9-EF2A-4228-89A1-A47E86216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234"/>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087234"/>
    <w:pPr>
      <w:keepNext/>
      <w:keepLines/>
      <w:spacing w:before="360" w:after="80"/>
      <w:outlineLvl w:val="0"/>
    </w:pPr>
    <w:rPr>
      <w:rFonts w:eastAsiaTheme="majorEastAsia" w:cstheme="majorBidi"/>
      <w:b/>
      <w:szCs w:val="50"/>
    </w:rPr>
  </w:style>
  <w:style w:type="paragraph" w:styleId="Heading2">
    <w:name w:val="heading 2"/>
    <w:basedOn w:val="Normal"/>
    <w:next w:val="Normal"/>
    <w:link w:val="Heading2Char"/>
    <w:autoRedefine/>
    <w:uiPriority w:val="9"/>
    <w:semiHidden/>
    <w:unhideWhenUsed/>
    <w:qFormat/>
    <w:rsid w:val="00087234"/>
    <w:pPr>
      <w:keepNext/>
      <w:keepLines/>
      <w:spacing w:before="160" w:after="80"/>
      <w:outlineLvl w:val="1"/>
    </w:pPr>
    <w:rPr>
      <w:rFonts w:eastAsiaTheme="majorEastAsia" w:cstheme="majorBidi"/>
      <w:b/>
      <w:szCs w:val="40"/>
    </w:rPr>
  </w:style>
  <w:style w:type="paragraph" w:styleId="Heading3">
    <w:name w:val="heading 3"/>
    <w:basedOn w:val="Normal"/>
    <w:next w:val="Normal"/>
    <w:link w:val="Heading3Char"/>
    <w:uiPriority w:val="9"/>
    <w:semiHidden/>
    <w:unhideWhenUsed/>
    <w:qFormat/>
    <w:rsid w:val="006417DB"/>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6417D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417D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417D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417D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417D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417D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234"/>
    <w:rPr>
      <w:rFonts w:ascii="Arial" w:eastAsiaTheme="majorEastAsia" w:hAnsi="Arial" w:cstheme="majorBidi"/>
      <w:b/>
      <w:color w:val="000000" w:themeColor="text1"/>
      <w:szCs w:val="50"/>
    </w:rPr>
  </w:style>
  <w:style w:type="character" w:customStyle="1" w:styleId="Heading2Char">
    <w:name w:val="Heading 2 Char"/>
    <w:basedOn w:val="DefaultParagraphFont"/>
    <w:link w:val="Heading2"/>
    <w:uiPriority w:val="9"/>
    <w:semiHidden/>
    <w:rsid w:val="00087234"/>
    <w:rPr>
      <w:rFonts w:ascii="Arial" w:eastAsiaTheme="majorEastAsia" w:hAnsi="Arial" w:cstheme="majorBidi"/>
      <w:b/>
      <w:color w:val="000000" w:themeColor="text1"/>
      <w:szCs w:val="40"/>
    </w:rPr>
  </w:style>
  <w:style w:type="character" w:customStyle="1" w:styleId="Heading3Char">
    <w:name w:val="Heading 3 Char"/>
    <w:basedOn w:val="DefaultParagraphFont"/>
    <w:link w:val="Heading3"/>
    <w:uiPriority w:val="9"/>
    <w:semiHidden/>
    <w:rsid w:val="006417DB"/>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6417DB"/>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6417DB"/>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6417D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417D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417D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417D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417DB"/>
    <w:pPr>
      <w:spacing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6417D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6417DB"/>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417D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417DB"/>
    <w:pPr>
      <w:spacing w:before="160"/>
      <w:jc w:val="center"/>
    </w:pPr>
    <w:rPr>
      <w:i/>
      <w:iCs/>
      <w:color w:val="404040" w:themeColor="text1" w:themeTint="BF"/>
    </w:rPr>
  </w:style>
  <w:style w:type="character" w:customStyle="1" w:styleId="QuoteChar">
    <w:name w:val="Quote Char"/>
    <w:basedOn w:val="DefaultParagraphFont"/>
    <w:link w:val="Quote"/>
    <w:uiPriority w:val="29"/>
    <w:rsid w:val="006417DB"/>
    <w:rPr>
      <w:rFonts w:ascii="Times New Roman" w:hAnsi="Times New Roman"/>
      <w:i/>
      <w:iCs/>
      <w:color w:val="404040" w:themeColor="text1" w:themeTint="BF"/>
      <w:sz w:val="24"/>
    </w:rPr>
  </w:style>
  <w:style w:type="paragraph" w:styleId="ListParagraph">
    <w:name w:val="List Paragraph"/>
    <w:basedOn w:val="Normal"/>
    <w:uiPriority w:val="34"/>
    <w:qFormat/>
    <w:rsid w:val="006417DB"/>
    <w:pPr>
      <w:ind w:left="720"/>
      <w:contextualSpacing/>
    </w:pPr>
  </w:style>
  <w:style w:type="character" w:styleId="IntenseEmphasis">
    <w:name w:val="Intense Emphasis"/>
    <w:basedOn w:val="DefaultParagraphFont"/>
    <w:uiPriority w:val="21"/>
    <w:qFormat/>
    <w:rsid w:val="006417DB"/>
    <w:rPr>
      <w:i/>
      <w:iCs/>
      <w:color w:val="2F5496" w:themeColor="accent1" w:themeShade="BF"/>
    </w:rPr>
  </w:style>
  <w:style w:type="paragraph" w:styleId="IntenseQuote">
    <w:name w:val="Intense Quote"/>
    <w:basedOn w:val="Normal"/>
    <w:next w:val="Normal"/>
    <w:link w:val="IntenseQuoteChar"/>
    <w:uiPriority w:val="30"/>
    <w:qFormat/>
    <w:rsid w:val="006417D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17DB"/>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6417DB"/>
    <w:rPr>
      <w:b/>
      <w:bCs/>
      <w:smallCaps/>
      <w:color w:val="2F5496" w:themeColor="accent1" w:themeShade="BF"/>
      <w:spacing w:val="5"/>
    </w:rPr>
  </w:style>
  <w:style w:type="paragraph" w:styleId="TOCHeading">
    <w:name w:val="TOC Heading"/>
    <w:basedOn w:val="Heading1"/>
    <w:next w:val="Normal"/>
    <w:uiPriority w:val="39"/>
    <w:unhideWhenUsed/>
    <w:qFormat/>
    <w:rsid w:val="00087234"/>
    <w:pPr>
      <w:spacing w:before="240" w:after="0" w:line="259" w:lineRule="auto"/>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087234"/>
    <w:pPr>
      <w:spacing w:after="100"/>
    </w:pPr>
  </w:style>
  <w:style w:type="character" w:styleId="Hyperlink">
    <w:name w:val="Hyperlink"/>
    <w:basedOn w:val="DefaultParagraphFont"/>
    <w:uiPriority w:val="99"/>
    <w:unhideWhenUsed/>
    <w:rsid w:val="00087234"/>
    <w:rPr>
      <w:color w:val="0563C1" w:themeColor="hyperlink"/>
      <w:u w:val="single"/>
    </w:rPr>
  </w:style>
  <w:style w:type="paragraph" w:styleId="Header">
    <w:name w:val="header"/>
    <w:basedOn w:val="Normal"/>
    <w:link w:val="HeaderChar"/>
    <w:uiPriority w:val="99"/>
    <w:unhideWhenUsed/>
    <w:rsid w:val="000872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234"/>
    <w:rPr>
      <w:rFonts w:ascii="Arial" w:hAnsi="Arial"/>
      <w:color w:val="000000" w:themeColor="text1"/>
    </w:rPr>
  </w:style>
  <w:style w:type="paragraph" w:styleId="Footer">
    <w:name w:val="footer"/>
    <w:basedOn w:val="Normal"/>
    <w:link w:val="FooterChar"/>
    <w:uiPriority w:val="99"/>
    <w:unhideWhenUsed/>
    <w:rsid w:val="000872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234"/>
    <w:rPr>
      <w:rFonts w:ascii="Arial" w:hAnsi="Arial"/>
      <w:color w:val="000000" w:themeColor="text1"/>
    </w:rPr>
  </w:style>
  <w:style w:type="character" w:styleId="UnresolvedMention">
    <w:name w:val="Unresolved Mention"/>
    <w:basedOn w:val="DefaultParagraphFont"/>
    <w:uiPriority w:val="99"/>
    <w:semiHidden/>
    <w:unhideWhenUsed/>
    <w:rsid w:val="000872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g.2022.1059412/pdf" TargetMode="External"/><Relationship Id="rId13" Type="http://schemas.openxmlformats.org/officeDocument/2006/relationships/hyperlink" Target="https://pmc.ncbi.nlm.nih.gov/articles/PMC11907491/pdf/" TargetMode="External"/><Relationship Id="rId18" Type="http://schemas.openxmlformats.org/officeDocument/2006/relationships/hyperlink" Target="https://bmcmedethics.biomedcentral.com/counter/pdf/10.1186/1472-6939-15-73.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frontiersin.org/articles/10.3389/fpubh.2023.1286479/pdf" TargetMode="External"/><Relationship Id="rId7" Type="http://schemas.openxmlformats.org/officeDocument/2006/relationships/hyperlink" Target="https://journals.plos.org/plosone/article/file?id=10.1371/journal.pone.0229923&amp;type=printable" TargetMode="External"/><Relationship Id="rId12" Type="http://schemas.openxmlformats.org/officeDocument/2006/relationships/hyperlink" Target="https://www.mdpi.com/2227-9032/12/5/526/pdf" TargetMode="External"/><Relationship Id="rId17" Type="http://schemas.openxmlformats.org/officeDocument/2006/relationships/hyperlink" Target="https://onlinelibrary.wiley.com/doi/pdfdirect/10.1111/hex.1264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mchealthservres.biomedcentral.com/counter/pdf/10.1186/s12913-023-09918-2.pdf" TargetMode="External"/><Relationship Id="rId20" Type="http://schemas.openxmlformats.org/officeDocument/2006/relationships/hyperlink" Target="https://bmchealthservres.biomedcentral.com/counter/pdf/10.1186/s12913-022-07671-6.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mcgeriatr.biomedcentral.com/counter/pdf/10.1186/s12877-023-03915-0.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mc.ncbi.nlm.nih.gov/articles/PMC11128767/pdf/" TargetMode="External"/><Relationship Id="rId23" Type="http://schemas.openxmlformats.org/officeDocument/2006/relationships/hyperlink" Target="https://bmcnurs.biomedcentral.com/counter/pdf/10.1186/s12912-025-03778-3.pdf" TargetMode="External"/><Relationship Id="rId10" Type="http://schemas.openxmlformats.org/officeDocument/2006/relationships/hyperlink" Target="https://bmcnurs.biomedcentral.com/counter/pdf/10.1186/s12912-021-00684-2.pdf" TargetMode="External"/><Relationship Id="rId19" Type="http://schemas.openxmlformats.org/officeDocument/2006/relationships/hyperlink" Target="https://bmjopen.bmj.com/content/bmjopen/14/6/e085051.full.pdf" TargetMode="External"/><Relationship Id="rId4" Type="http://schemas.openxmlformats.org/officeDocument/2006/relationships/webSettings" Target="webSettings.xml"/><Relationship Id="rId9" Type="http://schemas.openxmlformats.org/officeDocument/2006/relationships/hyperlink" Target="https://ijic.org/articles/9359/files/6985c81fe45cb.pdf" TargetMode="External"/><Relationship Id="rId14" Type="http://schemas.openxmlformats.org/officeDocument/2006/relationships/hyperlink" Target="https://bmcmededuc.biomedcentral.com/counter/pdf/10.1186/s12909-023-04730-2.pdf" TargetMode="External"/><Relationship Id="rId22" Type="http://schemas.openxmlformats.org/officeDocument/2006/relationships/hyperlink" Target="https://pmc.ncbi.nlm.nih.gov/articles/PMC107871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7EE212-0EE7-46D7-B92E-0D75B4DEE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Pages>
  <Words>3235</Words>
  <Characters>18446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Saroni Saha</dc:creator>
  <cp:keywords/>
  <dc:description/>
  <cp:lastModifiedBy>Saroni Saha</cp:lastModifiedBy>
  <cp:revision>11</cp:revision>
  <dcterms:created xsi:type="dcterms:W3CDTF">2026-07-21T06:26:00Z</dcterms:created>
  <dcterms:modified xsi:type="dcterms:W3CDTF">2026-07-21T07:56:00Z</dcterms:modified>
</cp:coreProperties>
</file>