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7E82A" w14:textId="77777777" w:rsidR="00761E2E" w:rsidRDefault="00761E2E" w:rsidP="00230F35">
      <w:pPr>
        <w:pStyle w:val="NormalWeb"/>
        <w:spacing w:before="0" w:beforeAutospacing="0" w:after="0" w:afterAutospacing="0"/>
        <w:ind w:left="-180" w:right="-334"/>
      </w:pPr>
      <w:r>
        <w:pict w14:anchorId="45445DE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50.25pt;height:50.05pt" o:bordertopcolor="this" o:borderleftcolor="this" o:borderbottomcolor="this" o:borderrightcolor="this">
            <v:imagedata r:id="rId6" o:title="TSD_logo2010"/>
            <w10:bordertop type="single" width="12"/>
            <w10:borderleft type="single" width="12"/>
            <w10:borderbottom type="single" width="12"/>
            <w10:borderright type="single" width="12"/>
          </v:shape>
        </w:pict>
      </w:r>
    </w:p>
    <w:p w14:paraId="4A623F18" w14:textId="77777777" w:rsidR="00761E2E" w:rsidRDefault="00761E2E" w:rsidP="00230F35">
      <w:pPr>
        <w:pStyle w:val="NormalWeb"/>
        <w:spacing w:before="0" w:beforeAutospacing="0" w:after="0" w:afterAutospacing="0"/>
        <w:ind w:left="-180" w:right="-334"/>
      </w:pPr>
    </w:p>
    <w:p w14:paraId="361B5029" w14:textId="77777777" w:rsidR="00761E2E" w:rsidRDefault="00761E2E" w:rsidP="00761E2E">
      <w:pPr>
        <w:pStyle w:val="NormalWeb"/>
        <w:spacing w:before="0" w:beforeAutospacing="0" w:after="0" w:afterAutospacing="0"/>
        <w:ind w:right="-334"/>
      </w:pPr>
    </w:p>
    <w:p w14:paraId="50DEF2A2" w14:textId="77777777" w:rsidR="00761E2E" w:rsidRDefault="00761E2E"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40F2478" w14:textId="77777777" w:rsidR="00761E2E" w:rsidRPr="00230F35" w:rsidRDefault="00761E2E"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3F6CD7D" w14:textId="77777777" w:rsidR="00761E2E" w:rsidRPr="00230F35" w:rsidRDefault="00761E2E" w:rsidP="002E67CE">
      <w:pPr>
        <w:rPr>
          <w:sz w:val="28"/>
          <w:szCs w:val="28"/>
          <w:lang w:val="cy-GB"/>
        </w:rPr>
      </w:pPr>
    </w:p>
    <w:p w14:paraId="4E35E93C" w14:textId="77777777" w:rsidR="00761E2E" w:rsidRDefault="00761E2E" w:rsidP="002E67CE">
      <w:pPr>
        <w:pStyle w:val="Heading3"/>
        <w:jc w:val="center"/>
        <w:rPr>
          <w:lang w:val="cy-GB"/>
        </w:rPr>
      </w:pPr>
      <w:r>
        <w:rPr>
          <w:lang w:val="cy-GB"/>
        </w:rPr>
        <w:t>THIS SHEET MUST BE THE FIRST PAGE OF THE ASSIGNMENT YOU ARE SUBMITTING  (DO NOT SEND AS A SEPARATE FILE)</w:t>
      </w:r>
    </w:p>
    <w:p w14:paraId="05417ED0" w14:textId="77777777" w:rsidR="00761E2E" w:rsidRDefault="00761E2E"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61E2E" w:rsidRPr="00230F35" w14:paraId="79DABEAE" w14:textId="77777777" w:rsidTr="00A745B6">
        <w:trPr>
          <w:trHeight w:val="614"/>
        </w:trPr>
        <w:tc>
          <w:tcPr>
            <w:tcW w:w="8856" w:type="dxa"/>
            <w:gridSpan w:val="5"/>
          </w:tcPr>
          <w:p w14:paraId="3CAAA723" w14:textId="77777777" w:rsidR="00761E2E" w:rsidRPr="00230F35" w:rsidRDefault="00761E2E"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61E2E" w:rsidRPr="00230F35" w14:paraId="68CBD288" w14:textId="77777777" w:rsidTr="00A745B6">
        <w:trPr>
          <w:trHeight w:val="718"/>
        </w:trPr>
        <w:tc>
          <w:tcPr>
            <w:tcW w:w="8856" w:type="dxa"/>
            <w:gridSpan w:val="5"/>
          </w:tcPr>
          <w:p w14:paraId="57D218AA" w14:textId="63EA7929" w:rsidR="00761E2E" w:rsidRDefault="00761E2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India Sweeting</w:t>
            </w:r>
          </w:p>
          <w:p w14:paraId="32090A8D" w14:textId="77777777" w:rsidR="00761E2E" w:rsidRPr="00230F35" w:rsidRDefault="00761E2E" w:rsidP="002F467C">
            <w:pPr>
              <w:pStyle w:val="NormalWeb"/>
              <w:spacing w:before="0" w:beforeAutospacing="0" w:after="0" w:afterAutospacing="0"/>
              <w:ind w:right="34"/>
              <w:rPr>
                <w:rFonts w:ascii="Arial" w:hAnsi="Arial" w:cs="Arial"/>
                <w:sz w:val="22"/>
                <w:szCs w:val="22"/>
              </w:rPr>
            </w:pPr>
          </w:p>
          <w:p w14:paraId="1FE68011" w14:textId="2E423B7C" w:rsidR="00761E2E" w:rsidRPr="00230F35" w:rsidRDefault="00761E2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1803400@student.uwtsd.ac.uk</w:t>
            </w:r>
          </w:p>
        </w:tc>
      </w:tr>
      <w:tr w:rsidR="00761E2E" w:rsidRPr="00230F35" w14:paraId="4345192D" w14:textId="77777777" w:rsidTr="00A745B6">
        <w:trPr>
          <w:trHeight w:val="849"/>
        </w:trPr>
        <w:tc>
          <w:tcPr>
            <w:tcW w:w="4788" w:type="dxa"/>
          </w:tcPr>
          <w:p w14:paraId="6E589ABF" w14:textId="29394660" w:rsidR="00761E2E" w:rsidRPr="00230F35" w:rsidRDefault="00761E2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CC40FA">
              <w:rPr>
                <w:rFonts w:ascii="Arial" w:hAnsi="Arial" w:cs="Arial"/>
                <w:sz w:val="22"/>
                <w:szCs w:val="22"/>
              </w:rPr>
              <w:t xml:space="preserve"> </w:t>
            </w:r>
            <w:r w:rsidR="00CC40FA" w:rsidRPr="00CC40FA">
              <w:rPr>
                <w:rFonts w:ascii="Arial" w:hAnsi="Arial" w:cs="Arial"/>
                <w:sz w:val="22"/>
                <w:szCs w:val="22"/>
              </w:rPr>
              <w:t>HPCA7015</w:t>
            </w:r>
          </w:p>
          <w:p w14:paraId="58358E71" w14:textId="77777777" w:rsidR="00761E2E" w:rsidRPr="00230F35" w:rsidRDefault="00761E2E" w:rsidP="002F467C">
            <w:pPr>
              <w:pStyle w:val="NormalWeb"/>
              <w:spacing w:before="0" w:beforeAutospacing="0" w:after="0" w:afterAutospacing="0"/>
              <w:ind w:right="34"/>
              <w:rPr>
                <w:rFonts w:ascii="Arial" w:hAnsi="Arial" w:cs="Arial"/>
                <w:sz w:val="22"/>
                <w:szCs w:val="22"/>
              </w:rPr>
            </w:pPr>
          </w:p>
          <w:p w14:paraId="19A66509" w14:textId="088AB2F7" w:rsidR="00761E2E" w:rsidRDefault="00761E2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CC40FA">
              <w:rPr>
                <w:rFonts w:ascii="Arial" w:hAnsi="Arial" w:cs="Arial"/>
                <w:sz w:val="22"/>
                <w:szCs w:val="22"/>
              </w:rPr>
              <w:t xml:space="preserve"> </w:t>
            </w:r>
            <w:r w:rsidR="00CC40FA" w:rsidRPr="00CC40FA">
              <w:rPr>
                <w:rFonts w:ascii="Arial" w:hAnsi="Arial" w:cs="Arial"/>
                <w:sz w:val="22"/>
                <w:szCs w:val="22"/>
              </w:rPr>
              <w:t>Foundations in Cultural Astronomy and Astrology</w:t>
            </w:r>
          </w:p>
          <w:p w14:paraId="1F7ED7E6" w14:textId="77777777" w:rsidR="00761E2E" w:rsidRDefault="00761E2E" w:rsidP="002F467C">
            <w:pPr>
              <w:pStyle w:val="NormalWeb"/>
              <w:spacing w:before="0" w:beforeAutospacing="0" w:after="0" w:afterAutospacing="0"/>
              <w:ind w:right="34"/>
              <w:rPr>
                <w:rFonts w:ascii="Arial" w:hAnsi="Arial" w:cs="Arial"/>
                <w:sz w:val="22"/>
                <w:szCs w:val="22"/>
              </w:rPr>
            </w:pPr>
          </w:p>
          <w:p w14:paraId="602D4CEC" w14:textId="77777777" w:rsidR="00761E2E" w:rsidRPr="00230F35" w:rsidRDefault="00761E2E" w:rsidP="002F467C">
            <w:pPr>
              <w:pStyle w:val="NormalWeb"/>
              <w:spacing w:before="0" w:beforeAutospacing="0" w:after="0" w:afterAutospacing="0"/>
              <w:ind w:right="34"/>
              <w:rPr>
                <w:rFonts w:ascii="Arial" w:hAnsi="Arial" w:cs="Arial"/>
                <w:sz w:val="22"/>
                <w:szCs w:val="22"/>
              </w:rPr>
            </w:pPr>
          </w:p>
        </w:tc>
        <w:tc>
          <w:tcPr>
            <w:tcW w:w="2266" w:type="dxa"/>
            <w:gridSpan w:val="3"/>
          </w:tcPr>
          <w:p w14:paraId="44ECE6AE" w14:textId="0F8D1E75" w:rsidR="00761E2E" w:rsidRPr="00230F35" w:rsidRDefault="00761E2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CC40FA">
              <w:rPr>
                <w:rFonts w:ascii="Arial" w:hAnsi="Arial" w:cs="Arial"/>
                <w:sz w:val="22"/>
                <w:szCs w:val="22"/>
              </w:rPr>
              <w:t>1803400</w:t>
            </w:r>
          </w:p>
        </w:tc>
        <w:tc>
          <w:tcPr>
            <w:tcW w:w="1802" w:type="dxa"/>
          </w:tcPr>
          <w:p w14:paraId="4F5A7F18" w14:textId="77777777" w:rsidR="00761E2E" w:rsidRPr="00CC40FA" w:rsidRDefault="00761E2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w:t>
            </w:r>
            <w:r w:rsidRPr="00CC40FA">
              <w:rPr>
                <w:rFonts w:ascii="Arial" w:hAnsi="Arial" w:cs="Arial"/>
                <w:sz w:val="22"/>
                <w:szCs w:val="22"/>
              </w:rPr>
              <w:t>t needs:</w:t>
            </w:r>
          </w:p>
          <w:p w14:paraId="5DCAAC69" w14:textId="0707F18E" w:rsidR="00761E2E" w:rsidRPr="00230F35" w:rsidRDefault="00761E2E" w:rsidP="002F467C">
            <w:pPr>
              <w:pStyle w:val="NormalWeb"/>
              <w:spacing w:before="0" w:beforeAutospacing="0" w:after="0" w:afterAutospacing="0"/>
              <w:ind w:right="34"/>
              <w:rPr>
                <w:rFonts w:ascii="Arial" w:hAnsi="Arial" w:cs="Arial"/>
                <w:sz w:val="22"/>
                <w:szCs w:val="22"/>
              </w:rPr>
            </w:pPr>
            <w:r w:rsidRPr="00CC40FA">
              <w:rPr>
                <w:rFonts w:ascii="Arial" w:hAnsi="Arial" w:cs="Arial"/>
                <w:sz w:val="22"/>
                <w:szCs w:val="22"/>
              </w:rPr>
              <w:t>Yes</w:t>
            </w:r>
          </w:p>
        </w:tc>
      </w:tr>
      <w:tr w:rsidR="00761E2E" w:rsidRPr="00230F35" w14:paraId="3923C265" w14:textId="77777777" w:rsidTr="00A745B6">
        <w:trPr>
          <w:trHeight w:val="1139"/>
        </w:trPr>
        <w:tc>
          <w:tcPr>
            <w:tcW w:w="8856" w:type="dxa"/>
            <w:gridSpan w:val="5"/>
          </w:tcPr>
          <w:p w14:paraId="2F29553D" w14:textId="5FB7CCF1" w:rsidR="00CC40FA" w:rsidRDefault="00761E2E" w:rsidP="00CC40FA">
            <w:pPr>
              <w:pStyle w:val="NormalWeb"/>
              <w:tabs>
                <w:tab w:val="left" w:pos="3047"/>
              </w:tabs>
              <w:ind w:right="34"/>
              <w:rPr>
                <w:rFonts w:ascii="Arial" w:hAnsi="Arial" w:cs="Arial"/>
                <w:sz w:val="22"/>
                <w:szCs w:val="22"/>
              </w:rPr>
            </w:pPr>
            <w:r w:rsidRPr="00230F35">
              <w:rPr>
                <w:rFonts w:ascii="Arial" w:hAnsi="Arial" w:cs="Arial"/>
                <w:sz w:val="22"/>
                <w:szCs w:val="22"/>
              </w:rPr>
              <w:t>Assignment title:</w:t>
            </w:r>
            <w:r w:rsidR="00CC40FA">
              <w:rPr>
                <w:rFonts w:ascii="Arial" w:hAnsi="Arial" w:cs="Arial"/>
                <w:sz w:val="22"/>
                <w:szCs w:val="22"/>
              </w:rPr>
              <w:t xml:space="preserve"> </w:t>
            </w:r>
            <w:r w:rsidR="00CC40FA" w:rsidRPr="00CC40FA">
              <w:rPr>
                <w:rFonts w:ascii="Arial" w:hAnsi="Arial" w:cs="Arial"/>
                <w:sz w:val="22"/>
                <w:szCs w:val="22"/>
              </w:rPr>
              <w:t>2000-word</w:t>
            </w:r>
            <w:r w:rsidR="00CC40FA" w:rsidRPr="00CC40FA">
              <w:rPr>
                <w:rFonts w:ascii="Arial" w:hAnsi="Arial" w:cs="Arial"/>
                <w:sz w:val="22"/>
                <w:szCs w:val="22"/>
              </w:rPr>
              <w:t xml:space="preserve"> essay on a topic in</w:t>
            </w:r>
            <w:r w:rsidR="00CC40FA">
              <w:rPr>
                <w:rFonts w:ascii="Arial" w:hAnsi="Arial" w:cs="Arial"/>
                <w:sz w:val="22"/>
                <w:szCs w:val="22"/>
              </w:rPr>
              <w:t xml:space="preserve"> </w:t>
            </w:r>
            <w:r w:rsidR="00CC40FA" w:rsidRPr="00CC40FA">
              <w:rPr>
                <w:rFonts w:ascii="Arial" w:hAnsi="Arial" w:cs="Arial"/>
                <w:sz w:val="22"/>
                <w:szCs w:val="22"/>
              </w:rPr>
              <w:t>the subject area</w:t>
            </w:r>
          </w:p>
          <w:p w14:paraId="2FC524DB" w14:textId="3888AA70" w:rsidR="00761E2E" w:rsidRPr="00230F35" w:rsidRDefault="00761E2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CC40FA">
              <w:t xml:space="preserve"> </w:t>
            </w:r>
            <w:r w:rsidR="00CC40FA" w:rsidRPr="00CC40FA">
              <w:rPr>
                <w:rFonts w:ascii="Arial" w:hAnsi="Arial" w:cs="Arial"/>
                <w:sz w:val="22"/>
                <w:szCs w:val="22"/>
              </w:rPr>
              <w:t>1 December 2022</w:t>
            </w:r>
            <w:r w:rsidR="00CC40FA">
              <w:rPr>
                <w:rFonts w:ascii="Arial" w:hAnsi="Arial" w:cs="Arial"/>
                <w:sz w:val="22"/>
                <w:szCs w:val="22"/>
              </w:rPr>
              <w:t xml:space="preserve"> (differentiated to 8 Dec 2022)</w:t>
            </w:r>
          </w:p>
        </w:tc>
      </w:tr>
      <w:tr w:rsidR="00761E2E" w:rsidRPr="00230F35" w14:paraId="1D4EAD97" w14:textId="77777777" w:rsidTr="00A745B6">
        <w:trPr>
          <w:trHeight w:val="978"/>
        </w:trPr>
        <w:tc>
          <w:tcPr>
            <w:tcW w:w="8856" w:type="dxa"/>
            <w:gridSpan w:val="5"/>
            <w:tcBorders>
              <w:bottom w:val="single" w:sz="4" w:space="0" w:color="000000"/>
            </w:tcBorders>
          </w:tcPr>
          <w:p w14:paraId="2BE5788E" w14:textId="666EEA05" w:rsidR="00761E2E" w:rsidRPr="00230F35" w:rsidRDefault="00761E2E" w:rsidP="00230F35">
            <w:r w:rsidRPr="00230F35">
              <w:t>This assignment is for the       1</w:t>
            </w:r>
            <w:r w:rsidRPr="00230F35">
              <w:rPr>
                <w:vertAlign w:val="superscript"/>
              </w:rPr>
              <w:t xml:space="preserve">st </w:t>
            </w:r>
            <w:r w:rsidRPr="00230F35">
              <w:fldChar w:fldCharType="begin">
                <w:ffData>
                  <w:name w:val="Check13"/>
                  <w:enabled/>
                  <w:calcOnExit w:val="0"/>
                  <w:checkBox>
                    <w:sizeAuto/>
                    <w:default w:val="0"/>
                  </w:checkBox>
                </w:ffData>
              </w:fldChar>
            </w:r>
            <w:bookmarkStart w:id="0" w:name="Check13"/>
            <w:r w:rsidRPr="00230F35">
              <w:instrText xml:space="preserve"> FORMCHECKBOX </w:instrText>
            </w:r>
            <w:r w:rsidRPr="00230F35">
              <w:fldChar w:fldCharType="end"/>
            </w:r>
            <w:bookmarkEnd w:id="0"/>
            <w:r w:rsidRPr="00230F35">
              <w:t xml:space="preserve">    2</w:t>
            </w:r>
            <w:r w:rsidRPr="00230F35">
              <w:rPr>
                <w:vertAlign w:val="superscript"/>
              </w:rPr>
              <w:t>nd</w:t>
            </w:r>
            <w:r w:rsidRPr="00230F35">
              <w:t xml:space="preserve">  </w:t>
            </w:r>
            <w:r w:rsidR="00CC40FA">
              <w:fldChar w:fldCharType="begin">
                <w:ffData>
                  <w:name w:val="Check14"/>
                  <w:enabled/>
                  <w:calcOnExit w:val="0"/>
                  <w:checkBox>
                    <w:sizeAuto/>
                    <w:default w:val="1"/>
                  </w:checkBox>
                </w:ffData>
              </w:fldChar>
            </w:r>
            <w:bookmarkStart w:id="1" w:name="Check14"/>
            <w:r w:rsidR="00CC40FA">
              <w:instrText xml:space="preserve"> FORMCHECKBOX </w:instrText>
            </w:r>
            <w:r w:rsidR="00CC40FA">
              <w:fldChar w:fldCharType="end"/>
            </w:r>
            <w:bookmarkEnd w:id="1"/>
            <w:r w:rsidRPr="00230F35">
              <w:t xml:space="preserve">     3</w:t>
            </w:r>
            <w:r w:rsidRPr="00230F35">
              <w:rPr>
                <w:vertAlign w:val="superscript"/>
              </w:rPr>
              <w:t>rd</w:t>
            </w:r>
            <w:r w:rsidRPr="00230F35">
              <w:t xml:space="preserve">  </w:t>
            </w:r>
            <w:r w:rsidRPr="00230F35">
              <w:fldChar w:fldCharType="begin">
                <w:ffData>
                  <w:name w:val="Check15"/>
                  <w:enabled/>
                  <w:calcOnExit w:val="0"/>
                  <w:checkBox>
                    <w:sizeAuto/>
                    <w:default w:val="0"/>
                  </w:checkBox>
                </w:ffData>
              </w:fldChar>
            </w:r>
            <w:bookmarkStart w:id="2" w:name="Check15"/>
            <w:r w:rsidRPr="00230F35">
              <w:instrText xml:space="preserve"> FORMCHECKBOX </w:instrText>
            </w:r>
            <w:r w:rsidRPr="00230F35">
              <w:fldChar w:fldCharType="end"/>
            </w:r>
            <w:bookmarkEnd w:id="2"/>
            <w:r w:rsidRPr="00230F35">
              <w:t xml:space="preserve">      4</w:t>
            </w:r>
            <w:r w:rsidRPr="00230F35">
              <w:rPr>
                <w:vertAlign w:val="superscript"/>
              </w:rPr>
              <w:t>th</w:t>
            </w:r>
            <w:r w:rsidRPr="00230F35">
              <w:t xml:space="preserve"> </w:t>
            </w:r>
            <w:r w:rsidRPr="00230F35">
              <w:fldChar w:fldCharType="begin">
                <w:ffData>
                  <w:name w:val="Check16"/>
                  <w:enabled/>
                  <w:calcOnExit w:val="0"/>
                  <w:checkBox>
                    <w:sizeAuto/>
                    <w:default w:val="0"/>
                  </w:checkBox>
                </w:ffData>
              </w:fldChar>
            </w:r>
            <w:bookmarkStart w:id="3" w:name="Check16"/>
            <w:r w:rsidRPr="00230F35">
              <w:instrText xml:space="preserve"> FORMCHECKBOX </w:instrText>
            </w:r>
            <w:r w:rsidRPr="00230F35">
              <w:fldChar w:fldCharType="end"/>
            </w:r>
            <w:bookmarkEnd w:id="3"/>
            <w:r w:rsidRPr="00230F35">
              <w:t xml:space="preserve">      5</w:t>
            </w:r>
            <w:r w:rsidRPr="00230F35">
              <w:rPr>
                <w:vertAlign w:val="superscript"/>
              </w:rPr>
              <w:t>th</w:t>
            </w:r>
            <w:r w:rsidRPr="00230F35">
              <w:t xml:space="preserve"> </w:t>
            </w:r>
            <w:r w:rsidRPr="00230F35">
              <w:fldChar w:fldCharType="begin">
                <w:ffData>
                  <w:name w:val="Check17"/>
                  <w:enabled/>
                  <w:calcOnExit w:val="0"/>
                  <w:checkBox>
                    <w:sizeAuto/>
                    <w:default w:val="0"/>
                  </w:checkBox>
                </w:ffData>
              </w:fldChar>
            </w:r>
            <w:bookmarkStart w:id="4" w:name="Check17"/>
            <w:r w:rsidRPr="00230F35">
              <w:instrText xml:space="preserve"> FORMCHECKBOX </w:instrText>
            </w:r>
            <w:r w:rsidRPr="00230F35">
              <w:fldChar w:fldCharType="end"/>
            </w:r>
            <w:bookmarkEnd w:id="4"/>
            <w:r w:rsidRPr="00230F35">
              <w:t xml:space="preserve">      6</w:t>
            </w:r>
            <w:r w:rsidRPr="00230F35">
              <w:rPr>
                <w:vertAlign w:val="superscript"/>
              </w:rPr>
              <w:t>th</w:t>
            </w:r>
            <w:r w:rsidRPr="00230F35">
              <w:t xml:space="preserve"> </w:t>
            </w:r>
            <w:r w:rsidRPr="00230F35">
              <w:fldChar w:fldCharType="begin">
                <w:ffData>
                  <w:name w:val="Check18"/>
                  <w:enabled/>
                  <w:calcOnExit w:val="0"/>
                  <w:checkBox>
                    <w:sizeAuto/>
                    <w:default w:val="0"/>
                  </w:checkBox>
                </w:ffData>
              </w:fldChar>
            </w:r>
            <w:bookmarkStart w:id="5" w:name="Check18"/>
            <w:r w:rsidRPr="00230F35">
              <w:instrText xml:space="preserve"> FORMCHECKBOX </w:instrText>
            </w:r>
            <w:r w:rsidRPr="00230F35">
              <w:fldChar w:fldCharType="end"/>
            </w:r>
            <w:bookmarkEnd w:id="5"/>
            <w:r w:rsidRPr="00230F35">
              <w:rPr>
                <w:b/>
              </w:rPr>
              <w:t xml:space="preserve">   </w:t>
            </w:r>
            <w:r w:rsidRPr="00230F35">
              <w:t>module of the degre</w:t>
            </w:r>
            <w:r>
              <w:t>e</w:t>
            </w:r>
          </w:p>
        </w:tc>
      </w:tr>
      <w:tr w:rsidR="00761E2E" w:rsidRPr="00230F35" w14:paraId="43A8C997" w14:textId="77777777" w:rsidTr="00A745B6">
        <w:trPr>
          <w:trHeight w:val="978"/>
        </w:trPr>
        <w:tc>
          <w:tcPr>
            <w:tcW w:w="8856" w:type="dxa"/>
            <w:gridSpan w:val="5"/>
            <w:shd w:val="clear" w:color="auto" w:fill="D9D9D9"/>
          </w:tcPr>
          <w:p w14:paraId="6E6630B3" w14:textId="77777777" w:rsidR="00761E2E" w:rsidRPr="00230F35" w:rsidRDefault="00761E2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16741BB" w14:textId="77777777" w:rsidR="00761E2E" w:rsidRDefault="00761E2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515182C4" w14:textId="54496FC1" w:rsidR="00761E2E" w:rsidRDefault="00761E2E"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r w:rsidR="00CC40FA" w:rsidRPr="005979EE">
              <w:rPr>
                <w:rFonts w:ascii="Calibri" w:hAnsi="Calibri" w:cs="Tahoma"/>
                <w:b/>
                <w:sz w:val="24"/>
                <w:szCs w:val="24"/>
              </w:rPr>
              <w:t>submission:</w:t>
            </w:r>
            <w:r w:rsidR="00CC40FA">
              <w:rPr>
                <w:rFonts w:ascii="Calibri" w:hAnsi="Calibri" w:cs="Tahoma"/>
                <w:b/>
                <w:sz w:val="24"/>
                <w:szCs w:val="24"/>
              </w:rPr>
              <w:t xml:space="preserve"> if</w:t>
            </w:r>
            <w:r>
              <w:rPr>
                <w:rFonts w:ascii="Calibri" w:hAnsi="Calibri" w:cs="Tahoma"/>
                <w:b/>
                <w:sz w:val="24"/>
                <w:szCs w:val="24"/>
              </w:rPr>
              <w:t xml:space="preserve"> you are submitting this form via email, please tick this box </w:t>
            </w:r>
            <w:r w:rsidR="00CC40FA">
              <w:fldChar w:fldCharType="begin">
                <w:ffData>
                  <w:name w:val="Check14"/>
                  <w:enabled/>
                  <w:calcOnExit w:val="0"/>
                  <w:checkBox>
                    <w:sizeAuto/>
                    <w:default w:val="1"/>
                  </w:checkBox>
                </w:ffData>
              </w:fldChar>
            </w:r>
            <w:r w:rsidR="00CC40FA">
              <w:instrText xml:space="preserve"> FORMCHECKBOX </w:instrText>
            </w:r>
            <w:r w:rsidR="00CC40FA">
              <w:fldChar w:fldCharType="end"/>
            </w:r>
          </w:p>
          <w:p w14:paraId="3F127F41" w14:textId="77777777" w:rsidR="00761E2E" w:rsidRPr="00230F35" w:rsidRDefault="00761E2E"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761E2E" w:rsidRPr="00230F35" w14:paraId="4122DD8D" w14:textId="77777777" w:rsidTr="00A745B6">
        <w:trPr>
          <w:trHeight w:val="3972"/>
        </w:trPr>
        <w:tc>
          <w:tcPr>
            <w:tcW w:w="8856" w:type="dxa"/>
            <w:gridSpan w:val="5"/>
          </w:tcPr>
          <w:p w14:paraId="3D4A6BB0" w14:textId="77777777" w:rsidR="00761E2E" w:rsidRDefault="00761E2E" w:rsidP="00A745B6">
            <w:pPr>
              <w:rPr>
                <w:b/>
              </w:rPr>
            </w:pPr>
          </w:p>
          <w:p w14:paraId="6B1223DD" w14:textId="77777777" w:rsidR="00761E2E" w:rsidRPr="00116CE6" w:rsidRDefault="00761E2E" w:rsidP="00A745B6">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61E2E" w:rsidRPr="00116CE6" w14:paraId="27FBF08F" w14:textId="77777777" w:rsidTr="00022345">
              <w:tc>
                <w:tcPr>
                  <w:tcW w:w="6970" w:type="dxa"/>
                </w:tcPr>
                <w:p w14:paraId="31F6C8D3" w14:textId="77777777" w:rsidR="00761E2E" w:rsidRPr="00116CE6" w:rsidRDefault="00761E2E" w:rsidP="009C1A08">
                  <w:pPr>
                    <w:rPr>
                      <w:sz w:val="20"/>
                      <w:szCs w:val="20"/>
                    </w:rPr>
                  </w:pPr>
                </w:p>
                <w:p w14:paraId="63832416" w14:textId="77777777" w:rsidR="00761E2E" w:rsidRPr="00116CE6" w:rsidRDefault="00761E2E" w:rsidP="009C1A08">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390C4D3D" w14:textId="77777777" w:rsidR="00761E2E" w:rsidRPr="00116CE6" w:rsidRDefault="00761E2E" w:rsidP="009C1A08">
                  <w:pPr>
                    <w:rPr>
                      <w:sz w:val="20"/>
                      <w:szCs w:val="20"/>
                    </w:rPr>
                  </w:pPr>
                </w:p>
              </w:tc>
            </w:tr>
            <w:tr w:rsidR="00761E2E" w:rsidRPr="00116CE6" w14:paraId="4B619C1D" w14:textId="77777777" w:rsidTr="00022345">
              <w:tc>
                <w:tcPr>
                  <w:tcW w:w="6970" w:type="dxa"/>
                </w:tcPr>
                <w:p w14:paraId="074857CC" w14:textId="77777777" w:rsidR="00761E2E" w:rsidRPr="00116CE6" w:rsidRDefault="00761E2E" w:rsidP="009C1A08">
                  <w:pPr>
                    <w:rPr>
                      <w:sz w:val="20"/>
                      <w:szCs w:val="20"/>
                    </w:rPr>
                  </w:pPr>
                </w:p>
                <w:p w14:paraId="7D5CE946" w14:textId="77777777" w:rsidR="00761E2E" w:rsidRPr="00116CE6" w:rsidRDefault="00761E2E" w:rsidP="009C1A08">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706E1D29" w14:textId="77777777" w:rsidR="00761E2E" w:rsidRPr="00116CE6" w:rsidRDefault="00761E2E" w:rsidP="009C1A08">
                  <w:pPr>
                    <w:rPr>
                      <w:sz w:val="20"/>
                      <w:szCs w:val="20"/>
                    </w:rPr>
                  </w:pPr>
                </w:p>
              </w:tc>
            </w:tr>
            <w:tr w:rsidR="00761E2E" w:rsidRPr="00116CE6" w14:paraId="6C47A77E" w14:textId="77777777" w:rsidTr="00022345">
              <w:tc>
                <w:tcPr>
                  <w:tcW w:w="6970" w:type="dxa"/>
                </w:tcPr>
                <w:p w14:paraId="7AAEE5DD" w14:textId="77777777" w:rsidR="00761E2E" w:rsidRPr="00116CE6" w:rsidRDefault="00761E2E" w:rsidP="009C1A08">
                  <w:pPr>
                    <w:rPr>
                      <w:sz w:val="20"/>
                      <w:szCs w:val="20"/>
                    </w:rPr>
                  </w:pPr>
                </w:p>
                <w:p w14:paraId="22B54D9E" w14:textId="77777777" w:rsidR="00761E2E" w:rsidRPr="00116CE6" w:rsidRDefault="00761E2E" w:rsidP="009C1A08">
                  <w:pPr>
                    <w:rPr>
                      <w:sz w:val="20"/>
                      <w:szCs w:val="20"/>
                    </w:rPr>
                  </w:pPr>
                  <w:r w:rsidRPr="00116CE6">
                    <w:rPr>
                      <w:sz w:val="20"/>
                      <w:szCs w:val="20"/>
                    </w:rPr>
                    <w:t>External Examiner’s mark</w:t>
                  </w:r>
                  <w:r>
                    <w:rPr>
                      <w:sz w:val="20"/>
                      <w:szCs w:val="20"/>
                    </w:rPr>
                    <w:t xml:space="preserve"> (if relevant)</w:t>
                  </w:r>
                </w:p>
              </w:tc>
              <w:tc>
                <w:tcPr>
                  <w:tcW w:w="1660" w:type="dxa"/>
                </w:tcPr>
                <w:p w14:paraId="206F6378" w14:textId="77777777" w:rsidR="00761E2E" w:rsidRPr="00116CE6" w:rsidRDefault="00761E2E" w:rsidP="009C1A08">
                  <w:pPr>
                    <w:rPr>
                      <w:sz w:val="20"/>
                      <w:szCs w:val="20"/>
                    </w:rPr>
                  </w:pPr>
                </w:p>
              </w:tc>
            </w:tr>
            <w:tr w:rsidR="00761E2E" w:rsidRPr="00116CE6" w14:paraId="0EC53319" w14:textId="77777777" w:rsidTr="00022345">
              <w:tc>
                <w:tcPr>
                  <w:tcW w:w="6970" w:type="dxa"/>
                </w:tcPr>
                <w:p w14:paraId="13F16FC2" w14:textId="77777777" w:rsidR="00761E2E" w:rsidRDefault="00761E2E" w:rsidP="009C1A08">
                  <w:pPr>
                    <w:rPr>
                      <w:sz w:val="20"/>
                      <w:szCs w:val="20"/>
                    </w:rPr>
                  </w:pPr>
                </w:p>
                <w:p w14:paraId="30591701" w14:textId="77777777" w:rsidR="00761E2E" w:rsidRPr="00022345" w:rsidRDefault="00761E2E" w:rsidP="009C1A08">
                  <w:pPr>
                    <w:rPr>
                      <w:b/>
                      <w:sz w:val="20"/>
                      <w:szCs w:val="20"/>
                    </w:rPr>
                  </w:pPr>
                  <w:r w:rsidRPr="00022345">
                    <w:rPr>
                      <w:b/>
                      <w:sz w:val="20"/>
                      <w:szCs w:val="20"/>
                    </w:rPr>
                    <w:t>Final Mark</w:t>
                  </w:r>
                </w:p>
                <w:p w14:paraId="64D45DAC" w14:textId="77777777" w:rsidR="00761E2E" w:rsidRPr="00116CE6" w:rsidRDefault="00761E2E" w:rsidP="009C1A08">
                  <w:pPr>
                    <w:rPr>
                      <w:sz w:val="20"/>
                      <w:szCs w:val="20"/>
                    </w:rPr>
                  </w:pPr>
                </w:p>
              </w:tc>
              <w:tc>
                <w:tcPr>
                  <w:tcW w:w="1660" w:type="dxa"/>
                </w:tcPr>
                <w:p w14:paraId="421A874B" w14:textId="77777777" w:rsidR="00761E2E" w:rsidRPr="00116CE6" w:rsidRDefault="00761E2E" w:rsidP="009C1A08">
                  <w:pPr>
                    <w:rPr>
                      <w:sz w:val="20"/>
                      <w:szCs w:val="20"/>
                    </w:rPr>
                  </w:pPr>
                </w:p>
              </w:tc>
            </w:tr>
          </w:tbl>
          <w:p w14:paraId="3E45FA4F" w14:textId="77777777" w:rsidR="00761E2E" w:rsidRDefault="00761E2E" w:rsidP="00A745B6">
            <w:pPr>
              <w:pStyle w:val="NormalWeb"/>
              <w:spacing w:before="0" w:beforeAutospacing="0" w:after="0" w:afterAutospacing="0"/>
              <w:ind w:left="142" w:right="34"/>
              <w:rPr>
                <w:rFonts w:ascii="Arial" w:hAnsi="Arial" w:cs="Arial"/>
                <w:b/>
                <w:sz w:val="22"/>
                <w:szCs w:val="22"/>
              </w:rPr>
            </w:pPr>
          </w:p>
          <w:p w14:paraId="1DA07355" w14:textId="77777777" w:rsidR="00761E2E" w:rsidRPr="00230F35" w:rsidRDefault="00761E2E"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F75340F" w14:textId="77777777" w:rsidR="00761E2E" w:rsidRDefault="00761E2E" w:rsidP="002F467C">
            <w:pPr>
              <w:pStyle w:val="NormalWeb"/>
              <w:spacing w:before="0" w:beforeAutospacing="0" w:after="0" w:afterAutospacing="0"/>
              <w:rPr>
                <w:rFonts w:ascii="Arial" w:hAnsi="Arial" w:cs="Arial"/>
                <w:b/>
                <w:sz w:val="22"/>
                <w:szCs w:val="22"/>
              </w:rPr>
            </w:pPr>
          </w:p>
          <w:p w14:paraId="3E5AF56C" w14:textId="77777777" w:rsidR="00761E2E" w:rsidRDefault="00761E2E" w:rsidP="002F467C">
            <w:pPr>
              <w:pStyle w:val="NormalWeb"/>
              <w:spacing w:before="0" w:beforeAutospacing="0" w:after="0" w:afterAutospacing="0"/>
              <w:rPr>
                <w:rFonts w:ascii="Arial" w:hAnsi="Arial" w:cs="Arial"/>
                <w:b/>
                <w:sz w:val="22"/>
                <w:szCs w:val="22"/>
              </w:rPr>
            </w:pPr>
          </w:p>
          <w:p w14:paraId="4285FF22" w14:textId="77777777" w:rsidR="00761E2E" w:rsidRDefault="00761E2E" w:rsidP="002F467C">
            <w:pPr>
              <w:pStyle w:val="NormalWeb"/>
              <w:spacing w:before="0" w:beforeAutospacing="0" w:after="0" w:afterAutospacing="0"/>
              <w:rPr>
                <w:rFonts w:ascii="Arial" w:hAnsi="Arial" w:cs="Arial"/>
                <w:b/>
                <w:sz w:val="22"/>
                <w:szCs w:val="22"/>
              </w:rPr>
            </w:pPr>
          </w:p>
          <w:p w14:paraId="29999F75" w14:textId="77777777" w:rsidR="00761E2E" w:rsidRDefault="00761E2E" w:rsidP="002F467C">
            <w:pPr>
              <w:pStyle w:val="NormalWeb"/>
              <w:spacing w:before="0" w:beforeAutospacing="0" w:after="0" w:afterAutospacing="0"/>
              <w:rPr>
                <w:rFonts w:ascii="Arial" w:hAnsi="Arial" w:cs="Arial"/>
                <w:b/>
                <w:sz w:val="22"/>
                <w:szCs w:val="22"/>
              </w:rPr>
            </w:pPr>
          </w:p>
          <w:p w14:paraId="058718C2" w14:textId="77777777" w:rsidR="00761E2E" w:rsidRDefault="00761E2E" w:rsidP="002F467C">
            <w:pPr>
              <w:pStyle w:val="NormalWeb"/>
              <w:spacing w:before="0" w:beforeAutospacing="0" w:after="0" w:afterAutospacing="0"/>
              <w:rPr>
                <w:rFonts w:ascii="Arial" w:hAnsi="Arial" w:cs="Arial"/>
                <w:b/>
                <w:sz w:val="22"/>
                <w:szCs w:val="22"/>
              </w:rPr>
            </w:pPr>
          </w:p>
          <w:p w14:paraId="2ACD885E" w14:textId="77777777" w:rsidR="00761E2E" w:rsidRPr="00230F35" w:rsidRDefault="00761E2E"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9F55956" w14:textId="77777777" w:rsidR="00761E2E" w:rsidRDefault="00761E2E" w:rsidP="000435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4711441" w14:textId="77777777" w:rsidR="00761E2E" w:rsidRPr="00001C3B" w:rsidRDefault="00761E2E" w:rsidP="00043549">
            <w:pPr>
              <w:pStyle w:val="NormalWeb"/>
              <w:rPr>
                <w:rFonts w:ascii="Arial" w:hAnsi="Arial" w:cs="Arial"/>
                <w:sz w:val="22"/>
                <w:szCs w:val="22"/>
              </w:rPr>
            </w:pPr>
          </w:p>
        </w:tc>
      </w:tr>
      <w:tr w:rsidR="00761E2E" w:rsidRPr="00230F35" w14:paraId="0442EA9F" w14:textId="77777777" w:rsidTr="00A745B6">
        <w:trPr>
          <w:trHeight w:val="492"/>
        </w:trPr>
        <w:tc>
          <w:tcPr>
            <w:tcW w:w="6768" w:type="dxa"/>
            <w:gridSpan w:val="3"/>
          </w:tcPr>
          <w:p w14:paraId="719A3F30" w14:textId="77777777" w:rsidR="00761E2E" w:rsidRPr="00230F35" w:rsidRDefault="00761E2E" w:rsidP="00230F3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57713E4" w14:textId="77777777" w:rsidR="00761E2E" w:rsidRPr="00230F35" w:rsidRDefault="00761E2E" w:rsidP="002F46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761E2E" w:rsidRPr="002F467C" w14:paraId="02B7C5E4" w14:textId="77777777" w:rsidTr="002F467C">
        <w:tc>
          <w:tcPr>
            <w:tcW w:w="8856" w:type="dxa"/>
            <w:gridSpan w:val="5"/>
          </w:tcPr>
          <w:p w14:paraId="162F929B" w14:textId="77777777" w:rsidR="00761E2E" w:rsidRPr="00230F35" w:rsidRDefault="00761E2E" w:rsidP="002F467C">
            <w:pPr>
              <w:pStyle w:val="NormalWeb"/>
              <w:spacing w:before="0" w:beforeAutospacing="0" w:after="0" w:afterAutospacing="0"/>
              <w:ind w:right="-334"/>
              <w:rPr>
                <w:rFonts w:ascii="Arial" w:hAnsi="Arial" w:cs="Arial"/>
                <w:bCs/>
                <w:i/>
                <w:sz w:val="22"/>
                <w:szCs w:val="22"/>
              </w:rPr>
            </w:pPr>
          </w:p>
          <w:p w14:paraId="3A180AAB" w14:textId="77777777" w:rsidR="00761E2E" w:rsidRPr="00230F35" w:rsidRDefault="00761E2E"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75E0B1A" w14:textId="77777777" w:rsidR="00761E2E" w:rsidRPr="00230F35" w:rsidRDefault="00761E2E" w:rsidP="002F467C">
            <w:pPr>
              <w:pStyle w:val="NormalWeb"/>
              <w:spacing w:before="0" w:beforeAutospacing="0" w:after="0" w:afterAutospacing="0"/>
              <w:ind w:right="-334"/>
              <w:rPr>
                <w:rFonts w:ascii="Arial" w:hAnsi="Arial" w:cs="Arial"/>
                <w:b/>
                <w:bCs/>
                <w:sz w:val="22"/>
                <w:szCs w:val="22"/>
              </w:rPr>
            </w:pPr>
          </w:p>
          <w:p w14:paraId="7DDCBB22"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8040DA0"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6E8B79C8"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77CBD282"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6157B1F2"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7C528054"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04121A8B"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4590FC12"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66231381"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6AB03B50" w14:textId="77777777" w:rsidR="00761E2E" w:rsidRDefault="00761E2E" w:rsidP="002F467C">
            <w:pPr>
              <w:pStyle w:val="NormalWeb"/>
              <w:spacing w:before="0" w:beforeAutospacing="0" w:after="0" w:afterAutospacing="0"/>
              <w:ind w:right="-334"/>
              <w:rPr>
                <w:rFonts w:ascii="Arial" w:hAnsi="Arial" w:cs="Arial"/>
                <w:bCs/>
                <w:sz w:val="22"/>
                <w:szCs w:val="22"/>
              </w:rPr>
            </w:pPr>
          </w:p>
          <w:p w14:paraId="05E06B25"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0D7B2051"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47938DE8"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tc>
      </w:tr>
      <w:tr w:rsidR="00761E2E" w:rsidRPr="002F467C" w14:paraId="4FD1AF92" w14:textId="77777777" w:rsidTr="008D674F">
        <w:trPr>
          <w:trHeight w:val="720"/>
        </w:trPr>
        <w:tc>
          <w:tcPr>
            <w:tcW w:w="5211" w:type="dxa"/>
            <w:gridSpan w:val="2"/>
          </w:tcPr>
          <w:p w14:paraId="5F2F6FAD"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9DC345D"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61E2E" w:rsidRPr="002F467C" w14:paraId="26B8D826" w14:textId="77777777" w:rsidTr="009C1A08">
        <w:trPr>
          <w:trHeight w:val="720"/>
        </w:trPr>
        <w:tc>
          <w:tcPr>
            <w:tcW w:w="8856" w:type="dxa"/>
            <w:gridSpan w:val="5"/>
          </w:tcPr>
          <w:p w14:paraId="3A49616F" w14:textId="77777777" w:rsidR="00761E2E" w:rsidRPr="00B34964" w:rsidRDefault="00761E2E" w:rsidP="00230F35">
            <w:pPr>
              <w:rPr>
                <w:b/>
              </w:rPr>
            </w:pPr>
            <w:r w:rsidRPr="00B34964">
              <w:rPr>
                <w:b/>
              </w:rPr>
              <w:t>External Examiner’s comments (if relevant)</w:t>
            </w:r>
          </w:p>
          <w:p w14:paraId="2C2BC0A8"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258AC500"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57B44DEA"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3B1DFDB3"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089A80E4"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2A4F5B88"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41774CCB"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18C9E02A"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13A96BA0" w14:textId="77777777" w:rsidR="00761E2E" w:rsidRDefault="00761E2E" w:rsidP="002F467C">
            <w:pPr>
              <w:pStyle w:val="NormalWeb"/>
              <w:spacing w:before="0" w:beforeAutospacing="0" w:after="0" w:afterAutospacing="0"/>
              <w:ind w:right="-334"/>
              <w:rPr>
                <w:rFonts w:ascii="Arial" w:hAnsi="Arial" w:cs="Arial"/>
                <w:bCs/>
                <w:sz w:val="22"/>
                <w:szCs w:val="22"/>
              </w:rPr>
            </w:pPr>
          </w:p>
          <w:p w14:paraId="65928DB9"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p w14:paraId="4253DFAD" w14:textId="77777777" w:rsidR="00761E2E" w:rsidRPr="00230F35" w:rsidRDefault="00761E2E" w:rsidP="002F467C">
            <w:pPr>
              <w:pStyle w:val="NormalWeb"/>
              <w:spacing w:before="0" w:beforeAutospacing="0" w:after="0" w:afterAutospacing="0"/>
              <w:ind w:right="-334"/>
              <w:rPr>
                <w:rFonts w:ascii="Arial" w:hAnsi="Arial" w:cs="Arial"/>
                <w:bCs/>
                <w:sz w:val="22"/>
                <w:szCs w:val="22"/>
              </w:rPr>
            </w:pPr>
          </w:p>
        </w:tc>
      </w:tr>
      <w:tr w:rsidR="00761E2E" w:rsidRPr="002F467C" w14:paraId="6DF3232B" w14:textId="77777777" w:rsidTr="00230F35">
        <w:trPr>
          <w:trHeight w:val="720"/>
        </w:trPr>
        <w:tc>
          <w:tcPr>
            <w:tcW w:w="5211" w:type="dxa"/>
            <w:gridSpan w:val="2"/>
          </w:tcPr>
          <w:p w14:paraId="1C48FDA7" w14:textId="77777777" w:rsidR="00761E2E" w:rsidRPr="00230F35" w:rsidRDefault="00761E2E" w:rsidP="00230F35">
            <w:r w:rsidRPr="00230F35">
              <w:lastRenderedPageBreak/>
              <w:t>External Examiner’s Signature:</w:t>
            </w:r>
          </w:p>
        </w:tc>
        <w:tc>
          <w:tcPr>
            <w:tcW w:w="3645" w:type="dxa"/>
            <w:gridSpan w:val="3"/>
          </w:tcPr>
          <w:p w14:paraId="3737ACF6" w14:textId="77777777" w:rsidR="00761E2E" w:rsidRPr="00230F35" w:rsidRDefault="00761E2E" w:rsidP="00230F35">
            <w:r w:rsidRPr="00230F35">
              <w:t>Date:</w:t>
            </w:r>
          </w:p>
        </w:tc>
      </w:tr>
    </w:tbl>
    <w:p w14:paraId="2399259B" w14:textId="77777777" w:rsidR="00761E2E" w:rsidRPr="00D67BF8" w:rsidRDefault="00761E2E" w:rsidP="00FA07E9">
      <w:pPr>
        <w:pStyle w:val="NormalWeb"/>
        <w:spacing w:before="0" w:beforeAutospacing="0" w:after="0" w:afterAutospacing="0"/>
        <w:ind w:right="-334"/>
        <w:rPr>
          <w:rFonts w:ascii="Trebuchet MS" w:hAnsi="Trebuchet MS" w:cs="Tahoma"/>
          <w:bCs/>
          <w:sz w:val="24"/>
          <w:szCs w:val="24"/>
        </w:rPr>
      </w:pPr>
    </w:p>
    <w:p w14:paraId="40C9A26B" w14:textId="77777777" w:rsidR="00761E2E" w:rsidRDefault="00761E2E">
      <w:pP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br w:type="page"/>
      </w:r>
    </w:p>
    <w:p w14:paraId="5BB96363" w14:textId="77777777" w:rsidR="00FB587F" w:rsidRDefault="00FB587F">
      <w:pPr>
        <w:rPr>
          <w:rFonts w:ascii="Times New Roman" w:eastAsia="Times New Roman" w:hAnsi="Times New Roman" w:cs="Times New Roman"/>
          <w:b/>
          <w:sz w:val="24"/>
          <w:szCs w:val="24"/>
          <w:u w:val="single"/>
        </w:rPr>
        <w:sectPr w:rsidR="00FB587F" w:rsidSect="00761E2E">
          <w:headerReference w:type="default" r:id="rId7"/>
          <w:pgSz w:w="11909" w:h="16834"/>
          <w:pgMar w:top="1440" w:right="1440" w:bottom="1440" w:left="1440" w:header="720" w:footer="720" w:gutter="0"/>
          <w:pgNumType w:start="1"/>
          <w:cols w:space="720"/>
          <w:docGrid w:linePitch="299"/>
        </w:sectPr>
      </w:pPr>
    </w:p>
    <w:p w14:paraId="1F85B14E" w14:textId="77777777" w:rsidR="00FB587F" w:rsidRDefault="00FB587F">
      <w:pPr>
        <w:rPr>
          <w:rFonts w:ascii="Times New Roman" w:eastAsia="Times New Roman" w:hAnsi="Times New Roman" w:cs="Times New Roman"/>
          <w:b/>
          <w:sz w:val="24"/>
          <w:szCs w:val="24"/>
          <w:u w:val="single"/>
        </w:rPr>
      </w:pPr>
    </w:p>
    <w:p w14:paraId="00000001" w14:textId="306B4D6A" w:rsidR="008C4E09" w:rsidRDefault="00000000">
      <w:pP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Essay based on a Sky Journal</w:t>
      </w:r>
    </w:p>
    <w:p w14:paraId="60FAE889" w14:textId="77777777" w:rsidR="00CC40FA" w:rsidRDefault="00CC40FA">
      <w:pPr>
        <w:rPr>
          <w:rFonts w:ascii="Times New Roman" w:eastAsia="Times New Roman" w:hAnsi="Times New Roman" w:cs="Times New Roman"/>
          <w:b/>
          <w:sz w:val="24"/>
          <w:szCs w:val="24"/>
          <w:u w:val="single"/>
        </w:rPr>
      </w:pPr>
    </w:p>
    <w:p w14:paraId="00000002" w14:textId="77777777" w:rsidR="008C4E09" w:rsidRDefault="00000000">
      <w:pPr>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Enchanting Life through the Sunset</w:t>
      </w:r>
    </w:p>
    <w:p w14:paraId="00000003" w14:textId="77777777" w:rsidR="008C4E09" w:rsidRDefault="008C4E09">
      <w:pPr>
        <w:rPr>
          <w:rFonts w:ascii="Times New Roman" w:eastAsia="Times New Roman" w:hAnsi="Times New Roman" w:cs="Times New Roman"/>
          <w:sz w:val="24"/>
          <w:szCs w:val="24"/>
        </w:rPr>
      </w:pPr>
    </w:p>
    <w:p w14:paraId="00000005" w14:textId="6AE2AA24" w:rsidR="008C4E0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I kept a sky journal, documenting the sunset for a month.  The documentation took place between the 24th of October and the 24th of November: a total of 32 days. This essay will explore the findings documented in my sky journal in connection with the Van Gogh statement: “Be clearly aware of the stars and infinity on high. Then life seems almost enchanted after all.” </w:t>
      </w:r>
      <w:r>
        <w:rPr>
          <w:rFonts w:ascii="Times New Roman" w:eastAsia="Times New Roman" w:hAnsi="Times New Roman" w:cs="Times New Roman"/>
          <w:sz w:val="24"/>
          <w:szCs w:val="24"/>
          <w:vertAlign w:val="superscript"/>
        </w:rPr>
        <w:footnoteReference w:id="1"/>
      </w:r>
      <w:r w:rsidR="001132E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Van Gogh suggests that attention to ‘infinity on high’ </w:t>
      </w:r>
      <w:r w:rsidR="001309C7">
        <w:rPr>
          <w:rFonts w:ascii="Times New Roman" w:eastAsia="Times New Roman" w:hAnsi="Times New Roman" w:cs="Times New Roman"/>
          <w:sz w:val="24"/>
          <w:szCs w:val="24"/>
        </w:rPr>
        <w:t>i.e.,</w:t>
      </w:r>
      <w:r>
        <w:rPr>
          <w:rFonts w:ascii="Times New Roman" w:eastAsia="Times New Roman" w:hAnsi="Times New Roman" w:cs="Times New Roman"/>
          <w:sz w:val="24"/>
          <w:szCs w:val="24"/>
        </w:rPr>
        <w:t xml:space="preserve"> the sky gives evidence to the world's enchantment.  To understand the statement put forth by Van Gogh, one must understand what he means by ‘enchanted’.  Charles Taylor provides us with the notion that “the enchanted world” is one where </w:t>
      </w:r>
      <w:r w:rsidR="001132EA">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clear line between the physical and the moral wasn’t drawn”. Furthermore, a world where the “extra-human could alter or shape our spiritual and emotional condition, and not just our physical state (and hence mediately our spiritual or emotional condition)”.</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 xml:space="preserve"> Arguably, an ‘enchanted’ life is one full of enchantment. Patrick Curry says “</w:t>
      </w:r>
      <w:r>
        <w:rPr>
          <w:rFonts w:ascii="Times New Roman" w:eastAsia="Times New Roman" w:hAnsi="Times New Roman" w:cs="Times New Roman"/>
          <w:sz w:val="24"/>
          <w:szCs w:val="24"/>
          <w:highlight w:val="white"/>
        </w:rPr>
        <w:t xml:space="preserve">enchantment is an experience of wonder. Variations include awe, amazement, astonishment.” </w:t>
      </w:r>
      <w:r>
        <w:rPr>
          <w:rFonts w:ascii="Times New Roman" w:eastAsia="Times New Roman" w:hAnsi="Times New Roman" w:cs="Times New Roman"/>
          <w:sz w:val="24"/>
          <w:szCs w:val="24"/>
          <w:highlight w:val="white"/>
          <w:vertAlign w:val="superscript"/>
        </w:rPr>
        <w:footnoteReference w:id="3"/>
      </w:r>
      <w:r>
        <w:rPr>
          <w:rFonts w:ascii="Times New Roman" w:eastAsia="Times New Roman" w:hAnsi="Times New Roman" w:cs="Times New Roman"/>
          <w:sz w:val="24"/>
          <w:szCs w:val="24"/>
          <w:highlight w:val="white"/>
        </w:rPr>
        <w:t xml:space="preserve"> This leads one to conclude that the ‘enchanted’ life suggested by Van Gogh is one full of wonder and awe, a life where our external world is seen as an extension of and direct influencer of our psyche. </w:t>
      </w:r>
      <w:r>
        <w:rPr>
          <w:rFonts w:ascii="Times New Roman" w:eastAsia="Times New Roman" w:hAnsi="Times New Roman" w:cs="Times New Roman"/>
          <w:sz w:val="24"/>
          <w:szCs w:val="24"/>
        </w:rPr>
        <w:t xml:space="preserve">There will be comparisons drawn between evidence found in my sky journal and writings of published scholars on the topic of enchantment to display how the recorded experiences of the documentation process align with the idea put forth by Van Gogh. I will address the themes of immersion, </w:t>
      </w:r>
      <w:r w:rsidR="008D1FC8">
        <w:rPr>
          <w:rFonts w:ascii="Times New Roman" w:eastAsia="Times New Roman" w:hAnsi="Times New Roman" w:cs="Times New Roman"/>
          <w:sz w:val="24"/>
          <w:szCs w:val="24"/>
        </w:rPr>
        <w:t xml:space="preserve">fear, </w:t>
      </w:r>
      <w:r>
        <w:rPr>
          <w:rFonts w:ascii="Times New Roman" w:eastAsia="Times New Roman" w:hAnsi="Times New Roman" w:cs="Times New Roman"/>
          <w:sz w:val="24"/>
          <w:szCs w:val="24"/>
        </w:rPr>
        <w:t xml:space="preserve">and </w:t>
      </w:r>
      <w:r w:rsidR="005F7480">
        <w:rPr>
          <w:rFonts w:ascii="Times New Roman" w:eastAsia="Times New Roman" w:hAnsi="Times New Roman" w:cs="Times New Roman"/>
          <w:sz w:val="24"/>
          <w:szCs w:val="24"/>
        </w:rPr>
        <w:t>interconnection</w:t>
      </w:r>
      <w:r>
        <w:rPr>
          <w:rFonts w:ascii="Times New Roman" w:eastAsia="Times New Roman" w:hAnsi="Times New Roman" w:cs="Times New Roman"/>
          <w:sz w:val="24"/>
          <w:szCs w:val="24"/>
        </w:rPr>
        <w:t xml:space="preserve"> evident in my sky journal as they pertain to enchantment.</w:t>
      </w:r>
    </w:p>
    <w:p w14:paraId="428A8051" w14:textId="77777777" w:rsidR="001132EA" w:rsidRDefault="001132EA">
      <w:pPr>
        <w:rPr>
          <w:rFonts w:ascii="Times New Roman" w:eastAsia="Times New Roman" w:hAnsi="Times New Roman" w:cs="Times New Roman"/>
          <w:sz w:val="24"/>
          <w:szCs w:val="24"/>
        </w:rPr>
      </w:pPr>
    </w:p>
    <w:p w14:paraId="00000006" w14:textId="77777777" w:rsidR="008C4E09"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u w:val="single"/>
        </w:rPr>
        <w:t xml:space="preserve">Immersion </w:t>
      </w:r>
    </w:p>
    <w:p w14:paraId="00000007" w14:textId="01DA82F2" w:rsidR="008C4E09" w:rsidRDefault="008C4E09">
      <w:pPr>
        <w:jc w:val="center"/>
        <w:rPr>
          <w:rFonts w:ascii="Times New Roman" w:eastAsia="Times New Roman" w:hAnsi="Times New Roman" w:cs="Times New Roman"/>
          <w:sz w:val="24"/>
          <w:szCs w:val="24"/>
        </w:rPr>
      </w:pPr>
    </w:p>
    <w:p w14:paraId="00000009" w14:textId="2EC83290" w:rsidR="008C4E09" w:rsidRPr="00CC40FA" w:rsidRDefault="00CC40FA">
      <w:pPr>
        <w:rPr>
          <w:rFonts w:ascii="Times New Roman" w:eastAsia="Times New Roman" w:hAnsi="Times New Roman" w:cs="Times New Roman"/>
          <w:sz w:val="24"/>
          <w:szCs w:val="24"/>
          <w:highlight w:val="white"/>
        </w:rPr>
      </w:pPr>
      <w:r>
        <w:rPr>
          <w:noProof/>
        </w:rPr>
        <mc:AlternateContent>
          <mc:Choice Requires="wps">
            <w:drawing>
              <wp:anchor distT="0" distB="0" distL="114300" distR="114300" simplePos="0" relativeHeight="251660288" behindDoc="1" locked="0" layoutInCell="1" allowOverlap="1" wp14:anchorId="7C68A030" wp14:editId="1C24F5AB">
                <wp:simplePos x="0" y="0"/>
                <wp:positionH relativeFrom="column">
                  <wp:posOffset>3283363</wp:posOffset>
                </wp:positionH>
                <wp:positionV relativeFrom="paragraph">
                  <wp:posOffset>1955918</wp:posOffset>
                </wp:positionV>
                <wp:extent cx="259969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2599690" cy="635"/>
                        </a:xfrm>
                        <a:prstGeom prst="rect">
                          <a:avLst/>
                        </a:prstGeom>
                        <a:solidFill>
                          <a:prstClr val="white"/>
                        </a:solidFill>
                        <a:ln>
                          <a:noFill/>
                        </a:ln>
                      </wps:spPr>
                      <wps:txbx>
                        <w:txbxContent>
                          <w:p w14:paraId="6130BA1A" w14:textId="4F16B4C5" w:rsidR="002512BF" w:rsidRPr="00603653" w:rsidRDefault="006D28DC" w:rsidP="002512BF">
                            <w:pPr>
                              <w:pStyle w:val="Caption"/>
                              <w:rPr>
                                <w:rFonts w:ascii="Times New Roman" w:eastAsia="Times New Roman" w:hAnsi="Times New Roman" w:cs="Times New Roman"/>
                                <w:noProof/>
                                <w:sz w:val="24"/>
                                <w:szCs w:val="24"/>
                              </w:rPr>
                            </w:pPr>
                            <w:r>
                              <w:t>Figure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C68A030" id="_x0000_t202" coordsize="21600,21600" o:spt="202" path="m,l,21600r21600,l21600,xe">
                <v:stroke joinstyle="miter"/>
                <v:path gradientshapeok="t" o:connecttype="rect"/>
              </v:shapetype>
              <v:shape id="Text Box 5" o:spid="_x0000_s1026" type="#_x0000_t202" style="position:absolute;margin-left:258.55pt;margin-top:154pt;width:204.7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" stroked="f">
                <v:textbox style="mso-fit-shape-to-text:t" inset="0,0,0,0">
                  <w:txbxContent>
                    <w:p w14:paraId="6130BA1A" w14:textId="4F16B4C5" w:rsidR="002512BF" w:rsidRPr="00603653" w:rsidRDefault="006D28DC" w:rsidP="002512BF">
                      <w:pPr>
                        <w:pStyle w:val="Caption"/>
                        <w:rPr>
                          <w:rFonts w:ascii="Times New Roman" w:eastAsia="Times New Roman" w:hAnsi="Times New Roman" w:cs="Times New Roman"/>
                          <w:noProof/>
                          <w:sz w:val="24"/>
                          <w:szCs w:val="24"/>
                        </w:rPr>
                      </w:pPr>
                      <w:r>
                        <w:t>Figure 1</w:t>
                      </w:r>
                    </w:p>
                  </w:txbxContent>
                </v:textbox>
                <w10:wrap type="tight"/>
              </v:shape>
            </w:pict>
          </mc:Fallback>
        </mc:AlternateContent>
      </w:r>
      <w:r>
        <w:rPr>
          <w:rFonts w:ascii="Times New Roman" w:eastAsia="Times New Roman" w:hAnsi="Times New Roman" w:cs="Times New Roman"/>
          <w:noProof/>
          <w:sz w:val="24"/>
          <w:szCs w:val="24"/>
        </w:rPr>
        <w:drawing>
          <wp:anchor distT="0" distB="0" distL="114300" distR="114300" simplePos="0" relativeHeight="251658240" behindDoc="1" locked="0" layoutInCell="1" allowOverlap="1" wp14:anchorId="4B768994" wp14:editId="45501AAE">
            <wp:simplePos x="0" y="0"/>
            <wp:positionH relativeFrom="column">
              <wp:posOffset>3283246</wp:posOffset>
            </wp:positionH>
            <wp:positionV relativeFrom="paragraph">
              <wp:posOffset>6571</wp:posOffset>
            </wp:positionV>
            <wp:extent cx="2599690" cy="1948815"/>
            <wp:effectExtent l="0" t="0" r="0" b="0"/>
            <wp:wrapTight wrapText="bothSides">
              <wp:wrapPolygon edited="0">
                <wp:start x="0" y="0"/>
                <wp:lineTo x="0" y="21326"/>
                <wp:lineTo x="21368" y="21326"/>
                <wp:lineTo x="2136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99690" cy="1948815"/>
                    </a:xfrm>
                    <a:prstGeom prst="rect">
                      <a:avLst/>
                    </a:prstGeom>
                    <a:noFill/>
                    <a:ln>
                      <a:noFill/>
                    </a:ln>
                  </pic:spPr>
                </pic:pic>
              </a:graphicData>
            </a:graphic>
          </wp:anchor>
        </w:drawing>
      </w:r>
      <w:r w:rsidR="00000000">
        <w:rPr>
          <w:rFonts w:ascii="Times New Roman" w:eastAsia="Times New Roman" w:hAnsi="Times New Roman" w:cs="Times New Roman"/>
          <w:sz w:val="24"/>
          <w:szCs w:val="24"/>
        </w:rPr>
        <w:tab/>
        <w:t xml:space="preserve">Drawing from my sky journal, the evidence suggests that the more immersed in nature, the greater the feelings of enchantment.  Van Gogh’s statement was to instructs one </w:t>
      </w:r>
      <w:r w:rsidR="001309C7">
        <w:rPr>
          <w:rFonts w:ascii="Times New Roman" w:eastAsia="Times New Roman" w:hAnsi="Times New Roman" w:cs="Times New Roman"/>
          <w:sz w:val="24"/>
          <w:szCs w:val="24"/>
        </w:rPr>
        <w:t xml:space="preserve">to </w:t>
      </w:r>
      <w:r w:rsidR="00705D3D">
        <w:rPr>
          <w:rFonts w:ascii="Times New Roman" w:eastAsia="Times New Roman" w:hAnsi="Times New Roman" w:cs="Times New Roman"/>
          <w:sz w:val="24"/>
          <w:szCs w:val="24"/>
        </w:rPr>
        <w:t>‘</w:t>
      </w:r>
      <w:r w:rsidR="00000000">
        <w:rPr>
          <w:rFonts w:ascii="Times New Roman" w:eastAsia="Times New Roman" w:hAnsi="Times New Roman" w:cs="Times New Roman"/>
          <w:sz w:val="24"/>
          <w:szCs w:val="24"/>
        </w:rPr>
        <w:t>be clearly aware</w:t>
      </w:r>
      <w:r w:rsidR="00705D3D">
        <w:rPr>
          <w:rFonts w:ascii="Times New Roman" w:eastAsia="Times New Roman" w:hAnsi="Times New Roman" w:cs="Times New Roman"/>
          <w:sz w:val="24"/>
          <w:szCs w:val="24"/>
        </w:rPr>
        <w:t>’</w:t>
      </w:r>
      <w:r w:rsidR="00000000">
        <w:rPr>
          <w:rFonts w:ascii="Times New Roman" w:eastAsia="Times New Roman" w:hAnsi="Times New Roman" w:cs="Times New Roman"/>
          <w:sz w:val="24"/>
          <w:szCs w:val="24"/>
        </w:rPr>
        <w:t>. Comparatively, Fisher quantifies the moment of enchantment as a “moment of pure presence”.</w:t>
      </w:r>
      <w:r w:rsidR="00000000">
        <w:rPr>
          <w:rFonts w:ascii="Times New Roman" w:eastAsia="Times New Roman" w:hAnsi="Times New Roman" w:cs="Times New Roman"/>
          <w:sz w:val="24"/>
          <w:szCs w:val="24"/>
          <w:vertAlign w:val="superscript"/>
        </w:rPr>
        <w:footnoteReference w:id="4"/>
      </w:r>
      <w:r w:rsidR="00000000">
        <w:rPr>
          <w:rFonts w:ascii="Times New Roman" w:eastAsia="Times New Roman" w:hAnsi="Times New Roman" w:cs="Times New Roman"/>
          <w:sz w:val="24"/>
          <w:szCs w:val="24"/>
        </w:rPr>
        <w:t xml:space="preserve">  Both these examples suggest that enchantment requires full immersion and attention to the moment in front of us. According to Curry, </w:t>
      </w:r>
      <w:r w:rsidR="001132EA">
        <w:rPr>
          <w:rFonts w:ascii="Times New Roman" w:eastAsia="Times New Roman" w:hAnsi="Times New Roman" w:cs="Times New Roman"/>
          <w:sz w:val="24"/>
          <w:szCs w:val="24"/>
        </w:rPr>
        <w:t>“</w:t>
      </w:r>
      <w:r w:rsidR="001132EA">
        <w:rPr>
          <w:rFonts w:ascii="Times New Roman" w:eastAsia="Times New Roman" w:hAnsi="Times New Roman" w:cs="Times New Roman"/>
          <w:sz w:val="24"/>
          <w:szCs w:val="24"/>
          <w:highlight w:val="white"/>
        </w:rPr>
        <w:t>the</w:t>
      </w:r>
      <w:r w:rsidR="00000000">
        <w:rPr>
          <w:rFonts w:ascii="Times New Roman" w:eastAsia="Times New Roman" w:hAnsi="Times New Roman" w:cs="Times New Roman"/>
          <w:sz w:val="24"/>
          <w:szCs w:val="24"/>
          <w:highlight w:val="white"/>
        </w:rPr>
        <w:t xml:space="preserve"> ultimate source of enchantment… is nature”. </w:t>
      </w:r>
      <w:r w:rsidR="00000000">
        <w:rPr>
          <w:rFonts w:ascii="Times New Roman" w:eastAsia="Times New Roman" w:hAnsi="Times New Roman" w:cs="Times New Roman"/>
          <w:sz w:val="24"/>
          <w:szCs w:val="24"/>
          <w:highlight w:val="white"/>
          <w:vertAlign w:val="superscript"/>
        </w:rPr>
        <w:footnoteReference w:id="5"/>
      </w:r>
      <w:r w:rsidR="00000000">
        <w:rPr>
          <w:rFonts w:ascii="Times New Roman" w:eastAsia="Times New Roman" w:hAnsi="Times New Roman" w:cs="Times New Roman"/>
          <w:sz w:val="24"/>
          <w:szCs w:val="24"/>
        </w:rPr>
        <w:t xml:space="preserve">  </w:t>
      </w:r>
      <w:r w:rsidR="00000000" w:rsidRPr="001309C7">
        <w:rPr>
          <w:rFonts w:ascii="Times New Roman" w:eastAsia="Times New Roman" w:hAnsi="Times New Roman" w:cs="Times New Roman"/>
          <w:sz w:val="24"/>
          <w:szCs w:val="24"/>
        </w:rPr>
        <w:lastRenderedPageBreak/>
        <w:t>Drawing from these sources, it can be concluded that to achieve enchantment, one must be fully present and ideally, in nature</w:t>
      </w:r>
      <w:r w:rsidR="00000000">
        <w:rPr>
          <w:rFonts w:ascii="Times New Roman" w:eastAsia="Times New Roman" w:hAnsi="Times New Roman" w:cs="Times New Roman"/>
          <w:sz w:val="24"/>
          <w:szCs w:val="24"/>
        </w:rPr>
        <w:t xml:space="preserve">. This idea is reverberated by evidence in my sky journal. </w:t>
      </w:r>
      <w:r w:rsidR="001132EA">
        <w:rPr>
          <w:rFonts w:ascii="Times New Roman" w:eastAsia="Times New Roman" w:hAnsi="Times New Roman" w:cs="Times New Roman"/>
          <w:sz w:val="24"/>
          <w:szCs w:val="24"/>
        </w:rPr>
        <w:t>Most of</w:t>
      </w:r>
      <w:r w:rsidR="00000000">
        <w:rPr>
          <w:rFonts w:ascii="Times New Roman" w:eastAsia="Times New Roman" w:hAnsi="Times New Roman" w:cs="Times New Roman"/>
          <w:sz w:val="24"/>
          <w:szCs w:val="24"/>
        </w:rPr>
        <w:t xml:space="preserve"> the observations were done where there was a highway in view</w:t>
      </w:r>
      <w:r w:rsidR="002512BF">
        <w:rPr>
          <w:rStyle w:val="FootnoteReference"/>
          <w:rFonts w:ascii="Times New Roman" w:eastAsia="Times New Roman" w:hAnsi="Times New Roman" w:cs="Times New Roman"/>
          <w:sz w:val="24"/>
          <w:szCs w:val="24"/>
        </w:rPr>
        <w:footnoteReference w:id="6"/>
      </w:r>
      <w:r w:rsidR="00000000">
        <w:rPr>
          <w:rFonts w:ascii="Times New Roman" w:eastAsia="Times New Roman" w:hAnsi="Times New Roman" w:cs="Times New Roman"/>
          <w:sz w:val="24"/>
          <w:szCs w:val="24"/>
        </w:rPr>
        <w:t xml:space="preserve">- where I recorded the sight as “pretty” and “nice”. In contrast to this, when the observation was done in locations where I was </w:t>
      </w:r>
      <w:r w:rsidR="001132EA">
        <w:rPr>
          <w:rFonts w:ascii="Times New Roman" w:eastAsia="Times New Roman" w:hAnsi="Times New Roman" w:cs="Times New Roman"/>
          <w:sz w:val="24"/>
          <w:szCs w:val="24"/>
        </w:rPr>
        <w:t>surrounded</w:t>
      </w:r>
      <w:r w:rsidR="00000000">
        <w:rPr>
          <w:rFonts w:ascii="Times New Roman" w:eastAsia="Times New Roman" w:hAnsi="Times New Roman" w:cs="Times New Roman"/>
          <w:sz w:val="24"/>
          <w:szCs w:val="24"/>
        </w:rPr>
        <w:t xml:space="preserve"> by nature</w:t>
      </w:r>
      <w:r w:rsidR="002512BF">
        <w:rPr>
          <w:rStyle w:val="FootnoteReference"/>
          <w:rFonts w:ascii="Times New Roman" w:eastAsia="Times New Roman" w:hAnsi="Times New Roman" w:cs="Times New Roman"/>
          <w:sz w:val="24"/>
          <w:szCs w:val="24"/>
        </w:rPr>
        <w:footnoteReference w:id="7"/>
      </w:r>
      <w:r w:rsidR="00000000">
        <w:rPr>
          <w:rFonts w:ascii="Times New Roman" w:eastAsia="Times New Roman" w:hAnsi="Times New Roman" w:cs="Times New Roman"/>
          <w:sz w:val="24"/>
          <w:szCs w:val="24"/>
        </w:rPr>
        <w:t xml:space="preserve">, it was recorded that “I felt like time didn't </w:t>
      </w:r>
      <w:r w:rsidR="003A176A">
        <w:rPr>
          <w:rFonts w:ascii="Times New Roman" w:eastAsia="Times New Roman" w:hAnsi="Times New Roman" w:cs="Times New Roman"/>
          <w:noProof/>
          <w:sz w:val="24"/>
          <w:szCs w:val="24"/>
        </w:rPr>
        <w:drawing>
          <wp:anchor distT="0" distB="0" distL="114300" distR="114300" simplePos="0" relativeHeight="251661312" behindDoc="1" locked="0" layoutInCell="1" allowOverlap="1" wp14:anchorId="184771E6" wp14:editId="424D94D6">
            <wp:simplePos x="0" y="0"/>
            <wp:positionH relativeFrom="column">
              <wp:posOffset>0</wp:posOffset>
            </wp:positionH>
            <wp:positionV relativeFrom="paragraph">
              <wp:posOffset>1082498</wp:posOffset>
            </wp:positionV>
            <wp:extent cx="2716530" cy="2036445"/>
            <wp:effectExtent l="0" t="0" r="7620" b="1905"/>
            <wp:wrapTight wrapText="bothSides">
              <wp:wrapPolygon edited="0">
                <wp:start x="0" y="0"/>
                <wp:lineTo x="0" y="21418"/>
                <wp:lineTo x="21509" y="21418"/>
                <wp:lineTo x="21509" y="0"/>
                <wp:lineTo x="0" y="0"/>
              </wp:wrapPolygon>
            </wp:wrapTight>
            <wp:docPr id="3" name="Picture 3" descr="A body of water with trees around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ody of water with trees around it&#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16530" cy="2036445"/>
                    </a:xfrm>
                    <a:prstGeom prst="rect">
                      <a:avLst/>
                    </a:prstGeom>
                    <a:noFill/>
                    <a:ln>
                      <a:noFill/>
                    </a:ln>
                  </pic:spPr>
                </pic:pic>
              </a:graphicData>
            </a:graphic>
          </wp:anchor>
        </w:drawing>
      </w:r>
      <w:r w:rsidR="00000000">
        <w:rPr>
          <w:rFonts w:ascii="Times New Roman" w:eastAsia="Times New Roman" w:hAnsi="Times New Roman" w:cs="Times New Roman"/>
          <w:sz w:val="24"/>
          <w:szCs w:val="24"/>
        </w:rPr>
        <w:t>matter” and I found the experience “amazing” and “stunning”. This evidence seeks to prove that when the distraction of the highway was removed, the enchantment of nature was experienced more clearly. Bennett notes “To be enchanted…is to participate in a momentarily immobilizing encounter”.</w:t>
      </w:r>
      <w:r w:rsidR="00000000">
        <w:rPr>
          <w:rFonts w:ascii="Times New Roman" w:eastAsia="Times New Roman" w:hAnsi="Times New Roman" w:cs="Times New Roman"/>
          <w:sz w:val="24"/>
          <w:szCs w:val="24"/>
          <w:vertAlign w:val="superscript"/>
        </w:rPr>
        <w:footnoteReference w:id="8"/>
      </w:r>
      <w:r w:rsidR="00000000">
        <w:rPr>
          <w:rFonts w:ascii="Times New Roman" w:eastAsia="Times New Roman" w:hAnsi="Times New Roman" w:cs="Times New Roman"/>
          <w:sz w:val="24"/>
          <w:szCs w:val="24"/>
        </w:rPr>
        <w:t xml:space="preserve"> This comment quantifies the notes </w:t>
      </w:r>
      <w:r w:rsidR="002512BF">
        <w:rPr>
          <w:rFonts w:ascii="Times New Roman" w:eastAsia="Times New Roman" w:hAnsi="Times New Roman" w:cs="Times New Roman"/>
          <w:sz w:val="24"/>
          <w:szCs w:val="24"/>
        </w:rPr>
        <w:t>from</w:t>
      </w:r>
      <w:r w:rsidR="00000000">
        <w:rPr>
          <w:rFonts w:ascii="Times New Roman" w:eastAsia="Times New Roman" w:hAnsi="Times New Roman" w:cs="Times New Roman"/>
          <w:sz w:val="24"/>
          <w:szCs w:val="24"/>
        </w:rPr>
        <w:t xml:space="preserve"> the moments of being immersed in nature as enchantment, proving further that moment falls in the category more </w:t>
      </w:r>
      <w:r w:rsidR="003A176A">
        <w:rPr>
          <w:noProof/>
        </w:rPr>
        <mc:AlternateContent>
          <mc:Choice Requires="wps">
            <w:drawing>
              <wp:anchor distT="0" distB="0" distL="114300" distR="114300" simplePos="0" relativeHeight="251664384" behindDoc="1" locked="0" layoutInCell="1" allowOverlap="1" wp14:anchorId="4DCB80DA" wp14:editId="091E456E">
                <wp:simplePos x="0" y="0"/>
                <wp:positionH relativeFrom="column">
                  <wp:posOffset>27940</wp:posOffset>
                </wp:positionH>
                <wp:positionV relativeFrom="paragraph">
                  <wp:posOffset>3196590</wp:posOffset>
                </wp:positionV>
                <wp:extent cx="2716530" cy="184150"/>
                <wp:effectExtent l="0" t="0" r="7620" b="6350"/>
                <wp:wrapTight wrapText="bothSides">
                  <wp:wrapPolygon edited="0">
                    <wp:start x="0" y="0"/>
                    <wp:lineTo x="0" y="20110"/>
                    <wp:lineTo x="21509" y="20110"/>
                    <wp:lineTo x="21509"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716530" cy="184150"/>
                        </a:xfrm>
                        <a:prstGeom prst="rect">
                          <a:avLst/>
                        </a:prstGeom>
                        <a:solidFill>
                          <a:prstClr val="white"/>
                        </a:solidFill>
                        <a:ln>
                          <a:noFill/>
                        </a:ln>
                      </wps:spPr>
                      <wps:txbx>
                        <w:txbxContent>
                          <w:p w14:paraId="1819A5C7" w14:textId="51533998" w:rsidR="006D28DC" w:rsidRPr="00FE3E00" w:rsidRDefault="006D28DC" w:rsidP="006D28DC">
                            <w:pPr>
                              <w:pStyle w:val="Caption"/>
                              <w:rPr>
                                <w:noProof/>
                              </w:rPr>
                            </w:pPr>
                            <w:r>
                              <w:t xml:space="preserve">Figure </w:t>
                            </w:r>
                            <w:r w:rsidR="00E94726">
                              <w:t>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CB80DA" id="Text Box 6" o:spid="_x0000_s1027" type="#_x0000_t202" style="position:absolute;margin-left:2.2pt;margin-top:251.7pt;width:213.9pt;height:14.5pt;z-index:-251652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" stroked="f">
                <v:textbox inset="0,0,0,0">
                  <w:txbxContent>
                    <w:p w14:paraId="1819A5C7" w14:textId="51533998" w:rsidR="006D28DC" w:rsidRPr="00FE3E00" w:rsidRDefault="006D28DC" w:rsidP="006D28DC">
                      <w:pPr>
                        <w:pStyle w:val="Caption"/>
                        <w:rPr>
                          <w:noProof/>
                        </w:rPr>
                      </w:pPr>
                      <w:r>
                        <w:t xml:space="preserve">Figure </w:t>
                      </w:r>
                      <w:r w:rsidR="00E94726">
                        <w:t>2</w:t>
                      </w:r>
                    </w:p>
                  </w:txbxContent>
                </v:textbox>
                <w10:wrap type="tight"/>
              </v:shape>
            </w:pict>
          </mc:Fallback>
        </mc:AlternateContent>
      </w:r>
      <w:r w:rsidR="00000000">
        <w:rPr>
          <w:rFonts w:ascii="Times New Roman" w:eastAsia="Times New Roman" w:hAnsi="Times New Roman" w:cs="Times New Roman"/>
          <w:sz w:val="24"/>
          <w:szCs w:val="24"/>
        </w:rPr>
        <w:t xml:space="preserve">so than the experiences outside of that focused environment. </w:t>
      </w:r>
    </w:p>
    <w:p w14:paraId="0000000A" w14:textId="271EC213" w:rsidR="008C4E09" w:rsidRPr="002512BF" w:rsidRDefault="00CC40FA" w:rsidP="002512BF">
      <w:pPr>
        <w:keepNext/>
      </w:pPr>
      <w:r>
        <w:rPr>
          <w:rFonts w:ascii="Times New Roman" w:eastAsia="Times New Roman" w:hAnsi="Times New Roman" w:cs="Times New Roman"/>
          <w:noProof/>
          <w:sz w:val="24"/>
          <w:szCs w:val="24"/>
        </w:rPr>
        <w:drawing>
          <wp:anchor distT="0" distB="0" distL="114300" distR="114300" simplePos="0" relativeHeight="251662336" behindDoc="1" locked="0" layoutInCell="1" allowOverlap="1" wp14:anchorId="1D110A1F" wp14:editId="60C1D3DF">
            <wp:simplePos x="0" y="0"/>
            <wp:positionH relativeFrom="column">
              <wp:posOffset>2580640</wp:posOffset>
            </wp:positionH>
            <wp:positionV relativeFrom="paragraph">
              <wp:posOffset>634143</wp:posOffset>
            </wp:positionV>
            <wp:extent cx="3010535" cy="1694815"/>
            <wp:effectExtent l="0" t="0" r="0" b="635"/>
            <wp:wrapTight wrapText="bothSides">
              <wp:wrapPolygon edited="0">
                <wp:start x="0" y="0"/>
                <wp:lineTo x="0" y="21365"/>
                <wp:lineTo x="21459" y="21365"/>
                <wp:lineTo x="2145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10535" cy="1694815"/>
                    </a:xfrm>
                    <a:prstGeom prst="rect">
                      <a:avLst/>
                    </a:prstGeom>
                    <a:noFill/>
                    <a:ln>
                      <a:noFill/>
                    </a:ln>
                  </pic:spPr>
                </pic:pic>
              </a:graphicData>
            </a:graphic>
            <wp14:sizeRelH relativeFrom="page">
              <wp14:pctWidth>0</wp14:pctWidth>
            </wp14:sizeRelH>
            <wp14:sizeRelV relativeFrom="page">
              <wp14:pctHeight>0</wp14:pctHeight>
            </wp14:sizeRelV>
          </wp:anchor>
        </w:drawing>
      </w:r>
      <w:r w:rsidR="006D28DC">
        <w:rPr>
          <w:noProof/>
        </w:rPr>
        <mc:AlternateContent>
          <mc:Choice Requires="wps">
            <w:drawing>
              <wp:anchor distT="0" distB="0" distL="114300" distR="114300" simplePos="0" relativeHeight="251666432" behindDoc="1" locked="0" layoutInCell="1" allowOverlap="1" wp14:anchorId="261AF0AE" wp14:editId="27B9BEB4">
                <wp:simplePos x="0" y="0"/>
                <wp:positionH relativeFrom="column">
                  <wp:posOffset>2580640</wp:posOffset>
                </wp:positionH>
                <wp:positionV relativeFrom="paragraph">
                  <wp:posOffset>2330096</wp:posOffset>
                </wp:positionV>
                <wp:extent cx="301053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010535" cy="635"/>
                        </a:xfrm>
                        <a:prstGeom prst="rect">
                          <a:avLst/>
                        </a:prstGeom>
                        <a:solidFill>
                          <a:prstClr val="white"/>
                        </a:solidFill>
                        <a:ln>
                          <a:noFill/>
                        </a:ln>
                      </wps:spPr>
                      <wps:txbx>
                        <w:txbxContent>
                          <w:p w14:paraId="061FC59D" w14:textId="123F5B8A" w:rsidR="006D28DC" w:rsidRPr="007E2A2B" w:rsidRDefault="006D28DC" w:rsidP="006D28DC">
                            <w:pPr>
                              <w:pStyle w:val="Caption"/>
                              <w:rPr>
                                <w:rFonts w:ascii="Times New Roman" w:eastAsia="Times New Roman" w:hAnsi="Times New Roman" w:cs="Times New Roman"/>
                                <w:noProof/>
                                <w:sz w:val="24"/>
                                <w:szCs w:val="24"/>
                              </w:rPr>
                            </w:pPr>
                            <w:r>
                              <w:t xml:space="preserve">Figure </w:t>
                            </w:r>
                            <w:r w:rsidR="00E94726">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1AF0AE" id="Text Box 7" o:spid="_x0000_s1028" type="#_x0000_t202" style="position:absolute;margin-left:203.2pt;margin-top:183.45pt;width:237.0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" stroked="f">
                <v:textbox style="mso-fit-shape-to-text:t" inset="0,0,0,0">
                  <w:txbxContent>
                    <w:p w14:paraId="061FC59D" w14:textId="123F5B8A" w:rsidR="006D28DC" w:rsidRPr="007E2A2B" w:rsidRDefault="006D28DC" w:rsidP="006D28DC">
                      <w:pPr>
                        <w:pStyle w:val="Caption"/>
                        <w:rPr>
                          <w:rFonts w:ascii="Times New Roman" w:eastAsia="Times New Roman" w:hAnsi="Times New Roman" w:cs="Times New Roman"/>
                          <w:noProof/>
                          <w:sz w:val="24"/>
                          <w:szCs w:val="24"/>
                        </w:rPr>
                      </w:pPr>
                      <w:r>
                        <w:t xml:space="preserve">Figure </w:t>
                      </w:r>
                      <w:r w:rsidR="00E94726">
                        <w:t>3</w:t>
                      </w:r>
                    </w:p>
                  </w:txbxContent>
                </v:textbox>
                <w10:wrap type="tight"/>
              </v:shape>
            </w:pict>
          </mc:Fallback>
        </mc:AlternateContent>
      </w:r>
      <w:r w:rsidR="00000000">
        <w:rPr>
          <w:rFonts w:ascii="Times New Roman" w:eastAsia="Times New Roman" w:hAnsi="Times New Roman" w:cs="Times New Roman"/>
          <w:sz w:val="24"/>
          <w:szCs w:val="24"/>
        </w:rPr>
        <w:tab/>
        <w:t>Furthermore, Abram proposes “</w:t>
      </w:r>
      <w:r w:rsidR="00000000">
        <w:rPr>
          <w:rFonts w:ascii="Times New Roman" w:eastAsia="Times New Roman" w:hAnsi="Times New Roman" w:cs="Times New Roman"/>
          <w:sz w:val="24"/>
          <w:szCs w:val="24"/>
          <w:highlight w:val="white"/>
        </w:rPr>
        <w:t>that when our awareness of time is joined with our awareness of space, space itself is transformed. Space is no longer experienced as a homogeneous void, but reveals itself as this vast and richly textured field in which we are corporeally immersed”,</w:t>
      </w:r>
      <w:r w:rsidR="00000000">
        <w:rPr>
          <w:rFonts w:ascii="Times New Roman" w:eastAsia="Times New Roman" w:hAnsi="Times New Roman" w:cs="Times New Roman"/>
          <w:sz w:val="24"/>
          <w:szCs w:val="24"/>
          <w:highlight w:val="white"/>
          <w:vertAlign w:val="superscript"/>
        </w:rPr>
        <w:footnoteReference w:id="9"/>
      </w:r>
      <w:r w:rsidR="00000000">
        <w:rPr>
          <w:rFonts w:ascii="Times New Roman" w:eastAsia="Times New Roman" w:hAnsi="Times New Roman" w:cs="Times New Roman"/>
          <w:sz w:val="24"/>
          <w:szCs w:val="24"/>
          <w:highlight w:val="white"/>
        </w:rPr>
        <w:t xml:space="preserve"> reiterating the importance of immersion and attention to the moment and the environment in enchantment.</w:t>
      </w:r>
      <w:r w:rsidR="00000000">
        <w:rPr>
          <w:rFonts w:ascii="Times New Roman" w:eastAsia="Times New Roman" w:hAnsi="Times New Roman" w:cs="Times New Roman"/>
          <w:sz w:val="24"/>
          <w:szCs w:val="24"/>
        </w:rPr>
        <w:t xml:space="preserve"> While immersed in nature during sunset, it was noted that “I felt like I had been transported to another planet” and “It felt like I was living in a dream”. Willis &amp; Curry write of a similar phenomenon experienced with the enchanted world Van Gogh suggests. “</w:t>
      </w:r>
      <w:r w:rsidR="00000000">
        <w:rPr>
          <w:rFonts w:ascii="Times New Roman" w:eastAsia="Times New Roman" w:hAnsi="Times New Roman" w:cs="Times New Roman"/>
          <w:sz w:val="24"/>
          <w:szCs w:val="24"/>
          <w:highlight w:val="white"/>
        </w:rPr>
        <w:t>Enchantment produces secondary World into which both designer and spectator can enter, to the satisfaction of their senses while they are inside”.</w:t>
      </w:r>
      <w:r w:rsidR="00000000">
        <w:rPr>
          <w:rFonts w:ascii="Times New Roman" w:eastAsia="Times New Roman" w:hAnsi="Times New Roman" w:cs="Times New Roman"/>
          <w:sz w:val="24"/>
          <w:szCs w:val="24"/>
          <w:highlight w:val="white"/>
          <w:vertAlign w:val="superscript"/>
        </w:rPr>
        <w:footnoteReference w:id="10"/>
      </w:r>
      <w:r w:rsidR="00000000">
        <w:rPr>
          <w:rFonts w:ascii="Times New Roman" w:eastAsia="Times New Roman" w:hAnsi="Times New Roman" w:cs="Times New Roman"/>
          <w:sz w:val="24"/>
          <w:szCs w:val="24"/>
          <w:highlight w:val="white"/>
        </w:rPr>
        <w:t xml:space="preserve"> To add, Abram, states that when one is “immersed in the world”, they are “</w:t>
      </w:r>
      <w:r w:rsidR="00000000">
        <w:rPr>
          <w:rFonts w:ascii="Times New Roman" w:eastAsia="Times New Roman" w:hAnsi="Times New Roman" w:cs="Times New Roman"/>
          <w:sz w:val="24"/>
          <w:szCs w:val="24"/>
        </w:rPr>
        <w:t xml:space="preserve">unable to isolate space from time, or vice versa”. </w:t>
      </w:r>
      <w:r w:rsidR="00000000">
        <w:rPr>
          <w:rFonts w:ascii="Times New Roman" w:eastAsia="Times New Roman" w:hAnsi="Times New Roman" w:cs="Times New Roman"/>
          <w:sz w:val="24"/>
          <w:szCs w:val="24"/>
          <w:vertAlign w:val="superscript"/>
        </w:rPr>
        <w:footnoteReference w:id="11"/>
      </w:r>
      <w:r w:rsidR="00000000">
        <w:rPr>
          <w:rFonts w:ascii="Times New Roman" w:eastAsia="Times New Roman" w:hAnsi="Times New Roman" w:cs="Times New Roman"/>
          <w:sz w:val="24"/>
          <w:szCs w:val="24"/>
        </w:rPr>
        <w:t xml:space="preserve"> </w:t>
      </w:r>
      <w:r w:rsidR="00000000">
        <w:rPr>
          <w:rFonts w:ascii="Times New Roman" w:eastAsia="Times New Roman" w:hAnsi="Times New Roman" w:cs="Times New Roman"/>
          <w:sz w:val="24"/>
          <w:szCs w:val="24"/>
          <w:highlight w:val="white"/>
        </w:rPr>
        <w:t xml:space="preserve">Pairing this evidence with the documentation from my sky journal, </w:t>
      </w:r>
      <w:r w:rsidR="002C15A7">
        <w:rPr>
          <w:rFonts w:ascii="Times New Roman" w:eastAsia="Times New Roman" w:hAnsi="Times New Roman" w:cs="Times New Roman"/>
          <w:sz w:val="24"/>
          <w:szCs w:val="24"/>
          <w:highlight w:val="white"/>
        </w:rPr>
        <w:t>in</w:t>
      </w:r>
      <w:r w:rsidR="00000000">
        <w:rPr>
          <w:rFonts w:ascii="Times New Roman" w:eastAsia="Times New Roman" w:hAnsi="Times New Roman" w:cs="Times New Roman"/>
          <w:sz w:val="24"/>
          <w:szCs w:val="24"/>
          <w:highlight w:val="white"/>
        </w:rPr>
        <w:t xml:space="preserve"> the face of immersion, enchantment creates a quasi-alternate reality in which feelings of wonder and astonishment can be experienced. This fact poses the question of whether the existence within </w:t>
      </w:r>
      <w:r w:rsidR="00000000">
        <w:rPr>
          <w:rFonts w:ascii="Times New Roman" w:eastAsia="Times New Roman" w:hAnsi="Times New Roman" w:cs="Times New Roman"/>
          <w:sz w:val="24"/>
          <w:szCs w:val="24"/>
          <w:highlight w:val="white"/>
        </w:rPr>
        <w:lastRenderedPageBreak/>
        <w:t xml:space="preserve">this ‘secondary world’ experienced in my sky journal is the ‘life’ that Van Gogh was referring to rather than the mundane life of every day. </w:t>
      </w:r>
    </w:p>
    <w:p w14:paraId="0000000B" w14:textId="77777777" w:rsidR="008C4E09" w:rsidRDefault="008C4E09">
      <w:pPr>
        <w:jc w:val="center"/>
        <w:rPr>
          <w:rFonts w:ascii="Times New Roman" w:eastAsia="Times New Roman" w:hAnsi="Times New Roman" w:cs="Times New Roman"/>
          <w:sz w:val="24"/>
          <w:szCs w:val="24"/>
        </w:rPr>
      </w:pPr>
    </w:p>
    <w:p w14:paraId="0000000C" w14:textId="77777777" w:rsidR="008C4E09" w:rsidRDefault="00000000">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u w:val="single"/>
        </w:rPr>
        <w:t xml:space="preserve"> Fear and isolation </w:t>
      </w:r>
      <w:r>
        <w:rPr>
          <w:rFonts w:ascii="Times New Roman" w:eastAsia="Times New Roman" w:hAnsi="Times New Roman" w:cs="Times New Roman"/>
          <w:b/>
          <w:sz w:val="24"/>
          <w:szCs w:val="24"/>
        </w:rPr>
        <w:t xml:space="preserve"> </w:t>
      </w:r>
    </w:p>
    <w:p w14:paraId="0000000D" w14:textId="77777777" w:rsidR="008C4E09" w:rsidRDefault="008C4E09">
      <w:pPr>
        <w:rPr>
          <w:rFonts w:ascii="Times New Roman" w:eastAsia="Times New Roman" w:hAnsi="Times New Roman" w:cs="Times New Roman"/>
          <w:b/>
          <w:sz w:val="24"/>
          <w:szCs w:val="24"/>
        </w:rPr>
      </w:pPr>
    </w:p>
    <w:p w14:paraId="0000000E" w14:textId="21F4555B" w:rsidR="008C4E09" w:rsidRDefault="00E94726">
      <w:pPr>
        <w:ind w:firstLine="720"/>
        <w:rPr>
          <w:rFonts w:ascii="Times New Roman" w:eastAsia="Times New Roman" w:hAnsi="Times New Roman" w:cs="Times New Roman"/>
          <w:sz w:val="24"/>
          <w:szCs w:val="24"/>
        </w:rPr>
      </w:pPr>
      <w:r>
        <w:rPr>
          <w:noProof/>
        </w:rPr>
        <mc:AlternateContent>
          <mc:Choice Requires="wps">
            <w:drawing>
              <wp:anchor distT="0" distB="0" distL="114300" distR="114300" simplePos="0" relativeHeight="251669504" behindDoc="1" locked="0" layoutInCell="1" allowOverlap="1" wp14:anchorId="357B550F" wp14:editId="1E703BEF">
                <wp:simplePos x="0" y="0"/>
                <wp:positionH relativeFrom="column">
                  <wp:posOffset>3352165</wp:posOffset>
                </wp:positionH>
                <wp:positionV relativeFrom="paragraph">
                  <wp:posOffset>5727065</wp:posOffset>
                </wp:positionV>
                <wp:extent cx="243840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2438400" cy="635"/>
                        </a:xfrm>
                        <a:prstGeom prst="rect">
                          <a:avLst/>
                        </a:prstGeom>
                        <a:solidFill>
                          <a:prstClr val="white"/>
                        </a:solidFill>
                        <a:ln>
                          <a:noFill/>
                        </a:ln>
                      </wps:spPr>
                      <wps:txbx>
                        <w:txbxContent>
                          <w:p w14:paraId="47B89839" w14:textId="3D042A3C" w:rsidR="00E94726" w:rsidRPr="00C06F3C" w:rsidRDefault="00E94726" w:rsidP="00E94726">
                            <w:pPr>
                              <w:pStyle w:val="Caption"/>
                              <w:rPr>
                                <w:rFonts w:ascii="Times New Roman" w:eastAsia="Times New Roman" w:hAnsi="Times New Roman" w:cs="Times New Roman"/>
                                <w:noProof/>
                                <w:sz w:val="24"/>
                                <w:szCs w:val="24"/>
                              </w:rPr>
                            </w:pPr>
                            <w:r>
                              <w:t>Figure 4: My potential watery grave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7B550F" id="Text Box 9" o:spid="_x0000_s1029" type="#_x0000_t202" style="position:absolute;left:0;text-align:left;margin-left:263.95pt;margin-top:450.95pt;width:192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" stroked="f">
                <v:textbox style="mso-fit-shape-to-text:t" inset="0,0,0,0">
                  <w:txbxContent>
                    <w:p w14:paraId="47B89839" w14:textId="3D042A3C" w:rsidR="00E94726" w:rsidRPr="00C06F3C" w:rsidRDefault="00E94726" w:rsidP="00E94726">
                      <w:pPr>
                        <w:pStyle w:val="Caption"/>
                        <w:rPr>
                          <w:rFonts w:ascii="Times New Roman" w:eastAsia="Times New Roman" w:hAnsi="Times New Roman" w:cs="Times New Roman"/>
                          <w:noProof/>
                          <w:sz w:val="24"/>
                          <w:szCs w:val="24"/>
                        </w:rPr>
                      </w:pPr>
                      <w:r>
                        <w:t>Figure 4: My potential watery grave</w:t>
                      </w:r>
                    </w:p>
                  </w:txbxContent>
                </v:textbox>
                <w10:wrap type="tight"/>
              </v:shape>
            </w:pict>
          </mc:Fallback>
        </mc:AlternateContent>
      </w:r>
      <w:r>
        <w:rPr>
          <w:rFonts w:ascii="Times New Roman" w:eastAsia="Times New Roman" w:hAnsi="Times New Roman" w:cs="Times New Roman"/>
          <w:noProof/>
          <w:sz w:val="24"/>
          <w:szCs w:val="24"/>
        </w:rPr>
        <w:drawing>
          <wp:anchor distT="0" distB="0" distL="114300" distR="114300" simplePos="0" relativeHeight="251667456" behindDoc="1" locked="0" layoutInCell="1" allowOverlap="1" wp14:anchorId="681432F3" wp14:editId="2714AB72">
            <wp:simplePos x="0" y="0"/>
            <wp:positionH relativeFrom="column">
              <wp:posOffset>3352165</wp:posOffset>
            </wp:positionH>
            <wp:positionV relativeFrom="paragraph">
              <wp:posOffset>2418715</wp:posOffset>
            </wp:positionV>
            <wp:extent cx="2438400" cy="3251200"/>
            <wp:effectExtent l="0" t="0" r="0" b="6350"/>
            <wp:wrapTight wrapText="bothSides">
              <wp:wrapPolygon edited="0">
                <wp:start x="0" y="0"/>
                <wp:lineTo x="0" y="21516"/>
                <wp:lineTo x="21431" y="21516"/>
                <wp:lineTo x="21431" y="0"/>
                <wp:lineTo x="0" y="0"/>
              </wp:wrapPolygon>
            </wp:wrapTight>
            <wp:docPr id="8" name="Picture 8" descr="A body of water with trees and bushes around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ody of water with trees and bushes around it&#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38400" cy="3251200"/>
                    </a:xfrm>
                    <a:prstGeom prst="rect">
                      <a:avLst/>
                    </a:prstGeom>
                    <a:noFill/>
                    <a:ln>
                      <a:noFill/>
                    </a:ln>
                  </pic:spPr>
                </pic:pic>
              </a:graphicData>
            </a:graphic>
          </wp:anchor>
        </w:drawing>
      </w:r>
      <w:r w:rsidR="00000000">
        <w:rPr>
          <w:rFonts w:ascii="Times New Roman" w:eastAsia="Times New Roman" w:hAnsi="Times New Roman" w:cs="Times New Roman"/>
          <w:sz w:val="24"/>
          <w:szCs w:val="24"/>
        </w:rPr>
        <w:t xml:space="preserve">During the month of recording, I also kept notes of feelings and events experienced outside of the observation times. I recorded feelings of “stress”, “anxiety” and “guilt” during the </w:t>
      </w:r>
      <w:r w:rsidR="002C15A7">
        <w:rPr>
          <w:rFonts w:ascii="Times New Roman" w:eastAsia="Times New Roman" w:hAnsi="Times New Roman" w:cs="Times New Roman"/>
          <w:sz w:val="24"/>
          <w:szCs w:val="24"/>
        </w:rPr>
        <w:t>period</w:t>
      </w:r>
      <w:r w:rsidR="00000000">
        <w:rPr>
          <w:rFonts w:ascii="Times New Roman" w:eastAsia="Times New Roman" w:hAnsi="Times New Roman" w:cs="Times New Roman"/>
          <w:sz w:val="24"/>
          <w:szCs w:val="24"/>
        </w:rPr>
        <w:t>. Naturally, one may use this evidence to combat Van Gogh's statement and say it serves to prove that life is not enchanted. However, Curry says of enchantment: “Its moments don’t cancel out suffering. They can exist alongside it, however, and even provide solace”,</w:t>
      </w:r>
      <w:r w:rsidR="00000000">
        <w:rPr>
          <w:rFonts w:ascii="Times New Roman" w:eastAsia="Times New Roman" w:hAnsi="Times New Roman" w:cs="Times New Roman"/>
          <w:sz w:val="24"/>
          <w:szCs w:val="24"/>
          <w:vertAlign w:val="superscript"/>
        </w:rPr>
        <w:footnoteReference w:id="12"/>
      </w:r>
      <w:r w:rsidR="00000000">
        <w:rPr>
          <w:rFonts w:ascii="Times New Roman" w:eastAsia="Times New Roman" w:hAnsi="Times New Roman" w:cs="Times New Roman"/>
          <w:sz w:val="24"/>
          <w:szCs w:val="24"/>
        </w:rPr>
        <w:t xml:space="preserve"> proving that these inherently negative feelings do not oppose Van Gogh’s statement singlehandedly. To add, it needs to be </w:t>
      </w:r>
      <w:r w:rsidR="001132EA">
        <w:rPr>
          <w:rFonts w:ascii="Times New Roman" w:eastAsia="Times New Roman" w:hAnsi="Times New Roman" w:cs="Times New Roman"/>
          <w:sz w:val="24"/>
          <w:szCs w:val="24"/>
        </w:rPr>
        <w:t>considered</w:t>
      </w:r>
      <w:r w:rsidR="00000000">
        <w:rPr>
          <w:rFonts w:ascii="Times New Roman" w:eastAsia="Times New Roman" w:hAnsi="Times New Roman" w:cs="Times New Roman"/>
          <w:sz w:val="24"/>
          <w:szCs w:val="24"/>
        </w:rPr>
        <w:t xml:space="preserve"> that a lot of these feelings were recorded indoors, while frequently being engaged with technologies. In contrast, while observing the outdoors, I had another negative emotion routinely appear in my journal: “fear”. In the words of Abram, “Transfixed by our technologies, we short-circuit the sensorial reciprocity between our breathing bodies and the bodily terrain”, resulting in the senses becoming “mere adjuncts of an isolate and abstract mind bent on overcoming an organic reality that now seems disturbingly aloof and arbitrary”. </w:t>
      </w:r>
      <w:r w:rsidR="00000000">
        <w:rPr>
          <w:rFonts w:ascii="Times New Roman" w:eastAsia="Times New Roman" w:hAnsi="Times New Roman" w:cs="Times New Roman"/>
          <w:sz w:val="24"/>
          <w:szCs w:val="24"/>
          <w:vertAlign w:val="superscript"/>
        </w:rPr>
        <w:footnoteReference w:id="13"/>
      </w:r>
      <w:r w:rsidR="00000000">
        <w:rPr>
          <w:rFonts w:ascii="Times New Roman" w:eastAsia="Times New Roman" w:hAnsi="Times New Roman" w:cs="Times New Roman"/>
          <w:sz w:val="24"/>
          <w:szCs w:val="24"/>
        </w:rPr>
        <w:t xml:space="preserve"> This sets the argument that the cause of fear recorded in my sky journal could have been a result of the contrast in realities being lived between the inside world and the outside world being observed for the record at hand. In the journal, I recalled feeling “scared of being dragged in the water by a crocodile” and “afraid of a serial killer waiting in the bush to drown me”, among other fears that arose while being in a ‘disturbingly aloof’ landscape</w:t>
      </w:r>
      <w:r w:rsidR="006D28DC">
        <w:rPr>
          <w:rStyle w:val="FootnoteReference"/>
          <w:rFonts w:ascii="Times New Roman" w:eastAsia="Times New Roman" w:hAnsi="Times New Roman" w:cs="Times New Roman"/>
          <w:sz w:val="24"/>
          <w:szCs w:val="24"/>
        </w:rPr>
        <w:footnoteReference w:id="14"/>
      </w:r>
      <w:r w:rsidR="00000000">
        <w:rPr>
          <w:rFonts w:ascii="Times New Roman" w:eastAsia="Times New Roman" w:hAnsi="Times New Roman" w:cs="Times New Roman"/>
          <w:sz w:val="24"/>
          <w:szCs w:val="24"/>
        </w:rPr>
        <w:t xml:space="preserve">.  </w:t>
      </w:r>
      <w:r w:rsidR="001132EA">
        <w:rPr>
          <w:rFonts w:ascii="Times New Roman" w:eastAsia="Times New Roman" w:hAnsi="Times New Roman" w:cs="Times New Roman"/>
          <w:sz w:val="24"/>
          <w:szCs w:val="24"/>
        </w:rPr>
        <w:t>Similarly,</w:t>
      </w:r>
      <w:r w:rsidR="00000000">
        <w:rPr>
          <w:rFonts w:ascii="Times New Roman" w:eastAsia="Times New Roman" w:hAnsi="Times New Roman" w:cs="Times New Roman"/>
          <w:sz w:val="24"/>
          <w:szCs w:val="24"/>
        </w:rPr>
        <w:t xml:space="preserve"> to Abram, Taylor mentions “The absence of fear [of outside forces] can be not just </w:t>
      </w:r>
      <w:r w:rsidR="001132EA">
        <w:rPr>
          <w:rFonts w:ascii="Times New Roman" w:eastAsia="Times New Roman" w:hAnsi="Times New Roman" w:cs="Times New Roman"/>
          <w:sz w:val="24"/>
          <w:szCs w:val="24"/>
        </w:rPr>
        <w:t>enjoyed but</w:t>
      </w:r>
      <w:r w:rsidR="00000000">
        <w:rPr>
          <w:rFonts w:ascii="Times New Roman" w:eastAsia="Times New Roman" w:hAnsi="Times New Roman" w:cs="Times New Roman"/>
          <w:sz w:val="24"/>
          <w:szCs w:val="24"/>
        </w:rPr>
        <w:t xml:space="preserve"> seen as an opportunity for self-control or self-direction”.</w:t>
      </w:r>
      <w:r w:rsidR="00000000">
        <w:rPr>
          <w:rFonts w:ascii="Times New Roman" w:eastAsia="Times New Roman" w:hAnsi="Times New Roman" w:cs="Times New Roman"/>
          <w:sz w:val="24"/>
          <w:szCs w:val="24"/>
          <w:vertAlign w:val="superscript"/>
        </w:rPr>
        <w:footnoteReference w:id="15"/>
      </w:r>
      <w:r w:rsidR="00000000">
        <w:rPr>
          <w:rFonts w:ascii="Times New Roman" w:eastAsia="Times New Roman" w:hAnsi="Times New Roman" w:cs="Times New Roman"/>
          <w:sz w:val="24"/>
          <w:szCs w:val="24"/>
        </w:rPr>
        <w:t xml:space="preserve"> The evidence presented here shows the need to overcome the outside world displayed in the journal. More importantly, it displays that the avoidance of immersion, and therefore enchantment, can be driven by fear and this inherent deterministic drive discussed by Abram and Taylor.  I recorded feeling “rushed to go back inside” because of fear, unaccompanied by feelings of wonder associated with enchantment. Hence, posing the question of why enchantment was not experienced even though the ‘infinity on high’ suggested by Van Gogh was actively pursued. Curry writes </w:t>
      </w:r>
      <w:r w:rsidR="001132EA">
        <w:rPr>
          <w:rFonts w:ascii="Times New Roman" w:eastAsia="Times New Roman" w:hAnsi="Times New Roman" w:cs="Times New Roman"/>
          <w:sz w:val="24"/>
          <w:szCs w:val="24"/>
        </w:rPr>
        <w:t>“the</w:t>
      </w:r>
      <w:r w:rsidR="00000000">
        <w:rPr>
          <w:rFonts w:ascii="Times New Roman" w:eastAsia="Times New Roman" w:hAnsi="Times New Roman" w:cs="Times New Roman"/>
          <w:sz w:val="24"/>
          <w:szCs w:val="24"/>
          <w:highlight w:val="white"/>
        </w:rPr>
        <w:t xml:space="preserve"> best attitude towards </w:t>
      </w:r>
      <w:r w:rsidR="00000000">
        <w:rPr>
          <w:rFonts w:ascii="Times New Roman" w:eastAsia="Times New Roman" w:hAnsi="Times New Roman" w:cs="Times New Roman"/>
          <w:sz w:val="24"/>
          <w:szCs w:val="24"/>
          <w:highlight w:val="white"/>
        </w:rPr>
        <w:lastRenderedPageBreak/>
        <w:t xml:space="preserve">enchantment is fearless receptivity”. </w:t>
      </w:r>
      <w:r w:rsidR="00000000">
        <w:rPr>
          <w:rFonts w:ascii="Times New Roman" w:eastAsia="Times New Roman" w:hAnsi="Times New Roman" w:cs="Times New Roman"/>
          <w:sz w:val="24"/>
          <w:szCs w:val="24"/>
          <w:highlight w:val="white"/>
          <w:vertAlign w:val="superscript"/>
        </w:rPr>
        <w:footnoteReference w:id="16"/>
      </w:r>
      <w:r w:rsidR="00000000">
        <w:rPr>
          <w:rFonts w:ascii="Times New Roman" w:eastAsia="Times New Roman" w:hAnsi="Times New Roman" w:cs="Times New Roman"/>
          <w:sz w:val="24"/>
          <w:szCs w:val="24"/>
          <w:highlight w:val="white"/>
        </w:rPr>
        <w:t xml:space="preserve"> Further, Bennett suggests while fear </w:t>
      </w:r>
      <w:r w:rsidR="001132EA">
        <w:rPr>
          <w:rFonts w:ascii="Times New Roman" w:eastAsia="Times New Roman" w:hAnsi="Times New Roman" w:cs="Times New Roman"/>
          <w:sz w:val="24"/>
          <w:szCs w:val="24"/>
          <w:highlight w:val="white"/>
        </w:rPr>
        <w:t>“plays</w:t>
      </w:r>
      <w:r w:rsidR="00000000">
        <w:rPr>
          <w:rFonts w:ascii="Times New Roman" w:eastAsia="Times New Roman" w:hAnsi="Times New Roman" w:cs="Times New Roman"/>
          <w:sz w:val="24"/>
          <w:szCs w:val="24"/>
          <w:highlight w:val="white"/>
        </w:rPr>
        <w:t xml:space="preserve"> a role in enchantment”, “fear cannot dominate if enchantment is to be, for the latter requires active engagement with objects of sensuous experience”. </w:t>
      </w:r>
      <w:r w:rsidR="00000000">
        <w:rPr>
          <w:rFonts w:ascii="Times New Roman" w:eastAsia="Times New Roman" w:hAnsi="Times New Roman" w:cs="Times New Roman"/>
          <w:sz w:val="24"/>
          <w:szCs w:val="24"/>
          <w:highlight w:val="white"/>
          <w:vertAlign w:val="superscript"/>
        </w:rPr>
        <w:footnoteReference w:id="17"/>
      </w:r>
      <w:r w:rsidR="00000000">
        <w:rPr>
          <w:rFonts w:ascii="Times New Roman" w:eastAsia="Times New Roman" w:hAnsi="Times New Roman" w:cs="Times New Roman"/>
          <w:sz w:val="24"/>
          <w:szCs w:val="24"/>
          <w:highlight w:val="white"/>
        </w:rPr>
        <w:t xml:space="preserve"> </w:t>
      </w:r>
      <w:r w:rsidR="00000000">
        <w:rPr>
          <w:rFonts w:ascii="Times New Roman" w:eastAsia="Times New Roman" w:hAnsi="Times New Roman" w:cs="Times New Roman"/>
          <w:sz w:val="24"/>
          <w:szCs w:val="24"/>
        </w:rPr>
        <w:t xml:space="preserve"> Paired with the evident fear recorded in my journal, these revelations propose the answer to this question. Fear acts as an inhibitor to enchantment.  The link in my journal between times of fear and no record of enchantment demonstrates that being ‘clearly aware’ was disrupted and consequently, the observation of an ‘enchanted’ life could not be achieved. Therefore, the fear recorded in my sky journal during the time of observation supports Van Gogh’s statement, highlighting the necessity for undivided attention to the landscape to experience an ‘enchanted’ life.</w:t>
      </w:r>
    </w:p>
    <w:p w14:paraId="0000000F" w14:textId="77777777" w:rsidR="008C4E09" w:rsidRDefault="008C4E09">
      <w:pPr>
        <w:rPr>
          <w:rFonts w:ascii="Times New Roman" w:eastAsia="Times New Roman" w:hAnsi="Times New Roman" w:cs="Times New Roman"/>
          <w:b/>
          <w:sz w:val="24"/>
          <w:szCs w:val="24"/>
          <w:u w:val="single"/>
        </w:rPr>
      </w:pPr>
    </w:p>
    <w:p w14:paraId="00000010" w14:textId="70337163" w:rsidR="008C4E09" w:rsidRDefault="00000000">
      <w:pPr>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Interconnecti</w:t>
      </w:r>
      <w:r w:rsidR="005F7480">
        <w:rPr>
          <w:rFonts w:ascii="Times New Roman" w:eastAsia="Times New Roman" w:hAnsi="Times New Roman" w:cs="Times New Roman"/>
          <w:b/>
          <w:sz w:val="24"/>
          <w:szCs w:val="24"/>
          <w:u w:val="single"/>
        </w:rPr>
        <w:t>on</w:t>
      </w:r>
    </w:p>
    <w:p w14:paraId="00000011" w14:textId="77777777" w:rsidR="008C4E09"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p>
    <w:p w14:paraId="00000012" w14:textId="4531FFBC" w:rsidR="008C4E09" w:rsidRDefault="00E94726">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0" distB="0" distL="114300" distR="114300" simplePos="0" relativeHeight="251670528" behindDoc="1" locked="0" layoutInCell="1" allowOverlap="1" wp14:anchorId="4F682BE8" wp14:editId="3678EF3A">
            <wp:simplePos x="0" y="0"/>
            <wp:positionH relativeFrom="column">
              <wp:posOffset>-486410</wp:posOffset>
            </wp:positionH>
            <wp:positionV relativeFrom="paragraph">
              <wp:posOffset>890905</wp:posOffset>
            </wp:positionV>
            <wp:extent cx="2061210" cy="1546225"/>
            <wp:effectExtent l="0" t="9208" r="6033" b="6032"/>
            <wp:wrapTight wrapText="bothSides">
              <wp:wrapPolygon edited="0">
                <wp:start x="-96" y="21471"/>
                <wp:lineTo x="21464" y="21471"/>
                <wp:lineTo x="21464" y="182"/>
                <wp:lineTo x="-96" y="182"/>
                <wp:lineTo x="-96" y="21471"/>
              </wp:wrapPolygon>
            </wp:wrapTight>
            <wp:docPr id="10" name="Picture 10" descr="A picture containing tree, outdoor, spring,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ree, outdoor, spring, natur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2061210" cy="1546225"/>
                    </a:xfrm>
                    <a:prstGeom prst="rect">
                      <a:avLst/>
                    </a:prstGeom>
                  </pic:spPr>
                </pic:pic>
              </a:graphicData>
            </a:graphic>
          </wp:anchor>
        </w:drawing>
      </w:r>
      <w:r>
        <w:rPr>
          <w:noProof/>
        </w:rPr>
        <mc:AlternateContent>
          <mc:Choice Requires="wps">
            <w:drawing>
              <wp:anchor distT="0" distB="0" distL="114300" distR="114300" simplePos="0" relativeHeight="251672576" behindDoc="1" locked="0" layoutInCell="1" allowOverlap="1" wp14:anchorId="6C01C5D2" wp14:editId="02AD44F1">
                <wp:simplePos x="0" y="0"/>
                <wp:positionH relativeFrom="column">
                  <wp:posOffset>-133985</wp:posOffset>
                </wp:positionH>
                <wp:positionV relativeFrom="paragraph">
                  <wp:posOffset>2785110</wp:posOffset>
                </wp:positionV>
                <wp:extent cx="1546225" cy="179705"/>
                <wp:effectExtent l="0" t="0" r="0" b="0"/>
                <wp:wrapTight wrapText="bothSides">
                  <wp:wrapPolygon edited="0">
                    <wp:start x="0" y="0"/>
                    <wp:lineTo x="0" y="18318"/>
                    <wp:lineTo x="21290" y="18318"/>
                    <wp:lineTo x="21290"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546225" cy="179705"/>
                        </a:xfrm>
                        <a:prstGeom prst="rect">
                          <a:avLst/>
                        </a:prstGeom>
                        <a:solidFill>
                          <a:prstClr val="white"/>
                        </a:solidFill>
                        <a:ln>
                          <a:noFill/>
                        </a:ln>
                      </wps:spPr>
                      <wps:txbx>
                        <w:txbxContent>
                          <w:p w14:paraId="65D174EC" w14:textId="4DC21694" w:rsidR="00E94726" w:rsidRPr="00720493" w:rsidRDefault="00E94726" w:rsidP="00E94726">
                            <w:pPr>
                              <w:pStyle w:val="Caption"/>
                              <w:rPr>
                                <w:rFonts w:ascii="Times New Roman" w:eastAsia="Times New Roman" w:hAnsi="Times New Roman" w:cs="Times New Roman"/>
                                <w:noProof/>
                                <w:sz w:val="24"/>
                                <w:szCs w:val="24"/>
                              </w:rP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01C5D2" id="Text Box 11" o:spid="_x0000_s1030" type="#_x0000_t202" style="position:absolute;margin-left:-10.55pt;margin-top:219.3pt;width:121.75pt;height:14.15pt;z-index:-251643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" stroked="f">
                <v:textbox inset="0,0,0,0">
                  <w:txbxContent>
                    <w:p w14:paraId="65D174EC" w14:textId="4DC21694" w:rsidR="00E94726" w:rsidRPr="00720493" w:rsidRDefault="00E94726" w:rsidP="00E94726">
                      <w:pPr>
                        <w:pStyle w:val="Caption"/>
                        <w:rPr>
                          <w:rFonts w:ascii="Times New Roman" w:eastAsia="Times New Roman" w:hAnsi="Times New Roman" w:cs="Times New Roman"/>
                          <w:noProof/>
                          <w:sz w:val="24"/>
                          <w:szCs w:val="24"/>
                        </w:rPr>
                      </w:pPr>
                      <w:r>
                        <w:t>Figure 5</w:t>
                      </w:r>
                    </w:p>
                  </w:txbxContent>
                </v:textbox>
                <w10:wrap type="tight"/>
              </v:shape>
            </w:pict>
          </mc:Fallback>
        </mc:AlternateContent>
      </w:r>
      <w:r w:rsidR="00000000">
        <w:rPr>
          <w:rFonts w:ascii="Times New Roman" w:eastAsia="Times New Roman" w:hAnsi="Times New Roman" w:cs="Times New Roman"/>
          <w:b/>
          <w:sz w:val="24"/>
          <w:szCs w:val="24"/>
        </w:rPr>
        <w:tab/>
      </w:r>
      <w:r w:rsidR="00000000">
        <w:rPr>
          <w:rFonts w:ascii="Times New Roman" w:eastAsia="Times New Roman" w:hAnsi="Times New Roman" w:cs="Times New Roman"/>
          <w:sz w:val="24"/>
          <w:szCs w:val="24"/>
        </w:rPr>
        <w:t xml:space="preserve">Another prevalent theme in my sky journal observations was connectivity. I recorded that “it seemed as though the </w:t>
      </w:r>
      <w:r w:rsidR="001132EA">
        <w:rPr>
          <w:rFonts w:ascii="Times New Roman" w:eastAsia="Times New Roman" w:hAnsi="Times New Roman" w:cs="Times New Roman"/>
          <w:sz w:val="24"/>
          <w:szCs w:val="24"/>
        </w:rPr>
        <w:t>pre-existing</w:t>
      </w:r>
      <w:r w:rsidR="00000000">
        <w:rPr>
          <w:rFonts w:ascii="Times New Roman" w:eastAsia="Times New Roman" w:hAnsi="Times New Roman" w:cs="Times New Roman"/>
          <w:sz w:val="24"/>
          <w:szCs w:val="24"/>
        </w:rPr>
        <w:t xml:space="preserve"> feelings I took into the observation were reflected back to me in the colours of the sky”. The days where I noted feeling “melancholy” aligned with the days where I recorded the skyscape as being “dreary” or “underwhelming”</w:t>
      </w:r>
      <w:r>
        <w:rPr>
          <w:rStyle w:val="FootnoteReference"/>
          <w:rFonts w:ascii="Times New Roman" w:eastAsia="Times New Roman" w:hAnsi="Times New Roman" w:cs="Times New Roman"/>
          <w:sz w:val="24"/>
          <w:szCs w:val="24"/>
        </w:rPr>
        <w:footnoteReference w:id="18"/>
      </w:r>
      <w:r w:rsidR="00000000">
        <w:rPr>
          <w:rFonts w:ascii="Times New Roman" w:eastAsia="Times New Roman" w:hAnsi="Times New Roman" w:cs="Times New Roman"/>
          <w:sz w:val="24"/>
          <w:szCs w:val="24"/>
        </w:rPr>
        <w:t>. I could be questioned whether the view of the sky could have impacted my mood. However, on the basis that the sky was not perceived prior to the point of observation, I don’t believe this is the case. In the words of Lao-Tzu, “Without opening your door, you can know the whole world”.</w:t>
      </w:r>
      <w:r w:rsidR="00000000">
        <w:rPr>
          <w:rFonts w:ascii="Times New Roman" w:eastAsia="Times New Roman" w:hAnsi="Times New Roman" w:cs="Times New Roman"/>
          <w:sz w:val="24"/>
          <w:szCs w:val="24"/>
          <w:vertAlign w:val="superscript"/>
        </w:rPr>
        <w:footnoteReference w:id="19"/>
      </w:r>
      <w:r w:rsidR="00000000">
        <w:rPr>
          <w:rFonts w:ascii="Times New Roman" w:eastAsia="Times New Roman" w:hAnsi="Times New Roman" w:cs="Times New Roman"/>
          <w:sz w:val="24"/>
          <w:szCs w:val="24"/>
        </w:rPr>
        <w:t xml:space="preserve"> The universal knowledge and connection suggested here are congruent with the findings in my journal. Based on this observation, I concluded that this proves the connection between my internal state with the external. Abram comments on a similar point in connection with enchantment saying,  “By acknowledging such links between the inner, psychological world and the perceptual terrain surrounding us, we begin to turn inside-out, loosening the psyche from its </w:t>
      </w:r>
      <w:bookmarkStart w:id="6" w:name="_Hlk121319403"/>
      <w:r w:rsidR="00000000">
        <w:rPr>
          <w:rFonts w:ascii="Times New Roman" w:eastAsia="Times New Roman" w:hAnsi="Times New Roman" w:cs="Times New Roman"/>
          <w:sz w:val="24"/>
          <w:szCs w:val="24"/>
        </w:rPr>
        <w:t>confinement within a strictly human sphere</w:t>
      </w:r>
      <w:bookmarkEnd w:id="6"/>
      <w:r w:rsidR="00000000">
        <w:rPr>
          <w:rFonts w:ascii="Times New Roman" w:eastAsia="Times New Roman" w:hAnsi="Times New Roman" w:cs="Times New Roman"/>
          <w:sz w:val="24"/>
          <w:szCs w:val="24"/>
        </w:rPr>
        <w:t>”.</w:t>
      </w:r>
      <w:r w:rsidR="00000000">
        <w:rPr>
          <w:rFonts w:ascii="Times New Roman" w:eastAsia="Times New Roman" w:hAnsi="Times New Roman" w:cs="Times New Roman"/>
          <w:sz w:val="24"/>
          <w:szCs w:val="24"/>
          <w:vertAlign w:val="superscript"/>
        </w:rPr>
        <w:footnoteReference w:id="20"/>
      </w:r>
      <w:r w:rsidR="00000000">
        <w:rPr>
          <w:rFonts w:ascii="Times New Roman" w:eastAsia="Times New Roman" w:hAnsi="Times New Roman" w:cs="Times New Roman"/>
          <w:sz w:val="24"/>
          <w:szCs w:val="24"/>
        </w:rPr>
        <w:t xml:space="preserve"> It is clear that Abram subscribes to the idea that noticing the parallels between the inner and outer world is a notable component of immersion and thus, the ‘enchanted’ life mentioned by Van Gogh. This also shows that the reflections from my journal on the alignment of emotion with the sky prove an important step toward achieving enchantment.  In the words of Curry, “enchantment is a matter of relationship”.</w:t>
      </w:r>
      <w:r w:rsidR="00000000">
        <w:rPr>
          <w:rFonts w:ascii="Times New Roman" w:eastAsia="Times New Roman" w:hAnsi="Times New Roman" w:cs="Times New Roman"/>
          <w:sz w:val="24"/>
          <w:szCs w:val="24"/>
          <w:vertAlign w:val="superscript"/>
        </w:rPr>
        <w:footnoteReference w:id="21"/>
      </w:r>
      <w:r w:rsidR="00000000">
        <w:rPr>
          <w:rFonts w:ascii="Times New Roman" w:eastAsia="Times New Roman" w:hAnsi="Times New Roman" w:cs="Times New Roman"/>
          <w:sz w:val="24"/>
          <w:szCs w:val="24"/>
        </w:rPr>
        <w:t xml:space="preserve"> This, paired with Abram’s point, raises the point of enchantment being an experience of </w:t>
      </w:r>
      <w:r w:rsidR="00AD0836">
        <w:rPr>
          <w:rFonts w:ascii="Times New Roman" w:eastAsia="Times New Roman" w:hAnsi="Times New Roman" w:cs="Times New Roman"/>
          <w:sz w:val="24"/>
          <w:szCs w:val="24"/>
        </w:rPr>
        <w:t>relation</w:t>
      </w:r>
      <w:r w:rsidR="00000000">
        <w:rPr>
          <w:rFonts w:ascii="Times New Roman" w:eastAsia="Times New Roman" w:hAnsi="Times New Roman" w:cs="Times New Roman"/>
          <w:sz w:val="24"/>
          <w:szCs w:val="24"/>
        </w:rPr>
        <w:t xml:space="preserve"> with our surroundings that we </w:t>
      </w:r>
      <w:r w:rsidR="001132EA">
        <w:rPr>
          <w:rFonts w:ascii="Times New Roman" w:eastAsia="Times New Roman" w:hAnsi="Times New Roman" w:cs="Times New Roman"/>
          <w:sz w:val="24"/>
          <w:szCs w:val="24"/>
        </w:rPr>
        <w:t>can</w:t>
      </w:r>
      <w:r w:rsidR="00000000">
        <w:rPr>
          <w:rFonts w:ascii="Times New Roman" w:eastAsia="Times New Roman" w:hAnsi="Times New Roman" w:cs="Times New Roman"/>
          <w:sz w:val="24"/>
          <w:szCs w:val="24"/>
        </w:rPr>
        <w:t xml:space="preserve"> achieve by noting the parallels between our inner and outer world</w:t>
      </w:r>
      <w:r w:rsidR="005F7480">
        <w:rPr>
          <w:rFonts w:ascii="Times New Roman" w:eastAsia="Times New Roman" w:hAnsi="Times New Roman" w:cs="Times New Roman"/>
          <w:sz w:val="24"/>
          <w:szCs w:val="24"/>
        </w:rPr>
        <w:t xml:space="preserve"> and straying from the ‘</w:t>
      </w:r>
      <w:r w:rsidR="005F7480" w:rsidRPr="005F7480">
        <w:rPr>
          <w:rFonts w:ascii="Times New Roman" w:eastAsia="Times New Roman" w:hAnsi="Times New Roman" w:cs="Times New Roman"/>
          <w:sz w:val="24"/>
          <w:szCs w:val="24"/>
        </w:rPr>
        <w:t>confinement within a strictly human sphere</w:t>
      </w:r>
      <w:r w:rsidR="005F7480">
        <w:rPr>
          <w:rFonts w:ascii="Times New Roman" w:eastAsia="Times New Roman" w:hAnsi="Times New Roman" w:cs="Times New Roman"/>
          <w:sz w:val="24"/>
          <w:szCs w:val="24"/>
        </w:rPr>
        <w:t>’</w:t>
      </w:r>
      <w:r w:rsidR="00000000">
        <w:rPr>
          <w:rFonts w:ascii="Times New Roman" w:eastAsia="Times New Roman" w:hAnsi="Times New Roman" w:cs="Times New Roman"/>
          <w:sz w:val="24"/>
          <w:szCs w:val="24"/>
        </w:rPr>
        <w:t>, leading to the question of whether the underlying message of Van Gogh was to live a life conscious of the interconnection of the universe.</w:t>
      </w:r>
    </w:p>
    <w:p w14:paraId="00000013" w14:textId="3E1D83A8" w:rsidR="008C4E09" w:rsidRDefault="00000000">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Along the same line, my journal notes that “The notion of a parallel inner and outer world also lead me to consider not just the connection between my feelings and the sky, but also the connection of everything on earth”. Additionally, my journal states that “I began thinking about how the sun is something that all living things have in </w:t>
      </w:r>
      <w:r w:rsidR="001132EA">
        <w:rPr>
          <w:rFonts w:ascii="Times New Roman" w:eastAsia="Times New Roman" w:hAnsi="Times New Roman" w:cs="Times New Roman"/>
          <w:sz w:val="24"/>
          <w:szCs w:val="24"/>
        </w:rPr>
        <w:t>common,</w:t>
      </w:r>
      <w:r>
        <w:rPr>
          <w:rFonts w:ascii="Times New Roman" w:eastAsia="Times New Roman" w:hAnsi="Times New Roman" w:cs="Times New Roman"/>
          <w:sz w:val="24"/>
          <w:szCs w:val="24"/>
        </w:rPr>
        <w:t xml:space="preserve"> and nothing would be alive without it”. Similarly, Iamblichus writes “light is one and the same in its entirety everywhere, is present indivisibly to all things that are capable of participating in it”, and it “holds together all things as they rest within each other or are borne towards each other, defines by equal measures even the most far-flung objects, causes lasts to be joined to firsts, as for example earth to heaven, and produces a single continuity and harmony of all with all”.</w:t>
      </w:r>
      <w:r>
        <w:rPr>
          <w:rFonts w:ascii="Times New Roman" w:eastAsia="Times New Roman" w:hAnsi="Times New Roman" w:cs="Times New Roman"/>
          <w:sz w:val="24"/>
          <w:szCs w:val="24"/>
          <w:vertAlign w:val="superscript"/>
        </w:rPr>
        <w:footnoteReference w:id="22"/>
      </w:r>
      <w:r>
        <w:rPr>
          <w:rFonts w:ascii="Times New Roman" w:eastAsia="Times New Roman" w:hAnsi="Times New Roman" w:cs="Times New Roman"/>
          <w:sz w:val="24"/>
          <w:szCs w:val="24"/>
        </w:rPr>
        <w:t xml:space="preserve"> This, along with the notes from my journal identify the sun as a unifying agent in our universe and consequently, an evident part of the earth’s interconnectivity. It poses as a figurehead that all existing things on this planet can relate through.  With this idea in mind, if Van Gogh’s message was to live a consciously interconnected life, we could assume further that the ‘infinity on high’ he was talking about could have been the Sun, referring to its infinite source of light and life, rather than the sky as previously stated. Van Gogh even follows his initial statement with “those who don’t believe in the sun here are quite godless”,</w:t>
      </w:r>
      <w:r>
        <w:rPr>
          <w:rFonts w:ascii="Times New Roman" w:eastAsia="Times New Roman" w:hAnsi="Times New Roman" w:cs="Times New Roman"/>
          <w:sz w:val="24"/>
          <w:szCs w:val="24"/>
          <w:vertAlign w:val="superscript"/>
        </w:rPr>
        <w:footnoteReference w:id="23"/>
      </w:r>
      <w:r>
        <w:rPr>
          <w:rFonts w:ascii="Times New Roman" w:eastAsia="Times New Roman" w:hAnsi="Times New Roman" w:cs="Times New Roman"/>
          <w:sz w:val="24"/>
          <w:szCs w:val="24"/>
        </w:rPr>
        <w:t xml:space="preserve"> nailing in the point that Van Gogh believed in the divine nature of the Sun. Therefore, he could have been suggesting, </w:t>
      </w:r>
      <w:r w:rsidR="001132EA">
        <w:rPr>
          <w:rFonts w:ascii="Times New Roman" w:eastAsia="Times New Roman" w:hAnsi="Times New Roman" w:cs="Times New Roman"/>
          <w:sz w:val="24"/>
          <w:szCs w:val="24"/>
        </w:rPr>
        <w:t>like</w:t>
      </w:r>
      <w:r>
        <w:rPr>
          <w:rFonts w:ascii="Times New Roman" w:eastAsia="Times New Roman" w:hAnsi="Times New Roman" w:cs="Times New Roman"/>
          <w:sz w:val="24"/>
          <w:szCs w:val="24"/>
        </w:rPr>
        <w:t xml:space="preserve"> the findings of my journal, that it is a viable source for experiencing enchantment. Since it is the source that links all things on earth together, it fosters the relationship between mankind and the surrounding nature Curry stresses is fundamental to enchantment. One could assume that Van Gogh had this in mind when writing about an ‘enchanted’ life. </w:t>
      </w:r>
    </w:p>
    <w:p w14:paraId="00000014" w14:textId="011DE2F6" w:rsidR="008C4E09" w:rsidRDefault="008C4E09">
      <w:pPr>
        <w:ind w:firstLine="720"/>
        <w:rPr>
          <w:rFonts w:ascii="Times New Roman" w:eastAsia="Times New Roman" w:hAnsi="Times New Roman" w:cs="Times New Roman"/>
          <w:sz w:val="24"/>
          <w:szCs w:val="24"/>
        </w:rPr>
      </w:pPr>
    </w:p>
    <w:p w14:paraId="7298A8BE" w14:textId="1FECC721" w:rsidR="001309C7" w:rsidRDefault="001309C7" w:rsidP="001309C7">
      <w:pPr>
        <w:ind w:firstLine="720"/>
        <w:jc w:val="center"/>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Conclusion</w:t>
      </w:r>
    </w:p>
    <w:p w14:paraId="59A00BD0" w14:textId="77777777" w:rsidR="00DD4DF6" w:rsidRDefault="00DD4DF6" w:rsidP="001309C7">
      <w:pPr>
        <w:ind w:firstLine="720"/>
        <w:jc w:val="center"/>
        <w:rPr>
          <w:rFonts w:ascii="Times New Roman" w:eastAsia="Times New Roman" w:hAnsi="Times New Roman" w:cs="Times New Roman"/>
          <w:b/>
          <w:bCs/>
          <w:sz w:val="24"/>
          <w:szCs w:val="24"/>
          <w:u w:val="single"/>
        </w:rPr>
      </w:pPr>
    </w:p>
    <w:p w14:paraId="2E728D10" w14:textId="1F74FA62" w:rsidR="001309C7" w:rsidRPr="00C55E3D" w:rsidRDefault="001309C7" w:rsidP="001309C7">
      <w:pPr>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sidRPr="00C55E3D">
        <w:rPr>
          <w:rFonts w:ascii="Times New Roman" w:eastAsia="Times New Roman" w:hAnsi="Times New Roman" w:cs="Times New Roman"/>
          <w:sz w:val="24"/>
          <w:szCs w:val="24"/>
        </w:rPr>
        <w:t xml:space="preserve">In conclusion, </w:t>
      </w:r>
      <w:r w:rsidR="00C55E3D" w:rsidRPr="00C55E3D">
        <w:rPr>
          <w:rFonts w:ascii="Times New Roman" w:hAnsi="Times New Roman" w:cs="Times New Roman"/>
          <w:color w:val="000000"/>
          <w:sz w:val="24"/>
          <w:szCs w:val="24"/>
          <w:shd w:val="clear" w:color="auto" w:fill="FFFFFF"/>
        </w:rPr>
        <w:t xml:space="preserve">Through the expansion of the term “enchanted”, it was concluded that the ‘enchanted’ life suggested by Van Gogh is one full of wonder and awe, a life where our external world is seen as an extension of and direct influencer of our psyche. Drawing from evidence from my sky journal, I explored the themes of immersion, fear, and interconnection as they related to the statement put forth by Van Gogh. Firstly, on immersion, Van Gogh’s ‘be clearly aware’ was highlighted to conclude that full presence increases the chances of achieving the ‘enchanted’ life he discusses. How immersion creates a quasi-alternate reality in which enchantment occurs was also linked to my journal; questioning whether the existence within this separate reality is the ‘life’ that Van Gogh was referring to. Secondly, on fear, it was concluded that fear acts as a barrier to enchantment by disrupting immersion. This concluded that the observation of fear in my journal supports Van Gogh’s statement, by further supporting the importance of full presence. Lastly, on interconnection, my journal provides evidence of a correlation between emotions (the inner world) and the sunset (the outer world). It was proposed that noticing these parallels is a notable component of </w:t>
      </w:r>
      <w:r w:rsidR="00C55E3D" w:rsidRPr="00C55E3D">
        <w:rPr>
          <w:rFonts w:ascii="Times New Roman" w:hAnsi="Times New Roman" w:cs="Times New Roman"/>
          <w:color w:val="000000"/>
          <w:sz w:val="24"/>
          <w:szCs w:val="24"/>
          <w:shd w:val="clear" w:color="auto" w:fill="FFFFFF"/>
        </w:rPr>
        <w:t>enchantment,</w:t>
      </w:r>
      <w:r w:rsidR="00C55E3D" w:rsidRPr="00C55E3D">
        <w:rPr>
          <w:rFonts w:ascii="Times New Roman" w:hAnsi="Times New Roman" w:cs="Times New Roman"/>
          <w:color w:val="000000"/>
          <w:sz w:val="24"/>
          <w:szCs w:val="24"/>
          <w:shd w:val="clear" w:color="auto" w:fill="FFFFFF"/>
        </w:rPr>
        <w:t xml:space="preserve"> allowing us to be conscious of the outer world, thus giving rise to the </w:t>
      </w:r>
      <w:r w:rsidR="00C55E3D" w:rsidRPr="00C55E3D">
        <w:rPr>
          <w:rFonts w:ascii="Times New Roman" w:hAnsi="Times New Roman" w:cs="Times New Roman"/>
          <w:color w:val="000000"/>
          <w:sz w:val="24"/>
          <w:szCs w:val="24"/>
          <w:shd w:val="clear" w:color="auto" w:fill="FFFFFF"/>
        </w:rPr>
        <w:lastRenderedPageBreak/>
        <w:t>relationship between us and the external. As a result, it was suggested that the underlying message of Van Gogh was to live a life conscious of the interconnection of the universe, while also identifying the sun as a unifying agent in our universe and referencing it as a great source of enchantment which is reverberated in my journal. In Summary, evidence provided by my sky journal, supported by scholars shows evidence for Van Gogh’s statement through these themes.</w:t>
      </w:r>
    </w:p>
    <w:p w14:paraId="00000019" w14:textId="58325335" w:rsidR="008C4E09" w:rsidRDefault="008C4E09" w:rsidP="00C55E3D">
      <w:pPr>
        <w:tabs>
          <w:tab w:val="left" w:pos="3833"/>
        </w:tabs>
        <w:rPr>
          <w:rFonts w:ascii="Times New Roman" w:eastAsia="Times New Roman" w:hAnsi="Times New Roman" w:cs="Times New Roman"/>
          <w:sz w:val="24"/>
          <w:szCs w:val="24"/>
        </w:rPr>
      </w:pPr>
    </w:p>
    <w:p w14:paraId="0000001A" w14:textId="60CFFD0B" w:rsidR="008C4E09" w:rsidRPr="00CC40FA" w:rsidRDefault="00CC40FA">
      <w:pPr>
        <w:rPr>
          <w:rFonts w:ascii="Times New Roman" w:eastAsia="Times New Roman" w:hAnsi="Times New Roman" w:cs="Times New Roman"/>
          <w:highlight w:val="white"/>
        </w:rPr>
      </w:pPr>
      <w:r w:rsidRPr="00CC40FA">
        <w:rPr>
          <w:rFonts w:ascii="Times New Roman" w:eastAsia="Times New Roman" w:hAnsi="Times New Roman" w:cs="Times New Roman"/>
          <w:highlight w:val="white"/>
        </w:rPr>
        <w:t>Word count: 2178</w:t>
      </w:r>
    </w:p>
    <w:p w14:paraId="0000001B" w14:textId="77777777" w:rsidR="008C4E09" w:rsidRDefault="008C4E09">
      <w:pPr>
        <w:rPr>
          <w:rFonts w:ascii="Times New Roman" w:eastAsia="Times New Roman" w:hAnsi="Times New Roman" w:cs="Times New Roman"/>
          <w:sz w:val="24"/>
          <w:szCs w:val="24"/>
        </w:rPr>
      </w:pPr>
    </w:p>
    <w:p w14:paraId="0000001C" w14:textId="6784B93A" w:rsidR="008C4E09" w:rsidRDefault="00C55E3D" w:rsidP="00C55E3D">
      <w:pPr>
        <w:jc w:val="center"/>
        <w:rPr>
          <w:rFonts w:ascii="Times New Roman" w:eastAsia="Times New Roman" w:hAnsi="Times New Roman" w:cs="Times New Roman"/>
          <w:b/>
          <w:bCs/>
          <w:sz w:val="24"/>
          <w:szCs w:val="24"/>
          <w:u w:val="single"/>
        </w:rPr>
      </w:pPr>
      <w:r w:rsidRPr="00C55E3D">
        <w:rPr>
          <w:rFonts w:ascii="Times New Roman" w:eastAsia="Times New Roman" w:hAnsi="Times New Roman" w:cs="Times New Roman"/>
          <w:b/>
          <w:bCs/>
          <w:sz w:val="24"/>
          <w:szCs w:val="24"/>
          <w:u w:val="single"/>
        </w:rPr>
        <w:t>Bibliography</w:t>
      </w:r>
    </w:p>
    <w:p w14:paraId="69C2E645" w14:textId="7508DD19" w:rsidR="00C55E3D" w:rsidRPr="00CC40FA" w:rsidRDefault="00C55E3D" w:rsidP="00C55E3D">
      <w:pPr>
        <w:jc w:val="center"/>
        <w:rPr>
          <w:rFonts w:ascii="Times New Roman" w:eastAsia="Times New Roman" w:hAnsi="Times New Roman" w:cs="Times New Roman"/>
          <w:sz w:val="24"/>
          <w:szCs w:val="24"/>
          <w:u w:val="single"/>
        </w:rPr>
      </w:pPr>
    </w:p>
    <w:p w14:paraId="701707D5" w14:textId="43E6582B" w:rsidR="00C55E3D" w:rsidRPr="00CC40FA" w:rsidRDefault="00C55E3D" w:rsidP="00C55E3D">
      <w:pPr>
        <w:jc w:val="center"/>
        <w:rPr>
          <w:rFonts w:ascii="Times New Roman" w:eastAsia="Times New Roman" w:hAnsi="Times New Roman" w:cs="Times New Roman"/>
          <w:sz w:val="24"/>
          <w:szCs w:val="24"/>
          <w:u w:val="single"/>
        </w:rPr>
      </w:pPr>
      <w:r w:rsidRPr="00CC40FA">
        <w:rPr>
          <w:rFonts w:ascii="Times New Roman" w:eastAsia="Times New Roman" w:hAnsi="Times New Roman" w:cs="Times New Roman"/>
          <w:sz w:val="24"/>
          <w:szCs w:val="24"/>
          <w:u w:val="single"/>
        </w:rPr>
        <w:t>Primary Sources</w:t>
      </w:r>
    </w:p>
    <w:p w14:paraId="76D13AD7" w14:textId="77777777" w:rsidR="00C55E3D" w:rsidRDefault="00C55E3D" w:rsidP="00C55E3D">
      <w:pPr>
        <w:jc w:val="center"/>
        <w:rPr>
          <w:rFonts w:ascii="Times New Roman" w:eastAsia="Times New Roman" w:hAnsi="Times New Roman" w:cs="Times New Roman"/>
          <w:b/>
          <w:bCs/>
          <w:sz w:val="24"/>
          <w:szCs w:val="24"/>
          <w:u w:val="single"/>
        </w:rPr>
      </w:pPr>
    </w:p>
    <w:p w14:paraId="727888C1" w14:textId="77777777" w:rsidR="00C55E3D" w:rsidRDefault="00C55E3D" w:rsidP="00C55E3D">
      <w:pPr>
        <w:widowControl w:val="0"/>
        <w:pBdr>
          <w:top w:val="nil"/>
          <w:left w:val="nil"/>
          <w:bottom w:val="nil"/>
          <w:right w:val="nil"/>
          <w:between w:val="nil"/>
        </w:pBdr>
        <w:spacing w:line="480" w:lineRule="auto"/>
        <w:ind w:left="200" w:hanging="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Iamblichus, Clarke, Emma C., Dillon, John M., </w:t>
      </w:r>
      <w:proofErr w:type="spellStart"/>
      <w:r>
        <w:rPr>
          <w:rFonts w:ascii="Times New Roman" w:eastAsia="Times New Roman" w:hAnsi="Times New Roman" w:cs="Times New Roman"/>
          <w:sz w:val="24"/>
          <w:szCs w:val="24"/>
        </w:rPr>
        <w:t>Hershbell</w:t>
      </w:r>
      <w:proofErr w:type="spellEnd"/>
      <w:r>
        <w:rPr>
          <w:rFonts w:ascii="Times New Roman" w:eastAsia="Times New Roman" w:hAnsi="Times New Roman" w:cs="Times New Roman"/>
          <w:sz w:val="24"/>
          <w:szCs w:val="24"/>
        </w:rPr>
        <w:t xml:space="preserve">, Jackson </w:t>
      </w:r>
      <w:proofErr w:type="gramStart"/>
      <w:r>
        <w:rPr>
          <w:rFonts w:ascii="Times New Roman" w:eastAsia="Times New Roman" w:hAnsi="Times New Roman" w:cs="Times New Roman"/>
          <w:sz w:val="24"/>
          <w:szCs w:val="24"/>
        </w:rPr>
        <w:t>P.,,</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De </w:t>
      </w:r>
      <w:proofErr w:type="spellStart"/>
      <w:r>
        <w:rPr>
          <w:rFonts w:ascii="Times New Roman" w:eastAsia="Times New Roman" w:hAnsi="Times New Roman" w:cs="Times New Roman"/>
          <w:i/>
          <w:sz w:val="24"/>
          <w:szCs w:val="24"/>
        </w:rPr>
        <w:t>Mysteriis</w:t>
      </w:r>
      <w:proofErr w:type="spellEnd"/>
      <w:r>
        <w:rPr>
          <w:rFonts w:ascii="Times New Roman" w:eastAsia="Times New Roman" w:hAnsi="Times New Roman" w:cs="Times New Roman"/>
          <w:sz w:val="24"/>
          <w:szCs w:val="24"/>
        </w:rPr>
        <w:t xml:space="preserve"> (Atlanta: Society of Biblical Literature, 2003)</w:t>
      </w:r>
      <w:r>
        <w:rPr>
          <w:rFonts w:ascii="Times New Roman" w:eastAsia="Times New Roman" w:hAnsi="Times New Roman" w:cs="Times New Roman"/>
          <w:i/>
          <w:sz w:val="24"/>
          <w:szCs w:val="24"/>
        </w:rPr>
        <w:t>, in /z-</w:t>
      </w:r>
      <w:proofErr w:type="spellStart"/>
      <w:r>
        <w:rPr>
          <w:rFonts w:ascii="Times New Roman" w:eastAsia="Times New Roman" w:hAnsi="Times New Roman" w:cs="Times New Roman"/>
          <w:i/>
          <w:sz w:val="24"/>
          <w:szCs w:val="24"/>
        </w:rPr>
        <w:t>wcorg</w:t>
      </w:r>
      <w:proofErr w:type="spellEnd"/>
      <w:r>
        <w:rPr>
          <w:rFonts w:ascii="Times New Roman" w:eastAsia="Times New Roman" w:hAnsi="Times New Roman" w:cs="Times New Roman"/>
          <w:i/>
          <w:sz w:val="24"/>
          <w:szCs w:val="24"/>
        </w:rPr>
        <w:t>/</w:t>
      </w:r>
    </w:p>
    <w:p w14:paraId="30FAE4AA" w14:textId="77777777" w:rsidR="00C55E3D" w:rsidRDefault="00C55E3D" w:rsidP="00C55E3D">
      <w:pPr>
        <w:widowControl w:val="0"/>
        <w:pBdr>
          <w:top w:val="nil"/>
          <w:left w:val="nil"/>
          <w:bottom w:val="nil"/>
          <w:right w:val="nil"/>
          <w:between w:val="nil"/>
        </w:pBdr>
        <w:spacing w:line="480" w:lineRule="auto"/>
        <w:ind w:left="200" w:hanging="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Lao-Tzu, </w:t>
      </w:r>
      <w:r>
        <w:rPr>
          <w:rFonts w:ascii="Times New Roman" w:eastAsia="Times New Roman" w:hAnsi="Times New Roman" w:cs="Times New Roman"/>
          <w:i/>
          <w:sz w:val="24"/>
          <w:szCs w:val="24"/>
        </w:rPr>
        <w:t xml:space="preserve">Tao </w:t>
      </w:r>
      <w:proofErr w:type="spellStart"/>
      <w:r>
        <w:rPr>
          <w:rFonts w:ascii="Times New Roman" w:eastAsia="Times New Roman" w:hAnsi="Times New Roman" w:cs="Times New Roman"/>
          <w:i/>
          <w:sz w:val="24"/>
          <w:szCs w:val="24"/>
        </w:rPr>
        <w:t>Te</w:t>
      </w:r>
      <w:proofErr w:type="spellEnd"/>
      <w:r>
        <w:rPr>
          <w:rFonts w:ascii="Times New Roman" w:eastAsia="Times New Roman" w:hAnsi="Times New Roman" w:cs="Times New Roman"/>
          <w:i/>
          <w:sz w:val="24"/>
          <w:szCs w:val="24"/>
        </w:rPr>
        <w:t xml:space="preserve"> Ching</w:t>
      </w:r>
      <w:r>
        <w:rPr>
          <w:rFonts w:ascii="Times New Roman" w:eastAsia="Times New Roman" w:hAnsi="Times New Roman" w:cs="Times New Roman"/>
          <w:sz w:val="24"/>
          <w:szCs w:val="24"/>
        </w:rPr>
        <w:t>, trans. by J. H. Macdonald (1996)</w:t>
      </w:r>
    </w:p>
    <w:p w14:paraId="23758500" w14:textId="6E7C1329" w:rsidR="00C55E3D" w:rsidRDefault="00C55E3D" w:rsidP="00C55E3D">
      <w:pPr>
        <w:widowControl w:val="0"/>
        <w:pBdr>
          <w:top w:val="nil"/>
          <w:left w:val="nil"/>
          <w:bottom w:val="nil"/>
          <w:right w:val="nil"/>
          <w:between w:val="nil"/>
        </w:pBdr>
        <w:spacing w:line="480" w:lineRule="auto"/>
        <w:ind w:left="200" w:hanging="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Van Gogh, Vincent, </w:t>
      </w:r>
      <w:r>
        <w:rPr>
          <w:rFonts w:ascii="Times New Roman" w:eastAsia="Times New Roman" w:hAnsi="Times New Roman" w:cs="Times New Roman"/>
          <w:i/>
          <w:sz w:val="24"/>
          <w:szCs w:val="24"/>
        </w:rPr>
        <w:t>The Letters of Vincent Van Gogh</w:t>
      </w:r>
      <w:r>
        <w:rPr>
          <w:rFonts w:ascii="Times New Roman" w:eastAsia="Times New Roman" w:hAnsi="Times New Roman" w:cs="Times New Roman"/>
          <w:sz w:val="24"/>
          <w:szCs w:val="24"/>
        </w:rPr>
        <w:t xml:space="preserve">, trans. by Arnold </w:t>
      </w:r>
      <w:proofErr w:type="spellStart"/>
      <w:r>
        <w:rPr>
          <w:rFonts w:ascii="Times New Roman" w:eastAsia="Times New Roman" w:hAnsi="Times New Roman" w:cs="Times New Roman"/>
          <w:sz w:val="24"/>
          <w:szCs w:val="24"/>
        </w:rPr>
        <w:t>Pomerans</w:t>
      </w:r>
      <w:proofErr w:type="spellEnd"/>
      <w:r>
        <w:rPr>
          <w:rFonts w:ascii="Times New Roman" w:eastAsia="Times New Roman" w:hAnsi="Times New Roman" w:cs="Times New Roman"/>
          <w:sz w:val="24"/>
          <w:szCs w:val="24"/>
        </w:rPr>
        <w:t xml:space="preserve"> (London: Penguin Books Limited, 1997)</w:t>
      </w:r>
    </w:p>
    <w:p w14:paraId="28F7F4A5" w14:textId="4B0CC4CA" w:rsidR="00C55E3D" w:rsidRPr="00CC40FA" w:rsidRDefault="00C55E3D" w:rsidP="00C55E3D">
      <w:pPr>
        <w:widowControl w:val="0"/>
        <w:pBdr>
          <w:top w:val="nil"/>
          <w:left w:val="nil"/>
          <w:bottom w:val="nil"/>
          <w:right w:val="nil"/>
          <w:between w:val="nil"/>
        </w:pBdr>
        <w:spacing w:line="480" w:lineRule="auto"/>
        <w:ind w:left="200" w:hanging="200"/>
        <w:jc w:val="center"/>
        <w:rPr>
          <w:rFonts w:ascii="Times New Roman" w:eastAsia="Times New Roman" w:hAnsi="Times New Roman" w:cs="Times New Roman"/>
          <w:sz w:val="24"/>
          <w:szCs w:val="24"/>
          <w:u w:val="single"/>
        </w:rPr>
      </w:pPr>
      <w:r w:rsidRPr="00CC40FA">
        <w:rPr>
          <w:rFonts w:ascii="Times New Roman" w:eastAsia="Times New Roman" w:hAnsi="Times New Roman" w:cs="Times New Roman"/>
          <w:sz w:val="24"/>
          <w:szCs w:val="24"/>
          <w:u w:val="single"/>
        </w:rPr>
        <w:t>Secondary Sources</w:t>
      </w:r>
    </w:p>
    <w:p w14:paraId="4BE0BE44" w14:textId="77777777" w:rsidR="00C55E3D" w:rsidRPr="00C55E3D" w:rsidRDefault="00C55E3D" w:rsidP="00C55E3D">
      <w:pPr>
        <w:jc w:val="center"/>
        <w:rPr>
          <w:rFonts w:ascii="Times New Roman" w:eastAsia="Times New Roman" w:hAnsi="Times New Roman" w:cs="Times New Roman"/>
          <w:b/>
          <w:bCs/>
          <w:sz w:val="24"/>
          <w:szCs w:val="24"/>
          <w:u w:val="single"/>
        </w:rPr>
      </w:pPr>
    </w:p>
    <w:p w14:paraId="0000001D" w14:textId="69717BE0" w:rsidR="008C4E09" w:rsidRDefault="00000000">
      <w:pPr>
        <w:widowControl w:val="0"/>
        <w:pBdr>
          <w:top w:val="nil"/>
          <w:left w:val="nil"/>
          <w:bottom w:val="nil"/>
          <w:right w:val="nil"/>
          <w:between w:val="nil"/>
        </w:pBdr>
        <w:spacing w:line="480" w:lineRule="auto"/>
        <w:ind w:left="200" w:hanging="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Abram, David, </w:t>
      </w:r>
      <w:r>
        <w:rPr>
          <w:rFonts w:ascii="Times New Roman" w:eastAsia="Times New Roman" w:hAnsi="Times New Roman" w:cs="Times New Roman"/>
          <w:i/>
          <w:sz w:val="24"/>
          <w:szCs w:val="24"/>
        </w:rPr>
        <w:t xml:space="preserve">The Spell of the </w:t>
      </w:r>
      <w:r w:rsidR="002C15A7">
        <w:rPr>
          <w:rFonts w:ascii="Times New Roman" w:eastAsia="Times New Roman" w:hAnsi="Times New Roman" w:cs="Times New Roman"/>
          <w:i/>
          <w:sz w:val="24"/>
          <w:szCs w:val="24"/>
        </w:rPr>
        <w:t>Sensuous:</w:t>
      </w:r>
      <w:r>
        <w:rPr>
          <w:rFonts w:ascii="Times New Roman" w:eastAsia="Times New Roman" w:hAnsi="Times New Roman" w:cs="Times New Roman"/>
          <w:i/>
          <w:sz w:val="24"/>
          <w:szCs w:val="24"/>
        </w:rPr>
        <w:t xml:space="preserve"> Perception and Language in a More-than-Human World</w:t>
      </w:r>
      <w:r>
        <w:rPr>
          <w:rFonts w:ascii="Times New Roman" w:eastAsia="Times New Roman" w:hAnsi="Times New Roman" w:cs="Times New Roman"/>
          <w:sz w:val="24"/>
          <w:szCs w:val="24"/>
        </w:rPr>
        <w:t xml:space="preserve"> (New York: Vintage Books, 1997)</w:t>
      </w:r>
    </w:p>
    <w:p w14:paraId="0000001E" w14:textId="77777777" w:rsidR="008C4E09" w:rsidRDefault="00000000">
      <w:pPr>
        <w:widowControl w:val="0"/>
        <w:pBdr>
          <w:top w:val="nil"/>
          <w:left w:val="nil"/>
          <w:bottom w:val="nil"/>
          <w:right w:val="nil"/>
          <w:between w:val="nil"/>
        </w:pBdr>
        <w:spacing w:line="480" w:lineRule="auto"/>
        <w:ind w:left="200" w:hanging="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Bennett, Jane, </w:t>
      </w:r>
      <w:r>
        <w:rPr>
          <w:rFonts w:ascii="Times New Roman" w:eastAsia="Times New Roman" w:hAnsi="Times New Roman" w:cs="Times New Roman"/>
          <w:i/>
          <w:sz w:val="24"/>
          <w:szCs w:val="24"/>
        </w:rPr>
        <w:t>The Enchantment of Modern Life; Attachments, Crossings, and Ethics</w:t>
      </w:r>
      <w:r>
        <w:rPr>
          <w:rFonts w:ascii="Times New Roman" w:eastAsia="Times New Roman" w:hAnsi="Times New Roman" w:cs="Times New Roman"/>
          <w:sz w:val="24"/>
          <w:szCs w:val="24"/>
        </w:rPr>
        <w:t xml:space="preserve"> (Princeton University Press, 2001)</w:t>
      </w:r>
      <w:r>
        <w:rPr>
          <w:rFonts w:ascii="Times New Roman" w:eastAsia="Times New Roman" w:hAnsi="Times New Roman" w:cs="Times New Roman"/>
          <w:i/>
          <w:sz w:val="24"/>
          <w:szCs w:val="24"/>
        </w:rPr>
        <w:t>, in JSTOR</w:t>
      </w:r>
      <w:r>
        <w:rPr>
          <w:rFonts w:ascii="Times New Roman" w:eastAsia="Times New Roman" w:hAnsi="Times New Roman" w:cs="Times New Roman"/>
          <w:sz w:val="24"/>
          <w:szCs w:val="24"/>
        </w:rPr>
        <w:t xml:space="preserve"> &lt;http://www.jstor.org/stable/j.ctt1ggjkxq&gt;</w:t>
      </w:r>
    </w:p>
    <w:p w14:paraId="0000001F" w14:textId="4BF49575" w:rsidR="008C4E09" w:rsidRDefault="00000000">
      <w:pPr>
        <w:widowControl w:val="0"/>
        <w:pBdr>
          <w:top w:val="nil"/>
          <w:left w:val="nil"/>
          <w:bottom w:val="nil"/>
          <w:right w:val="nil"/>
          <w:between w:val="nil"/>
        </w:pBdr>
        <w:spacing w:line="480" w:lineRule="auto"/>
        <w:ind w:left="200" w:hanging="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Curry, Patrick, </w:t>
      </w:r>
      <w:r>
        <w:rPr>
          <w:rFonts w:ascii="Times New Roman" w:eastAsia="Times New Roman" w:hAnsi="Times New Roman" w:cs="Times New Roman"/>
          <w:i/>
          <w:sz w:val="24"/>
          <w:szCs w:val="24"/>
        </w:rPr>
        <w:t xml:space="preserve">Enchantment; Wonder in Modern </w:t>
      </w:r>
      <w:r w:rsidR="00C55E3D">
        <w:rPr>
          <w:rFonts w:ascii="Times New Roman" w:eastAsia="Times New Roman" w:hAnsi="Times New Roman" w:cs="Times New Roman"/>
          <w:i/>
          <w:sz w:val="24"/>
          <w:szCs w:val="24"/>
        </w:rPr>
        <w:t>Life (</w:t>
      </w:r>
      <w:r>
        <w:rPr>
          <w:rFonts w:ascii="Times New Roman" w:eastAsia="Times New Roman" w:hAnsi="Times New Roman" w:cs="Times New Roman"/>
          <w:sz w:val="24"/>
          <w:szCs w:val="24"/>
        </w:rPr>
        <w:t>Floris Books, 2019)</w:t>
      </w:r>
    </w:p>
    <w:p w14:paraId="00000020" w14:textId="77777777" w:rsidR="008C4E09" w:rsidRDefault="00000000">
      <w:pPr>
        <w:widowControl w:val="0"/>
        <w:pBdr>
          <w:top w:val="nil"/>
          <w:left w:val="nil"/>
          <w:bottom w:val="nil"/>
          <w:right w:val="nil"/>
          <w:between w:val="nil"/>
        </w:pBdr>
        <w:spacing w:line="480" w:lineRule="auto"/>
        <w:ind w:left="200" w:hanging="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Fisher, Phillip, </w:t>
      </w:r>
      <w:r>
        <w:rPr>
          <w:rFonts w:ascii="Times New Roman" w:eastAsia="Times New Roman" w:hAnsi="Times New Roman" w:cs="Times New Roman"/>
          <w:i/>
          <w:sz w:val="24"/>
          <w:szCs w:val="24"/>
        </w:rPr>
        <w:t>Wonder, the Rainbow, and the Aesthetics of Rare Experiences</w:t>
      </w:r>
      <w:r>
        <w:rPr>
          <w:rFonts w:ascii="Times New Roman" w:eastAsia="Times New Roman" w:hAnsi="Times New Roman" w:cs="Times New Roman"/>
          <w:sz w:val="24"/>
          <w:szCs w:val="24"/>
        </w:rPr>
        <w:t xml:space="preserve"> (Cambridge, Massachusetts, and London, England: Harvard University Press, 1998)</w:t>
      </w:r>
    </w:p>
    <w:p w14:paraId="00000023" w14:textId="77777777" w:rsidR="008C4E09" w:rsidRDefault="00000000">
      <w:pPr>
        <w:widowControl w:val="0"/>
        <w:pBdr>
          <w:top w:val="nil"/>
          <w:left w:val="nil"/>
          <w:bottom w:val="nil"/>
          <w:right w:val="nil"/>
          <w:between w:val="nil"/>
        </w:pBdr>
        <w:spacing w:line="480" w:lineRule="auto"/>
        <w:ind w:left="200" w:hanging="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Taylor, Charles, </w:t>
      </w:r>
      <w:r>
        <w:rPr>
          <w:rFonts w:ascii="Times New Roman" w:eastAsia="Times New Roman" w:hAnsi="Times New Roman" w:cs="Times New Roman"/>
          <w:i/>
          <w:sz w:val="24"/>
          <w:szCs w:val="24"/>
        </w:rPr>
        <w:t>A Secular Age</w:t>
      </w:r>
      <w:r>
        <w:rPr>
          <w:rFonts w:ascii="Times New Roman" w:eastAsia="Times New Roman" w:hAnsi="Times New Roman" w:cs="Times New Roman"/>
          <w:sz w:val="24"/>
          <w:szCs w:val="24"/>
        </w:rPr>
        <w:t xml:space="preserve"> (Cambridge, Massachusetts, and London, England: The </w:t>
      </w:r>
      <w:proofErr w:type="spellStart"/>
      <w:r>
        <w:rPr>
          <w:rFonts w:ascii="Times New Roman" w:eastAsia="Times New Roman" w:hAnsi="Times New Roman" w:cs="Times New Roman"/>
          <w:sz w:val="24"/>
          <w:szCs w:val="24"/>
        </w:rPr>
        <w:t>Belknap</w:t>
      </w:r>
      <w:proofErr w:type="spellEnd"/>
      <w:r>
        <w:rPr>
          <w:rFonts w:ascii="Times New Roman" w:eastAsia="Times New Roman" w:hAnsi="Times New Roman" w:cs="Times New Roman"/>
          <w:sz w:val="24"/>
          <w:szCs w:val="24"/>
        </w:rPr>
        <w:t xml:space="preserve"> Press of Harvard University Press, 2007)</w:t>
      </w:r>
    </w:p>
    <w:p w14:paraId="00000025" w14:textId="77777777" w:rsidR="008C4E09" w:rsidRDefault="00000000">
      <w:pPr>
        <w:widowControl w:val="0"/>
        <w:pBdr>
          <w:top w:val="nil"/>
          <w:left w:val="nil"/>
          <w:bottom w:val="nil"/>
          <w:right w:val="nil"/>
          <w:between w:val="nil"/>
        </w:pBdr>
        <w:spacing w:line="480" w:lineRule="auto"/>
        <w:ind w:left="200" w:hanging="20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Willis, Roy and Patrick Curry, </w:t>
      </w:r>
      <w:r>
        <w:rPr>
          <w:rFonts w:ascii="Times New Roman" w:eastAsia="Times New Roman" w:hAnsi="Times New Roman" w:cs="Times New Roman"/>
          <w:i/>
          <w:sz w:val="24"/>
          <w:szCs w:val="24"/>
        </w:rPr>
        <w:t>Astrology, Science and Culture Pulling Down the Moon</w:t>
      </w:r>
      <w:r>
        <w:rPr>
          <w:rFonts w:ascii="Times New Roman" w:eastAsia="Times New Roman" w:hAnsi="Times New Roman" w:cs="Times New Roman"/>
          <w:sz w:val="24"/>
          <w:szCs w:val="24"/>
        </w:rPr>
        <w:t xml:space="preserve"> (Oxford, New York: Berg, 2004)</w:t>
      </w:r>
    </w:p>
    <w:sectPr w:rsidR="008C4E09" w:rsidSect="00FB587F">
      <w:type w:val="continuous"/>
      <w:pgSz w:w="11909" w:h="16834"/>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3B8853" w14:textId="77777777" w:rsidR="00595CD7" w:rsidRDefault="00595CD7">
      <w:pPr>
        <w:spacing w:line="240" w:lineRule="auto"/>
      </w:pPr>
      <w:r>
        <w:separator/>
      </w:r>
    </w:p>
  </w:endnote>
  <w:endnote w:type="continuationSeparator" w:id="0">
    <w:p w14:paraId="0C279168" w14:textId="77777777" w:rsidR="00595CD7" w:rsidRDefault="00595C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7CA03" w14:textId="77777777" w:rsidR="00595CD7" w:rsidRDefault="00595CD7">
      <w:pPr>
        <w:spacing w:line="240" w:lineRule="auto"/>
      </w:pPr>
      <w:r>
        <w:separator/>
      </w:r>
    </w:p>
  </w:footnote>
  <w:footnote w:type="continuationSeparator" w:id="0">
    <w:p w14:paraId="3C0C042B" w14:textId="77777777" w:rsidR="00595CD7" w:rsidRDefault="00595CD7">
      <w:pPr>
        <w:spacing w:line="240" w:lineRule="auto"/>
      </w:pPr>
      <w:r>
        <w:continuationSeparator/>
      </w:r>
    </w:p>
  </w:footnote>
  <w:footnote w:id="1">
    <w:p w14:paraId="00000026" w14:textId="4A1E04F9"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Vincent Van Gogh, </w:t>
      </w:r>
      <w:r w:rsidRPr="002512BF">
        <w:rPr>
          <w:rFonts w:ascii="Times New Roman" w:eastAsia="Times New Roman" w:hAnsi="Times New Roman" w:cs="Times New Roman"/>
          <w:i/>
          <w:sz w:val="20"/>
          <w:szCs w:val="20"/>
        </w:rPr>
        <w:t>The Letters of Vincent Van Gogh</w:t>
      </w:r>
      <w:r w:rsidRPr="002512BF">
        <w:rPr>
          <w:rFonts w:ascii="Times New Roman" w:eastAsia="Times New Roman" w:hAnsi="Times New Roman" w:cs="Times New Roman"/>
          <w:sz w:val="20"/>
          <w:szCs w:val="20"/>
        </w:rPr>
        <w:t xml:space="preserve">, ed. by Ronald de </w:t>
      </w:r>
      <w:r w:rsidR="001132EA" w:rsidRPr="002512BF">
        <w:rPr>
          <w:rFonts w:ascii="Times New Roman" w:eastAsia="Times New Roman" w:hAnsi="Times New Roman" w:cs="Times New Roman"/>
          <w:sz w:val="20"/>
          <w:szCs w:val="20"/>
        </w:rPr>
        <w:t>Leeuw</w:t>
      </w:r>
      <w:r w:rsidRPr="002512BF">
        <w:rPr>
          <w:rFonts w:ascii="Times New Roman" w:eastAsia="Times New Roman" w:hAnsi="Times New Roman" w:cs="Times New Roman"/>
          <w:sz w:val="20"/>
          <w:szCs w:val="20"/>
        </w:rPr>
        <w:t xml:space="preserve">, trans. by Arnold </w:t>
      </w:r>
      <w:proofErr w:type="spellStart"/>
      <w:r w:rsidRPr="002512BF">
        <w:rPr>
          <w:rFonts w:ascii="Times New Roman" w:eastAsia="Times New Roman" w:hAnsi="Times New Roman" w:cs="Times New Roman"/>
          <w:sz w:val="20"/>
          <w:szCs w:val="20"/>
        </w:rPr>
        <w:t>Pomerans</w:t>
      </w:r>
      <w:proofErr w:type="spellEnd"/>
      <w:r w:rsidRPr="002512BF">
        <w:rPr>
          <w:rFonts w:ascii="Times New Roman" w:eastAsia="Times New Roman" w:hAnsi="Times New Roman" w:cs="Times New Roman"/>
          <w:sz w:val="20"/>
          <w:szCs w:val="20"/>
        </w:rPr>
        <w:t xml:space="preserve"> (London: Penguin Books Limited, 1997). </w:t>
      </w:r>
      <w:r w:rsidR="008D1FC8" w:rsidRPr="002512BF">
        <w:rPr>
          <w:rFonts w:ascii="Times New Roman" w:eastAsia="Times New Roman" w:hAnsi="Times New Roman" w:cs="Times New Roman"/>
          <w:sz w:val="20"/>
          <w:szCs w:val="20"/>
        </w:rPr>
        <w:t>pg.</w:t>
      </w:r>
      <w:r w:rsidRPr="002512BF">
        <w:rPr>
          <w:rFonts w:ascii="Times New Roman" w:eastAsia="Times New Roman" w:hAnsi="Times New Roman" w:cs="Times New Roman"/>
          <w:sz w:val="20"/>
          <w:szCs w:val="20"/>
        </w:rPr>
        <w:t xml:space="preserve"> </w:t>
      </w:r>
      <w:r w:rsidR="008D1FC8" w:rsidRPr="002512BF">
        <w:rPr>
          <w:rFonts w:ascii="Times New Roman" w:eastAsia="Times New Roman" w:hAnsi="Times New Roman" w:cs="Times New Roman"/>
          <w:sz w:val="20"/>
          <w:szCs w:val="20"/>
        </w:rPr>
        <w:t>55</w:t>
      </w:r>
      <w:r w:rsidRPr="002512BF">
        <w:rPr>
          <w:rFonts w:ascii="Times New Roman" w:eastAsia="Times New Roman" w:hAnsi="Times New Roman" w:cs="Times New Roman"/>
          <w:sz w:val="20"/>
          <w:szCs w:val="20"/>
        </w:rPr>
        <w:t>392.</w:t>
      </w:r>
    </w:p>
  </w:footnote>
  <w:footnote w:id="2">
    <w:p w14:paraId="00000027" w14:textId="77777777"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Charles Taylor, </w:t>
      </w:r>
      <w:r w:rsidRPr="002512BF">
        <w:rPr>
          <w:rFonts w:ascii="Times New Roman" w:eastAsia="Times New Roman" w:hAnsi="Times New Roman" w:cs="Times New Roman"/>
          <w:i/>
          <w:sz w:val="20"/>
          <w:szCs w:val="20"/>
        </w:rPr>
        <w:t>A Secular Age</w:t>
      </w:r>
      <w:r w:rsidRPr="002512BF">
        <w:rPr>
          <w:rFonts w:ascii="Times New Roman" w:eastAsia="Times New Roman" w:hAnsi="Times New Roman" w:cs="Times New Roman"/>
          <w:sz w:val="20"/>
          <w:szCs w:val="20"/>
        </w:rPr>
        <w:t xml:space="preserve"> (Cambridge, Massachusetts, and London, England: The </w:t>
      </w:r>
      <w:proofErr w:type="spellStart"/>
      <w:r w:rsidRPr="002512BF">
        <w:rPr>
          <w:rFonts w:ascii="Times New Roman" w:eastAsia="Times New Roman" w:hAnsi="Times New Roman" w:cs="Times New Roman"/>
          <w:sz w:val="20"/>
          <w:szCs w:val="20"/>
        </w:rPr>
        <w:t>Belknap</w:t>
      </w:r>
      <w:proofErr w:type="spellEnd"/>
      <w:r w:rsidRPr="002512BF">
        <w:rPr>
          <w:rFonts w:ascii="Times New Roman" w:eastAsia="Times New Roman" w:hAnsi="Times New Roman" w:cs="Times New Roman"/>
          <w:sz w:val="20"/>
          <w:szCs w:val="20"/>
        </w:rPr>
        <w:t xml:space="preserve"> Press of Harvard University Press, 2007). Pg 40.</w:t>
      </w:r>
    </w:p>
  </w:footnote>
  <w:footnote w:id="3">
    <w:p w14:paraId="00000028" w14:textId="7AC40145"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Patrick Curry, </w:t>
      </w:r>
      <w:r w:rsidRPr="002512BF">
        <w:rPr>
          <w:rFonts w:ascii="Times New Roman" w:eastAsia="Times New Roman" w:hAnsi="Times New Roman" w:cs="Times New Roman"/>
          <w:i/>
          <w:sz w:val="20"/>
          <w:szCs w:val="20"/>
        </w:rPr>
        <w:t xml:space="preserve">Enchantment; Wonder in Modern </w:t>
      </w:r>
      <w:r w:rsidR="001132EA" w:rsidRPr="002512BF">
        <w:rPr>
          <w:rFonts w:ascii="Times New Roman" w:eastAsia="Times New Roman" w:hAnsi="Times New Roman" w:cs="Times New Roman"/>
          <w:i/>
          <w:sz w:val="20"/>
          <w:szCs w:val="20"/>
        </w:rPr>
        <w:t>Life (</w:t>
      </w:r>
      <w:r w:rsidRPr="002512BF">
        <w:rPr>
          <w:rFonts w:ascii="Times New Roman" w:eastAsia="Times New Roman" w:hAnsi="Times New Roman" w:cs="Times New Roman"/>
          <w:sz w:val="20"/>
          <w:szCs w:val="20"/>
        </w:rPr>
        <w:t xml:space="preserve">Floris Books, 2019). Pg. 6. </w:t>
      </w:r>
    </w:p>
  </w:footnote>
  <w:footnote w:id="4">
    <w:p w14:paraId="0000002A" w14:textId="77777777"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Phillip Fisher, </w:t>
      </w:r>
      <w:r w:rsidRPr="002512BF">
        <w:rPr>
          <w:rFonts w:ascii="Times New Roman" w:eastAsia="Times New Roman" w:hAnsi="Times New Roman" w:cs="Times New Roman"/>
          <w:i/>
          <w:sz w:val="20"/>
          <w:szCs w:val="20"/>
        </w:rPr>
        <w:t>Wonder, the Rainbow, and the Aesthetics of Rare Experiences</w:t>
      </w:r>
      <w:r w:rsidRPr="002512BF">
        <w:rPr>
          <w:rFonts w:ascii="Times New Roman" w:eastAsia="Times New Roman" w:hAnsi="Times New Roman" w:cs="Times New Roman"/>
          <w:sz w:val="20"/>
          <w:szCs w:val="20"/>
        </w:rPr>
        <w:t xml:space="preserve"> (Cambridge, Massachusetts, and London, England: Harvard University Press, 1998). Pg. 128. </w:t>
      </w:r>
    </w:p>
  </w:footnote>
  <w:footnote w:id="5">
    <w:p w14:paraId="0000002C" w14:textId="70FC17E8"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Patrick </w:t>
      </w:r>
      <w:r w:rsidR="001132EA" w:rsidRPr="002512BF">
        <w:rPr>
          <w:rFonts w:ascii="Times New Roman" w:eastAsia="Times New Roman" w:hAnsi="Times New Roman" w:cs="Times New Roman"/>
          <w:sz w:val="20"/>
          <w:szCs w:val="20"/>
        </w:rPr>
        <w:t>Curry, pg.</w:t>
      </w:r>
      <w:r w:rsidRPr="002512BF">
        <w:rPr>
          <w:rFonts w:ascii="Times New Roman" w:eastAsia="Times New Roman" w:hAnsi="Times New Roman" w:cs="Times New Roman"/>
          <w:sz w:val="20"/>
          <w:szCs w:val="20"/>
        </w:rPr>
        <w:t xml:space="preserve"> 18. </w:t>
      </w:r>
    </w:p>
  </w:footnote>
  <w:footnote w:id="6">
    <w:p w14:paraId="0FA13518" w14:textId="67DD4B28" w:rsidR="002512BF" w:rsidRPr="002512BF" w:rsidRDefault="002512BF">
      <w:pPr>
        <w:pStyle w:val="FootnoteText"/>
        <w:rPr>
          <w:rFonts w:ascii="Times New Roman" w:hAnsi="Times New Roman" w:cs="Times New Roman"/>
          <w:i/>
          <w:iCs/>
          <w:lang w:val="en-US"/>
        </w:rPr>
      </w:pPr>
      <w:r w:rsidRPr="002512BF">
        <w:rPr>
          <w:rStyle w:val="FootnoteReference"/>
          <w:rFonts w:ascii="Times New Roman" w:hAnsi="Times New Roman" w:cs="Times New Roman"/>
        </w:rPr>
        <w:footnoteRef/>
      </w:r>
      <w:r w:rsidRPr="002512BF">
        <w:rPr>
          <w:rFonts w:ascii="Times New Roman" w:hAnsi="Times New Roman" w:cs="Times New Roman"/>
        </w:rPr>
        <w:t xml:space="preserve"> </w:t>
      </w:r>
      <w:r w:rsidRPr="002512BF">
        <w:rPr>
          <w:rFonts w:ascii="Times New Roman" w:hAnsi="Times New Roman" w:cs="Times New Roman"/>
          <w:i/>
          <w:iCs/>
          <w:lang w:val="en-US"/>
        </w:rPr>
        <w:t>See fig</w:t>
      </w:r>
      <w:r w:rsidR="006D28DC">
        <w:rPr>
          <w:rFonts w:ascii="Times New Roman" w:hAnsi="Times New Roman" w:cs="Times New Roman"/>
          <w:i/>
          <w:iCs/>
          <w:lang w:val="en-US"/>
        </w:rPr>
        <w:t>ure 1.</w:t>
      </w:r>
    </w:p>
  </w:footnote>
  <w:footnote w:id="7">
    <w:p w14:paraId="334100E6" w14:textId="1DB29A7C" w:rsidR="002512BF" w:rsidRPr="002512BF" w:rsidRDefault="002512BF">
      <w:pPr>
        <w:pStyle w:val="FootnoteText"/>
        <w:rPr>
          <w:rFonts w:ascii="Times New Roman" w:hAnsi="Times New Roman" w:cs="Times New Roman"/>
          <w:i/>
          <w:iCs/>
          <w:lang w:val="en-US"/>
        </w:rPr>
      </w:pPr>
      <w:r>
        <w:rPr>
          <w:rStyle w:val="FootnoteReference"/>
        </w:rPr>
        <w:footnoteRef/>
      </w:r>
      <w:r>
        <w:t xml:space="preserve"> </w:t>
      </w:r>
      <w:r>
        <w:rPr>
          <w:rFonts w:ascii="Times New Roman" w:hAnsi="Times New Roman" w:cs="Times New Roman"/>
          <w:i/>
          <w:iCs/>
        </w:rPr>
        <w:t>See fig</w:t>
      </w:r>
      <w:r w:rsidR="006D28DC">
        <w:rPr>
          <w:rFonts w:ascii="Times New Roman" w:hAnsi="Times New Roman" w:cs="Times New Roman"/>
          <w:i/>
          <w:iCs/>
        </w:rPr>
        <w:t>ures 2 &amp; 3.</w:t>
      </w:r>
    </w:p>
  </w:footnote>
  <w:footnote w:id="8">
    <w:p w14:paraId="0000002B" w14:textId="77777777"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Jane Bennett, </w:t>
      </w:r>
      <w:r w:rsidRPr="002512BF">
        <w:rPr>
          <w:rFonts w:ascii="Times New Roman" w:eastAsia="Times New Roman" w:hAnsi="Times New Roman" w:cs="Times New Roman"/>
          <w:i/>
          <w:sz w:val="20"/>
          <w:szCs w:val="20"/>
        </w:rPr>
        <w:t>The Enchantment of Modern Life; Attachments, Crossings, and Ethics</w:t>
      </w:r>
      <w:r w:rsidRPr="002512BF">
        <w:rPr>
          <w:rFonts w:ascii="Times New Roman" w:eastAsia="Times New Roman" w:hAnsi="Times New Roman" w:cs="Times New Roman"/>
          <w:sz w:val="20"/>
          <w:szCs w:val="20"/>
        </w:rPr>
        <w:t xml:space="preserve"> (Princeton University Press, 2001)</w:t>
      </w:r>
      <w:r w:rsidRPr="002512BF">
        <w:rPr>
          <w:rFonts w:ascii="Times New Roman" w:eastAsia="Times New Roman" w:hAnsi="Times New Roman" w:cs="Times New Roman"/>
          <w:i/>
          <w:sz w:val="20"/>
          <w:szCs w:val="20"/>
        </w:rPr>
        <w:t>, in JSTOR</w:t>
      </w:r>
      <w:r w:rsidRPr="002512BF">
        <w:rPr>
          <w:rFonts w:ascii="Times New Roman" w:eastAsia="Times New Roman" w:hAnsi="Times New Roman" w:cs="Times New Roman"/>
          <w:sz w:val="20"/>
          <w:szCs w:val="20"/>
        </w:rPr>
        <w:t xml:space="preserve"> &lt;http://www.jstor.org/stable/j.ctt1ggjkxq&gt;. Pg. 5.</w:t>
      </w:r>
    </w:p>
  </w:footnote>
  <w:footnote w:id="9">
    <w:p w14:paraId="0000002E" w14:textId="2967D4BD"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David Abram, </w:t>
      </w:r>
      <w:r w:rsidRPr="002512BF">
        <w:rPr>
          <w:rFonts w:ascii="Times New Roman" w:eastAsia="Times New Roman" w:hAnsi="Times New Roman" w:cs="Times New Roman"/>
          <w:i/>
          <w:sz w:val="20"/>
          <w:szCs w:val="20"/>
        </w:rPr>
        <w:t xml:space="preserve">The Spell of the </w:t>
      </w:r>
      <w:r w:rsidR="002C15A7" w:rsidRPr="002512BF">
        <w:rPr>
          <w:rFonts w:ascii="Times New Roman" w:eastAsia="Times New Roman" w:hAnsi="Times New Roman" w:cs="Times New Roman"/>
          <w:i/>
          <w:sz w:val="20"/>
          <w:szCs w:val="20"/>
        </w:rPr>
        <w:t>Sensuous:</w:t>
      </w:r>
      <w:r w:rsidRPr="002512BF">
        <w:rPr>
          <w:rFonts w:ascii="Times New Roman" w:eastAsia="Times New Roman" w:hAnsi="Times New Roman" w:cs="Times New Roman"/>
          <w:i/>
          <w:sz w:val="20"/>
          <w:szCs w:val="20"/>
        </w:rPr>
        <w:t xml:space="preserve"> Perception and Language in a More-than-Human World</w:t>
      </w:r>
      <w:r w:rsidRPr="002512BF">
        <w:rPr>
          <w:rFonts w:ascii="Times New Roman" w:eastAsia="Times New Roman" w:hAnsi="Times New Roman" w:cs="Times New Roman"/>
          <w:sz w:val="20"/>
          <w:szCs w:val="20"/>
        </w:rPr>
        <w:t xml:space="preserve"> (New York: Vintage Books, 1997). Pg. 131.</w:t>
      </w:r>
    </w:p>
  </w:footnote>
  <w:footnote w:id="10">
    <w:p w14:paraId="0000002D" w14:textId="77777777"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Roy Willis and Patrick Curry, </w:t>
      </w:r>
      <w:r w:rsidRPr="002512BF">
        <w:rPr>
          <w:rFonts w:ascii="Times New Roman" w:eastAsia="Times New Roman" w:hAnsi="Times New Roman" w:cs="Times New Roman"/>
          <w:i/>
          <w:sz w:val="20"/>
          <w:szCs w:val="20"/>
        </w:rPr>
        <w:t>Astrology, Science and Culture Pulling Down the Moon</w:t>
      </w:r>
      <w:r w:rsidRPr="002512BF">
        <w:rPr>
          <w:rFonts w:ascii="Times New Roman" w:eastAsia="Times New Roman" w:hAnsi="Times New Roman" w:cs="Times New Roman"/>
          <w:sz w:val="20"/>
          <w:szCs w:val="20"/>
        </w:rPr>
        <w:t xml:space="preserve"> (Oxford, New York: Berg, 2004). Pg. 87. </w:t>
      </w:r>
    </w:p>
  </w:footnote>
  <w:footnote w:id="11">
    <w:p w14:paraId="0000002F" w14:textId="1C166044"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David </w:t>
      </w:r>
      <w:r w:rsidR="002C15A7" w:rsidRPr="002512BF">
        <w:rPr>
          <w:rFonts w:ascii="Times New Roman" w:eastAsia="Times New Roman" w:hAnsi="Times New Roman" w:cs="Times New Roman"/>
          <w:sz w:val="20"/>
          <w:szCs w:val="20"/>
        </w:rPr>
        <w:t>Abram, pg.</w:t>
      </w:r>
      <w:r w:rsidRPr="002512BF">
        <w:rPr>
          <w:rFonts w:ascii="Times New Roman" w:eastAsia="Times New Roman" w:hAnsi="Times New Roman" w:cs="Times New Roman"/>
          <w:sz w:val="20"/>
          <w:szCs w:val="20"/>
        </w:rPr>
        <w:t xml:space="preserve"> 124. </w:t>
      </w:r>
    </w:p>
  </w:footnote>
  <w:footnote w:id="12">
    <w:p w14:paraId="00000035" w14:textId="0A0731E3" w:rsidR="008C4E09" w:rsidRPr="002512BF" w:rsidRDefault="00000000">
      <w:pPr>
        <w:spacing w:line="240" w:lineRule="auto"/>
        <w:rPr>
          <w:rFonts w:ascii="Times New Roman" w:eastAsia="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Patrick </w:t>
      </w:r>
      <w:r w:rsidR="002C15A7" w:rsidRPr="002512BF">
        <w:rPr>
          <w:rFonts w:ascii="Times New Roman" w:eastAsia="Times New Roman" w:hAnsi="Times New Roman" w:cs="Times New Roman"/>
          <w:sz w:val="20"/>
          <w:szCs w:val="20"/>
        </w:rPr>
        <w:t>Curry, pg.</w:t>
      </w:r>
      <w:r w:rsidRPr="002512BF">
        <w:rPr>
          <w:rFonts w:ascii="Times New Roman" w:eastAsia="Times New Roman" w:hAnsi="Times New Roman" w:cs="Times New Roman"/>
          <w:sz w:val="20"/>
          <w:szCs w:val="20"/>
        </w:rPr>
        <w:t xml:space="preserve"> 8.</w:t>
      </w:r>
    </w:p>
  </w:footnote>
  <w:footnote w:id="13">
    <w:p w14:paraId="00000036" w14:textId="01C049B8"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David </w:t>
      </w:r>
      <w:r w:rsidR="002C15A7" w:rsidRPr="002512BF">
        <w:rPr>
          <w:rFonts w:ascii="Times New Roman" w:eastAsia="Times New Roman" w:hAnsi="Times New Roman" w:cs="Times New Roman"/>
          <w:sz w:val="20"/>
          <w:szCs w:val="20"/>
        </w:rPr>
        <w:t>Abram, pg.</w:t>
      </w:r>
      <w:r w:rsidRPr="002512BF">
        <w:rPr>
          <w:rFonts w:ascii="Times New Roman" w:eastAsia="Times New Roman" w:hAnsi="Times New Roman" w:cs="Times New Roman"/>
          <w:sz w:val="20"/>
          <w:szCs w:val="20"/>
        </w:rPr>
        <w:t xml:space="preserve"> 159. </w:t>
      </w:r>
    </w:p>
  </w:footnote>
  <w:footnote w:id="14">
    <w:p w14:paraId="1FC641D0" w14:textId="23D60563" w:rsidR="006D28DC" w:rsidRPr="006D28DC" w:rsidRDefault="006D28DC">
      <w:pPr>
        <w:pStyle w:val="FootnoteText"/>
        <w:rPr>
          <w:rFonts w:ascii="Times New Roman" w:hAnsi="Times New Roman" w:cs="Times New Roman"/>
          <w:i/>
          <w:iCs/>
          <w:lang w:val="en-US"/>
        </w:rPr>
      </w:pPr>
      <w:r w:rsidRPr="006D28DC">
        <w:rPr>
          <w:rStyle w:val="FootnoteReference"/>
          <w:rFonts w:ascii="Times New Roman" w:hAnsi="Times New Roman" w:cs="Times New Roman"/>
        </w:rPr>
        <w:footnoteRef/>
      </w:r>
      <w:r w:rsidRPr="006D28DC">
        <w:rPr>
          <w:rFonts w:ascii="Times New Roman" w:hAnsi="Times New Roman" w:cs="Times New Roman"/>
          <w:i/>
          <w:iCs/>
        </w:rPr>
        <w:t xml:space="preserve"> See figure 4.</w:t>
      </w:r>
    </w:p>
  </w:footnote>
  <w:footnote w:id="15">
    <w:p w14:paraId="00000037" w14:textId="6B673304" w:rsidR="008C4E09" w:rsidRPr="002512BF" w:rsidRDefault="00000000">
      <w:pPr>
        <w:spacing w:line="240" w:lineRule="auto"/>
        <w:rPr>
          <w:rFonts w:ascii="Times New Roman" w:eastAsia="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Charles </w:t>
      </w:r>
      <w:r w:rsidR="002C15A7" w:rsidRPr="002512BF">
        <w:rPr>
          <w:rFonts w:ascii="Times New Roman" w:eastAsia="Times New Roman" w:hAnsi="Times New Roman" w:cs="Times New Roman"/>
          <w:sz w:val="20"/>
          <w:szCs w:val="20"/>
        </w:rPr>
        <w:t>Taylor, pg.</w:t>
      </w:r>
      <w:r w:rsidRPr="002512BF">
        <w:rPr>
          <w:rFonts w:ascii="Times New Roman" w:eastAsia="Times New Roman" w:hAnsi="Times New Roman" w:cs="Times New Roman"/>
          <w:sz w:val="20"/>
          <w:szCs w:val="20"/>
        </w:rPr>
        <w:t xml:space="preserve"> 39. </w:t>
      </w:r>
    </w:p>
  </w:footnote>
  <w:footnote w:id="16">
    <w:p w14:paraId="00000038" w14:textId="3F0B6554" w:rsidR="008C4E09" w:rsidRPr="002512BF" w:rsidRDefault="00000000">
      <w:pPr>
        <w:spacing w:line="240" w:lineRule="auto"/>
        <w:rPr>
          <w:rFonts w:ascii="Times New Roman" w:eastAsia="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Patrick </w:t>
      </w:r>
      <w:r w:rsidR="002C15A7" w:rsidRPr="002512BF">
        <w:rPr>
          <w:rFonts w:ascii="Times New Roman" w:eastAsia="Times New Roman" w:hAnsi="Times New Roman" w:cs="Times New Roman"/>
          <w:sz w:val="20"/>
          <w:szCs w:val="20"/>
        </w:rPr>
        <w:t>Curry, pg.</w:t>
      </w:r>
      <w:r w:rsidRPr="002512BF">
        <w:rPr>
          <w:rFonts w:ascii="Times New Roman" w:eastAsia="Times New Roman" w:hAnsi="Times New Roman" w:cs="Times New Roman"/>
          <w:sz w:val="20"/>
          <w:szCs w:val="20"/>
        </w:rPr>
        <w:t xml:space="preserve"> 17. </w:t>
      </w:r>
    </w:p>
  </w:footnote>
  <w:footnote w:id="17">
    <w:p w14:paraId="00000039" w14:textId="2C7A8871" w:rsidR="008C4E09" w:rsidRPr="00E94726" w:rsidRDefault="00000000">
      <w:pPr>
        <w:spacing w:line="240" w:lineRule="auto"/>
        <w:rPr>
          <w:rFonts w:ascii="Times New Roman" w:eastAsia="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Jane </w:t>
      </w:r>
      <w:r w:rsidR="002C15A7" w:rsidRPr="002512BF">
        <w:rPr>
          <w:rFonts w:ascii="Times New Roman" w:eastAsia="Times New Roman" w:hAnsi="Times New Roman" w:cs="Times New Roman"/>
          <w:sz w:val="20"/>
          <w:szCs w:val="20"/>
        </w:rPr>
        <w:t>Bennett, pg.</w:t>
      </w:r>
      <w:r w:rsidRPr="002512BF">
        <w:rPr>
          <w:rFonts w:ascii="Times New Roman" w:eastAsia="Times New Roman" w:hAnsi="Times New Roman" w:cs="Times New Roman"/>
          <w:sz w:val="20"/>
          <w:szCs w:val="20"/>
        </w:rPr>
        <w:t xml:space="preserve"> 5.  </w:t>
      </w:r>
    </w:p>
  </w:footnote>
  <w:footnote w:id="18">
    <w:p w14:paraId="02A4041D" w14:textId="00EF01B7" w:rsidR="00E94726" w:rsidRPr="00E94726" w:rsidRDefault="00E94726">
      <w:pPr>
        <w:pStyle w:val="FootnoteText"/>
        <w:rPr>
          <w:lang w:val="en-US"/>
        </w:rPr>
      </w:pPr>
      <w:r>
        <w:rPr>
          <w:rStyle w:val="FootnoteReference"/>
        </w:rPr>
        <w:footnoteRef/>
      </w:r>
      <w:r>
        <w:t xml:space="preserve"> </w:t>
      </w:r>
      <w:r w:rsidRPr="00E94726">
        <w:rPr>
          <w:rFonts w:ascii="Times New Roman" w:hAnsi="Times New Roman" w:cs="Times New Roman"/>
          <w:i/>
          <w:iCs/>
        </w:rPr>
        <w:t>See figure 5.</w:t>
      </w:r>
      <w:r>
        <w:rPr>
          <w:rFonts w:ascii="Times New Roman" w:hAnsi="Times New Roman" w:cs="Times New Roman"/>
          <w:i/>
          <w:iCs/>
        </w:rPr>
        <w:t xml:space="preserve"> </w:t>
      </w:r>
    </w:p>
  </w:footnote>
  <w:footnote w:id="19">
    <w:p w14:paraId="00000031" w14:textId="77777777"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Lao-Tzu, </w:t>
      </w:r>
      <w:r w:rsidRPr="002512BF">
        <w:rPr>
          <w:rFonts w:ascii="Times New Roman" w:eastAsia="Times New Roman" w:hAnsi="Times New Roman" w:cs="Times New Roman"/>
          <w:i/>
          <w:sz w:val="20"/>
          <w:szCs w:val="20"/>
        </w:rPr>
        <w:t xml:space="preserve">Tao </w:t>
      </w:r>
      <w:proofErr w:type="spellStart"/>
      <w:r w:rsidRPr="002512BF">
        <w:rPr>
          <w:rFonts w:ascii="Times New Roman" w:eastAsia="Times New Roman" w:hAnsi="Times New Roman" w:cs="Times New Roman"/>
          <w:i/>
          <w:sz w:val="20"/>
          <w:szCs w:val="20"/>
        </w:rPr>
        <w:t>Te</w:t>
      </w:r>
      <w:proofErr w:type="spellEnd"/>
      <w:r w:rsidRPr="002512BF">
        <w:rPr>
          <w:rFonts w:ascii="Times New Roman" w:eastAsia="Times New Roman" w:hAnsi="Times New Roman" w:cs="Times New Roman"/>
          <w:i/>
          <w:sz w:val="20"/>
          <w:szCs w:val="20"/>
        </w:rPr>
        <w:t xml:space="preserve"> Ching</w:t>
      </w:r>
      <w:r w:rsidRPr="002512BF">
        <w:rPr>
          <w:rFonts w:ascii="Times New Roman" w:eastAsia="Times New Roman" w:hAnsi="Times New Roman" w:cs="Times New Roman"/>
          <w:sz w:val="20"/>
          <w:szCs w:val="20"/>
        </w:rPr>
        <w:t xml:space="preserve">, trans. by J. H. Macdonald (1996). Chapter 47. </w:t>
      </w:r>
    </w:p>
  </w:footnote>
  <w:footnote w:id="20">
    <w:p w14:paraId="00000030" w14:textId="4403CE97"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David </w:t>
      </w:r>
      <w:r w:rsidR="001132EA" w:rsidRPr="002512BF">
        <w:rPr>
          <w:rFonts w:ascii="Times New Roman" w:eastAsia="Times New Roman" w:hAnsi="Times New Roman" w:cs="Times New Roman"/>
          <w:sz w:val="20"/>
          <w:szCs w:val="20"/>
        </w:rPr>
        <w:t>Abram, pg.</w:t>
      </w:r>
      <w:r w:rsidRPr="002512BF">
        <w:rPr>
          <w:rFonts w:ascii="Times New Roman" w:eastAsia="Times New Roman" w:hAnsi="Times New Roman" w:cs="Times New Roman"/>
          <w:sz w:val="20"/>
          <w:szCs w:val="20"/>
        </w:rPr>
        <w:t xml:space="preserve"> 156. </w:t>
      </w:r>
    </w:p>
  </w:footnote>
  <w:footnote w:id="21">
    <w:p w14:paraId="00000032" w14:textId="7739B4F0"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Patrick </w:t>
      </w:r>
      <w:r w:rsidR="001132EA" w:rsidRPr="002512BF">
        <w:rPr>
          <w:rFonts w:ascii="Times New Roman" w:eastAsia="Times New Roman" w:hAnsi="Times New Roman" w:cs="Times New Roman"/>
          <w:sz w:val="20"/>
          <w:szCs w:val="20"/>
        </w:rPr>
        <w:t>Curry, pg.</w:t>
      </w:r>
      <w:r w:rsidRPr="002512BF">
        <w:rPr>
          <w:rFonts w:ascii="Times New Roman" w:eastAsia="Times New Roman" w:hAnsi="Times New Roman" w:cs="Times New Roman"/>
          <w:sz w:val="20"/>
          <w:szCs w:val="20"/>
        </w:rPr>
        <w:t xml:space="preserve"> 13. </w:t>
      </w:r>
    </w:p>
  </w:footnote>
  <w:footnote w:id="22">
    <w:p w14:paraId="00000033" w14:textId="77E47C4D"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w:t>
      </w:r>
      <w:r w:rsidR="001132EA" w:rsidRPr="002512BF">
        <w:rPr>
          <w:rFonts w:ascii="Times New Roman" w:eastAsia="Times New Roman" w:hAnsi="Times New Roman" w:cs="Times New Roman"/>
          <w:sz w:val="20"/>
          <w:szCs w:val="20"/>
        </w:rPr>
        <w:t>Iamblichus,</w:t>
      </w:r>
      <w:r w:rsidRPr="002512BF">
        <w:rPr>
          <w:rFonts w:ascii="Times New Roman" w:eastAsia="Times New Roman" w:hAnsi="Times New Roman" w:cs="Times New Roman"/>
          <w:sz w:val="20"/>
          <w:szCs w:val="20"/>
        </w:rPr>
        <w:t xml:space="preserve"> Clarke, Emma C., Dillon, John M., </w:t>
      </w:r>
      <w:proofErr w:type="spellStart"/>
      <w:r w:rsidRPr="002512BF">
        <w:rPr>
          <w:rFonts w:ascii="Times New Roman" w:eastAsia="Times New Roman" w:hAnsi="Times New Roman" w:cs="Times New Roman"/>
          <w:sz w:val="20"/>
          <w:szCs w:val="20"/>
        </w:rPr>
        <w:t>Hershbell</w:t>
      </w:r>
      <w:proofErr w:type="spellEnd"/>
      <w:r w:rsidRPr="002512BF">
        <w:rPr>
          <w:rFonts w:ascii="Times New Roman" w:eastAsia="Times New Roman" w:hAnsi="Times New Roman" w:cs="Times New Roman"/>
          <w:sz w:val="20"/>
          <w:szCs w:val="20"/>
        </w:rPr>
        <w:t>,</w:t>
      </w:r>
      <w:r w:rsidR="002C15A7" w:rsidRPr="002512BF">
        <w:rPr>
          <w:rFonts w:ascii="Times New Roman" w:eastAsia="Times New Roman" w:hAnsi="Times New Roman" w:cs="Times New Roman"/>
          <w:sz w:val="20"/>
          <w:szCs w:val="20"/>
        </w:rPr>
        <w:t xml:space="preserve"> </w:t>
      </w:r>
      <w:r w:rsidRPr="002512BF">
        <w:rPr>
          <w:rFonts w:ascii="Times New Roman" w:eastAsia="Times New Roman" w:hAnsi="Times New Roman" w:cs="Times New Roman"/>
          <w:sz w:val="20"/>
          <w:szCs w:val="20"/>
        </w:rPr>
        <w:t xml:space="preserve">Jackson </w:t>
      </w:r>
      <w:r w:rsidR="002C15A7" w:rsidRPr="002512BF">
        <w:rPr>
          <w:rFonts w:ascii="Times New Roman" w:eastAsia="Times New Roman" w:hAnsi="Times New Roman" w:cs="Times New Roman"/>
          <w:sz w:val="20"/>
          <w:szCs w:val="20"/>
        </w:rPr>
        <w:t>P.,</w:t>
      </w:r>
      <w:r w:rsidRPr="002512BF">
        <w:rPr>
          <w:rFonts w:ascii="Times New Roman" w:eastAsia="Times New Roman" w:hAnsi="Times New Roman" w:cs="Times New Roman"/>
          <w:sz w:val="20"/>
          <w:szCs w:val="20"/>
        </w:rPr>
        <w:t xml:space="preserve"> </w:t>
      </w:r>
      <w:r w:rsidRPr="002512BF">
        <w:rPr>
          <w:rFonts w:ascii="Times New Roman" w:eastAsia="Times New Roman" w:hAnsi="Times New Roman" w:cs="Times New Roman"/>
          <w:i/>
          <w:sz w:val="20"/>
          <w:szCs w:val="20"/>
        </w:rPr>
        <w:t xml:space="preserve">De </w:t>
      </w:r>
      <w:proofErr w:type="spellStart"/>
      <w:r w:rsidRPr="002512BF">
        <w:rPr>
          <w:rFonts w:ascii="Times New Roman" w:eastAsia="Times New Roman" w:hAnsi="Times New Roman" w:cs="Times New Roman"/>
          <w:i/>
          <w:sz w:val="20"/>
          <w:szCs w:val="20"/>
        </w:rPr>
        <w:t>Mysteriis</w:t>
      </w:r>
      <w:proofErr w:type="spellEnd"/>
      <w:r w:rsidRPr="002512BF">
        <w:rPr>
          <w:rFonts w:ascii="Times New Roman" w:eastAsia="Times New Roman" w:hAnsi="Times New Roman" w:cs="Times New Roman"/>
          <w:sz w:val="20"/>
          <w:szCs w:val="20"/>
        </w:rPr>
        <w:t xml:space="preserve"> (Atlanta: Society of Biblical Literature, 2003)</w:t>
      </w:r>
      <w:r w:rsidRPr="002512BF">
        <w:rPr>
          <w:rFonts w:ascii="Times New Roman" w:eastAsia="Times New Roman" w:hAnsi="Times New Roman" w:cs="Times New Roman"/>
          <w:i/>
          <w:sz w:val="20"/>
          <w:szCs w:val="20"/>
        </w:rPr>
        <w:t>, in /z-</w:t>
      </w:r>
      <w:proofErr w:type="spellStart"/>
      <w:r w:rsidRPr="002512BF">
        <w:rPr>
          <w:rFonts w:ascii="Times New Roman" w:eastAsia="Times New Roman" w:hAnsi="Times New Roman" w:cs="Times New Roman"/>
          <w:i/>
          <w:sz w:val="20"/>
          <w:szCs w:val="20"/>
        </w:rPr>
        <w:t>wcorg</w:t>
      </w:r>
      <w:proofErr w:type="spellEnd"/>
      <w:r w:rsidRPr="002512BF">
        <w:rPr>
          <w:rFonts w:ascii="Times New Roman" w:eastAsia="Times New Roman" w:hAnsi="Times New Roman" w:cs="Times New Roman"/>
          <w:i/>
          <w:sz w:val="20"/>
          <w:szCs w:val="20"/>
        </w:rPr>
        <w:t>/</w:t>
      </w:r>
      <w:r w:rsidRPr="002512BF">
        <w:rPr>
          <w:rFonts w:ascii="Times New Roman" w:eastAsia="Times New Roman" w:hAnsi="Times New Roman" w:cs="Times New Roman"/>
          <w:sz w:val="20"/>
          <w:szCs w:val="20"/>
        </w:rPr>
        <w:t>. DM 1.9.</w:t>
      </w:r>
    </w:p>
  </w:footnote>
  <w:footnote w:id="23">
    <w:p w14:paraId="00000034" w14:textId="75E41AC2" w:rsidR="008C4E09" w:rsidRPr="002512BF" w:rsidRDefault="00000000">
      <w:pPr>
        <w:spacing w:line="240" w:lineRule="auto"/>
        <w:rPr>
          <w:rFonts w:ascii="Times New Roman" w:hAnsi="Times New Roman" w:cs="Times New Roman"/>
          <w:sz w:val="20"/>
          <w:szCs w:val="20"/>
        </w:rPr>
      </w:pPr>
      <w:r w:rsidRPr="002512BF">
        <w:rPr>
          <w:rFonts w:ascii="Times New Roman" w:hAnsi="Times New Roman" w:cs="Times New Roman"/>
          <w:sz w:val="20"/>
          <w:szCs w:val="20"/>
          <w:vertAlign w:val="superscript"/>
        </w:rPr>
        <w:footnoteRef/>
      </w:r>
      <w:r w:rsidRPr="002512BF">
        <w:rPr>
          <w:rFonts w:ascii="Times New Roman" w:eastAsia="Times New Roman" w:hAnsi="Times New Roman" w:cs="Times New Roman"/>
          <w:sz w:val="20"/>
          <w:szCs w:val="20"/>
        </w:rPr>
        <w:t xml:space="preserve"> Vincent Van </w:t>
      </w:r>
      <w:r w:rsidR="001132EA" w:rsidRPr="002512BF">
        <w:rPr>
          <w:rFonts w:ascii="Times New Roman" w:eastAsia="Times New Roman" w:hAnsi="Times New Roman" w:cs="Times New Roman"/>
          <w:sz w:val="20"/>
          <w:szCs w:val="20"/>
        </w:rPr>
        <w:t>Gogh, pg.</w:t>
      </w:r>
      <w:r w:rsidRPr="002512BF">
        <w:rPr>
          <w:rFonts w:ascii="Times New Roman" w:eastAsia="Times New Roman" w:hAnsi="Times New Roman" w:cs="Times New Roman"/>
          <w:sz w:val="20"/>
          <w:szCs w:val="20"/>
        </w:rPr>
        <w:t xml:space="preserve"> 392.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9481315"/>
      <w:docPartObj>
        <w:docPartGallery w:val="Page Numbers (Top of Page)"/>
        <w:docPartUnique/>
      </w:docPartObj>
    </w:sdtPr>
    <w:sdtEndPr>
      <w:rPr>
        <w:noProof/>
      </w:rPr>
    </w:sdtEndPr>
    <w:sdtContent>
      <w:p w14:paraId="03F4515E" w14:textId="0DE0AC36" w:rsidR="00761E2E" w:rsidRDefault="00761E2E">
        <w:pPr>
          <w:pStyle w:val="Header"/>
        </w:pPr>
        <w:r>
          <w:fldChar w:fldCharType="begin"/>
        </w:r>
        <w:r>
          <w:instrText xml:space="preserve"> PAGE   \* MERGEFORMAT </w:instrText>
        </w:r>
        <w:r>
          <w:fldChar w:fldCharType="separate"/>
        </w:r>
        <w:r>
          <w:rPr>
            <w:noProof/>
          </w:rPr>
          <w:t>2</w:t>
        </w:r>
        <w:r>
          <w:rPr>
            <w:noProof/>
          </w:rPr>
          <w:fldChar w:fldCharType="end"/>
        </w:r>
        <w:r>
          <w:rPr>
            <w:noProof/>
          </w:rPr>
          <w:t xml:space="preserve"> India Sweeting -Essay 2 -</w:t>
        </w:r>
        <w:r>
          <w:rPr>
            <w:noProof/>
          </w:rPr>
          <w:t>Sky Journal</w:t>
        </w:r>
      </w:p>
    </w:sdtContent>
  </w:sdt>
  <w:p w14:paraId="0000003A" w14:textId="55FEF55E" w:rsidR="008C4E09" w:rsidRDefault="008C4E09"/>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4E09"/>
    <w:rsid w:val="001132EA"/>
    <w:rsid w:val="001309C7"/>
    <w:rsid w:val="002512BF"/>
    <w:rsid w:val="002C15A7"/>
    <w:rsid w:val="003A176A"/>
    <w:rsid w:val="00595CD7"/>
    <w:rsid w:val="005F7480"/>
    <w:rsid w:val="006D28DC"/>
    <w:rsid w:val="00705D3D"/>
    <w:rsid w:val="00761E2E"/>
    <w:rsid w:val="008C4E09"/>
    <w:rsid w:val="008D1FC8"/>
    <w:rsid w:val="00AD0836"/>
    <w:rsid w:val="00C55E3D"/>
    <w:rsid w:val="00CC40FA"/>
    <w:rsid w:val="00DD4DF6"/>
    <w:rsid w:val="00E94726"/>
    <w:rsid w:val="00EA4A6F"/>
    <w:rsid w:val="00FB58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D163A0F"/>
  <w15:docId w15:val="{29F560F0-846B-4AAB-8C1C-4D6132205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132EA"/>
    <w:pPr>
      <w:tabs>
        <w:tab w:val="center" w:pos="4680"/>
        <w:tab w:val="right" w:pos="9360"/>
      </w:tabs>
      <w:spacing w:line="240" w:lineRule="auto"/>
    </w:pPr>
  </w:style>
  <w:style w:type="character" w:customStyle="1" w:styleId="HeaderChar">
    <w:name w:val="Header Char"/>
    <w:basedOn w:val="DefaultParagraphFont"/>
    <w:link w:val="Header"/>
    <w:uiPriority w:val="99"/>
    <w:rsid w:val="001132EA"/>
  </w:style>
  <w:style w:type="paragraph" w:styleId="Footer">
    <w:name w:val="footer"/>
    <w:basedOn w:val="Normal"/>
    <w:link w:val="FooterChar"/>
    <w:uiPriority w:val="99"/>
    <w:unhideWhenUsed/>
    <w:rsid w:val="001132EA"/>
    <w:pPr>
      <w:tabs>
        <w:tab w:val="center" w:pos="4680"/>
        <w:tab w:val="right" w:pos="9360"/>
      </w:tabs>
      <w:spacing w:line="240" w:lineRule="auto"/>
    </w:pPr>
  </w:style>
  <w:style w:type="character" w:customStyle="1" w:styleId="FooterChar">
    <w:name w:val="Footer Char"/>
    <w:basedOn w:val="DefaultParagraphFont"/>
    <w:link w:val="Footer"/>
    <w:uiPriority w:val="99"/>
    <w:rsid w:val="001132EA"/>
  </w:style>
  <w:style w:type="paragraph" w:styleId="Caption">
    <w:name w:val="caption"/>
    <w:basedOn w:val="Normal"/>
    <w:next w:val="Normal"/>
    <w:uiPriority w:val="35"/>
    <w:unhideWhenUsed/>
    <w:qFormat/>
    <w:rsid w:val="002512BF"/>
    <w:pPr>
      <w:spacing w:after="200" w:line="240" w:lineRule="auto"/>
    </w:pPr>
    <w:rPr>
      <w:i/>
      <w:iCs/>
      <w:color w:val="1F497D" w:themeColor="text2"/>
      <w:sz w:val="18"/>
      <w:szCs w:val="18"/>
    </w:rPr>
  </w:style>
  <w:style w:type="paragraph" w:styleId="FootnoteText">
    <w:name w:val="footnote text"/>
    <w:basedOn w:val="Normal"/>
    <w:link w:val="FootnoteTextChar"/>
    <w:uiPriority w:val="99"/>
    <w:semiHidden/>
    <w:unhideWhenUsed/>
    <w:rsid w:val="002512BF"/>
    <w:pPr>
      <w:spacing w:line="240" w:lineRule="auto"/>
    </w:pPr>
    <w:rPr>
      <w:sz w:val="20"/>
      <w:szCs w:val="20"/>
    </w:rPr>
  </w:style>
  <w:style w:type="character" w:customStyle="1" w:styleId="FootnoteTextChar">
    <w:name w:val="Footnote Text Char"/>
    <w:basedOn w:val="DefaultParagraphFont"/>
    <w:link w:val="FootnoteText"/>
    <w:uiPriority w:val="99"/>
    <w:semiHidden/>
    <w:rsid w:val="002512BF"/>
    <w:rPr>
      <w:sz w:val="20"/>
      <w:szCs w:val="20"/>
    </w:rPr>
  </w:style>
  <w:style w:type="character" w:styleId="FootnoteReference">
    <w:name w:val="footnote reference"/>
    <w:basedOn w:val="DefaultParagraphFont"/>
    <w:uiPriority w:val="99"/>
    <w:semiHidden/>
    <w:unhideWhenUsed/>
    <w:rsid w:val="002512BF"/>
    <w:rPr>
      <w:vertAlign w:val="superscript"/>
    </w:rPr>
  </w:style>
  <w:style w:type="paragraph" w:styleId="NormalWeb">
    <w:name w:val="Normal (Web)"/>
    <w:basedOn w:val="Normal"/>
    <w:rsid w:val="00761E2E"/>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image" Target="media/image6.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endnotes" Target="endnotes.xml"/><Relationship Id="rId10" Type="http://schemas.openxmlformats.org/officeDocument/2006/relationships/image" Target="media/image4.jpeg"/><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233</TotalTime>
  <Pages>9</Pages>
  <Words>2611</Words>
  <Characters>13634</Characters>
  <Application>Microsoft Office Word</Application>
  <DocSecurity>0</DocSecurity>
  <Lines>216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Richard Rena</cp:lastModifiedBy>
  <cp:revision>6</cp:revision>
  <dcterms:created xsi:type="dcterms:W3CDTF">2022-12-07T18:24:00Z</dcterms:created>
  <dcterms:modified xsi:type="dcterms:W3CDTF">2022-12-07T22:22:00Z</dcterms:modified>
</cp:coreProperties>
</file>