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2827" w:rsidRPr="002A2827" w:rsidRDefault="002A2827" w:rsidP="002A2827">
      <w:pPr>
        <w:pStyle w:val="Heading1"/>
        <w:spacing w:line="240" w:lineRule="auto"/>
        <w:jc w:val="both"/>
        <w:rPr>
          <w:b w:val="0"/>
          <w:sz w:val="44"/>
          <w:u w:val="none"/>
        </w:rPr>
      </w:pPr>
      <w:r w:rsidRPr="002A2827">
        <w:rPr>
          <w:b w:val="0"/>
          <w:sz w:val="44"/>
          <w:u w:val="none"/>
        </w:rPr>
        <w:t>A critical evaluation and the identification of next teaching and learning steps focusing on a case study of an individual learner or a group of learners, based on an observed critical incident.</w:t>
      </w:r>
    </w:p>
    <w:p w:rsidR="00E55A6C" w:rsidRDefault="00E55A6C" w:rsidP="002A2827">
      <w:pPr>
        <w:pStyle w:val="Heading1"/>
        <w:spacing w:line="360" w:lineRule="auto"/>
        <w:jc w:val="both"/>
      </w:pPr>
      <w:r>
        <w:t>Introduction</w:t>
      </w:r>
    </w:p>
    <w:p w:rsidR="00E55A6C" w:rsidRDefault="00E55A6C" w:rsidP="002A2827">
      <w:pPr>
        <w:spacing w:line="360" w:lineRule="auto"/>
        <w:jc w:val="both"/>
      </w:pPr>
      <w:r>
        <w:t xml:space="preserve">This essay attempts to use the ‘Critical Incident Methodology’ as prescribed by Tripp’s (2011) methodology which is used ‘to develop an increasing understanding of and control over professional judgement, and thereby over practice; and they are also a means of finding a focus for classroom action research’ (Tripp, 2011, 24). The critical incident observed within this essay is reflected upon with a view therefore to improve the researcher’s professional judgement. The focus on action research is not applicable in this situation due to the lack of application of the practice contained within. In the future the ideas developed in this research might be an avenue for action research to be pursued.  </w:t>
      </w:r>
    </w:p>
    <w:p w:rsidR="00E55A6C" w:rsidRDefault="00E55A6C" w:rsidP="002A2827">
      <w:pPr>
        <w:spacing w:line="360" w:lineRule="auto"/>
        <w:jc w:val="both"/>
      </w:pPr>
      <w:r>
        <w:t xml:space="preserve">A critical incident itself is a key moment in a classroom that Tripp describes as ‘straightforward accounts of commonplace events’ (Tripp, 2011, 24) that are made critical through the analysis of what is happening in the moment. He goes onto break down the practice into the statement on the concrete experience and the reflection that is abstracted from it. This abstract reflection is informed through reflected practices that allow the researcher to review the concrete experience and then to develop ideas about the concepts of what is happening. This will then be able to be adapted for use in structuring how the researcher views similar incidents in the classroom to improve their practice. </w:t>
      </w:r>
    </w:p>
    <w:p w:rsidR="00E55A6C" w:rsidRDefault="00E55A6C" w:rsidP="002A2827">
      <w:pPr>
        <w:pStyle w:val="Heading2"/>
        <w:spacing w:line="360" w:lineRule="auto"/>
        <w:jc w:val="both"/>
      </w:pPr>
      <w:r>
        <w:t>Role of Reflection</w:t>
      </w:r>
    </w:p>
    <w:p w:rsidR="00E55A6C" w:rsidRDefault="0042662D" w:rsidP="002A2827">
      <w:pPr>
        <w:spacing w:line="360" w:lineRule="auto"/>
        <w:jc w:val="both"/>
      </w:pPr>
      <w:r>
        <w:t>In 2020</w:t>
      </w:r>
      <w:r w:rsidR="00E55A6C">
        <w:t xml:space="preserve"> the Education Endowment Foundation published their report into metacognition, describing it as the ‘ability to monitor, direct, and review… learning</w:t>
      </w:r>
      <w:r>
        <w:t xml:space="preserve"> </w:t>
      </w:r>
      <w:proofErr w:type="gramStart"/>
      <w:r w:rsidR="00E55A6C">
        <w:t>’</w:t>
      </w:r>
      <w:r>
        <w:t>(</w:t>
      </w:r>
      <w:proofErr w:type="gramEnd"/>
      <w:r w:rsidR="0032212B">
        <w:t xml:space="preserve">Quigley, </w:t>
      </w:r>
      <w:proofErr w:type="spellStart"/>
      <w:r w:rsidR="0032212B">
        <w:t>Muijs</w:t>
      </w:r>
      <w:proofErr w:type="spellEnd"/>
      <w:r w:rsidR="0032212B">
        <w:t xml:space="preserve"> &amp; Stringer,</w:t>
      </w:r>
      <w:r>
        <w:t xml:space="preserve"> 2020,</w:t>
      </w:r>
      <w:r w:rsidR="0032212B">
        <w:t xml:space="preserve"> 4)</w:t>
      </w:r>
      <w:r>
        <w:t xml:space="preserve"> </w:t>
      </w:r>
      <w:r w:rsidR="00E55A6C">
        <w:t>. Even as of 2022 the foundation ranks metacognition as one of the most important things that a teacher can encourage in the classroom to get results</w:t>
      </w:r>
      <w:r w:rsidR="0032212B">
        <w:t xml:space="preserve"> (Education Endowment Fund, 2020)</w:t>
      </w:r>
      <w:r w:rsidR="00E55A6C">
        <w:t>.</w:t>
      </w:r>
    </w:p>
    <w:p w:rsidR="00E55A6C" w:rsidRDefault="00E55A6C" w:rsidP="002A2827">
      <w:pPr>
        <w:spacing w:line="360" w:lineRule="auto"/>
        <w:jc w:val="both"/>
      </w:pPr>
      <w:r>
        <w:t>The process of metacognition bears a significant similarity to the idea of ‘Critical Reflection’</w:t>
      </w:r>
      <w:r w:rsidR="0032212B">
        <w:t xml:space="preserve"> (Brookfield 2017)</w:t>
      </w:r>
      <w:r>
        <w:t xml:space="preserve">. Reflective practice itself was largely articulated towards the late 70s where the practice of attempting to learn from experience was codified into ‘Critical Reflection’. The models for this all bear </w:t>
      </w:r>
      <w:r>
        <w:lastRenderedPageBreak/>
        <w:t>similarities at their core in that there is an experience (called a ‘concrete experience’ by Kolb and Fry (1975)) that it itself cannot inform the learner. What happens after the experience is the important part in determining what can be learned from it going forward.</w:t>
      </w:r>
    </w:p>
    <w:p w:rsidR="00E55A6C" w:rsidRDefault="00E55A6C" w:rsidP="002A2827">
      <w:pPr>
        <w:spacing w:line="360" w:lineRule="auto"/>
        <w:jc w:val="both"/>
      </w:pPr>
      <w:r>
        <w:t>Kolb and Fry linked that process with a cycle starting with that ‘concrete experience’ which then moved into a ‘reflective observation’ defined as a ‘collection of data and observations about that experience’. This itself moved into ‘abstract conceptualisation’ defined as ‘analysis’ and ‘conclusions’ that are used in the final stage; ‘active experimentation’ where there are attempts to modify ‘behaviour’</w:t>
      </w:r>
      <w:r w:rsidR="0094229C">
        <w:t xml:space="preserve"> (Kolb &amp; Fry, 1975, pp34-36)</w:t>
      </w:r>
      <w:r>
        <w:t xml:space="preserve">. </w:t>
      </w:r>
    </w:p>
    <w:p w:rsidR="00E55A6C" w:rsidRDefault="00E55A6C" w:rsidP="002A2827">
      <w:pPr>
        <w:spacing w:line="360" w:lineRule="auto"/>
        <w:jc w:val="both"/>
      </w:pPr>
      <w:r>
        <w:t xml:space="preserve">This description itself largely codifies what </w:t>
      </w:r>
      <w:proofErr w:type="spellStart"/>
      <w:r>
        <w:t>Sweller</w:t>
      </w:r>
      <w:proofErr w:type="spellEnd"/>
      <w:r>
        <w:t xml:space="preserve"> would call the formation of ‘schemas’ in 19</w:t>
      </w:r>
      <w:r w:rsidR="0094229C">
        <w:t>8</w:t>
      </w:r>
      <w:r>
        <w:t xml:space="preserve">8 as a natural part of how learning is </w:t>
      </w:r>
      <w:r w:rsidR="0094229C">
        <w:t>achieved (</w:t>
      </w:r>
      <w:proofErr w:type="spellStart"/>
      <w:r w:rsidR="0094229C">
        <w:t>Sweller</w:t>
      </w:r>
      <w:proofErr w:type="spellEnd"/>
      <w:r w:rsidR="0094229C">
        <w:t xml:space="preserve">, 1988). </w:t>
      </w:r>
      <w:r>
        <w:t xml:space="preserve">The attempt however to introduce the active attempt to reflect upon experiences is a metacognitive ability that can lead learners, and therefore instructors, to improving upon their practice. As Cochran-Smith and Lytle argued in 1999; ‘teachers invent knowledge in action and how they learn to make that knowledge explicit through deliberation and </w:t>
      </w:r>
      <w:proofErr w:type="gramStart"/>
      <w:r>
        <w:t>reflection’</w:t>
      </w:r>
      <w:r w:rsidR="0094229C">
        <w:t>(</w:t>
      </w:r>
      <w:proofErr w:type="gramEnd"/>
      <w:r w:rsidR="0094229C">
        <w:t xml:space="preserve"> Cochran-Smith &amp; Lytle, 1999) </w:t>
      </w:r>
      <w:r>
        <w:t>. T</w:t>
      </w:r>
      <w:r w:rsidR="0094229C">
        <w:t>hus t</w:t>
      </w:r>
      <w:r>
        <w:t xml:space="preserve">he </w:t>
      </w:r>
      <w:r w:rsidR="0094229C">
        <w:t xml:space="preserve">need </w:t>
      </w:r>
      <w:r>
        <w:t xml:space="preserve">to reflect and improve in one’s abilities never stops. </w:t>
      </w:r>
    </w:p>
    <w:p w:rsidR="00E55A6C" w:rsidRDefault="00E55A6C" w:rsidP="002A2827">
      <w:pPr>
        <w:spacing w:line="360" w:lineRule="auto"/>
        <w:jc w:val="both"/>
      </w:pPr>
      <w:r>
        <w:t>All of these observations suggest that the British Educational Research Association’s assertion that ‘</w:t>
      </w:r>
      <w:r w:rsidRPr="007769E4">
        <w:t>interrogating one’s practice and making explicit the assumptions and values that underpin it</w:t>
      </w:r>
      <w:r>
        <w:t xml:space="preserve">’ </w:t>
      </w:r>
      <w:r w:rsidRPr="007769E4">
        <w:rPr>
          <w:i/>
        </w:rPr>
        <w:t>is</w:t>
      </w:r>
      <w:r>
        <w:t xml:space="preserve"> how to develop ‘good teaching’</w:t>
      </w:r>
      <w:r w:rsidR="008C5FFF">
        <w:t xml:space="preserve"> (BERA 2014)</w:t>
      </w:r>
      <w:r>
        <w:t xml:space="preserve">. In order to do that attempting to evaluate the manner in which one can reflect is important. </w:t>
      </w:r>
    </w:p>
    <w:p w:rsidR="00E55A6C" w:rsidRPr="00E55A6C" w:rsidRDefault="00E55A6C" w:rsidP="002A2827">
      <w:pPr>
        <w:spacing w:line="360" w:lineRule="auto"/>
        <w:jc w:val="both"/>
      </w:pPr>
      <w:r>
        <w:t>One key aspect is from</w:t>
      </w:r>
      <w:r w:rsidR="008C5FFF">
        <w:t xml:space="preserve"> Graham</w:t>
      </w:r>
      <w:r>
        <w:t xml:space="preserve"> Gibbs (1988) who added to the areas between the ‘reflective observation’ was the idea of breaking down the reflective observations stages into an emotional response followed by a more clinical evaluation of positive and negative aspects of the experience and then </w:t>
      </w:r>
      <w:r w:rsidRPr="000B7E36">
        <w:t xml:space="preserve">separating analysis and conclusions, where analysis includes the potential to link the conceptualisation of the experience into frameworks as understood by the academic literature that </w:t>
      </w:r>
      <w:r w:rsidRPr="00E55A6C">
        <w:t xml:space="preserve">the reflector has read. </w:t>
      </w:r>
    </w:p>
    <w:p w:rsidR="00E55A6C" w:rsidRPr="00E55A6C" w:rsidRDefault="00E55A6C" w:rsidP="002A2827">
      <w:pPr>
        <w:spacing w:line="360" w:lineRule="auto"/>
        <w:jc w:val="both"/>
        <w:rPr>
          <w:rStyle w:val="Strong"/>
          <w:rFonts w:cstheme="minorHAnsi"/>
          <w:b w:val="0"/>
          <w:color w:val="240E36"/>
        </w:rPr>
      </w:pPr>
      <w:proofErr w:type="spellStart"/>
      <w:r w:rsidRPr="00E55A6C">
        <w:rPr>
          <w:rStyle w:val="Strong"/>
          <w:rFonts w:cstheme="minorHAnsi"/>
          <w:b w:val="0"/>
          <w:color w:val="240E36"/>
        </w:rPr>
        <w:t>Schön</w:t>
      </w:r>
      <w:proofErr w:type="spellEnd"/>
      <w:r w:rsidRPr="00E55A6C">
        <w:rPr>
          <w:rStyle w:val="Strong"/>
          <w:rFonts w:cstheme="minorHAnsi"/>
          <w:b w:val="0"/>
          <w:color w:val="240E36"/>
        </w:rPr>
        <w:t xml:space="preserve"> in 1991 suggested that post-experience reflection, or ‘reflection-on-action’ in his own words, was not the only way to reflect but argued that in the moment reflection on experiences are important too. The immediate reaction to an experience and how to deal with it is a form of problem solving and that immediate decision making in the face of a problem is part of the reflective process. </w:t>
      </w:r>
    </w:p>
    <w:p w:rsidR="00E55A6C" w:rsidRPr="00E55A6C" w:rsidRDefault="00A01C34" w:rsidP="002A2827">
      <w:pPr>
        <w:spacing w:line="360" w:lineRule="auto"/>
        <w:jc w:val="both"/>
        <w:rPr>
          <w:rStyle w:val="Strong"/>
          <w:rFonts w:cstheme="minorHAnsi"/>
          <w:b w:val="0"/>
          <w:color w:val="240E36"/>
        </w:rPr>
      </w:pPr>
      <w:r>
        <w:rPr>
          <w:rStyle w:val="Strong"/>
          <w:rFonts w:cstheme="minorHAnsi"/>
          <w:b w:val="0"/>
          <w:color w:val="240E36"/>
        </w:rPr>
        <w:t xml:space="preserve">Stephen Brookfield </w:t>
      </w:r>
      <w:r w:rsidR="00E55A6C" w:rsidRPr="00E55A6C">
        <w:rPr>
          <w:rStyle w:val="Strong"/>
          <w:rFonts w:cstheme="minorHAnsi"/>
          <w:b w:val="0"/>
          <w:color w:val="240E36"/>
        </w:rPr>
        <w:t>described ‘four lenses’ with which one could reflect, noting that just the ‘self’ and the ‘scholarship’</w:t>
      </w:r>
      <w:r>
        <w:rPr>
          <w:rStyle w:val="Strong"/>
          <w:rFonts w:cstheme="minorHAnsi"/>
          <w:b w:val="0"/>
          <w:color w:val="240E36"/>
        </w:rPr>
        <w:t xml:space="preserve"> (1998 pp. 197)</w:t>
      </w:r>
      <w:r w:rsidR="00E55A6C" w:rsidRPr="00E55A6C">
        <w:rPr>
          <w:rStyle w:val="Strong"/>
          <w:rFonts w:cstheme="minorHAnsi"/>
          <w:b w:val="0"/>
          <w:color w:val="240E36"/>
        </w:rPr>
        <w:t xml:space="preserve"> were not the only elements to reflect but an instructor had other </w:t>
      </w:r>
      <w:r w:rsidR="00E55A6C" w:rsidRPr="00E55A6C">
        <w:rPr>
          <w:rStyle w:val="Strong"/>
          <w:rFonts w:cstheme="minorHAnsi"/>
          <w:b w:val="0"/>
          <w:color w:val="240E36"/>
        </w:rPr>
        <w:lastRenderedPageBreak/>
        <w:t xml:space="preserve">views that could be used; the perspectives of both students and peers thus widening the instructor’s viewpoints of the experience. </w:t>
      </w:r>
    </w:p>
    <w:p w:rsidR="00E55A6C" w:rsidRPr="00E55A6C" w:rsidRDefault="00E55A6C" w:rsidP="002A2827">
      <w:pPr>
        <w:spacing w:line="360" w:lineRule="auto"/>
        <w:jc w:val="both"/>
      </w:pPr>
    </w:p>
    <w:p w:rsidR="00E55A6C" w:rsidRDefault="00E55A6C" w:rsidP="002A2827">
      <w:pPr>
        <w:pStyle w:val="Heading1"/>
        <w:spacing w:line="360" w:lineRule="auto"/>
        <w:jc w:val="both"/>
      </w:pPr>
      <w:r>
        <w:t>Observation</w:t>
      </w:r>
    </w:p>
    <w:p w:rsidR="00E55A6C" w:rsidRDefault="00E55A6C" w:rsidP="002A2827">
      <w:pPr>
        <w:pStyle w:val="Heading2"/>
        <w:spacing w:line="360" w:lineRule="auto"/>
        <w:jc w:val="both"/>
      </w:pPr>
      <w:r>
        <w:t>Context</w:t>
      </w:r>
    </w:p>
    <w:p w:rsidR="00A01C34" w:rsidRDefault="00A01C34" w:rsidP="002A2827">
      <w:pPr>
        <w:pStyle w:val="NoSpacing"/>
        <w:spacing w:line="360" w:lineRule="auto"/>
        <w:jc w:val="both"/>
      </w:pPr>
    </w:p>
    <w:p w:rsidR="00E55A6C" w:rsidRDefault="00E55A6C" w:rsidP="002A2827">
      <w:pPr>
        <w:pStyle w:val="NoSpacing"/>
        <w:spacing w:line="360" w:lineRule="auto"/>
        <w:jc w:val="both"/>
      </w:pPr>
      <w:r>
        <w:t>The critical incident that was observed took place in a Year Seven mathematics class during the second period of teaching of the day</w:t>
      </w:r>
      <w:r w:rsidRPr="00465E35">
        <w:t xml:space="preserve">. </w:t>
      </w:r>
      <w:r>
        <w:t>The class had just been in an engaging History class that had concluded with the students demonstrating their understanding of the class content with a creative drawing task. As they were attempting this task the researcher was interacting with the students wherein a conversation was had with the student who was the focus of the critical incident. The student declared that</w:t>
      </w:r>
      <w:r w:rsidRPr="00A10EC3">
        <w:t xml:space="preserve"> </w:t>
      </w:r>
      <w:r>
        <w:t>she was not very good at maths and that she was ‘not looking forward to next class’ which was met with agreement with her nearby peers.</w:t>
      </w:r>
    </w:p>
    <w:p w:rsidR="00E55A6C" w:rsidRDefault="00E55A6C" w:rsidP="002A2827">
      <w:pPr>
        <w:pStyle w:val="NoSpacing"/>
        <w:spacing w:line="360" w:lineRule="auto"/>
        <w:jc w:val="both"/>
      </w:pPr>
    </w:p>
    <w:p w:rsidR="00E55A6C" w:rsidRDefault="00E55A6C" w:rsidP="002A2827">
      <w:pPr>
        <w:pStyle w:val="NoSpacing"/>
        <w:spacing w:line="360" w:lineRule="auto"/>
        <w:jc w:val="both"/>
      </w:pPr>
      <w:r w:rsidRPr="00465E35">
        <w:t>This school has a diverse range of backgrounds in its students and is located in South Wales. The form group that the researcher was assigned to, however, was largely female-presenting (18 female-presenting to 7 male-presenting, though several students were absent) and the boys were largely on task and focussed throughout the day.</w:t>
      </w:r>
      <w:r>
        <w:t xml:space="preserve"> The class was in the first half of the first term and thus many of the classroom dynamics had not been established and there was little opportunity for differentiation in the class yet. </w:t>
      </w:r>
    </w:p>
    <w:p w:rsidR="00E55A6C" w:rsidRDefault="00E55A6C" w:rsidP="002A2827">
      <w:pPr>
        <w:pStyle w:val="NoSpacing"/>
        <w:spacing w:line="360" w:lineRule="auto"/>
        <w:jc w:val="both"/>
      </w:pPr>
    </w:p>
    <w:p w:rsidR="00E55A6C" w:rsidRPr="00465E35" w:rsidRDefault="00E55A6C" w:rsidP="002A2827">
      <w:pPr>
        <w:pStyle w:val="NoSpacing"/>
        <w:spacing w:line="360" w:lineRule="auto"/>
        <w:jc w:val="both"/>
      </w:pPr>
      <w:r>
        <w:t xml:space="preserve">Due to the fact that the incident took place in a mathematics class, it is prudent to note that the schools ‘Numeracy points score’ as per the official governmental sources show that the school is average for Wales, though it is slightly higher than average for the local authority. </w:t>
      </w:r>
      <w:r w:rsidR="00A01C34">
        <w:t>(Royal Statistics Society 2018)</w:t>
      </w:r>
    </w:p>
    <w:p w:rsidR="00E55A6C" w:rsidRPr="00E55A6C" w:rsidRDefault="00E55A6C" w:rsidP="002A2827">
      <w:pPr>
        <w:spacing w:line="360" w:lineRule="auto"/>
        <w:jc w:val="both"/>
      </w:pPr>
    </w:p>
    <w:p w:rsidR="00E55A6C" w:rsidRDefault="00E55A6C" w:rsidP="002A2827">
      <w:pPr>
        <w:pStyle w:val="Heading1"/>
        <w:spacing w:line="360" w:lineRule="auto"/>
        <w:jc w:val="both"/>
        <w:rPr>
          <w:sz w:val="26"/>
          <w:szCs w:val="26"/>
        </w:rPr>
      </w:pPr>
      <w:r w:rsidRPr="00E55A6C">
        <w:rPr>
          <w:sz w:val="26"/>
          <w:szCs w:val="26"/>
        </w:rPr>
        <w:lastRenderedPageBreak/>
        <w:t>Critical Incident Linked to Donaldson’s Four Purposes</w:t>
      </w:r>
    </w:p>
    <w:p w:rsidR="00A01C34" w:rsidRDefault="00A01C34" w:rsidP="002A2827">
      <w:pPr>
        <w:pStyle w:val="NoSpacing"/>
        <w:spacing w:line="360" w:lineRule="auto"/>
        <w:jc w:val="both"/>
      </w:pPr>
    </w:p>
    <w:p w:rsidR="00E55A6C" w:rsidRPr="001162DA" w:rsidRDefault="00E55A6C" w:rsidP="002A2827">
      <w:pPr>
        <w:pStyle w:val="NoSpacing"/>
        <w:spacing w:line="360" w:lineRule="auto"/>
        <w:jc w:val="both"/>
      </w:pPr>
      <w:r w:rsidRPr="001162DA">
        <w:t>The incident itself took place in a mathematics class during the second period of the day and was the final class before a break that many students were excitedly talking about. The students had been attending the school for only three weeks previous to the week in which the incident was observed and was still within the direct aftermath of COVID-19 closures in schools. The students had previously had an engaging History class wherein they had performed a wide range of tasks from reading and sorting facts, developing opinions, writing and then finishing with a creative plenary. The students had, during the plenary of the History class, started to complain about having maths class. This was true particularly of students C4 and C5, though they sat far apart from each other in the History classroom.</w:t>
      </w:r>
    </w:p>
    <w:p w:rsidR="00E55A6C" w:rsidRPr="001162DA" w:rsidRDefault="00E55A6C" w:rsidP="002A2827">
      <w:pPr>
        <w:pStyle w:val="NoSpacing"/>
        <w:spacing w:line="360" w:lineRule="auto"/>
        <w:jc w:val="both"/>
      </w:pPr>
      <w:r w:rsidRPr="001162DA">
        <w:t> </w:t>
      </w:r>
    </w:p>
    <w:p w:rsidR="00E55A6C" w:rsidRPr="001162DA" w:rsidRDefault="00E55A6C" w:rsidP="002A2827">
      <w:pPr>
        <w:pStyle w:val="NoSpacing"/>
        <w:spacing w:line="360" w:lineRule="auto"/>
        <w:jc w:val="both"/>
      </w:pPr>
      <w:r w:rsidRPr="001162DA">
        <w:t>Upon moving to the Mathematics class the students moved into seats. The researcher was not able to ask the instructor if there were any seating plans in place though several students were sat with those they were talking with throughout the day. Both possibilities are true though the researcher’s attention was immediately drawn when students C4 and C5 were sat in the back right hand corner of the classroom while the instructor was largely speaking from the front left of the classroom, positioning themselves to accommodate being able to write on the whiteboard with their right hand. Student C5 in particular was in a chair that did not face the board and was instead facing the right hand wall of the classroom.</w:t>
      </w:r>
    </w:p>
    <w:p w:rsidR="00E55A6C" w:rsidRPr="001162DA" w:rsidRDefault="00E55A6C" w:rsidP="002A2827">
      <w:pPr>
        <w:pStyle w:val="NoSpacing"/>
        <w:spacing w:line="360" w:lineRule="auto"/>
        <w:jc w:val="both"/>
      </w:pPr>
      <w:r w:rsidRPr="001162DA">
        <w:t> </w:t>
      </w:r>
    </w:p>
    <w:p w:rsidR="00E55A6C" w:rsidRPr="001162DA" w:rsidRDefault="00E55A6C" w:rsidP="002A2827">
      <w:pPr>
        <w:pStyle w:val="NoSpacing"/>
        <w:spacing w:line="360" w:lineRule="auto"/>
        <w:jc w:val="both"/>
      </w:pPr>
      <w:r w:rsidRPr="001162DA">
        <w:t xml:space="preserve">The class was immediately set an opening task that the instructor said was based off their previous classwork; </w:t>
      </w:r>
      <w:r>
        <w:t>C</w:t>
      </w:r>
      <w:r w:rsidRPr="001162DA">
        <w:t>5 sums that the students had to do while the instructor registered the class. The first task in particular wasn’t difficult for the expected level student of Year Seven but was presented in a way that some of the students weren’t able to break it down into something more manageable.</w:t>
      </w:r>
    </w:p>
    <w:p w:rsidR="00E55A6C" w:rsidRPr="001162DA" w:rsidRDefault="00E55A6C" w:rsidP="002A2827">
      <w:pPr>
        <w:pStyle w:val="NoSpacing"/>
        <w:spacing w:line="360" w:lineRule="auto"/>
        <w:jc w:val="both"/>
      </w:pPr>
      <w:r w:rsidRPr="001162DA">
        <w:t> Students C4 and C5 struggled while C3, who was several chairs down got on task and correctly answered the questions. Student C4 noticed a display that were helpful with the task and set onto the task</w:t>
      </w:r>
    </w:p>
    <w:p w:rsidR="00E55A6C" w:rsidRPr="001162DA" w:rsidRDefault="00E55A6C" w:rsidP="002A2827">
      <w:pPr>
        <w:pStyle w:val="NoSpacing"/>
        <w:spacing w:line="360" w:lineRule="auto"/>
        <w:jc w:val="both"/>
      </w:pPr>
      <w:r w:rsidRPr="001162DA">
        <w:lastRenderedPageBreak/>
        <w:t> </w:t>
      </w:r>
    </w:p>
    <w:p w:rsidR="00E55A6C" w:rsidRPr="001162DA" w:rsidRDefault="00E55A6C" w:rsidP="002A2827">
      <w:pPr>
        <w:pStyle w:val="NoSpacing"/>
        <w:spacing w:line="360" w:lineRule="auto"/>
        <w:jc w:val="both"/>
      </w:pPr>
      <w:r w:rsidRPr="001162DA">
        <w:t>The instructor, having finished registration, went around the class to check on how the students were doing. When the instructor approached C4 he noted that the student had finished the first question and prompted the student to try and do more, noting that they should move on if they could not finish one.</w:t>
      </w:r>
    </w:p>
    <w:p w:rsidR="00E55A6C" w:rsidRPr="001162DA" w:rsidRDefault="00E55A6C" w:rsidP="002A2827">
      <w:pPr>
        <w:pStyle w:val="NoSpacing"/>
        <w:spacing w:line="360" w:lineRule="auto"/>
        <w:jc w:val="both"/>
      </w:pPr>
      <w:r w:rsidRPr="001162DA">
        <w:t> </w:t>
      </w:r>
    </w:p>
    <w:p w:rsidR="00E55A6C" w:rsidRPr="001162DA" w:rsidRDefault="00E55A6C" w:rsidP="002A2827">
      <w:pPr>
        <w:pStyle w:val="NoSpacing"/>
        <w:spacing w:line="360" w:lineRule="auto"/>
        <w:jc w:val="both"/>
      </w:pPr>
      <w:r w:rsidRPr="001162DA">
        <w:t>He then passed onto C5 noting that the student had not completed the first question. When the student asked for help the instructor noted that there were 30 seconds left and that the student should pay attention for the next section where the answers would be explained. The student made to protest but seemed to think better of it and turned around. Upon the teacher going through the answers on the board, C4 was listening and copied down both the working and the answers while C5 simply copied down the answers.</w:t>
      </w:r>
    </w:p>
    <w:p w:rsidR="00E55A6C" w:rsidRDefault="00E55A6C" w:rsidP="002A2827">
      <w:pPr>
        <w:spacing w:line="360" w:lineRule="auto"/>
        <w:jc w:val="both"/>
      </w:pPr>
    </w:p>
    <w:p w:rsidR="00E55A6C" w:rsidRDefault="00E55A6C" w:rsidP="002A2827">
      <w:pPr>
        <w:spacing w:line="360" w:lineRule="auto"/>
        <w:jc w:val="both"/>
      </w:pPr>
      <w:r>
        <w:t>The key element that is observed here is the first of the four purposes as outlined in Donaldson and the Successful Futures report (2015) in that young people should develop as ‘ambitious, capable learners, ready to learn throughout their lives’. It is clear that an attempt was made to encourage most of the students to be ambitious in giving them high targets to achieve however for student C5, this left her too far behind to cope.</w:t>
      </w:r>
    </w:p>
    <w:p w:rsidR="00E55A6C" w:rsidRDefault="00E55A6C" w:rsidP="002A2827">
      <w:pPr>
        <w:pStyle w:val="Heading1"/>
        <w:spacing w:line="360" w:lineRule="auto"/>
        <w:jc w:val="both"/>
      </w:pPr>
      <w:r>
        <w:t>Literature Review</w:t>
      </w:r>
    </w:p>
    <w:p w:rsidR="00E55A6C" w:rsidRPr="00E55A6C" w:rsidRDefault="00E55A6C" w:rsidP="002A2827">
      <w:pPr>
        <w:spacing w:line="360" w:lineRule="auto"/>
        <w:jc w:val="both"/>
      </w:pPr>
    </w:p>
    <w:p w:rsidR="00E55A6C" w:rsidRDefault="00E55A6C" w:rsidP="002A2827">
      <w:pPr>
        <w:spacing w:line="360" w:lineRule="auto"/>
        <w:jc w:val="both"/>
      </w:pPr>
      <w:r>
        <w:t xml:space="preserve">The researcher looked at several areas of research to attempt to see what was happening in the classrooms. The key aspect looked at was surrounding the concept of the ‘Zone of Proximal Development’ </w:t>
      </w:r>
      <w:r w:rsidR="00A01C34">
        <w:t xml:space="preserve">(Vygotsky, 1978) </w:t>
      </w:r>
      <w:r>
        <w:t xml:space="preserve">though this was supplemented with looking at Cognitive Load theory and the ideas surrounding it as well as the ideas of Learned Helplessness. In order to give context and relate these ideas to current trends in educational standards Metacognitive Theory was also looked at. </w:t>
      </w:r>
    </w:p>
    <w:p w:rsidR="00E55A6C" w:rsidRDefault="00E55A6C" w:rsidP="002A2827">
      <w:pPr>
        <w:spacing w:line="360" w:lineRule="auto"/>
        <w:jc w:val="both"/>
      </w:pPr>
      <w:r>
        <w:t xml:space="preserve">One of the first avenues of research was to apply Vygotsky’s model of the Zone of Proximal Development (ZPD). Vygotsky implies that the level of difficulty of task wherein the student can most </w:t>
      </w:r>
      <w:r>
        <w:lastRenderedPageBreak/>
        <w:t xml:space="preserve">effectively learn is between where the student can complete the task with no assistance and the where the student cannot complete the task even with the assistance of a competent instructor. The aforementioned zone between these points; where a student is given competent instruction is where a learner should be most effective in their development. The concept of the competent instruction is highlighted by the process of scaffolding of information where a carefully designed scheme of work can allow a student to progress steadily with the support of previous information allowing them to progress up while the ZPD moves up around them. </w:t>
      </w:r>
      <w:r w:rsidR="00A01C34">
        <w:t>(Vygotsky 1978)</w:t>
      </w:r>
    </w:p>
    <w:p w:rsidR="00E55A6C" w:rsidRDefault="00E55A6C" w:rsidP="002A2827">
      <w:pPr>
        <w:spacing w:line="360" w:lineRule="auto"/>
        <w:jc w:val="both"/>
      </w:pPr>
      <w:r>
        <w:t xml:space="preserve">The use of Vygotsky has issues, largely due to his work being developed on largely untested or tested with a small sample size. The key flaw in the model is the idea that one of the key aims of instruction is to work the student to a place where they can undergo independent learning. A lack of independent learning is even what Julie </w:t>
      </w:r>
      <w:proofErr w:type="spellStart"/>
      <w:r>
        <w:t>Kettlewell</w:t>
      </w:r>
      <w:proofErr w:type="spellEnd"/>
      <w:r>
        <w:t xml:space="preserve"> suggests </w:t>
      </w:r>
      <w:r w:rsidR="00B11BF9">
        <w:t>‘</w:t>
      </w:r>
      <w:r>
        <w:t>is related to many of the challenges that teachers face each day</w:t>
      </w:r>
      <w:r w:rsidR="00B11BF9">
        <w:t>’ (</w:t>
      </w:r>
      <w:proofErr w:type="spellStart"/>
      <w:r w:rsidR="00B11BF9">
        <w:t>Kettlewell</w:t>
      </w:r>
      <w:proofErr w:type="spellEnd"/>
      <w:r w:rsidR="00B11BF9">
        <w:t xml:space="preserve"> 2021)</w:t>
      </w:r>
      <w:r>
        <w:t xml:space="preserve">. The ZPD suggests that any task that the student can do without help of an instructor is not within the ZPD which leads to a weakness of the model in some aspects but attempting to deal with that is beyond the scope of the focus of this study, though elements of this are relevant in Metacognitive Theory. </w:t>
      </w:r>
    </w:p>
    <w:p w:rsidR="00E55A6C" w:rsidRDefault="00E55A6C" w:rsidP="002A2827">
      <w:pPr>
        <w:spacing w:line="360" w:lineRule="auto"/>
        <w:jc w:val="both"/>
      </w:pPr>
      <w:r>
        <w:t>Learned helplessness comes from an observation in animals’ reactions to being put into perceived hopeless situations. The idea that an animal in a negative situation could be convinced that it was helpless and behave in a manner reflecting that belief even if the situation was resolved. This research, conducted in a similar manner as Skinner’s rats</w:t>
      </w:r>
      <w:r w:rsidR="009019D9">
        <w:t xml:space="preserve"> in his demonstrations of operant conditioning (Skinner, 1963)</w:t>
      </w:r>
      <w:r>
        <w:t xml:space="preserve">, was applied early on to the idea that students who felt unable to engage with a task would expect not to be able to complete more tasks and would not attempt them. </w:t>
      </w:r>
      <w:proofErr w:type="spellStart"/>
      <w:r>
        <w:t>Charisse</w:t>
      </w:r>
      <w:proofErr w:type="spellEnd"/>
      <w:r>
        <w:t xml:space="preserve"> Nixon successfully demonstrated this effect in students as part of research at The Ophelia Project at Penn State Erie. Nixon gave half a room tasks involving anagram solving that were easily achievable whole the other half had a similar set though they started with impossible problems to solve. The group with the easier task were able to finish everything whilst the other group, despite having some of the same problems to solve saw the task as impossible. </w:t>
      </w:r>
      <w:r w:rsidR="00A017FA">
        <w:t>(Nixon 2008)</w:t>
      </w:r>
    </w:p>
    <w:p w:rsidR="00E55A6C" w:rsidRDefault="00E55A6C" w:rsidP="002A2827">
      <w:pPr>
        <w:spacing w:line="360" w:lineRule="auto"/>
        <w:jc w:val="both"/>
      </w:pPr>
      <w:r>
        <w:t xml:space="preserve">Learned Helplessness was critiqued by Abramson, Seligman and </w:t>
      </w:r>
      <w:proofErr w:type="spellStart"/>
      <w:r>
        <w:t>Teasedale</w:t>
      </w:r>
      <w:proofErr w:type="spellEnd"/>
      <w:r>
        <w:t xml:space="preserve"> where the idea was suggested that the theory was difficult to plan for due to it being a situational and subjective problem; in that different people react differently to different things. (</w:t>
      </w:r>
      <w:proofErr w:type="spellStart"/>
      <w:r>
        <w:t>Abramason</w:t>
      </w:r>
      <w:proofErr w:type="spellEnd"/>
      <w:r>
        <w:t xml:space="preserve">, Seligman and </w:t>
      </w:r>
      <w:proofErr w:type="spellStart"/>
      <w:r>
        <w:t>Teasedale</w:t>
      </w:r>
      <w:proofErr w:type="spellEnd"/>
      <w:r>
        <w:t xml:space="preserve"> 1978) There is no finite number wherein a student will give up by. The fact remains however that it is a phenomenon that can happen and should be recognised when it does. </w:t>
      </w:r>
    </w:p>
    <w:p w:rsidR="00E55A6C" w:rsidRDefault="00E55A6C" w:rsidP="002A2827">
      <w:pPr>
        <w:spacing w:line="360" w:lineRule="auto"/>
        <w:jc w:val="both"/>
      </w:pPr>
      <w:r>
        <w:t xml:space="preserve">The research into Learned Helplessness was further researched with a paper by Marie-Louise </w:t>
      </w:r>
      <w:proofErr w:type="spellStart"/>
      <w:r>
        <w:t>Craske</w:t>
      </w:r>
      <w:proofErr w:type="spellEnd"/>
      <w:r>
        <w:t xml:space="preserve"> who linked the idea with the concept of Self-Worth noting that two distinct ou</w:t>
      </w:r>
      <w:r w:rsidR="00A017FA">
        <w:t xml:space="preserve">tcomes came from </w:t>
      </w:r>
      <w:r w:rsidR="00A017FA">
        <w:lastRenderedPageBreak/>
        <w:t xml:space="preserve">students that ‘give up’ </w:t>
      </w:r>
      <w:r>
        <w:t xml:space="preserve">in classrooms. The first she applied the Learned Helplessness model to the students who lost confidence due to a lack of confidence in their ability. She noted that </w:t>
      </w:r>
      <w:r w:rsidR="00A017FA">
        <w:t>‘</w:t>
      </w:r>
      <w:r>
        <w:t>A state of learned helplessness is reached when an individual lacks control in obtaining a desired outcome</w:t>
      </w:r>
      <w:r w:rsidR="00A017FA">
        <w:t>’</w:t>
      </w:r>
      <w:r>
        <w:t xml:space="preserve">, or that when a student fails many times they will eventually come to a point where they give up even if the task is something they are able to do. </w:t>
      </w:r>
      <w:proofErr w:type="spellStart"/>
      <w:r>
        <w:t>Craske</w:t>
      </w:r>
      <w:proofErr w:type="spellEnd"/>
      <w:r>
        <w:t xml:space="preserve"> compares this to Self-Worth as an alternative model for viewing students that give up due to an attempt to ‘maintain a self-concept of high-ability’. This model suggests that a student who isn’t trying is attempting to avoid work due to a fear of failure rather than an expectation of failure. </w:t>
      </w:r>
      <w:r w:rsidR="00A017FA">
        <w:t>(</w:t>
      </w:r>
      <w:proofErr w:type="spellStart"/>
      <w:r w:rsidR="00A017FA">
        <w:t>Craske</w:t>
      </w:r>
      <w:proofErr w:type="spellEnd"/>
      <w:r w:rsidR="00A017FA">
        <w:t xml:space="preserve"> 1988)</w:t>
      </w:r>
    </w:p>
    <w:p w:rsidR="00E55A6C" w:rsidRDefault="00E55A6C" w:rsidP="002A2827">
      <w:pPr>
        <w:spacing w:line="360" w:lineRule="auto"/>
        <w:jc w:val="both"/>
      </w:pPr>
      <w:proofErr w:type="spellStart"/>
      <w:r>
        <w:t>Craske</w:t>
      </w:r>
      <w:proofErr w:type="spellEnd"/>
      <w:r>
        <w:t xml:space="preserve"> observed the difference between these two models as LH students performed better with coaching whilst SW students ‘did not respond to a technique designed to overcome “helplessness”.</w:t>
      </w:r>
    </w:p>
    <w:p w:rsidR="00E55A6C" w:rsidRDefault="00E55A6C" w:rsidP="002A2827">
      <w:pPr>
        <w:spacing w:line="360" w:lineRule="auto"/>
        <w:jc w:val="both"/>
      </w:pPr>
      <w:proofErr w:type="spellStart"/>
      <w:r>
        <w:t>Craske</w:t>
      </w:r>
      <w:proofErr w:type="spellEnd"/>
      <w:r>
        <w:t xml:space="preserve"> observes that there is a general bias that female students lend towards LH behaviours while boys tend to be SW though she also observed an age trend where the more mature a student was the more likely they would shift towards following the SW model. </w:t>
      </w:r>
    </w:p>
    <w:p w:rsidR="00E55A6C" w:rsidRPr="007C75C5" w:rsidRDefault="00E55A6C" w:rsidP="002A2827">
      <w:pPr>
        <w:spacing w:line="360" w:lineRule="auto"/>
        <w:jc w:val="both"/>
      </w:pPr>
      <w:r>
        <w:t xml:space="preserve">Linking this to the Vygotsky’s work then a student who exists in a state beyond the Zone of Proximal Development, where tasks are impossible even with competent instruction might start to perceive the world in terms where everything is impossible to achieve and understandably give up. Alternatively looking through the model of Cognitive Load Theory it may also be possible that a student experiencing Learned Helplessness may purely be stuck because of the perceived difficulty of a set of tasks as a whole when some of it is difficult. </w:t>
      </w:r>
    </w:p>
    <w:p w:rsidR="00E55A6C" w:rsidRDefault="00E55A6C" w:rsidP="002A2827">
      <w:pPr>
        <w:spacing w:line="360" w:lineRule="auto"/>
        <w:jc w:val="both"/>
      </w:pPr>
      <w:r>
        <w:t xml:space="preserve">This implies that the Zone of Proximal Development doesn’t just start and end with what the student is capable of but also within the student’s perception of what they are capable of. While a task can be lowered in difficulty in order to allow a student to participate it might also drop out of the ZPD and therefore not be optimal for student learning. This provides a situation for the instructor where Cognitive Load might provide a model for understanding how best to approach the problem of a student who is struggling with the perception of a task being too difficult when it should be in their ability to achieve with suitable instruction. </w:t>
      </w:r>
    </w:p>
    <w:p w:rsidR="00E55A6C" w:rsidRDefault="00E55A6C" w:rsidP="002A2827">
      <w:pPr>
        <w:spacing w:line="360" w:lineRule="auto"/>
        <w:jc w:val="both"/>
      </w:pPr>
      <w:r>
        <w:t xml:space="preserve">Cognitive Load was designed by </w:t>
      </w:r>
      <w:proofErr w:type="spellStart"/>
      <w:r>
        <w:t>Sweller</w:t>
      </w:r>
      <w:proofErr w:type="spellEnd"/>
      <w:r>
        <w:t xml:space="preserve"> in 1988 in order to “provide guidelines intended to assist in the presentation of information in a manner that encourages learner activities that optimise intellectual performance.” The proposed idea is that students’ ability to move information through sensory input, into working memory and then into long term memory is largely guided by their own ability (Intrinsic Cognitive Load) and that the instructor largely has no input on this barring how much of the information is given at one time. The only thing the instructor can control is how the content is </w:t>
      </w:r>
      <w:r>
        <w:lastRenderedPageBreak/>
        <w:t xml:space="preserve">presented to the student. This concept refers to </w:t>
      </w:r>
      <w:proofErr w:type="spellStart"/>
      <w:r>
        <w:t>Sweller’s</w:t>
      </w:r>
      <w:proofErr w:type="spellEnd"/>
      <w:r>
        <w:t xml:space="preserve"> Extraneous Cognitive Load posed against his Germane Cognitive Load; how the information as a holistic entity is presented to learners. (</w:t>
      </w:r>
      <w:proofErr w:type="spellStart"/>
      <w:r w:rsidR="00A017FA">
        <w:t>Kalyuga</w:t>
      </w:r>
      <w:proofErr w:type="spellEnd"/>
      <w:r w:rsidR="00A017FA">
        <w:t xml:space="preserve">, </w:t>
      </w:r>
      <w:r>
        <w:t xml:space="preserve">Chandler and </w:t>
      </w:r>
      <w:proofErr w:type="spellStart"/>
      <w:r>
        <w:t>Sweller</w:t>
      </w:r>
      <w:proofErr w:type="spellEnd"/>
      <w:r>
        <w:t xml:space="preserve">, 1998 pp 295). </w:t>
      </w:r>
      <w:r w:rsidR="009019D9">
        <w:t>Extraneous</w:t>
      </w:r>
      <w:r>
        <w:t xml:space="preserve"> Cognitive Loads are the issues that interfere with learning and can range from momentary distractive elements in a classroom to permanent issues with information being absorbed. Germane Cognitive Load relates to the construction of schemas within the student’s mind. The observation of </w:t>
      </w:r>
      <w:proofErr w:type="spellStart"/>
      <w:r>
        <w:t>Sweller</w:t>
      </w:r>
      <w:proofErr w:type="spellEnd"/>
      <w:r>
        <w:t xml:space="preserve"> was that minimising the Extraneous Cognitive Load and redirect anything that might be distracting element in the classroom towards the formation of the schemas helpful to the relevant information would be the most effective way to improve the student’s ability to encode it. </w:t>
      </w:r>
    </w:p>
    <w:p w:rsidR="00E55A6C" w:rsidRDefault="00E55A6C" w:rsidP="002A2827">
      <w:pPr>
        <w:spacing w:line="360" w:lineRule="auto"/>
        <w:jc w:val="both"/>
      </w:pPr>
      <w:r>
        <w:t xml:space="preserve">An attempt to see where the interplay between cognitive load and the zone of proximal development suggests that ‘assessment tasks located in the ZPD of students will also induce cognitive loading but less than that induced by complex questions.’ (Zulu, </w:t>
      </w:r>
      <w:proofErr w:type="spellStart"/>
      <w:r>
        <w:t>Tramontin</w:t>
      </w:r>
      <w:proofErr w:type="spellEnd"/>
      <w:r>
        <w:t xml:space="preserve"> and </w:t>
      </w:r>
      <w:proofErr w:type="spellStart"/>
      <w:r>
        <w:t>Haupt</w:t>
      </w:r>
      <w:proofErr w:type="spellEnd"/>
      <w:r w:rsidR="00A017FA">
        <w:t>, 2018</w:t>
      </w:r>
      <w:r>
        <w:t xml:space="preserve">). This follows the understanding that managing Cognitive Load plays a part in where the ZPD lies for a student which follows the idea that ‘competent instruction’, as per Vygotsky, is vital in allowing the student to enter the Zone of Proximal Development. As the instructor has little control over the intrinsic cognitive load then attempting to present information that is decipherable for the student so that they can parse and digest it in a manner that they can retrieve it later is vital. This is where management of the balance between Extraneous and Cognitive Load comes in. Providing an environment and method of instruction that allows students to successfully complete tasks and encode information is therefore an effective way to allow students to be confident as the scaffolding of information is created for them. </w:t>
      </w:r>
    </w:p>
    <w:p w:rsidR="00E55A6C" w:rsidRDefault="00E55A6C" w:rsidP="002A2827">
      <w:pPr>
        <w:pStyle w:val="NoSpacing"/>
        <w:spacing w:line="360" w:lineRule="auto"/>
        <w:jc w:val="both"/>
      </w:pPr>
      <w:r>
        <w:t xml:space="preserve">The Education </w:t>
      </w:r>
      <w:r w:rsidRPr="0083320D">
        <w:t>Endowment Foundation lists metacognition as one of its key recommendations for schools, claiming that it ‘can be worth the equivalent of an additional +7 months’ progress when used well.’</w:t>
      </w:r>
      <w:r w:rsidR="00A017FA">
        <w:t>(EEF, 2022)</w:t>
      </w:r>
      <w:r>
        <w:t xml:space="preserve"> This indicates that the place that metacognition sits within how perception of difficulty.</w:t>
      </w:r>
      <w:r w:rsidRPr="003F5A0C">
        <w:t xml:space="preserve"> </w:t>
      </w:r>
      <w:r>
        <w:t xml:space="preserve">The perception of one’s own ability and how to improve however is one of the key aspects of metacognition. </w:t>
      </w:r>
      <w:proofErr w:type="spellStart"/>
      <w:r>
        <w:t>Shimamura</w:t>
      </w:r>
      <w:proofErr w:type="spellEnd"/>
      <w:r>
        <w:t>, in ‘Toward a Cognitive Neuroscience of Metacognition’ establishes that there is a key link between how metacognitive processes affect one’s interactions between sensory input and working memory in that having what they refer to as ‘executive control’ as a key element in learning</w:t>
      </w:r>
      <w:r w:rsidR="00A64221">
        <w:t xml:space="preserve"> (</w:t>
      </w:r>
      <w:proofErr w:type="spellStart"/>
      <w:r w:rsidR="00A64221">
        <w:t>Shimamura</w:t>
      </w:r>
      <w:proofErr w:type="spellEnd"/>
      <w:r w:rsidR="00A64221">
        <w:t xml:space="preserve"> 2000)</w:t>
      </w:r>
      <w:r>
        <w:t xml:space="preserve">. This implies that a level beyond the </w:t>
      </w:r>
      <w:proofErr w:type="spellStart"/>
      <w:r>
        <w:t>quantitive</w:t>
      </w:r>
      <w:proofErr w:type="spellEnd"/>
      <w:r>
        <w:t xml:space="preserve"> control that an instructor has over the information given to a student in managing Intrinsic Cognitive Load. In developing a metacognitive understanding of the information allows students to manage their own Intrinsic Cognitive Load and thus improve the encoding of information. </w:t>
      </w:r>
    </w:p>
    <w:p w:rsidR="00E55A6C" w:rsidRDefault="00E55A6C" w:rsidP="002A2827">
      <w:pPr>
        <w:spacing w:line="360" w:lineRule="auto"/>
        <w:jc w:val="both"/>
      </w:pPr>
    </w:p>
    <w:p w:rsidR="00E55A6C" w:rsidRDefault="00E55A6C" w:rsidP="002A2827">
      <w:pPr>
        <w:pStyle w:val="Heading1"/>
        <w:spacing w:line="360" w:lineRule="auto"/>
        <w:jc w:val="both"/>
      </w:pPr>
      <w:r w:rsidRPr="00E55A6C">
        <w:lastRenderedPageBreak/>
        <w:t>Reflection / Evaluation &amp; Next Steps</w:t>
      </w:r>
    </w:p>
    <w:p w:rsidR="00E55A6C" w:rsidRPr="00E55A6C" w:rsidRDefault="00E55A6C" w:rsidP="002A2827">
      <w:pPr>
        <w:spacing w:line="360" w:lineRule="auto"/>
        <w:jc w:val="both"/>
      </w:pPr>
    </w:p>
    <w:p w:rsidR="00E55A6C" w:rsidRDefault="00E55A6C" w:rsidP="002A2827">
      <w:pPr>
        <w:spacing w:line="360" w:lineRule="auto"/>
        <w:jc w:val="both"/>
      </w:pPr>
      <w:r>
        <w:t xml:space="preserve">Due to the fact that the student was struggling and asked for help it was decided to reflect on the critical incident using the lens of Learned Helplessness rather than Self Worth due to several reasons. The initial reasons are that the student is a year 7 and female which under </w:t>
      </w:r>
      <w:proofErr w:type="spellStart"/>
      <w:r>
        <w:t>Craske’s</w:t>
      </w:r>
      <w:proofErr w:type="spellEnd"/>
      <w:r>
        <w:t xml:space="preserve"> model fits more towards a Learned Helplessness way of understanding the student. The student was also loudly declaring before class that she was not good at maths and is supported with the way that the student reacted to further problems in that she made no attempt to complete them and instead waited for the answers to be given. </w:t>
      </w:r>
    </w:p>
    <w:p w:rsidR="00E55A6C" w:rsidRDefault="00E55A6C" w:rsidP="002A2827">
      <w:pPr>
        <w:spacing w:line="360" w:lineRule="auto"/>
        <w:jc w:val="both"/>
      </w:pPr>
      <w:r>
        <w:t xml:space="preserve">The student had been presented with a problem that whilst looked very hard was a simple question presented in a difficult way. This difficult presentation, added to an already existing perception of a poor ability in maths, caused a cognitive load that the student felt unable to even approach the question. The explanation of the answer, given in the expectation of a student to notice that the problem was merely a complex presentation of a simple piece of mathematics was not understood by the student who continued to accept that the complex presentation of the problem meant that the problem itself was difficult and out of her depth. This caused the student to be lead to believe that the content of the class was outside of her Zone of Proximal development and caused her to disengage with the class as seen with her lack of attempting the rest of the questions whilst still dutifully copying the answers in her book. </w:t>
      </w:r>
    </w:p>
    <w:p w:rsidR="00E55A6C" w:rsidRDefault="00E55A6C" w:rsidP="002A2827">
      <w:pPr>
        <w:spacing w:line="360" w:lineRule="auto"/>
        <w:jc w:val="both"/>
      </w:pPr>
      <w:r>
        <w:t>An attempt had been made to meter the extraneous load as a poster that gave students times tables and this had helped another student in their attempting the questions, using the information for the posters to work out that the problem appeared harder than it actually was. The student that the critical incident focusses on however was unable to recognise this and the process of the other student in fact seemed to add to the extraneous cognitive load that was already present while also leading the student down the path of learned helplessness. The indication was that a student that had been struggling was now able to do work with the assistance of the environment set up by the instructor while they were unable to complete the task had led to a giving up on the task.</w:t>
      </w:r>
    </w:p>
    <w:p w:rsidR="00E55A6C" w:rsidRDefault="00E55A6C" w:rsidP="002A2827">
      <w:pPr>
        <w:spacing w:line="360" w:lineRule="auto"/>
        <w:jc w:val="both"/>
      </w:pPr>
      <w:r>
        <w:t xml:space="preserve">Looking forward to the researcher’s own practice it would be prudent to look into effective forms of differentiation in classes with mixed attainment. Furthermore maintaining a practice of dual coding within instruction not only in the interest of the retention of information of but in the accessibility of that information; presenting it in different ways in order to allow for a better understanding and the elimination of misconceptions. </w:t>
      </w:r>
    </w:p>
    <w:p w:rsidR="00E55A6C" w:rsidRDefault="00E55A6C" w:rsidP="002A2827">
      <w:pPr>
        <w:spacing w:line="360" w:lineRule="auto"/>
        <w:jc w:val="both"/>
      </w:pPr>
      <w:r>
        <w:lastRenderedPageBreak/>
        <w:t xml:space="preserve">These would be essential to eliminating the cognitive loads of students within the classroom. The usage of relevant posters is a useful thing to learn from and though it didn’t help the student that was the focus of the critical incident it did help at least one other. The fact that independent problem solving was possible because of it is a good indicator that the environment can also be part of the ‘competent instruction’ that gives assistance to students situated in the zone of proximal development. The developing of a metacognitive attitude within the classroom was evident and though the student at the focus of the critical incident had not demonstrated this ability it is hopeful that they will do so in the future. </w:t>
      </w:r>
    </w:p>
    <w:p w:rsidR="00E55A6C" w:rsidRDefault="00E55A6C" w:rsidP="002A2827">
      <w:pPr>
        <w:spacing w:line="360" w:lineRule="auto"/>
        <w:jc w:val="both"/>
      </w:pPr>
      <w:r>
        <w:t xml:space="preserve">Other research that could have been used but were not were that of student’s needs from a humanist approach to teaching. The student had needs that were not catered for and properly applying the understanding of these needs could further the ability of the researcher to better understand the situation that the student was in. It is also possible that other extraneous cognitive loads were missed by the researcher due to a myriad of reasons and looking into more examples that could help identify problems for students in the future will help attempts to shift the cognitive loads of students from the extraneous to the germane. </w:t>
      </w:r>
    </w:p>
    <w:p w:rsidR="00E55A6C" w:rsidRDefault="00E55A6C" w:rsidP="002A2827">
      <w:pPr>
        <w:pStyle w:val="Heading1"/>
        <w:spacing w:line="360" w:lineRule="auto"/>
        <w:jc w:val="both"/>
      </w:pPr>
      <w:r>
        <w:t>Conclusion</w:t>
      </w:r>
    </w:p>
    <w:p w:rsidR="00E55A6C" w:rsidRPr="00E55A6C" w:rsidRDefault="00E55A6C" w:rsidP="002A2827">
      <w:pPr>
        <w:spacing w:line="360" w:lineRule="auto"/>
        <w:jc w:val="both"/>
      </w:pPr>
    </w:p>
    <w:p w:rsidR="00E55A6C" w:rsidRDefault="00E55A6C" w:rsidP="002A2827">
      <w:pPr>
        <w:pStyle w:val="NoSpacing"/>
        <w:spacing w:line="360" w:lineRule="auto"/>
        <w:jc w:val="both"/>
      </w:pPr>
      <w:r>
        <w:t xml:space="preserve">From both researching and reflecting on the critical incident demonstrates how the perception of difficulty of a task can affect students' engagement and attainment. Through observing the Mathematics Class the researcher concluded that the presentation of a simple task as more difficult can affect a student's engagement with it and have greater ramifications throughout the course of the class too. Being able to allow all students in the classroom to engage with the task and to differentiate if there is a need for higher level tasks through leaving more difficult questions, or normal questions presented at a higher level than they are, for extension activities so that all students have an achievable target to aim for. This aligns with the first of the four purposes outlined in the Donaldson successful futures report wherein aiming for students to be 'ambitious, capable learners' </w:t>
      </w:r>
      <w:r w:rsidR="00A64221">
        <w:t xml:space="preserve">(Donaldson 2015) </w:t>
      </w:r>
      <w:r>
        <w:t xml:space="preserve">can only be fulfilled if they are given clear and achievable goals. This is further noticeable in the second half of the statement; 'ready to learn throughout their lives' </w:t>
      </w:r>
      <w:r w:rsidR="00A64221">
        <w:t xml:space="preserve">(Donaldson 2015) </w:t>
      </w:r>
      <w:r>
        <w:t>which cannot be achieved if the former is failed and students are given opportunities to fall into a state of learned helplessness.</w:t>
      </w:r>
    </w:p>
    <w:p w:rsidR="00585D72" w:rsidRDefault="00E55A6C" w:rsidP="002A2827">
      <w:pPr>
        <w:pStyle w:val="Heading1"/>
        <w:spacing w:line="360" w:lineRule="auto"/>
        <w:jc w:val="both"/>
      </w:pPr>
      <w:r>
        <w:lastRenderedPageBreak/>
        <w:t>Appendices</w:t>
      </w:r>
    </w:p>
    <w:p w:rsidR="002A2827" w:rsidRDefault="002A2827" w:rsidP="002A2827">
      <w:pPr>
        <w:spacing w:line="360" w:lineRule="auto"/>
        <w:jc w:val="both"/>
        <w:rPr>
          <w:noProof/>
        </w:rPr>
      </w:pPr>
    </w:p>
    <w:p w:rsidR="00A64221" w:rsidRDefault="002A2827" w:rsidP="002A2827">
      <w:pPr>
        <w:spacing w:line="360" w:lineRule="auto"/>
        <w:jc w:val="both"/>
      </w:pPr>
      <w:bookmarkStart w:id="0" w:name="_GoBack"/>
      <w:r w:rsidRPr="002A2827">
        <w:rPr>
          <w:noProof/>
        </w:rPr>
        <w:drawing>
          <wp:inline distT="0" distB="0" distL="0" distR="0">
            <wp:extent cx="7842403" cy="5881803"/>
            <wp:effectExtent l="8890" t="0" r="0" b="0"/>
            <wp:docPr id="3" name="Picture 3" descr="C:\Users\Justin\AppData\Local\Packages\Microsoft.YourPhone_8wekyb3d8bbwe\TempState\medias\20221106_2015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ustin\AppData\Local\Packages\Microsoft.YourPhone_8wekyb3d8bbwe\TempState\medias\20221106_201505.jpg"/>
                    <pic:cNvPicPr>
                      <a:picLocks noChangeAspect="1" noChangeArrowheads="1"/>
                    </pic:cNvPicPr>
                  </pic:nvPicPr>
                  <pic:blipFill>
                    <a:blip r:embed="rId5" cstate="print">
                      <a:grayscl/>
                      <a:extLst>
                        <a:ext uri="{BEBA8EAE-BF5A-486C-A8C5-ECC9F3942E4B}">
                          <a14:imgProps xmlns:a14="http://schemas.microsoft.com/office/drawing/2010/main">
                            <a14:imgLayer r:embed="rId6">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rot="5400000">
                      <a:off x="0" y="0"/>
                      <a:ext cx="7846458" cy="5884844"/>
                    </a:xfrm>
                    <a:prstGeom prst="rect">
                      <a:avLst/>
                    </a:prstGeom>
                    <a:noFill/>
                    <a:ln>
                      <a:noFill/>
                    </a:ln>
                  </pic:spPr>
                </pic:pic>
              </a:graphicData>
            </a:graphic>
          </wp:inline>
        </w:drawing>
      </w:r>
    </w:p>
    <w:bookmarkEnd w:id="0"/>
    <w:p w:rsidR="002A2827" w:rsidRDefault="002A2827" w:rsidP="002A2827">
      <w:pPr>
        <w:spacing w:line="360" w:lineRule="auto"/>
        <w:jc w:val="both"/>
      </w:pPr>
      <w:r w:rsidRPr="002A2827">
        <w:rPr>
          <w:noProof/>
        </w:rPr>
        <w:lastRenderedPageBreak/>
        <w:drawing>
          <wp:inline distT="0" distB="0" distL="0" distR="0" wp14:anchorId="23F47A42" wp14:editId="75030D0A">
            <wp:extent cx="8320740" cy="6241936"/>
            <wp:effectExtent l="0" t="8255" r="0" b="0"/>
            <wp:docPr id="1" name="Picture 1" descr="C:\Users\Justin\AppData\Local\Packages\Microsoft.YourPhone_8wekyb3d8bbwe\TempState\medias\20221106_2008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stin\AppData\Local\Packages\Microsoft.YourPhone_8wekyb3d8bbwe\TempState\medias\20221106_200811.jpg"/>
                    <pic:cNvPicPr>
                      <a:picLocks noChangeAspect="1" noChangeArrowheads="1"/>
                    </pic:cNvPicPr>
                  </pic:nvPicPr>
                  <pic:blipFill>
                    <a:blip r:embed="rId7">
                      <a:grayscl/>
                      <a:extLst>
                        <a:ext uri="{BEBA8EAE-BF5A-486C-A8C5-ECC9F3942E4B}">
                          <a14:imgProps xmlns:a14="http://schemas.microsoft.com/office/drawing/2010/main">
                            <a14:imgLayer r:embed="rId8">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rot="5400000">
                      <a:off x="0" y="0"/>
                      <a:ext cx="8327384" cy="6246920"/>
                    </a:xfrm>
                    <a:prstGeom prst="rect">
                      <a:avLst/>
                    </a:prstGeom>
                    <a:noFill/>
                    <a:ln>
                      <a:noFill/>
                    </a:ln>
                  </pic:spPr>
                </pic:pic>
              </a:graphicData>
            </a:graphic>
          </wp:inline>
        </w:drawing>
      </w:r>
      <w:r w:rsidRPr="002A2827">
        <w:rPr>
          <w:noProof/>
        </w:rPr>
        <w:lastRenderedPageBreak/>
        <w:drawing>
          <wp:inline distT="0" distB="0" distL="0" distR="0">
            <wp:extent cx="7904783" cy="5930432"/>
            <wp:effectExtent l="0" t="3493" r="0" b="0"/>
            <wp:docPr id="2" name="Picture 2" descr="C:\Users\Justin\AppData\Local\Packages\Microsoft.YourPhone_8wekyb3d8bbwe\TempState\medias\20221106_2008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ustin\AppData\Local\Packages\Microsoft.YourPhone_8wekyb3d8bbwe\TempState\medias\20221106_200814.jpg"/>
                    <pic:cNvPicPr>
                      <a:picLocks noChangeAspect="1" noChangeArrowheads="1"/>
                    </pic:cNvPicPr>
                  </pic:nvPicPr>
                  <pic:blipFill>
                    <a:blip r:embed="rId9" cstate="print">
                      <a:grayscl/>
                      <a:extLst>
                        <a:ext uri="{BEBA8EAE-BF5A-486C-A8C5-ECC9F3942E4B}">
                          <a14:imgProps xmlns:a14="http://schemas.microsoft.com/office/drawing/2010/main">
                            <a14:imgLayer r:embed="rId10">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rot="5400000">
                      <a:off x="0" y="0"/>
                      <a:ext cx="7915118" cy="5938186"/>
                    </a:xfrm>
                    <a:prstGeom prst="rect">
                      <a:avLst/>
                    </a:prstGeom>
                    <a:noFill/>
                    <a:ln>
                      <a:noFill/>
                    </a:ln>
                  </pic:spPr>
                </pic:pic>
              </a:graphicData>
            </a:graphic>
          </wp:inline>
        </w:drawing>
      </w:r>
    </w:p>
    <w:sdt>
      <w:sdtPr>
        <w:id w:val="191971847"/>
        <w:docPartObj>
          <w:docPartGallery w:val="Bibliographies"/>
          <w:docPartUnique/>
        </w:docPartObj>
      </w:sdtPr>
      <w:sdtEndPr>
        <w:rPr>
          <w:rFonts w:asciiTheme="minorHAnsi" w:eastAsiaTheme="minorEastAsia" w:hAnsiTheme="minorHAnsi" w:cstheme="minorBidi"/>
          <w:b w:val="0"/>
          <w:color w:val="auto"/>
          <w:sz w:val="22"/>
          <w:szCs w:val="22"/>
          <w:u w:val="none"/>
        </w:rPr>
      </w:sdtEndPr>
      <w:sdtContent>
        <w:p w:rsidR="00A64221" w:rsidRDefault="00A64221" w:rsidP="002A2827">
          <w:pPr>
            <w:pStyle w:val="Heading1"/>
            <w:jc w:val="both"/>
          </w:pPr>
          <w:r>
            <w:t>References</w:t>
          </w:r>
        </w:p>
        <w:sdt>
          <w:sdtPr>
            <w:id w:val="-573587230"/>
            <w:bibliography/>
          </w:sdtPr>
          <w:sdtContent>
            <w:p w:rsidR="00A64221" w:rsidRDefault="00A64221" w:rsidP="002A2827">
              <w:pPr>
                <w:pStyle w:val="Bibliography"/>
                <w:jc w:val="both"/>
                <w:rPr>
                  <w:noProof/>
                  <w:sz w:val="24"/>
                  <w:szCs w:val="24"/>
                </w:rPr>
              </w:pPr>
              <w:r>
                <w:fldChar w:fldCharType="begin"/>
              </w:r>
              <w:r>
                <w:instrText xml:space="preserve"> BIBLIOGRAPHY </w:instrText>
              </w:r>
              <w:r>
                <w:fldChar w:fldCharType="separate"/>
              </w:r>
              <w:r>
                <w:rPr>
                  <w:noProof/>
                </w:rPr>
                <w:t xml:space="preserve">Abramson, L. Y., Seligman, M. E. &amp; Teasdale, J. D., 1978. Learned helplessness in humans: Critique and reformulation. </w:t>
              </w:r>
              <w:r>
                <w:rPr>
                  <w:i/>
                  <w:iCs/>
                  <w:noProof/>
                </w:rPr>
                <w:t xml:space="preserve">Journal of Abnormal Psycology, </w:t>
              </w:r>
              <w:r>
                <w:rPr>
                  <w:noProof/>
                </w:rPr>
                <w:t>87(1), pp. 49-74.</w:t>
              </w:r>
            </w:p>
            <w:p w:rsidR="00A64221" w:rsidRDefault="00A64221" w:rsidP="002A2827">
              <w:pPr>
                <w:pStyle w:val="Bibliography"/>
                <w:jc w:val="both"/>
                <w:rPr>
                  <w:noProof/>
                </w:rPr>
              </w:pPr>
              <w:r>
                <w:rPr>
                  <w:noProof/>
                </w:rPr>
                <w:t xml:space="preserve">BRITISH EDUCATIONAL RESEARCH ASSOCIATION (BERA), 2014. </w:t>
              </w:r>
              <w:r>
                <w:rPr>
                  <w:i/>
                  <w:iCs/>
                  <w:noProof/>
                </w:rPr>
                <w:t xml:space="preserve">The Role of Research in Teacher Education: Reviewing the Evidence, </w:t>
              </w:r>
              <w:r>
                <w:rPr>
                  <w:noProof/>
                </w:rPr>
                <w:t>London: British Education Research Association.</w:t>
              </w:r>
            </w:p>
            <w:p w:rsidR="00A64221" w:rsidRDefault="00A64221" w:rsidP="002A2827">
              <w:pPr>
                <w:pStyle w:val="Bibliography"/>
                <w:jc w:val="both"/>
                <w:rPr>
                  <w:noProof/>
                </w:rPr>
              </w:pPr>
              <w:r>
                <w:rPr>
                  <w:noProof/>
                </w:rPr>
                <w:t xml:space="preserve">Brookfield, D., 2017. </w:t>
              </w:r>
              <w:r>
                <w:rPr>
                  <w:i/>
                  <w:iCs/>
                  <w:noProof/>
                </w:rPr>
                <w:t xml:space="preserve">Becoming a Critically Reflective Teacher. </w:t>
              </w:r>
              <w:r>
                <w:rPr>
                  <w:noProof/>
                </w:rPr>
                <w:t>2nd ed. San Fransisco: Wiley.</w:t>
              </w:r>
            </w:p>
            <w:p w:rsidR="00A64221" w:rsidRDefault="00A64221" w:rsidP="002A2827">
              <w:pPr>
                <w:pStyle w:val="Bibliography"/>
                <w:jc w:val="both"/>
                <w:rPr>
                  <w:noProof/>
                </w:rPr>
              </w:pPr>
              <w:r>
                <w:rPr>
                  <w:noProof/>
                </w:rPr>
                <w:t xml:space="preserve">Brookfield, S., 1998. Critically Reflective Practice. </w:t>
              </w:r>
              <w:r>
                <w:rPr>
                  <w:i/>
                  <w:iCs/>
                  <w:noProof/>
                </w:rPr>
                <w:t xml:space="preserve">The Jornal of Continuing Education in the Health Professions, </w:t>
              </w:r>
              <w:r>
                <w:rPr>
                  <w:noProof/>
                </w:rPr>
                <w:t>Volume 18, pp. 197-205.</w:t>
              </w:r>
            </w:p>
            <w:p w:rsidR="00A64221" w:rsidRDefault="00A64221" w:rsidP="002A2827">
              <w:pPr>
                <w:pStyle w:val="Bibliography"/>
                <w:jc w:val="both"/>
                <w:rPr>
                  <w:noProof/>
                </w:rPr>
              </w:pPr>
              <w:r>
                <w:rPr>
                  <w:noProof/>
                </w:rPr>
                <w:t xml:space="preserve">Cochran-Smith, M. &amp; Lytle, S. L., 1999. Chapter 8: Relationships of Knowledge and Practice: Teacher Learning in Communities. </w:t>
              </w:r>
              <w:r>
                <w:rPr>
                  <w:i/>
                  <w:iCs/>
                  <w:noProof/>
                </w:rPr>
                <w:t xml:space="preserve">Review of Research in Education, </w:t>
              </w:r>
              <w:r>
                <w:rPr>
                  <w:noProof/>
                </w:rPr>
                <w:t>24(1), pp. 249-305.</w:t>
              </w:r>
            </w:p>
            <w:p w:rsidR="00A64221" w:rsidRDefault="00A64221" w:rsidP="002A2827">
              <w:pPr>
                <w:pStyle w:val="Bibliography"/>
                <w:jc w:val="both"/>
                <w:rPr>
                  <w:noProof/>
                </w:rPr>
              </w:pPr>
              <w:r>
                <w:rPr>
                  <w:noProof/>
                </w:rPr>
                <w:t xml:space="preserve">Craske, M.-L., 1988. LEARNED HELPLESSNESS, SELF-WORTH MOTIVATION AND ATTRIBUTION RETRAINING FOR PRIMARY SCHOOL CHILDREN. </w:t>
              </w:r>
              <w:r>
                <w:rPr>
                  <w:i/>
                  <w:iCs/>
                  <w:noProof/>
                </w:rPr>
                <w:t xml:space="preserve">British Journal of Educational Psycology, </w:t>
              </w:r>
              <w:r>
                <w:rPr>
                  <w:noProof/>
                </w:rPr>
                <w:t>58(2), pp. 152-164.</w:t>
              </w:r>
            </w:p>
            <w:p w:rsidR="00A64221" w:rsidRDefault="00A64221" w:rsidP="002A2827">
              <w:pPr>
                <w:pStyle w:val="Bibliography"/>
                <w:jc w:val="both"/>
                <w:rPr>
                  <w:noProof/>
                </w:rPr>
              </w:pPr>
              <w:r>
                <w:rPr>
                  <w:noProof/>
                </w:rPr>
                <w:t xml:space="preserve">Donaldson, G., 2015. </w:t>
              </w:r>
              <w:r>
                <w:rPr>
                  <w:i/>
                  <w:iCs/>
                  <w:noProof/>
                </w:rPr>
                <w:t xml:space="preserve">Successful Futures; Independent Review of Curriculum and Assessment Arrangements in Wales, </w:t>
              </w:r>
              <w:r>
                <w:rPr>
                  <w:noProof/>
                </w:rPr>
                <w:t>Cardiff: Welsh Government.</w:t>
              </w:r>
            </w:p>
            <w:p w:rsidR="00A64221" w:rsidRDefault="00A64221" w:rsidP="002A2827">
              <w:pPr>
                <w:pStyle w:val="Bibliography"/>
                <w:jc w:val="both"/>
                <w:rPr>
                  <w:noProof/>
                </w:rPr>
              </w:pPr>
              <w:r>
                <w:rPr>
                  <w:noProof/>
                </w:rPr>
                <w:t xml:space="preserve">Education Endowment Fund, 2022. </w:t>
              </w:r>
              <w:r>
                <w:rPr>
                  <w:i/>
                  <w:iCs/>
                  <w:noProof/>
                </w:rPr>
                <w:t xml:space="preserve">Teaching and Learning Toolkit. </w:t>
              </w:r>
              <w:r>
                <w:rPr>
                  <w:noProof/>
                </w:rPr>
                <w:t xml:space="preserve">[Online] </w:t>
              </w:r>
              <w:r>
                <w:rPr>
                  <w:noProof/>
                </w:rPr>
                <w:br/>
                <w:t xml:space="preserve">Available at: </w:t>
              </w:r>
              <w:r>
                <w:rPr>
                  <w:noProof/>
                  <w:u w:val="single"/>
                </w:rPr>
                <w:t>https://educationendowmentfoundation.org.uk/education-evidence/teaching-learning-toolkit</w:t>
              </w:r>
              <w:r>
                <w:rPr>
                  <w:noProof/>
                </w:rPr>
                <w:br/>
                <w:t>[Accessed 28 October 2022].</w:t>
              </w:r>
            </w:p>
            <w:p w:rsidR="00A64221" w:rsidRDefault="00A64221" w:rsidP="002A2827">
              <w:pPr>
                <w:pStyle w:val="Bibliography"/>
                <w:jc w:val="both"/>
                <w:rPr>
                  <w:noProof/>
                </w:rPr>
              </w:pPr>
              <w:r>
                <w:rPr>
                  <w:noProof/>
                </w:rPr>
                <w:t xml:space="preserve">Ephraim Zulu, T. C. H. V. T., 2018. Cognitive loading due to selfdirected learning, complex questions and tasks in the zone of proximal development of students. </w:t>
              </w:r>
              <w:r>
                <w:rPr>
                  <w:i/>
                  <w:iCs/>
                  <w:noProof/>
                </w:rPr>
                <w:t xml:space="preserve">Problems of Education in the 21st Century, </w:t>
              </w:r>
              <w:r>
                <w:rPr>
                  <w:noProof/>
                </w:rPr>
                <w:t>76(6), pp. 864-880.</w:t>
              </w:r>
            </w:p>
            <w:p w:rsidR="00A64221" w:rsidRDefault="00A64221" w:rsidP="002A2827">
              <w:pPr>
                <w:pStyle w:val="Bibliography"/>
                <w:jc w:val="both"/>
                <w:rPr>
                  <w:noProof/>
                </w:rPr>
              </w:pPr>
              <w:r>
                <w:rPr>
                  <w:noProof/>
                </w:rPr>
                <w:t xml:space="preserve">Gibbs, G., 1988. </w:t>
              </w:r>
              <w:r>
                <w:rPr>
                  <w:i/>
                  <w:iCs/>
                  <w:noProof/>
                </w:rPr>
                <w:t xml:space="preserve">Learning by Doing: A guide to teaching and learning methods., </w:t>
              </w:r>
              <w:r>
                <w:rPr>
                  <w:noProof/>
                </w:rPr>
                <w:t>Oxford: Further Education Unit, Oxford Polytechnic.</w:t>
              </w:r>
            </w:p>
            <w:p w:rsidR="00A64221" w:rsidRDefault="00A64221" w:rsidP="002A2827">
              <w:pPr>
                <w:pStyle w:val="Bibliography"/>
                <w:jc w:val="both"/>
                <w:rPr>
                  <w:noProof/>
                </w:rPr>
              </w:pPr>
              <w:r>
                <w:rPr>
                  <w:noProof/>
                </w:rPr>
                <w:t xml:space="preserve">Kalyuga, S. C. P. &amp;. S. J., 1998. Levels of expertise and instructional design. </w:t>
              </w:r>
              <w:r>
                <w:rPr>
                  <w:i/>
                  <w:iCs/>
                  <w:noProof/>
                </w:rPr>
                <w:t xml:space="preserve">Human Factors, </w:t>
              </w:r>
              <w:r>
                <w:rPr>
                  <w:noProof/>
                </w:rPr>
                <w:t>40(1), pp. 1-17.</w:t>
              </w:r>
            </w:p>
            <w:p w:rsidR="00A64221" w:rsidRDefault="00A64221" w:rsidP="002A2827">
              <w:pPr>
                <w:pStyle w:val="Bibliography"/>
                <w:jc w:val="both"/>
                <w:rPr>
                  <w:noProof/>
                </w:rPr>
              </w:pPr>
              <w:r>
                <w:rPr>
                  <w:noProof/>
                </w:rPr>
                <w:t xml:space="preserve">Kettlewell, J., 2021. </w:t>
              </w:r>
              <w:r>
                <w:rPr>
                  <w:i/>
                  <w:iCs/>
                  <w:noProof/>
                </w:rPr>
                <w:t xml:space="preserve">Our Learning Behaviours specialist, Julie Kettlewell, explains how to develop pupils capacity for independent learning.. </w:t>
              </w:r>
              <w:r>
                <w:rPr>
                  <w:noProof/>
                </w:rPr>
                <w:t xml:space="preserve">[Online] </w:t>
              </w:r>
              <w:r>
                <w:rPr>
                  <w:noProof/>
                </w:rPr>
                <w:br/>
                <w:t xml:space="preserve">Available at: </w:t>
              </w:r>
              <w:r>
                <w:rPr>
                  <w:noProof/>
                  <w:u w:val="single"/>
                </w:rPr>
                <w:t>https://educationendowmentfoundation.org.uk/news/eef-blog-structured-support-for-independent-learning</w:t>
              </w:r>
              <w:r>
                <w:rPr>
                  <w:noProof/>
                </w:rPr>
                <w:br/>
                <w:t>[Accessed 23 October 2022].</w:t>
              </w:r>
            </w:p>
            <w:p w:rsidR="00A64221" w:rsidRDefault="00A64221" w:rsidP="002A2827">
              <w:pPr>
                <w:pStyle w:val="Bibliography"/>
                <w:jc w:val="both"/>
                <w:rPr>
                  <w:noProof/>
                </w:rPr>
              </w:pPr>
              <w:r>
                <w:rPr>
                  <w:noProof/>
                </w:rPr>
                <w:t xml:space="preserve">Kolb, D. A. &amp; Fry, R., 1975. Toward an applied theory of experiential learning. In: C. L. Cooper, ed. </w:t>
              </w:r>
              <w:r>
                <w:rPr>
                  <w:i/>
                  <w:iCs/>
                  <w:noProof/>
                </w:rPr>
                <w:t xml:space="preserve">Theories of Group Processes. </w:t>
              </w:r>
              <w:r>
                <w:rPr>
                  <w:noProof/>
                </w:rPr>
                <w:t>New York: Wiley, pp. 33-57.</w:t>
              </w:r>
            </w:p>
            <w:p w:rsidR="00A64221" w:rsidRDefault="00A64221" w:rsidP="002A2827">
              <w:pPr>
                <w:pStyle w:val="Bibliography"/>
                <w:jc w:val="both"/>
                <w:rPr>
                  <w:noProof/>
                </w:rPr>
              </w:pPr>
              <w:r>
                <w:rPr>
                  <w:i/>
                  <w:iCs/>
                  <w:noProof/>
                </w:rPr>
                <w:t xml:space="preserve">Learned Helplessness. </w:t>
              </w:r>
              <w:r>
                <w:rPr>
                  <w:noProof/>
                </w:rPr>
                <w:t>2008. [Film] Directed by Charisse Nixon. Penn State University: Orphelia Project.</w:t>
              </w:r>
            </w:p>
            <w:p w:rsidR="00A64221" w:rsidRDefault="00A64221" w:rsidP="002A2827">
              <w:pPr>
                <w:pStyle w:val="Bibliography"/>
                <w:jc w:val="both"/>
                <w:rPr>
                  <w:noProof/>
                </w:rPr>
              </w:pPr>
              <w:r>
                <w:rPr>
                  <w:noProof/>
                </w:rPr>
                <w:t xml:space="preserve">Muijs, D. &amp; Bokhove, C., 2020. </w:t>
              </w:r>
              <w:r>
                <w:rPr>
                  <w:i/>
                  <w:iCs/>
                  <w:noProof/>
                </w:rPr>
                <w:t xml:space="preserve">Metacognition and Self-Regulation: Evidence Review, </w:t>
              </w:r>
              <w:r>
                <w:rPr>
                  <w:noProof/>
                </w:rPr>
                <w:t>London: Education Endowment Foundation.</w:t>
              </w:r>
            </w:p>
            <w:p w:rsidR="00A64221" w:rsidRDefault="00A64221" w:rsidP="002A2827">
              <w:pPr>
                <w:pStyle w:val="Bibliography"/>
                <w:jc w:val="both"/>
                <w:rPr>
                  <w:noProof/>
                </w:rPr>
              </w:pPr>
              <w:r>
                <w:rPr>
                  <w:noProof/>
                </w:rPr>
                <w:t xml:space="preserve">Quigley, A., Muijs, D. &amp; Stringer, E., 2021. </w:t>
              </w:r>
              <w:r>
                <w:rPr>
                  <w:i/>
                  <w:iCs/>
                  <w:noProof/>
                </w:rPr>
                <w:t xml:space="preserve">Metacognition and Self-Regulated Learning; Guidance Report , </w:t>
              </w:r>
              <w:r>
                <w:rPr>
                  <w:noProof/>
                </w:rPr>
                <w:t>London: Education Endowment Fund.</w:t>
              </w:r>
            </w:p>
            <w:p w:rsidR="00A64221" w:rsidRDefault="00A64221" w:rsidP="002A2827">
              <w:pPr>
                <w:pStyle w:val="Bibliography"/>
                <w:jc w:val="both"/>
                <w:rPr>
                  <w:noProof/>
                </w:rPr>
              </w:pPr>
              <w:r>
                <w:rPr>
                  <w:noProof/>
                </w:rPr>
                <w:lastRenderedPageBreak/>
                <w:t xml:space="preserve">Royal Statistics Society, 2018. </w:t>
              </w:r>
              <w:r>
                <w:rPr>
                  <w:i/>
                  <w:iCs/>
                  <w:noProof/>
                </w:rPr>
                <w:t xml:space="preserve">xxxxxxxxx. </w:t>
              </w:r>
              <w:r>
                <w:rPr>
                  <w:noProof/>
                </w:rPr>
                <w:t xml:space="preserve">[Online] </w:t>
              </w:r>
              <w:r>
                <w:rPr>
                  <w:noProof/>
                </w:rPr>
                <w:br/>
                <w:t xml:space="preserve">Available at: </w:t>
              </w:r>
              <w:r>
                <w:rPr>
                  <w:noProof/>
                  <w:u w:val="single"/>
                </w:rPr>
                <w:t>https://mylocalschool.gov.wales/School/xxxxxx</w:t>
              </w:r>
              <w:r>
                <w:rPr>
                  <w:noProof/>
                </w:rPr>
                <w:br/>
                <w:t>[Accessed 23 October 2022].</w:t>
              </w:r>
            </w:p>
            <w:p w:rsidR="00A64221" w:rsidRDefault="00A64221" w:rsidP="002A2827">
              <w:pPr>
                <w:pStyle w:val="Bibliography"/>
                <w:jc w:val="both"/>
                <w:rPr>
                  <w:noProof/>
                </w:rPr>
              </w:pPr>
              <w:r>
                <w:rPr>
                  <w:noProof/>
                </w:rPr>
                <w:t xml:space="preserve">Schon, D. A., 1991. </w:t>
              </w:r>
              <w:r>
                <w:rPr>
                  <w:i/>
                  <w:iCs/>
                  <w:noProof/>
                </w:rPr>
                <w:t xml:space="preserve">The reflective practioner: How professionals think in action. </w:t>
              </w:r>
              <w:r>
                <w:rPr>
                  <w:noProof/>
                </w:rPr>
                <w:t>Aldershot: Ashgate Publishing Ltd.</w:t>
              </w:r>
            </w:p>
            <w:p w:rsidR="00A64221" w:rsidRDefault="00A64221" w:rsidP="002A2827">
              <w:pPr>
                <w:pStyle w:val="Bibliography"/>
                <w:jc w:val="both"/>
                <w:rPr>
                  <w:noProof/>
                </w:rPr>
              </w:pPr>
              <w:r>
                <w:rPr>
                  <w:noProof/>
                </w:rPr>
                <w:t xml:space="preserve">Shimamura, A. P., 2000. Toward a cognitive neuroscience of metacognition. </w:t>
              </w:r>
              <w:r>
                <w:rPr>
                  <w:i/>
                  <w:iCs/>
                  <w:noProof/>
                </w:rPr>
                <w:t xml:space="preserve">Conscious Cogn, </w:t>
              </w:r>
              <w:r>
                <w:rPr>
                  <w:noProof/>
                </w:rPr>
                <w:t>9(2), pp. 313-23.</w:t>
              </w:r>
            </w:p>
            <w:p w:rsidR="00A64221" w:rsidRDefault="00A64221" w:rsidP="002A2827">
              <w:pPr>
                <w:pStyle w:val="Bibliography"/>
                <w:jc w:val="both"/>
                <w:rPr>
                  <w:noProof/>
                </w:rPr>
              </w:pPr>
              <w:r>
                <w:rPr>
                  <w:noProof/>
                </w:rPr>
                <w:t xml:space="preserve">Skinner, D. F., 1963. Operant Behaviour. </w:t>
              </w:r>
              <w:r>
                <w:rPr>
                  <w:i/>
                  <w:iCs/>
                  <w:noProof/>
                </w:rPr>
                <w:t xml:space="preserve">American Psycologist, </w:t>
              </w:r>
              <w:r>
                <w:rPr>
                  <w:noProof/>
                </w:rPr>
                <w:t>18(8), pp. 503-515.</w:t>
              </w:r>
            </w:p>
            <w:p w:rsidR="00A64221" w:rsidRDefault="00A64221" w:rsidP="002A2827">
              <w:pPr>
                <w:pStyle w:val="Bibliography"/>
                <w:jc w:val="both"/>
                <w:rPr>
                  <w:noProof/>
                </w:rPr>
              </w:pPr>
              <w:r>
                <w:rPr>
                  <w:noProof/>
                </w:rPr>
                <w:t xml:space="preserve">Sweller, J., 1988. Cognitive load during problem solving: Effects on learning. </w:t>
              </w:r>
              <w:r>
                <w:rPr>
                  <w:i/>
                  <w:iCs/>
                  <w:noProof/>
                </w:rPr>
                <w:t xml:space="preserve">Cognitive Science, </w:t>
              </w:r>
              <w:r>
                <w:rPr>
                  <w:noProof/>
                </w:rPr>
                <w:t>Volume 12, pp. 257-285.</w:t>
              </w:r>
            </w:p>
            <w:p w:rsidR="00A64221" w:rsidRDefault="00A64221" w:rsidP="002A2827">
              <w:pPr>
                <w:pStyle w:val="Bibliography"/>
                <w:jc w:val="both"/>
                <w:rPr>
                  <w:noProof/>
                </w:rPr>
              </w:pPr>
              <w:r>
                <w:rPr>
                  <w:noProof/>
                </w:rPr>
                <w:t xml:space="preserve">Tripp, D., 2011. Interpretation; Creating Critical Incidents. In: </w:t>
              </w:r>
              <w:r>
                <w:rPr>
                  <w:i/>
                  <w:iCs/>
                  <w:noProof/>
                </w:rPr>
                <w:t xml:space="preserve">Critical Incidents in Teaching (Classic Edition): Developing Professional Judgement. </w:t>
              </w:r>
              <w:r>
                <w:rPr>
                  <w:noProof/>
                </w:rPr>
                <w:t>s.l.:Taylor &amp; Francis Group, pp. 24-42.</w:t>
              </w:r>
            </w:p>
            <w:p w:rsidR="00A64221" w:rsidRDefault="00A64221" w:rsidP="002A2827">
              <w:pPr>
                <w:pStyle w:val="Bibliography"/>
                <w:jc w:val="both"/>
                <w:rPr>
                  <w:noProof/>
                </w:rPr>
              </w:pPr>
              <w:r>
                <w:rPr>
                  <w:noProof/>
                </w:rPr>
                <w:t xml:space="preserve">Vygotsky, L. S., 1978. </w:t>
              </w:r>
              <w:r>
                <w:rPr>
                  <w:i/>
                  <w:iCs/>
                  <w:noProof/>
                </w:rPr>
                <w:t xml:space="preserve">Mind in Society: The development of higher psychological processes. </w:t>
              </w:r>
              <w:r>
                <w:rPr>
                  <w:noProof/>
                </w:rPr>
                <w:t>Cambridge, Mass: Harvard University Press.</w:t>
              </w:r>
            </w:p>
            <w:p w:rsidR="00A64221" w:rsidRDefault="00A64221" w:rsidP="002A2827">
              <w:pPr>
                <w:jc w:val="both"/>
              </w:pPr>
              <w:r>
                <w:rPr>
                  <w:b/>
                  <w:bCs/>
                  <w:noProof/>
                </w:rPr>
                <w:fldChar w:fldCharType="end"/>
              </w:r>
            </w:p>
          </w:sdtContent>
        </w:sdt>
      </w:sdtContent>
    </w:sdt>
    <w:p w:rsidR="00A64221" w:rsidRPr="00A64221" w:rsidRDefault="00A64221" w:rsidP="002A2827">
      <w:pPr>
        <w:spacing w:line="360" w:lineRule="auto"/>
        <w:jc w:val="both"/>
      </w:pPr>
    </w:p>
    <w:sectPr w:rsidR="00A64221" w:rsidRPr="00A642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A6C"/>
    <w:rsid w:val="000F510B"/>
    <w:rsid w:val="001143BC"/>
    <w:rsid w:val="00202958"/>
    <w:rsid w:val="002A2827"/>
    <w:rsid w:val="0032212B"/>
    <w:rsid w:val="0042662D"/>
    <w:rsid w:val="00621DB6"/>
    <w:rsid w:val="008C5FFF"/>
    <w:rsid w:val="009019D9"/>
    <w:rsid w:val="0094229C"/>
    <w:rsid w:val="00A017FA"/>
    <w:rsid w:val="00A01C34"/>
    <w:rsid w:val="00A64221"/>
    <w:rsid w:val="00A65F26"/>
    <w:rsid w:val="00B11BF9"/>
    <w:rsid w:val="00C30EB0"/>
    <w:rsid w:val="00E55A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06EDA"/>
  <w15:chartTrackingRefBased/>
  <w15:docId w15:val="{D71EF0C0-F290-4F8A-88AE-7729FB226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64221"/>
    <w:pPr>
      <w:keepNext/>
      <w:keepLines/>
      <w:spacing w:before="360" w:after="240"/>
      <w:outlineLvl w:val="0"/>
    </w:pPr>
    <w:rPr>
      <w:rFonts w:ascii="Arial" w:eastAsiaTheme="majorEastAsia" w:hAnsi="Arial"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A64221"/>
    <w:pPr>
      <w:keepNext/>
      <w:keepLines/>
      <w:spacing w:before="160" w:after="120"/>
      <w:outlineLvl w:val="1"/>
    </w:pPr>
    <w:rPr>
      <w:rFonts w:ascii="Arial" w:eastAsiaTheme="majorEastAsia" w:hAnsi="Arial"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221"/>
    <w:rPr>
      <w:rFonts w:ascii="Arial" w:eastAsiaTheme="majorEastAsia" w:hAnsi="Arial" w:cstheme="majorBidi"/>
      <w:b/>
      <w:color w:val="000000" w:themeColor="text1"/>
      <w:sz w:val="36"/>
      <w:szCs w:val="32"/>
      <w:u w:val="single"/>
    </w:rPr>
  </w:style>
  <w:style w:type="character" w:customStyle="1" w:styleId="Heading2Char">
    <w:name w:val="Heading 2 Char"/>
    <w:basedOn w:val="DefaultParagraphFont"/>
    <w:link w:val="Heading2"/>
    <w:uiPriority w:val="9"/>
    <w:rsid w:val="00A64221"/>
    <w:rPr>
      <w:rFonts w:ascii="Arial" w:eastAsiaTheme="majorEastAsia" w:hAnsi="Arial" w:cstheme="majorBidi"/>
      <w:b/>
      <w:sz w:val="28"/>
      <w:szCs w:val="26"/>
    </w:rPr>
  </w:style>
  <w:style w:type="paragraph" w:styleId="NoSpacing">
    <w:name w:val="No Spacing"/>
    <w:uiPriority w:val="1"/>
    <w:qFormat/>
    <w:rsid w:val="00A64221"/>
    <w:pPr>
      <w:spacing w:before="360" w:after="360" w:line="240" w:lineRule="auto"/>
    </w:pPr>
    <w:rPr>
      <w:rFonts w:ascii="Arial" w:hAnsi="Arial"/>
    </w:rPr>
  </w:style>
  <w:style w:type="character" w:styleId="Strong">
    <w:name w:val="Strong"/>
    <w:basedOn w:val="DefaultParagraphFont"/>
    <w:uiPriority w:val="22"/>
    <w:qFormat/>
    <w:rsid w:val="00E55A6C"/>
    <w:rPr>
      <w:b/>
      <w:bCs/>
    </w:rPr>
  </w:style>
  <w:style w:type="paragraph" w:styleId="NormalWeb">
    <w:name w:val="Normal (Web)"/>
    <w:basedOn w:val="Normal"/>
    <w:uiPriority w:val="99"/>
    <w:semiHidden/>
    <w:unhideWhenUsed/>
    <w:rsid w:val="00E55A6C"/>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A642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928463">
      <w:bodyDiv w:val="1"/>
      <w:marLeft w:val="0"/>
      <w:marRight w:val="0"/>
      <w:marTop w:val="0"/>
      <w:marBottom w:val="0"/>
      <w:divBdr>
        <w:top w:val="none" w:sz="0" w:space="0" w:color="auto"/>
        <w:left w:val="none" w:sz="0" w:space="0" w:color="auto"/>
        <w:bottom w:val="none" w:sz="0" w:space="0" w:color="auto"/>
        <w:right w:val="none" w:sz="0" w:space="0" w:color="auto"/>
      </w:divBdr>
    </w:div>
    <w:div w:id="213224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2.wdp"/><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microsoft.com/office/2007/relationships/hdphoto" Target="media/hdphoto1.wdp"/><Relationship Id="rId11" Type="http://schemas.openxmlformats.org/officeDocument/2006/relationships/fontTable" Target="fontTable.xml"/><Relationship Id="rId5" Type="http://schemas.openxmlformats.org/officeDocument/2006/relationships/image" Target="media/image1.png"/><Relationship Id="rId10" Type="http://schemas.microsoft.com/office/2007/relationships/hdphoto" Target="media/hdphoto3.wdp"/><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Tri11</b:Tag>
    <b:SourceType>BookSection</b:SourceType>
    <b:Guid>{5FBA7959-E988-4FF1-85D4-11089475A012}</b:Guid>
    <b:Author>
      <b:Author>
        <b:NameList>
          <b:Person>
            <b:Last>Tripp</b:Last>
            <b:First>David</b:First>
          </b:Person>
        </b:NameList>
      </b:Author>
    </b:Author>
    <b:Title>Interpretation; Creating Critical Incidents</b:Title>
    <b:Year>2011</b:Year>
    <b:Pages>24-42</b:Pages>
    <b:BookTitle>Critical Incidents in Teaching (Classic Edition): Developing Professional Judgement</b:BookTitle>
    <b:Publisher>Taylor &amp; Francis Group</b:Publisher>
    <b:RefOrder>1</b:RefOrder>
  </b:Source>
  <b:Source>
    <b:Tag>Dan20</b:Tag>
    <b:SourceType>Report</b:SourceType>
    <b:Guid>{B0040265-28D1-4F83-A82B-D578B1E6769F}</b:Guid>
    <b:Author>
      <b:Author>
        <b:NameList>
          <b:Person>
            <b:Last>Muijs</b:Last>
            <b:First>Daniel</b:First>
          </b:Person>
          <b:Person>
            <b:Last>Bokhove</b:Last>
            <b:First>Christian</b:First>
          </b:Person>
        </b:NameList>
      </b:Author>
    </b:Author>
    <b:Title>Metacognition and Self-Regulation: Evidence Review</b:Title>
    <b:Year>2020</b:Year>
    <b:City>London</b:City>
    <b:Publisher>Education Endowment Foundation</b:Publisher>
    <b:RefOrder>2</b:RefOrder>
  </b:Source>
  <b:Source>
    <b:Tag>Ale21</b:Tag>
    <b:SourceType>Report</b:SourceType>
    <b:Guid>{3C0726F1-525B-450A-941C-E69C59B0D179}</b:Guid>
    <b:Author>
      <b:Author>
        <b:NameList>
          <b:Person>
            <b:Last>Quigley</b:Last>
            <b:First>Alex</b:First>
          </b:Person>
          <b:Person>
            <b:Last>Muijs</b:Last>
            <b:First>Daniel</b:First>
          </b:Person>
          <b:Person>
            <b:Last>Stringer</b:Last>
            <b:First>Elanor</b:First>
          </b:Person>
        </b:NameList>
      </b:Author>
    </b:Author>
    <b:Title>Metacognition and Self-Regulated Learning; Guidance Report </b:Title>
    <b:Year>2021</b:Year>
    <b:Publisher>Education Endowment Fund</b:Publisher>
    <b:City>London</b:City>
    <b:RefOrder>3</b:RefOrder>
  </b:Source>
  <b:Source>
    <b:Tag>Edu22</b:Tag>
    <b:SourceType>InternetSite</b:SourceType>
    <b:Guid>{5DF9C404-7DBB-42D3-B7F3-6659E226DCF8}</b:Guid>
    <b:Title>Teaching and Learning Toolkit</b:Title>
    <b:Year>2022</b:Year>
    <b:Author>
      <b:Author>
        <b:Corporate>Education Endowment Fund</b:Corporate>
      </b:Author>
    </b:Author>
    <b:YearAccessed>2022</b:YearAccessed>
    <b:MonthAccessed>October</b:MonthAccessed>
    <b:DayAccessed>28</b:DayAccessed>
    <b:URL>https://educationendowmentfoundation.org.uk/education-evidence/teaching-learning-toolkit</b:URL>
    <b:RefOrder>4</b:RefOrder>
  </b:Source>
  <b:Source>
    <b:Tag>Kol75</b:Tag>
    <b:SourceType>BookSection</b:SourceType>
    <b:Guid>{650DABCA-7B91-40FD-B311-147BE61228A1}</b:Guid>
    <b:Author>
      <b:Author>
        <b:NameList>
          <b:Person>
            <b:Last>Kolb</b:Last>
            <b:First>David</b:First>
            <b:Middle>A.</b:Middle>
          </b:Person>
          <b:Person>
            <b:Last>Fry</b:Last>
            <b:First>Ronald</b:First>
          </b:Person>
        </b:NameList>
      </b:Author>
      <b:Editor>
        <b:NameList>
          <b:Person>
            <b:Last>Cooper</b:Last>
            <b:First>Cary</b:First>
            <b:Middle>L.</b:Middle>
          </b:Person>
        </b:NameList>
      </b:Editor>
    </b:Author>
    <b:Title>Toward an applied theory of experiential learning</b:Title>
    <b:Year>1975</b:Year>
    <b:Pages>33-57</b:Pages>
    <b:BookTitle>Theories of Group Processes</b:BookTitle>
    <b:City>New York</b:City>
    <b:Publisher>Wiley</b:Publisher>
    <b:RefOrder>5</b:RefOrder>
  </b:Source>
  <b:Source>
    <b:Tag>Placeholder1</b:Tag>
    <b:SourceType>Book</b:SourceType>
    <b:Guid>{9435EEB9-CD29-47FD-8616-70D65C3D6EE0}</b:Guid>
    <b:Author>
      <b:Author>
        <b:NameList>
          <b:Person>
            <b:Last>Brookfield</b:Last>
            <b:First>David</b:First>
          </b:Person>
        </b:NameList>
      </b:Author>
    </b:Author>
    <b:Title>Becoming a Critically Reflective Teacher</b:Title>
    <b:Year>2017</b:Year>
    <b:City>San Fransisco</b:City>
    <b:Publisher>Wiley</b:Publisher>
    <b:Edition>2nd</b:Edition>
    <b:RefOrder>6</b:RefOrder>
  </b:Source>
  <b:Source>
    <b:Tag>Swe88</b:Tag>
    <b:SourceType>JournalArticle</b:SourceType>
    <b:Guid>{B27D0929-DD0F-4116-9264-6B97011666BA}</b:Guid>
    <b:Author>
      <b:Author>
        <b:NameList>
          <b:Person>
            <b:Last>Sweller</b:Last>
            <b:First>J</b:First>
          </b:Person>
        </b:NameList>
      </b:Author>
    </b:Author>
    <b:Title>Cognitive load during problem solving: Effects on learning</b:Title>
    <b:Year>1988</b:Year>
    <b:JournalName>Cognitive Science</b:JournalName>
    <b:Pages>257-285</b:Pages>
    <b:Volume>12</b:Volume>
    <b:RefOrder>7</b:RefOrder>
  </b:Source>
  <b:Source>
    <b:Tag>Coc99</b:Tag>
    <b:SourceType>JournalArticle</b:SourceType>
    <b:Guid>{F9C8F44C-0C52-42FB-BFCD-74CB2D9BC99D}</b:Guid>
    <b:Author>
      <b:Author>
        <b:NameList>
          <b:Person>
            <b:Last>Cochran-Smith</b:Last>
            <b:First>Marilyn</b:First>
          </b:Person>
          <b:Person>
            <b:Last>Lytle</b:Last>
            <b:First>Susan</b:First>
            <b:Middle>L.</b:Middle>
          </b:Person>
        </b:NameList>
      </b:Author>
    </b:Author>
    <b:Title>Chapter 8: Relationships of Knowledge and Practice: Teacher Learning in Communities</b:Title>
    <b:JournalName>Review of Research in Education</b:JournalName>
    <b:Year>1999</b:Year>
    <b:Pages>249-305</b:Pages>
    <b:Volume>24</b:Volume>
    <b:Issue>1</b:Issue>
    <b:RefOrder>8</b:RefOrder>
  </b:Source>
  <b:Source>
    <b:Tag>BRI14</b:Tag>
    <b:SourceType>Report</b:SourceType>
    <b:Guid>{C295D217-A0F1-496B-9CA0-E20FA320DDCC}</b:Guid>
    <b:Title>The Role of Research in Teacher Education: Reviewing the Evidence</b:Title>
    <b:Year>2014</b:Year>
    <b:Author>
      <b:Author>
        <b:Corporate>BRITISH EDUCATIONAL RESEARCH ASSOCIATION (BERA)</b:Corporate>
      </b:Author>
    </b:Author>
    <b:Publisher>British Education Research Association</b:Publisher>
    <b:City>London</b:City>
    <b:RefOrder>9</b:RefOrder>
  </b:Source>
  <b:Source>
    <b:Tag>Gra88</b:Tag>
    <b:SourceType>Report</b:SourceType>
    <b:Guid>{0AE4C883-9E30-4C1E-AA82-DEBF08458CED}</b:Guid>
    <b:Author>
      <b:Author>
        <b:NameList>
          <b:Person>
            <b:Last>Gibbs</b:Last>
            <b:First>Graham</b:First>
          </b:Person>
        </b:NameList>
      </b:Author>
    </b:Author>
    <b:Title>Learning by Doing: A guide to teaching and learning methods.</b:Title>
    <b:Year>1988</b:Year>
    <b:Publisher>Further Education Unit, Oxford Polytechnic</b:Publisher>
    <b:City>Oxford</b:City>
    <b:RefOrder>10</b:RefOrder>
  </b:Source>
  <b:Source>
    <b:Tag>DAS91</b:Tag>
    <b:SourceType>Book</b:SourceType>
    <b:Guid>{D1B18298-665B-4E9C-A560-EA0374657A4C}</b:Guid>
    <b:Title>The reflective practioner: How professionals think in action</b:Title>
    <b:Year>1991</b:Year>
    <b:Publisher>Ashgate Publishing Ltd</b:Publisher>
    <b:City>Aldershot</b:City>
    <b:Author>
      <b:Author>
        <b:NameList>
          <b:Person>
            <b:Last>Schon</b:Last>
            <b:First>D.</b:First>
            <b:Middle>A.</b:Middle>
          </b:Person>
        </b:NameList>
      </b:Author>
    </b:Author>
    <b:RefOrder>11</b:RefOrder>
  </b:Source>
  <b:Source>
    <b:Tag>Ste98</b:Tag>
    <b:SourceType>JournalArticle</b:SourceType>
    <b:Guid>{DA9E78F9-50AD-46EA-AFB4-7B7B603AE3D0}</b:Guid>
    <b:Title>Critically Reflective Practice</b:Title>
    <b:Year>1998</b:Year>
    <b:Author>
      <b:Author>
        <b:NameList>
          <b:Person>
            <b:Last>Brookfield</b:Last>
            <b:First>Stephen</b:First>
          </b:Person>
        </b:NameList>
      </b:Author>
    </b:Author>
    <b:JournalName>The Jornal of Continuing Education in the Health Professions</b:JournalName>
    <b:Pages>197-205</b:Pages>
    <b:Volume>18</b:Volume>
    <b:RefOrder>12</b:RefOrder>
  </b:Source>
  <b:Source>
    <b:Tag>Roy18</b:Tag>
    <b:SourceType>InternetSite</b:SourceType>
    <b:Guid>{234CF4B8-3FA8-435F-911F-C98D0E20B4A2}</b:Guid>
    <b:Title>xxxxxxxxx</b:Title>
    <b:Year>2018</b:Year>
    <b:YearAccessed>2022</b:YearAccessed>
    <b:MonthAccessed>October</b:MonthAccessed>
    <b:DayAccessed>23</b:DayAccessed>
    <b:URL>https://mylocalschool.gov.wales/School/xxxxxx</b:URL>
    <b:Author>
      <b:Author>
        <b:Corporate>Royal Statistics Society</b:Corporate>
      </b:Author>
    </b:Author>
    <b:Comments>Website is altered to guarantee the anonymity of the school</b:Comments>
    <b:RefOrder>13</b:RefOrder>
  </b:Source>
  <b:Source>
    <b:Tag>Gra15</b:Tag>
    <b:SourceType>Report</b:SourceType>
    <b:Guid>{8256BCF2-7A1F-4220-BE25-5F5EBBBAC8AE}</b:Guid>
    <b:Title>Successful Futures; Independent Review of Curriculum and Assessment Arrangements in Wales</b:Title>
    <b:Year>2015</b:Year>
    <b:Author>
      <b:Author>
        <b:NameList>
          <b:Person>
            <b:Last>Donaldson</b:Last>
            <b:First>Graham</b:First>
          </b:Person>
        </b:NameList>
      </b:Author>
    </b:Author>
    <b:Publisher>Welsh Government</b:Publisher>
    <b:City>Cardiff</b:City>
    <b:RefOrder>14</b:RefOrder>
  </b:Source>
  <b:Source>
    <b:Tag>Vyg78</b:Tag>
    <b:SourceType>Book</b:SourceType>
    <b:Guid>{2C3DE6B0-9FE4-4187-B27A-12E3055DB572}</b:Guid>
    <b:Author>
      <b:Author>
        <b:NameList>
          <b:Person>
            <b:Last>Vygotsky</b:Last>
            <b:First>L.</b:First>
            <b:Middle>S.</b:Middle>
          </b:Person>
        </b:NameList>
      </b:Author>
    </b:Author>
    <b:Title>Mind in Society: The development of higher psychological processes</b:Title>
    <b:Year>1978</b:Year>
    <b:Publisher>Harvard University Press</b:Publisher>
    <b:City>Cambridge, Mass</b:City>
    <b:RefOrder>15</b:RefOrder>
  </b:Source>
  <b:Source>
    <b:Tag>Ket21</b:Tag>
    <b:SourceType>InternetSite</b:SourceType>
    <b:Guid>{85809B70-8D8A-4777-92E1-CA60DB754A90}</b:Guid>
    <b:Author>
      <b:Author>
        <b:NameList>
          <b:Person>
            <b:Last>Kettlewell</b:Last>
            <b:First>Julie</b:First>
          </b:Person>
        </b:NameList>
      </b:Author>
    </b:Author>
    <b:Title>Our Learning Behaviours specialist, Julie Kettlewell, explains how to develop pupils capacity for independent learning.</b:Title>
    <b:Year>2021</b:Year>
    <b:YearAccessed>2022</b:YearAccessed>
    <b:MonthAccessed>October</b:MonthAccessed>
    <b:DayAccessed>23</b:DayAccessed>
    <b:URL>https://educationendowmentfoundation.org.uk/news/eef-blog-structured-support-for-independent-learning</b:URL>
    <b:RefOrder>16</b:RefOrder>
  </b:Source>
  <b:Source>
    <b:Tag>DFS63</b:Tag>
    <b:SourceType>JournalArticle</b:SourceType>
    <b:Guid>{E5FC85D1-CEFB-4DD8-82AB-E4CE923741A4}</b:Guid>
    <b:Title>Operant Behaviour</b:Title>
    <b:Year>1963</b:Year>
    <b:Author>
      <b:Author>
        <b:NameList>
          <b:Person>
            <b:Last>Skinner</b:Last>
            <b:First>D.</b:First>
            <b:Middle>F.</b:Middle>
          </b:Person>
        </b:NameList>
      </b:Author>
    </b:Author>
    <b:JournalName>American Psycologist</b:JournalName>
    <b:Pages>503-515</b:Pages>
    <b:Volume>18</b:Volume>
    <b:Issue>8</b:Issue>
    <b:RefOrder>17</b:RefOrder>
  </b:Source>
  <b:Source>
    <b:Tag>Nix08</b:Tag>
    <b:SourceType>Film</b:SourceType>
    <b:Guid>{919985FD-509B-4133-B3BC-6EF44D10467A}</b:Guid>
    <b:Title>Learned Helplessness</b:Title>
    <b:Year>2008</b:Year>
    <b:ProductionCompany>Orphelia Project</b:ProductionCompany>
    <b:Author>
      <b:Director>
        <b:NameList>
          <b:Person>
            <b:Last>Nixon</b:Last>
            <b:First>Charisse</b:First>
          </b:Person>
        </b:NameList>
      </b:Director>
    </b:Author>
    <b:CountryRegion>Penn State University</b:CountryRegion>
    <b:URL>https://www.youtube.com/watch?v=p6TONVkJ3eI</b:URL>
    <b:RefOrder>18</b:RefOrder>
  </b:Source>
  <b:Source>
    <b:Tag>Abr78</b:Tag>
    <b:SourceType>JournalArticle</b:SourceType>
    <b:Guid>{82DC934A-2010-41A9-9EE1-6B58C3361FBB}</b:Guid>
    <b:Author>
      <b:Author>
        <b:NameList>
          <b:Person>
            <b:Last>Abramson</b:Last>
            <b:First>L.</b:First>
            <b:Middle>Y.</b:Middle>
          </b:Person>
          <b:Person>
            <b:Last>Seligman</b:Last>
            <b:First>M.</b:First>
            <b:Middle>E.</b:Middle>
          </b:Person>
          <b:Person>
            <b:Last>Teasdale</b:Last>
            <b:First>J.</b:First>
            <b:Middle>D.</b:Middle>
          </b:Person>
        </b:NameList>
      </b:Author>
    </b:Author>
    <b:Title>Learned helplessness in humans: Critique and reformulation</b:Title>
    <b:Year>1978</b:Year>
    <b:JournalName>Journal of Abnormal Psycology</b:JournalName>
    <b:Pages>49-74</b:Pages>
    <b:Volume>87</b:Volume>
    <b:Issue>1</b:Issue>
    <b:RefOrder>19</b:RefOrder>
  </b:Source>
  <b:Source>
    <b:Tag>Cra88</b:Tag>
    <b:SourceType>JournalArticle</b:SourceType>
    <b:Guid>{511230A4-110B-4383-89EF-3BDF6D7F17C5}</b:Guid>
    <b:Author>
      <b:Author>
        <b:NameList>
          <b:Person>
            <b:Last>Craske</b:Last>
            <b:First>Marie-Louise</b:First>
          </b:Person>
        </b:NameList>
      </b:Author>
    </b:Author>
    <b:Title>LEARNED HELPLESSNESS, SELF-WORTH MOTIVATION AND ATTRIBUTION RETRAINING FOR PRIMARY SCHOOL CHILDREN</b:Title>
    <b:JournalName>British Journal of Educational Psycology</b:JournalName>
    <b:Year>1988</b:Year>
    <b:Pages>152-164</b:Pages>
    <b:Volume>58</b:Volume>
    <b:Issue>2</b:Issue>
    <b:RefOrder>20</b:RefOrder>
  </b:Source>
  <b:Source>
    <b:Tag>Kal98</b:Tag>
    <b:SourceType>JournalArticle</b:SourceType>
    <b:Guid>{0FC9CFFC-27F3-4001-9881-9B64BB603CBD}</b:Guid>
    <b:Author>
      <b:Author>
        <b:NameList>
          <b:Person>
            <b:Last>Kalyuga</b:Last>
            <b:First>S.,</b:First>
            <b:Middle>Chandler, P., &amp; Sweller, J</b:Middle>
          </b:Person>
        </b:NameList>
      </b:Author>
    </b:Author>
    <b:Title>Levels of expertise and instructional design</b:Title>
    <b:JournalName>Human Factors</b:JournalName>
    <b:Year>1998</b:Year>
    <b:Pages>1-17</b:Pages>
    <b:Volume>40</b:Volume>
    <b:Issue>1</b:Issue>
    <b:RefOrder>21</b:RefOrder>
  </b:Source>
  <b:Source>
    <b:Tag>Eph18</b:Tag>
    <b:SourceType>JournalArticle</b:SourceType>
    <b:Guid>{DEF9BC4E-EE96-4357-A406-12321EB00989}</b:Guid>
    <b:Author>
      <b:Author>
        <b:NameList>
          <b:Person>
            <b:Last>Ephraim Zulu</b:Last>
            <b:First>Theo</b:First>
            <b:Middle>C Haupt, Vittorio Tramontin</b:Middle>
          </b:Person>
        </b:NameList>
      </b:Author>
    </b:Author>
    <b:Title>Cognitive loading due to selfdirected learning, complex questions and tasks in the zone of proximal development of students</b:Title>
    <b:JournalName>Problems of Education in the 21st Century</b:JournalName>
    <b:Year>2018</b:Year>
    <b:Pages>864-880</b:Pages>
    <b:Volume>76</b:Volume>
    <b:Issue>6</b:Issue>
    <b:RefOrder>22</b:RefOrder>
  </b:Source>
  <b:Source>
    <b:Tag>APS00</b:Tag>
    <b:SourceType>JournalArticle</b:SourceType>
    <b:Guid>{48E80E91-DBE2-4DC3-8AFA-1B1A55D93CF1}</b:Guid>
    <b:Author>
      <b:Author>
        <b:NameList>
          <b:Person>
            <b:Last>Shimamura</b:Last>
            <b:First>A</b:First>
            <b:Middle>P</b:Middle>
          </b:Person>
        </b:NameList>
      </b:Author>
    </b:Author>
    <b:Title>Toward a cognitive neuroscience of metacognition</b:Title>
    <b:JournalName> Conscious Cogn</b:JournalName>
    <b:Year>2000</b:Year>
    <b:Pages>313-23</b:Pages>
    <b:Volume>9</b:Volume>
    <b:Issue>2</b:Issue>
    <b:RefOrder>23</b:RefOrder>
  </b:Source>
</b:Sources>
</file>

<file path=customXml/itemProps1.xml><?xml version="1.0" encoding="utf-8"?>
<ds:datastoreItem xmlns:ds="http://schemas.openxmlformats.org/officeDocument/2006/customXml" ds:itemID="{82FC6F2F-049C-4A7A-8F0C-87D91FC0F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15</Pages>
  <Words>4313</Words>
  <Characters>24590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2022-11-06T12:06:00Z</dcterms:created>
  <dcterms:modified xsi:type="dcterms:W3CDTF">2022-11-06T20:22:00Z</dcterms:modified>
</cp:coreProperties>
</file>