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D1F5A" w:rsidRPr="004858A9" w14:paraId="2FA3C4A4" w14:textId="77777777" w:rsidTr="00ED1F5A">
        <w:trPr>
          <w:trHeight w:val="2800"/>
        </w:trPr>
        <w:tc>
          <w:tcPr>
            <w:tcW w:w="9026" w:type="dxa"/>
            <w:tcBorders>
              <w:top w:val="single" w:sz="4" w:space="0" w:color="auto"/>
              <w:left w:val="single" w:sz="4" w:space="0" w:color="auto"/>
              <w:bottom w:val="single" w:sz="4" w:space="0" w:color="auto"/>
              <w:right w:val="single" w:sz="4" w:space="0" w:color="auto"/>
            </w:tcBorders>
            <w:shd w:val="clear" w:color="auto" w:fill="1A237E"/>
            <w:vAlign w:val="center"/>
            <w:hideMark/>
          </w:tcPr>
          <w:p w14:paraId="4BB5065E" w14:textId="6900646F"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UNIVERSITY OF WALES TRINITY SAINT DAVID</w:t>
            </w:r>
          </w:p>
          <w:p w14:paraId="7AC2222E" w14:textId="77777777" w:rsidR="00ED1F5A" w:rsidRPr="004858A9" w:rsidRDefault="00ED1F5A" w:rsidP="004858A9">
            <w:pPr>
              <w:spacing w:line="360" w:lineRule="auto"/>
              <w:jc w:val="center"/>
              <w:rPr>
                <w:rFonts w:ascii="Arial" w:hAnsi="Arial" w:cs="Arial"/>
                <w:b/>
                <w:bCs/>
                <w:sz w:val="20"/>
                <w:szCs w:val="20"/>
              </w:rPr>
            </w:pPr>
            <w:proofErr w:type="spellStart"/>
            <w:r w:rsidRPr="004858A9">
              <w:rPr>
                <w:rFonts w:ascii="Arial" w:hAnsi="Arial" w:cs="Arial"/>
                <w:b/>
                <w:bCs/>
                <w:i/>
                <w:iCs/>
                <w:sz w:val="20"/>
                <w:szCs w:val="20"/>
              </w:rPr>
              <w:t>Prifysgol</w:t>
            </w:r>
            <w:proofErr w:type="spellEnd"/>
            <w:r w:rsidRPr="004858A9">
              <w:rPr>
                <w:rFonts w:ascii="Arial" w:hAnsi="Arial" w:cs="Arial"/>
                <w:b/>
                <w:bCs/>
                <w:i/>
                <w:iCs/>
                <w:sz w:val="20"/>
                <w:szCs w:val="20"/>
              </w:rPr>
              <w:t xml:space="preserve"> Cymru Y </w:t>
            </w:r>
            <w:proofErr w:type="spellStart"/>
            <w:r w:rsidRPr="004858A9">
              <w:rPr>
                <w:rFonts w:ascii="Arial" w:hAnsi="Arial" w:cs="Arial"/>
                <w:b/>
                <w:bCs/>
                <w:i/>
                <w:iCs/>
                <w:sz w:val="20"/>
                <w:szCs w:val="20"/>
              </w:rPr>
              <w:t>Drindod</w:t>
            </w:r>
            <w:proofErr w:type="spellEnd"/>
            <w:r w:rsidRPr="004858A9">
              <w:rPr>
                <w:rFonts w:ascii="Arial" w:hAnsi="Arial" w:cs="Arial"/>
                <w:b/>
                <w:bCs/>
                <w:i/>
                <w:iCs/>
                <w:sz w:val="20"/>
                <w:szCs w:val="20"/>
              </w:rPr>
              <w:t xml:space="preserve"> Dewi Sant</w:t>
            </w:r>
          </w:p>
          <w:p w14:paraId="04A63D58"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w:t>
            </w:r>
          </w:p>
          <w:p w14:paraId="788C0B8B"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Master of Business Administration</w:t>
            </w:r>
          </w:p>
        </w:tc>
      </w:tr>
      <w:tr w:rsidR="00261186" w:rsidRPr="004858A9" w14:paraId="0D0A8723" w14:textId="77777777" w:rsidTr="00ED1F5A">
        <w:trPr>
          <w:trHeight w:val="120"/>
        </w:trPr>
        <w:tc>
          <w:tcPr>
            <w:tcW w:w="9026" w:type="dxa"/>
            <w:tcBorders>
              <w:top w:val="single" w:sz="4" w:space="0" w:color="auto"/>
              <w:left w:val="single" w:sz="4" w:space="0" w:color="auto"/>
              <w:bottom w:val="single" w:sz="4" w:space="0" w:color="auto"/>
              <w:right w:val="single" w:sz="4" w:space="0" w:color="auto"/>
            </w:tcBorders>
            <w:shd w:val="clear" w:color="auto" w:fill="C5CAE9"/>
          </w:tcPr>
          <w:p w14:paraId="38BB85D8" w14:textId="77777777" w:rsidR="00ED1F5A" w:rsidRPr="004858A9" w:rsidRDefault="00ED1F5A" w:rsidP="004858A9">
            <w:pPr>
              <w:spacing w:line="360" w:lineRule="auto"/>
              <w:jc w:val="center"/>
              <w:rPr>
                <w:rFonts w:ascii="Arial" w:hAnsi="Arial" w:cs="Arial"/>
                <w:b/>
                <w:bCs/>
                <w:sz w:val="20"/>
                <w:szCs w:val="20"/>
              </w:rPr>
            </w:pPr>
          </w:p>
        </w:tc>
      </w:tr>
    </w:tbl>
    <w:p w14:paraId="67EF111F" w14:textId="30DD6792" w:rsidR="00ED1F5A" w:rsidRPr="004858A9" w:rsidRDefault="00ED1F5A" w:rsidP="006A39C6">
      <w:pPr>
        <w:spacing w:line="360" w:lineRule="auto"/>
        <w:rPr>
          <w:rFonts w:ascii="Arial" w:hAnsi="Arial" w:cs="Arial"/>
          <w:b/>
          <w:bCs/>
          <w:sz w:val="20"/>
          <w:szCs w:val="20"/>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D1F5A" w:rsidRPr="004858A9" w14:paraId="5A1BDC8E" w14:textId="77777777" w:rsidTr="00ED1F5A">
        <w:trPr>
          <w:trHeight w:val="2600"/>
        </w:trPr>
        <w:tc>
          <w:tcPr>
            <w:tcW w:w="9026" w:type="dxa"/>
            <w:tcBorders>
              <w:top w:val="single" w:sz="4" w:space="0" w:color="auto"/>
              <w:left w:val="single" w:sz="36" w:space="0" w:color="1A237E"/>
              <w:bottom w:val="single" w:sz="18" w:space="0" w:color="1A237E"/>
              <w:right w:val="single" w:sz="4" w:space="0" w:color="auto"/>
            </w:tcBorders>
            <w:shd w:val="clear" w:color="auto" w:fill="F7F8FC"/>
            <w:tcMar>
              <w:top w:w="0" w:type="dxa"/>
              <w:left w:w="400" w:type="dxa"/>
              <w:bottom w:w="0" w:type="dxa"/>
              <w:right w:w="200" w:type="dxa"/>
            </w:tcMar>
            <w:vAlign w:val="center"/>
            <w:hideMark/>
          </w:tcPr>
          <w:p w14:paraId="5970B012"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ASSIGNMENT TITLE</w:t>
            </w:r>
          </w:p>
          <w:p w14:paraId="531F8C43"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Marketing Environment</w:t>
            </w:r>
          </w:p>
          <w:p w14:paraId="7C54CB7D"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Analysis</w:t>
            </w:r>
          </w:p>
          <w:p w14:paraId="5C0F82DA" w14:textId="2AF29B64"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i/>
                <w:iCs/>
                <w:sz w:val="20"/>
                <w:szCs w:val="20"/>
              </w:rPr>
              <w:t>Module: Marketing Management | Code: LCMB7024</w:t>
            </w:r>
          </w:p>
        </w:tc>
      </w:tr>
    </w:tbl>
    <w:p w14:paraId="79E91AFC" w14:textId="77777777" w:rsidR="00ED1F5A" w:rsidRPr="004858A9" w:rsidRDefault="00ED1F5A" w:rsidP="004858A9">
      <w:pPr>
        <w:spacing w:line="360" w:lineRule="auto"/>
        <w:jc w:val="center"/>
        <w:rPr>
          <w:rFonts w:ascii="Arial" w:hAnsi="Arial" w:cs="Arial"/>
          <w:b/>
          <w:bCs/>
          <w:sz w:val="20"/>
          <w:szCs w:val="20"/>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426"/>
      </w:tblGrid>
      <w:tr w:rsidR="00ED1F5A" w:rsidRPr="004858A9" w14:paraId="4C063B60" w14:textId="77777777" w:rsidTr="00ED1F5A">
        <w:trPr>
          <w:trHeight w:val="500"/>
        </w:trPr>
        <w:tc>
          <w:tcPr>
            <w:tcW w:w="2600" w:type="dxa"/>
            <w:tcBorders>
              <w:top w:val="single" w:sz="4" w:space="0" w:color="E0E3EF"/>
              <w:left w:val="single" w:sz="4" w:space="0" w:color="auto"/>
              <w:bottom w:val="single" w:sz="4" w:space="0" w:color="E0E3EF"/>
              <w:right w:val="single" w:sz="8" w:space="0" w:color="1A237E"/>
            </w:tcBorders>
            <w:shd w:val="clear" w:color="auto" w:fill="FFFFFF"/>
            <w:tcMar>
              <w:top w:w="80" w:type="dxa"/>
              <w:left w:w="160" w:type="dxa"/>
              <w:bottom w:w="80" w:type="dxa"/>
              <w:right w:w="160" w:type="dxa"/>
            </w:tcMar>
            <w:vAlign w:val="center"/>
            <w:hideMark/>
          </w:tcPr>
          <w:p w14:paraId="7EBD28DC"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PROGRAMME</w:t>
            </w:r>
          </w:p>
        </w:tc>
        <w:tc>
          <w:tcPr>
            <w:tcW w:w="6426" w:type="dxa"/>
            <w:tcBorders>
              <w:top w:val="single" w:sz="4" w:space="0" w:color="E0E3EF"/>
              <w:left w:val="single" w:sz="4" w:space="0" w:color="auto"/>
              <w:bottom w:val="single" w:sz="4" w:space="0" w:color="E0E3EF"/>
              <w:right w:val="single" w:sz="4" w:space="0" w:color="auto"/>
            </w:tcBorders>
            <w:shd w:val="clear" w:color="auto" w:fill="FFFFFF"/>
            <w:tcMar>
              <w:top w:w="80" w:type="dxa"/>
              <w:left w:w="200" w:type="dxa"/>
              <w:bottom w:w="80" w:type="dxa"/>
              <w:right w:w="160" w:type="dxa"/>
            </w:tcMar>
            <w:vAlign w:val="center"/>
            <w:hideMark/>
          </w:tcPr>
          <w:p w14:paraId="39D56EBE" w14:textId="77777777" w:rsidR="00ED1F5A" w:rsidRPr="004858A9" w:rsidRDefault="00ED1F5A" w:rsidP="004858A9">
            <w:pPr>
              <w:spacing w:line="360" w:lineRule="auto"/>
              <w:jc w:val="center"/>
              <w:rPr>
                <w:rFonts w:ascii="Arial" w:hAnsi="Arial" w:cs="Arial"/>
                <w:sz w:val="20"/>
                <w:szCs w:val="20"/>
              </w:rPr>
            </w:pPr>
            <w:r w:rsidRPr="004858A9">
              <w:rPr>
                <w:rFonts w:ascii="Arial" w:hAnsi="Arial" w:cs="Arial"/>
                <w:sz w:val="20"/>
                <w:szCs w:val="20"/>
              </w:rPr>
              <w:t>Master of Business Administration</w:t>
            </w:r>
          </w:p>
        </w:tc>
      </w:tr>
      <w:tr w:rsidR="00ED1F5A" w:rsidRPr="004858A9" w14:paraId="53B7EB6B" w14:textId="77777777" w:rsidTr="00ED1F5A">
        <w:trPr>
          <w:trHeight w:val="500"/>
        </w:trPr>
        <w:tc>
          <w:tcPr>
            <w:tcW w:w="2600" w:type="dxa"/>
            <w:tcBorders>
              <w:top w:val="single" w:sz="4" w:space="0" w:color="E0E3EF"/>
              <w:left w:val="single" w:sz="4" w:space="0" w:color="auto"/>
              <w:bottom w:val="single" w:sz="4" w:space="0" w:color="E0E3EF"/>
              <w:right w:val="single" w:sz="8" w:space="0" w:color="1A237E"/>
            </w:tcBorders>
            <w:shd w:val="clear" w:color="auto" w:fill="EEF0F8"/>
            <w:tcMar>
              <w:top w:w="80" w:type="dxa"/>
              <w:left w:w="160" w:type="dxa"/>
              <w:bottom w:w="80" w:type="dxa"/>
              <w:right w:w="160" w:type="dxa"/>
            </w:tcMar>
            <w:vAlign w:val="center"/>
            <w:hideMark/>
          </w:tcPr>
          <w:p w14:paraId="2620AF3D"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MODULE</w:t>
            </w:r>
          </w:p>
        </w:tc>
        <w:tc>
          <w:tcPr>
            <w:tcW w:w="6426" w:type="dxa"/>
            <w:tcBorders>
              <w:top w:val="single" w:sz="4" w:space="0" w:color="E0E3EF"/>
              <w:left w:val="single" w:sz="4" w:space="0" w:color="auto"/>
              <w:bottom w:val="single" w:sz="4" w:space="0" w:color="E0E3EF"/>
              <w:right w:val="single" w:sz="4" w:space="0" w:color="auto"/>
            </w:tcBorders>
            <w:shd w:val="clear" w:color="auto" w:fill="F7F8FC"/>
            <w:tcMar>
              <w:top w:w="80" w:type="dxa"/>
              <w:left w:w="200" w:type="dxa"/>
              <w:bottom w:w="80" w:type="dxa"/>
              <w:right w:w="160" w:type="dxa"/>
            </w:tcMar>
            <w:vAlign w:val="center"/>
            <w:hideMark/>
          </w:tcPr>
          <w:p w14:paraId="4EEF7713" w14:textId="77777777" w:rsidR="00ED1F5A" w:rsidRPr="004858A9" w:rsidRDefault="00ED1F5A" w:rsidP="004858A9">
            <w:pPr>
              <w:spacing w:line="360" w:lineRule="auto"/>
              <w:jc w:val="center"/>
              <w:rPr>
                <w:rFonts w:ascii="Arial" w:hAnsi="Arial" w:cs="Arial"/>
                <w:sz w:val="20"/>
                <w:szCs w:val="20"/>
              </w:rPr>
            </w:pPr>
            <w:r w:rsidRPr="004858A9">
              <w:rPr>
                <w:rFonts w:ascii="Arial" w:hAnsi="Arial" w:cs="Arial"/>
                <w:sz w:val="20"/>
                <w:szCs w:val="20"/>
              </w:rPr>
              <w:t>Marketing Management</w:t>
            </w:r>
          </w:p>
        </w:tc>
      </w:tr>
      <w:tr w:rsidR="00ED1F5A" w:rsidRPr="004858A9" w14:paraId="1FDD9A07" w14:textId="77777777" w:rsidTr="00ED1F5A">
        <w:trPr>
          <w:trHeight w:val="500"/>
        </w:trPr>
        <w:tc>
          <w:tcPr>
            <w:tcW w:w="2600" w:type="dxa"/>
            <w:tcBorders>
              <w:top w:val="single" w:sz="4" w:space="0" w:color="E0E3EF"/>
              <w:left w:val="single" w:sz="4" w:space="0" w:color="auto"/>
              <w:bottom w:val="single" w:sz="4" w:space="0" w:color="E0E3EF"/>
              <w:right w:val="single" w:sz="8" w:space="0" w:color="1A237E"/>
            </w:tcBorders>
            <w:shd w:val="clear" w:color="auto" w:fill="FFFFFF"/>
            <w:tcMar>
              <w:top w:w="80" w:type="dxa"/>
              <w:left w:w="160" w:type="dxa"/>
              <w:bottom w:w="80" w:type="dxa"/>
              <w:right w:w="160" w:type="dxa"/>
            </w:tcMar>
            <w:vAlign w:val="center"/>
            <w:hideMark/>
          </w:tcPr>
          <w:p w14:paraId="51CF47B4"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MODULE CODE</w:t>
            </w:r>
          </w:p>
        </w:tc>
        <w:tc>
          <w:tcPr>
            <w:tcW w:w="6426" w:type="dxa"/>
            <w:tcBorders>
              <w:top w:val="single" w:sz="4" w:space="0" w:color="E0E3EF"/>
              <w:left w:val="single" w:sz="4" w:space="0" w:color="auto"/>
              <w:bottom w:val="single" w:sz="4" w:space="0" w:color="E0E3EF"/>
              <w:right w:val="single" w:sz="4" w:space="0" w:color="auto"/>
            </w:tcBorders>
            <w:shd w:val="clear" w:color="auto" w:fill="FFFFFF"/>
            <w:tcMar>
              <w:top w:w="80" w:type="dxa"/>
              <w:left w:w="200" w:type="dxa"/>
              <w:bottom w:w="80" w:type="dxa"/>
              <w:right w:w="160" w:type="dxa"/>
            </w:tcMar>
            <w:vAlign w:val="center"/>
            <w:hideMark/>
          </w:tcPr>
          <w:p w14:paraId="17FEAA72" w14:textId="77777777" w:rsidR="00ED1F5A" w:rsidRPr="004858A9" w:rsidRDefault="00ED1F5A" w:rsidP="004858A9">
            <w:pPr>
              <w:spacing w:line="360" w:lineRule="auto"/>
              <w:jc w:val="center"/>
              <w:rPr>
                <w:rFonts w:ascii="Arial" w:hAnsi="Arial" w:cs="Arial"/>
                <w:sz w:val="20"/>
                <w:szCs w:val="20"/>
              </w:rPr>
            </w:pPr>
            <w:r w:rsidRPr="004858A9">
              <w:rPr>
                <w:rFonts w:ascii="Arial" w:hAnsi="Arial" w:cs="Arial"/>
                <w:sz w:val="20"/>
                <w:szCs w:val="20"/>
              </w:rPr>
              <w:t>LCMB7024</w:t>
            </w:r>
          </w:p>
        </w:tc>
      </w:tr>
      <w:tr w:rsidR="00ED1F5A" w:rsidRPr="004858A9" w14:paraId="4E265B03" w14:textId="77777777" w:rsidTr="00ED1F5A">
        <w:trPr>
          <w:trHeight w:val="500"/>
        </w:trPr>
        <w:tc>
          <w:tcPr>
            <w:tcW w:w="2600" w:type="dxa"/>
            <w:tcBorders>
              <w:top w:val="single" w:sz="4" w:space="0" w:color="E0E3EF"/>
              <w:left w:val="single" w:sz="4" w:space="0" w:color="auto"/>
              <w:bottom w:val="single" w:sz="4" w:space="0" w:color="E0E3EF"/>
              <w:right w:val="single" w:sz="8" w:space="0" w:color="1A237E"/>
            </w:tcBorders>
            <w:shd w:val="clear" w:color="auto" w:fill="EEF0F8"/>
            <w:tcMar>
              <w:top w:w="80" w:type="dxa"/>
              <w:left w:w="160" w:type="dxa"/>
              <w:bottom w:w="80" w:type="dxa"/>
              <w:right w:w="160" w:type="dxa"/>
            </w:tcMar>
            <w:vAlign w:val="center"/>
            <w:hideMark/>
          </w:tcPr>
          <w:p w14:paraId="136AC461"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LECTURER(S)</w:t>
            </w:r>
          </w:p>
        </w:tc>
        <w:tc>
          <w:tcPr>
            <w:tcW w:w="6426" w:type="dxa"/>
            <w:tcBorders>
              <w:top w:val="single" w:sz="4" w:space="0" w:color="E0E3EF"/>
              <w:left w:val="single" w:sz="4" w:space="0" w:color="auto"/>
              <w:bottom w:val="single" w:sz="4" w:space="0" w:color="E0E3EF"/>
              <w:right w:val="single" w:sz="4" w:space="0" w:color="auto"/>
            </w:tcBorders>
            <w:shd w:val="clear" w:color="auto" w:fill="F7F8FC"/>
            <w:tcMar>
              <w:top w:w="80" w:type="dxa"/>
              <w:left w:w="200" w:type="dxa"/>
              <w:bottom w:w="80" w:type="dxa"/>
              <w:right w:w="160" w:type="dxa"/>
            </w:tcMar>
            <w:vAlign w:val="center"/>
            <w:hideMark/>
          </w:tcPr>
          <w:p w14:paraId="01FC7BCF" w14:textId="4DDF053D" w:rsidR="00ED1F5A" w:rsidRPr="004858A9" w:rsidRDefault="005414A0" w:rsidP="004858A9">
            <w:pPr>
              <w:spacing w:line="360" w:lineRule="auto"/>
              <w:jc w:val="center"/>
              <w:rPr>
                <w:rFonts w:ascii="Arial" w:hAnsi="Arial" w:cs="Arial"/>
                <w:sz w:val="20"/>
                <w:szCs w:val="20"/>
              </w:rPr>
            </w:pPr>
            <w:r w:rsidRPr="005414A0">
              <w:rPr>
                <w:rFonts w:ascii="Arial" w:hAnsi="Arial" w:cs="Arial"/>
                <w:sz w:val="20"/>
                <w:szCs w:val="20"/>
              </w:rPr>
              <w:t xml:space="preserve">Tushara </w:t>
            </w:r>
            <w:proofErr w:type="spellStart"/>
            <w:r w:rsidRPr="005414A0">
              <w:rPr>
                <w:rFonts w:ascii="Arial" w:hAnsi="Arial" w:cs="Arial"/>
                <w:sz w:val="20"/>
                <w:szCs w:val="20"/>
              </w:rPr>
              <w:t>balendran</w:t>
            </w:r>
            <w:proofErr w:type="spellEnd"/>
          </w:p>
        </w:tc>
      </w:tr>
      <w:tr w:rsidR="00ED1F5A" w:rsidRPr="004858A9" w14:paraId="4394F002" w14:textId="77777777" w:rsidTr="00ED1F5A">
        <w:trPr>
          <w:trHeight w:val="500"/>
        </w:trPr>
        <w:tc>
          <w:tcPr>
            <w:tcW w:w="2600" w:type="dxa"/>
            <w:tcBorders>
              <w:top w:val="single" w:sz="4" w:space="0" w:color="E0E3EF"/>
              <w:left w:val="single" w:sz="4" w:space="0" w:color="auto"/>
              <w:bottom w:val="single" w:sz="4" w:space="0" w:color="E0E3EF"/>
              <w:right w:val="single" w:sz="8" w:space="0" w:color="1A237E"/>
            </w:tcBorders>
            <w:shd w:val="clear" w:color="auto" w:fill="FFFFFF"/>
            <w:tcMar>
              <w:top w:w="80" w:type="dxa"/>
              <w:left w:w="160" w:type="dxa"/>
              <w:bottom w:w="80" w:type="dxa"/>
              <w:right w:w="160" w:type="dxa"/>
            </w:tcMar>
            <w:vAlign w:val="center"/>
            <w:hideMark/>
          </w:tcPr>
          <w:p w14:paraId="307E5F61"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STUDENT NAME</w:t>
            </w:r>
          </w:p>
        </w:tc>
        <w:tc>
          <w:tcPr>
            <w:tcW w:w="6426" w:type="dxa"/>
            <w:tcBorders>
              <w:top w:val="single" w:sz="4" w:space="0" w:color="E0E3EF"/>
              <w:left w:val="single" w:sz="4" w:space="0" w:color="auto"/>
              <w:bottom w:val="single" w:sz="4" w:space="0" w:color="E0E3EF"/>
              <w:right w:val="single" w:sz="4" w:space="0" w:color="auto"/>
            </w:tcBorders>
            <w:shd w:val="clear" w:color="auto" w:fill="FFFFFF"/>
            <w:tcMar>
              <w:top w:w="80" w:type="dxa"/>
              <w:left w:w="200" w:type="dxa"/>
              <w:bottom w:w="80" w:type="dxa"/>
              <w:right w:w="160" w:type="dxa"/>
            </w:tcMar>
            <w:vAlign w:val="center"/>
            <w:hideMark/>
          </w:tcPr>
          <w:p w14:paraId="7B1DDC2F" w14:textId="506D3D74" w:rsidR="00ED1F5A" w:rsidRPr="004858A9" w:rsidRDefault="005414A0" w:rsidP="004858A9">
            <w:pPr>
              <w:spacing w:line="360" w:lineRule="auto"/>
              <w:jc w:val="center"/>
              <w:rPr>
                <w:rFonts w:ascii="Arial" w:hAnsi="Arial" w:cs="Arial"/>
                <w:sz w:val="20"/>
                <w:szCs w:val="20"/>
              </w:rPr>
            </w:pPr>
            <w:r w:rsidRPr="005414A0">
              <w:rPr>
                <w:rFonts w:ascii="Arial" w:hAnsi="Arial" w:cs="Arial"/>
                <w:sz w:val="20"/>
                <w:szCs w:val="20"/>
              </w:rPr>
              <w:t>S</w:t>
            </w:r>
            <w:r>
              <w:rPr>
                <w:rFonts w:ascii="Arial" w:hAnsi="Arial" w:cs="Arial"/>
                <w:sz w:val="20"/>
                <w:szCs w:val="20"/>
              </w:rPr>
              <w:t>ufi</w:t>
            </w:r>
            <w:r w:rsidRPr="005414A0">
              <w:rPr>
                <w:rFonts w:ascii="Arial" w:hAnsi="Arial" w:cs="Arial"/>
                <w:sz w:val="20"/>
                <w:szCs w:val="20"/>
              </w:rPr>
              <w:t xml:space="preserve"> </w:t>
            </w:r>
            <w:proofErr w:type="spellStart"/>
            <w:r w:rsidRPr="005414A0">
              <w:rPr>
                <w:rFonts w:ascii="Arial" w:hAnsi="Arial" w:cs="Arial"/>
                <w:sz w:val="20"/>
                <w:szCs w:val="20"/>
              </w:rPr>
              <w:t>S</w:t>
            </w:r>
            <w:r>
              <w:rPr>
                <w:rFonts w:ascii="Arial" w:hAnsi="Arial" w:cs="Arial"/>
                <w:sz w:val="20"/>
                <w:szCs w:val="20"/>
              </w:rPr>
              <w:t>afinaz</w:t>
            </w:r>
            <w:proofErr w:type="spellEnd"/>
            <w:r w:rsidRPr="005414A0">
              <w:rPr>
                <w:rFonts w:ascii="Arial" w:hAnsi="Arial" w:cs="Arial"/>
                <w:sz w:val="20"/>
                <w:szCs w:val="20"/>
              </w:rPr>
              <w:t xml:space="preserve"> </w:t>
            </w:r>
            <w:proofErr w:type="spellStart"/>
            <w:r w:rsidRPr="005414A0">
              <w:rPr>
                <w:rFonts w:ascii="Arial" w:hAnsi="Arial" w:cs="Arial"/>
                <w:sz w:val="20"/>
                <w:szCs w:val="20"/>
              </w:rPr>
              <w:t>A</w:t>
            </w:r>
            <w:r>
              <w:rPr>
                <w:rFonts w:ascii="Arial" w:hAnsi="Arial" w:cs="Arial"/>
                <w:sz w:val="20"/>
                <w:szCs w:val="20"/>
              </w:rPr>
              <w:t>zizmahmed</w:t>
            </w:r>
            <w:proofErr w:type="spellEnd"/>
          </w:p>
        </w:tc>
      </w:tr>
      <w:tr w:rsidR="00ED1F5A" w:rsidRPr="004858A9" w14:paraId="496CF819" w14:textId="77777777" w:rsidTr="00ED1F5A">
        <w:trPr>
          <w:trHeight w:val="500"/>
        </w:trPr>
        <w:tc>
          <w:tcPr>
            <w:tcW w:w="2600" w:type="dxa"/>
            <w:tcBorders>
              <w:top w:val="single" w:sz="4" w:space="0" w:color="E0E3EF"/>
              <w:left w:val="single" w:sz="4" w:space="0" w:color="auto"/>
              <w:bottom w:val="single" w:sz="4" w:space="0" w:color="E0E3EF"/>
              <w:right w:val="single" w:sz="8" w:space="0" w:color="1A237E"/>
            </w:tcBorders>
            <w:shd w:val="clear" w:color="auto" w:fill="EEF0F8"/>
            <w:tcMar>
              <w:top w:w="80" w:type="dxa"/>
              <w:left w:w="160" w:type="dxa"/>
              <w:bottom w:w="80" w:type="dxa"/>
              <w:right w:w="160" w:type="dxa"/>
            </w:tcMar>
            <w:vAlign w:val="center"/>
            <w:hideMark/>
          </w:tcPr>
          <w:p w14:paraId="43C85D29"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STUDENT ID</w:t>
            </w:r>
          </w:p>
        </w:tc>
        <w:tc>
          <w:tcPr>
            <w:tcW w:w="6426" w:type="dxa"/>
            <w:tcBorders>
              <w:top w:val="single" w:sz="4" w:space="0" w:color="E0E3EF"/>
              <w:left w:val="single" w:sz="4" w:space="0" w:color="auto"/>
              <w:bottom w:val="single" w:sz="4" w:space="0" w:color="E0E3EF"/>
              <w:right w:val="single" w:sz="4" w:space="0" w:color="auto"/>
            </w:tcBorders>
            <w:shd w:val="clear" w:color="auto" w:fill="F7F8FC"/>
            <w:tcMar>
              <w:top w:w="80" w:type="dxa"/>
              <w:left w:w="200" w:type="dxa"/>
              <w:bottom w:w="80" w:type="dxa"/>
              <w:right w:w="160" w:type="dxa"/>
            </w:tcMar>
            <w:vAlign w:val="center"/>
            <w:hideMark/>
          </w:tcPr>
          <w:p w14:paraId="78AABEF7" w14:textId="44E70546" w:rsidR="00ED1F5A" w:rsidRPr="004858A9" w:rsidRDefault="005414A0" w:rsidP="004858A9">
            <w:pPr>
              <w:spacing w:line="360" w:lineRule="auto"/>
              <w:jc w:val="center"/>
              <w:rPr>
                <w:rFonts w:ascii="Arial" w:hAnsi="Arial" w:cs="Arial"/>
                <w:sz w:val="20"/>
                <w:szCs w:val="20"/>
              </w:rPr>
            </w:pPr>
            <w:r w:rsidRPr="005414A0">
              <w:rPr>
                <w:rFonts w:ascii="Arial" w:hAnsi="Arial" w:cs="Arial"/>
                <w:sz w:val="20"/>
                <w:szCs w:val="20"/>
              </w:rPr>
              <w:t xml:space="preserve"> 2539210</w:t>
            </w:r>
          </w:p>
        </w:tc>
      </w:tr>
      <w:tr w:rsidR="00ED1F5A" w:rsidRPr="004858A9" w14:paraId="3661FEE7" w14:textId="77777777" w:rsidTr="00ED1F5A">
        <w:trPr>
          <w:trHeight w:val="500"/>
        </w:trPr>
        <w:tc>
          <w:tcPr>
            <w:tcW w:w="2600" w:type="dxa"/>
            <w:tcBorders>
              <w:top w:val="single" w:sz="4" w:space="0" w:color="E0E3EF"/>
              <w:left w:val="single" w:sz="4" w:space="0" w:color="auto"/>
              <w:bottom w:val="single" w:sz="4" w:space="0" w:color="E0E3EF"/>
              <w:right w:val="single" w:sz="8" w:space="0" w:color="1A237E"/>
            </w:tcBorders>
            <w:shd w:val="clear" w:color="auto" w:fill="FFFFFF"/>
            <w:tcMar>
              <w:top w:w="80" w:type="dxa"/>
              <w:left w:w="160" w:type="dxa"/>
              <w:bottom w:w="80" w:type="dxa"/>
              <w:right w:w="160" w:type="dxa"/>
            </w:tcMar>
            <w:vAlign w:val="center"/>
            <w:hideMark/>
          </w:tcPr>
          <w:p w14:paraId="7476C659"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WORD COUNT</w:t>
            </w:r>
          </w:p>
        </w:tc>
        <w:tc>
          <w:tcPr>
            <w:tcW w:w="6426" w:type="dxa"/>
            <w:tcBorders>
              <w:top w:val="single" w:sz="4" w:space="0" w:color="E0E3EF"/>
              <w:left w:val="single" w:sz="4" w:space="0" w:color="auto"/>
              <w:bottom w:val="single" w:sz="4" w:space="0" w:color="E0E3EF"/>
              <w:right w:val="single" w:sz="4" w:space="0" w:color="auto"/>
            </w:tcBorders>
            <w:shd w:val="clear" w:color="auto" w:fill="FFFFFF"/>
            <w:tcMar>
              <w:top w:w="80" w:type="dxa"/>
              <w:left w:w="200" w:type="dxa"/>
              <w:bottom w:w="80" w:type="dxa"/>
              <w:right w:w="160" w:type="dxa"/>
            </w:tcMar>
            <w:vAlign w:val="center"/>
            <w:hideMark/>
          </w:tcPr>
          <w:p w14:paraId="0BA43A6C" w14:textId="2EBCAB6B" w:rsidR="00ED1F5A" w:rsidRPr="004858A9" w:rsidRDefault="00ED1F5A" w:rsidP="004858A9">
            <w:pPr>
              <w:spacing w:line="360" w:lineRule="auto"/>
              <w:jc w:val="center"/>
              <w:rPr>
                <w:rFonts w:ascii="Arial" w:hAnsi="Arial" w:cs="Arial"/>
                <w:sz w:val="20"/>
                <w:szCs w:val="20"/>
              </w:rPr>
            </w:pPr>
            <w:r w:rsidRPr="00C8339C">
              <w:rPr>
                <w:rFonts w:ascii="Arial" w:hAnsi="Arial" w:cs="Arial"/>
                <w:sz w:val="20"/>
                <w:szCs w:val="20"/>
              </w:rPr>
              <w:t>2,</w:t>
            </w:r>
            <w:r w:rsidR="00C8339C" w:rsidRPr="00C8339C">
              <w:rPr>
                <w:rFonts w:ascii="Arial" w:hAnsi="Arial" w:cs="Arial"/>
                <w:sz w:val="20"/>
                <w:szCs w:val="20"/>
              </w:rPr>
              <w:t>68</w:t>
            </w:r>
            <w:r w:rsidR="001326A4">
              <w:rPr>
                <w:rFonts w:ascii="Arial" w:hAnsi="Arial" w:cs="Arial"/>
                <w:sz w:val="20"/>
                <w:szCs w:val="20"/>
              </w:rPr>
              <w:t>0</w:t>
            </w:r>
            <w:r w:rsidRPr="00C8339C">
              <w:rPr>
                <w:rFonts w:ascii="Arial" w:hAnsi="Arial" w:cs="Arial"/>
                <w:sz w:val="20"/>
                <w:szCs w:val="20"/>
              </w:rPr>
              <w:t xml:space="preserve"> Words</w:t>
            </w:r>
          </w:p>
        </w:tc>
      </w:tr>
      <w:tr w:rsidR="00ED1F5A" w:rsidRPr="004858A9" w14:paraId="67D1CEBB" w14:textId="77777777" w:rsidTr="00ED1F5A">
        <w:trPr>
          <w:trHeight w:val="500"/>
        </w:trPr>
        <w:tc>
          <w:tcPr>
            <w:tcW w:w="2600" w:type="dxa"/>
            <w:tcBorders>
              <w:top w:val="single" w:sz="4" w:space="0" w:color="E0E3EF"/>
              <w:left w:val="single" w:sz="4" w:space="0" w:color="auto"/>
              <w:bottom w:val="single" w:sz="4" w:space="0" w:color="E0E3EF"/>
              <w:right w:val="single" w:sz="8" w:space="0" w:color="1A237E"/>
            </w:tcBorders>
            <w:shd w:val="clear" w:color="auto" w:fill="EEF0F8"/>
            <w:tcMar>
              <w:top w:w="80" w:type="dxa"/>
              <w:left w:w="160" w:type="dxa"/>
              <w:bottom w:w="80" w:type="dxa"/>
              <w:right w:w="160" w:type="dxa"/>
            </w:tcMar>
            <w:vAlign w:val="center"/>
            <w:hideMark/>
          </w:tcPr>
          <w:p w14:paraId="687CAA33"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SUBMISSION DATE</w:t>
            </w:r>
          </w:p>
        </w:tc>
        <w:tc>
          <w:tcPr>
            <w:tcW w:w="6426" w:type="dxa"/>
            <w:tcBorders>
              <w:top w:val="single" w:sz="4" w:space="0" w:color="E0E3EF"/>
              <w:left w:val="single" w:sz="4" w:space="0" w:color="auto"/>
              <w:bottom w:val="single" w:sz="4" w:space="0" w:color="E0E3EF"/>
              <w:right w:val="single" w:sz="4" w:space="0" w:color="auto"/>
            </w:tcBorders>
            <w:shd w:val="clear" w:color="auto" w:fill="F7F8FC"/>
            <w:tcMar>
              <w:top w:w="80" w:type="dxa"/>
              <w:left w:w="200" w:type="dxa"/>
              <w:bottom w:w="80" w:type="dxa"/>
              <w:right w:w="160" w:type="dxa"/>
            </w:tcMar>
            <w:vAlign w:val="center"/>
            <w:hideMark/>
          </w:tcPr>
          <w:p w14:paraId="119A4EE8" w14:textId="77777777" w:rsidR="00ED1F5A" w:rsidRPr="004858A9" w:rsidRDefault="00ED1F5A" w:rsidP="004858A9">
            <w:pPr>
              <w:spacing w:line="360" w:lineRule="auto"/>
              <w:jc w:val="center"/>
              <w:rPr>
                <w:rFonts w:ascii="Arial" w:hAnsi="Arial" w:cs="Arial"/>
                <w:sz w:val="20"/>
                <w:szCs w:val="20"/>
              </w:rPr>
            </w:pPr>
            <w:r w:rsidRPr="004858A9">
              <w:rPr>
                <w:rFonts w:ascii="Arial" w:hAnsi="Arial" w:cs="Arial"/>
                <w:sz w:val="20"/>
                <w:szCs w:val="20"/>
              </w:rPr>
              <w:t>24 July 2026</w:t>
            </w:r>
          </w:p>
        </w:tc>
      </w:tr>
    </w:tbl>
    <w:p w14:paraId="76F4BB77" w14:textId="77777777" w:rsidR="00ED1F5A" w:rsidRPr="004858A9" w:rsidRDefault="00ED1F5A" w:rsidP="004858A9">
      <w:pPr>
        <w:spacing w:line="360" w:lineRule="auto"/>
        <w:jc w:val="center"/>
        <w:rPr>
          <w:rFonts w:ascii="Arial" w:hAnsi="Arial" w:cs="Arial"/>
          <w:b/>
          <w:bCs/>
          <w:sz w:val="20"/>
          <w:szCs w:val="20"/>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D1F5A" w:rsidRPr="004858A9" w14:paraId="1FCBE32D" w14:textId="77777777" w:rsidTr="00ED1F5A">
        <w:trPr>
          <w:trHeight w:val="560"/>
        </w:trPr>
        <w:tc>
          <w:tcPr>
            <w:tcW w:w="9026" w:type="dxa"/>
            <w:tcBorders>
              <w:top w:val="single" w:sz="4" w:space="0" w:color="auto"/>
              <w:left w:val="single" w:sz="4" w:space="0" w:color="auto"/>
              <w:bottom w:val="single" w:sz="4" w:space="0" w:color="auto"/>
              <w:right w:val="single" w:sz="4" w:space="0" w:color="auto"/>
            </w:tcBorders>
            <w:shd w:val="clear" w:color="auto" w:fill="1A237E"/>
            <w:vAlign w:val="center"/>
            <w:hideMark/>
          </w:tcPr>
          <w:p w14:paraId="25C8B4C6" w14:textId="77777777" w:rsidR="00ED1F5A" w:rsidRPr="004858A9" w:rsidRDefault="00ED1F5A" w:rsidP="004858A9">
            <w:pPr>
              <w:spacing w:line="360" w:lineRule="auto"/>
              <w:jc w:val="center"/>
              <w:rPr>
                <w:rFonts w:ascii="Arial" w:hAnsi="Arial" w:cs="Arial"/>
                <w:b/>
                <w:bCs/>
                <w:sz w:val="20"/>
                <w:szCs w:val="20"/>
              </w:rPr>
            </w:pPr>
            <w:r w:rsidRPr="004858A9">
              <w:rPr>
                <w:rFonts w:ascii="Arial" w:hAnsi="Arial" w:cs="Arial"/>
                <w:b/>
                <w:bCs/>
                <w:sz w:val="20"/>
                <w:szCs w:val="20"/>
              </w:rPr>
              <w:t xml:space="preserve">Academic Integrity Declaration: </w:t>
            </w:r>
            <w:r w:rsidRPr="004858A9">
              <w:rPr>
                <w:rFonts w:ascii="Arial" w:hAnsi="Arial" w:cs="Arial"/>
                <w:b/>
                <w:bCs/>
                <w:i/>
                <w:iCs/>
                <w:sz w:val="20"/>
                <w:szCs w:val="20"/>
              </w:rPr>
              <w:t>This submission is the original work of the student and complies with UWTSD academic honesty requirements.</w:t>
            </w:r>
          </w:p>
        </w:tc>
      </w:tr>
    </w:tbl>
    <w:sdt>
      <w:sdtPr>
        <w:rPr>
          <w:rFonts w:ascii="Arial" w:eastAsiaTheme="minorHAnsi" w:hAnsi="Arial" w:cs="Arial"/>
          <w:color w:val="auto"/>
          <w:kern w:val="2"/>
          <w:sz w:val="24"/>
          <w:szCs w:val="24"/>
          <w:lang w:val="en-GB"/>
          <w14:ligatures w14:val="standardContextual"/>
        </w:rPr>
        <w:id w:val="1305745062"/>
        <w:docPartObj>
          <w:docPartGallery w:val="Table of Contents"/>
          <w:docPartUnique/>
        </w:docPartObj>
      </w:sdtPr>
      <w:sdtEndPr>
        <w:rPr>
          <w:b/>
          <w:bCs/>
          <w:noProof/>
        </w:rPr>
      </w:sdtEndPr>
      <w:sdtContent>
        <w:p w14:paraId="34E4E87A" w14:textId="034FC94E" w:rsidR="00AB7D96" w:rsidRPr="00851E26" w:rsidRDefault="00AB7D96" w:rsidP="00851E26">
          <w:pPr>
            <w:pStyle w:val="TOCHeading"/>
            <w:spacing w:line="360" w:lineRule="auto"/>
            <w:jc w:val="both"/>
            <w:rPr>
              <w:rFonts w:ascii="Arial" w:hAnsi="Arial" w:cs="Arial"/>
              <w:sz w:val="24"/>
              <w:szCs w:val="24"/>
            </w:rPr>
          </w:pPr>
          <w:r w:rsidRPr="00851E26">
            <w:rPr>
              <w:rFonts w:ascii="Arial" w:hAnsi="Arial" w:cs="Arial"/>
              <w:sz w:val="24"/>
              <w:szCs w:val="24"/>
            </w:rPr>
            <w:t>Table of Contents</w:t>
          </w:r>
        </w:p>
        <w:p w14:paraId="0603D114" w14:textId="388FA3F0" w:rsidR="00C8339C" w:rsidRDefault="00AB7D96">
          <w:pPr>
            <w:pStyle w:val="TOC1"/>
            <w:tabs>
              <w:tab w:val="right" w:leader="dot" w:pos="9016"/>
            </w:tabs>
            <w:rPr>
              <w:rFonts w:eastAsiaTheme="minorEastAsia"/>
              <w:noProof/>
              <w:sz w:val="22"/>
              <w:szCs w:val="22"/>
              <w:lang w:val="en-IN" w:eastAsia="en-IN"/>
            </w:rPr>
          </w:pPr>
          <w:r w:rsidRPr="00851E26">
            <w:rPr>
              <w:rFonts w:ascii="Arial" w:hAnsi="Arial" w:cs="Arial"/>
            </w:rPr>
            <w:fldChar w:fldCharType="begin"/>
          </w:r>
          <w:r w:rsidRPr="00851E26">
            <w:rPr>
              <w:rFonts w:ascii="Arial" w:hAnsi="Arial" w:cs="Arial"/>
            </w:rPr>
            <w:instrText xml:space="preserve"> TOC \o "1-3" \h \z \u </w:instrText>
          </w:r>
          <w:r w:rsidRPr="00851E26">
            <w:rPr>
              <w:rFonts w:ascii="Arial" w:hAnsi="Arial" w:cs="Arial"/>
            </w:rPr>
            <w:fldChar w:fldCharType="separate"/>
          </w:r>
          <w:hyperlink w:anchor="_Toc235309811" w:history="1">
            <w:r w:rsidR="00C8339C" w:rsidRPr="00280A06">
              <w:rPr>
                <w:rStyle w:val="Hyperlink"/>
                <w:noProof/>
              </w:rPr>
              <w:t>TASK 1: MARKETING ENVIRONMENT ANALYSIS</w:t>
            </w:r>
            <w:r w:rsidR="00C8339C">
              <w:rPr>
                <w:noProof/>
                <w:webHidden/>
              </w:rPr>
              <w:tab/>
            </w:r>
            <w:r w:rsidR="00C8339C">
              <w:rPr>
                <w:noProof/>
                <w:webHidden/>
              </w:rPr>
              <w:fldChar w:fldCharType="begin"/>
            </w:r>
            <w:r w:rsidR="00C8339C">
              <w:rPr>
                <w:noProof/>
                <w:webHidden/>
              </w:rPr>
              <w:instrText xml:space="preserve"> PAGEREF _Toc235309811 \h </w:instrText>
            </w:r>
            <w:r w:rsidR="00C8339C">
              <w:rPr>
                <w:noProof/>
                <w:webHidden/>
              </w:rPr>
            </w:r>
            <w:r w:rsidR="00C8339C">
              <w:rPr>
                <w:noProof/>
                <w:webHidden/>
              </w:rPr>
              <w:fldChar w:fldCharType="separate"/>
            </w:r>
            <w:r w:rsidR="00C8339C">
              <w:rPr>
                <w:noProof/>
                <w:webHidden/>
              </w:rPr>
              <w:t>3</w:t>
            </w:r>
            <w:r w:rsidR="00C8339C">
              <w:rPr>
                <w:noProof/>
                <w:webHidden/>
              </w:rPr>
              <w:fldChar w:fldCharType="end"/>
            </w:r>
          </w:hyperlink>
        </w:p>
        <w:p w14:paraId="5B78B16C" w14:textId="3F6F0A42" w:rsidR="00C8339C" w:rsidRDefault="00000000">
          <w:pPr>
            <w:pStyle w:val="TOC2"/>
            <w:tabs>
              <w:tab w:val="right" w:leader="dot" w:pos="9016"/>
            </w:tabs>
            <w:rPr>
              <w:rFonts w:eastAsiaTheme="minorEastAsia"/>
              <w:noProof/>
              <w:sz w:val="22"/>
              <w:szCs w:val="22"/>
              <w:lang w:val="en-IN" w:eastAsia="en-IN"/>
            </w:rPr>
          </w:pPr>
          <w:hyperlink w:anchor="_Toc235309812" w:history="1">
            <w:r w:rsidR="00C8339C" w:rsidRPr="00280A06">
              <w:rPr>
                <w:rStyle w:val="Hyperlink"/>
                <w:noProof/>
              </w:rPr>
              <w:t>1. Introduction</w:t>
            </w:r>
            <w:r w:rsidR="00C8339C">
              <w:rPr>
                <w:noProof/>
                <w:webHidden/>
              </w:rPr>
              <w:tab/>
            </w:r>
            <w:r w:rsidR="00C8339C">
              <w:rPr>
                <w:noProof/>
                <w:webHidden/>
              </w:rPr>
              <w:fldChar w:fldCharType="begin"/>
            </w:r>
            <w:r w:rsidR="00C8339C">
              <w:rPr>
                <w:noProof/>
                <w:webHidden/>
              </w:rPr>
              <w:instrText xml:space="preserve"> PAGEREF _Toc235309812 \h </w:instrText>
            </w:r>
            <w:r w:rsidR="00C8339C">
              <w:rPr>
                <w:noProof/>
                <w:webHidden/>
              </w:rPr>
            </w:r>
            <w:r w:rsidR="00C8339C">
              <w:rPr>
                <w:noProof/>
                <w:webHidden/>
              </w:rPr>
              <w:fldChar w:fldCharType="separate"/>
            </w:r>
            <w:r w:rsidR="00C8339C">
              <w:rPr>
                <w:noProof/>
                <w:webHidden/>
              </w:rPr>
              <w:t>3</w:t>
            </w:r>
            <w:r w:rsidR="00C8339C">
              <w:rPr>
                <w:noProof/>
                <w:webHidden/>
              </w:rPr>
              <w:fldChar w:fldCharType="end"/>
            </w:r>
          </w:hyperlink>
        </w:p>
        <w:p w14:paraId="403B6F2D" w14:textId="26A85754" w:rsidR="00C8339C" w:rsidRDefault="00000000">
          <w:pPr>
            <w:pStyle w:val="TOC2"/>
            <w:tabs>
              <w:tab w:val="right" w:leader="dot" w:pos="9016"/>
            </w:tabs>
            <w:rPr>
              <w:rFonts w:eastAsiaTheme="minorEastAsia"/>
              <w:noProof/>
              <w:sz w:val="22"/>
              <w:szCs w:val="22"/>
              <w:lang w:val="en-IN" w:eastAsia="en-IN"/>
            </w:rPr>
          </w:pPr>
          <w:hyperlink w:anchor="_Toc235309813" w:history="1">
            <w:r w:rsidR="00C8339C" w:rsidRPr="00280A06">
              <w:rPr>
                <w:rStyle w:val="Hyperlink"/>
                <w:noProof/>
              </w:rPr>
              <w:t>1.1 Company Overview</w:t>
            </w:r>
            <w:r w:rsidR="00C8339C">
              <w:rPr>
                <w:noProof/>
                <w:webHidden/>
              </w:rPr>
              <w:tab/>
            </w:r>
            <w:r w:rsidR="00C8339C">
              <w:rPr>
                <w:noProof/>
                <w:webHidden/>
              </w:rPr>
              <w:fldChar w:fldCharType="begin"/>
            </w:r>
            <w:r w:rsidR="00C8339C">
              <w:rPr>
                <w:noProof/>
                <w:webHidden/>
              </w:rPr>
              <w:instrText xml:space="preserve"> PAGEREF _Toc235309813 \h </w:instrText>
            </w:r>
            <w:r w:rsidR="00C8339C">
              <w:rPr>
                <w:noProof/>
                <w:webHidden/>
              </w:rPr>
            </w:r>
            <w:r w:rsidR="00C8339C">
              <w:rPr>
                <w:noProof/>
                <w:webHidden/>
              </w:rPr>
              <w:fldChar w:fldCharType="separate"/>
            </w:r>
            <w:r w:rsidR="00C8339C">
              <w:rPr>
                <w:noProof/>
                <w:webHidden/>
              </w:rPr>
              <w:t>3</w:t>
            </w:r>
            <w:r w:rsidR="00C8339C">
              <w:rPr>
                <w:noProof/>
                <w:webHidden/>
              </w:rPr>
              <w:fldChar w:fldCharType="end"/>
            </w:r>
          </w:hyperlink>
        </w:p>
        <w:p w14:paraId="4324DD40" w14:textId="60B19D10" w:rsidR="00C8339C" w:rsidRDefault="00000000">
          <w:pPr>
            <w:pStyle w:val="TOC2"/>
            <w:tabs>
              <w:tab w:val="right" w:leader="dot" w:pos="9016"/>
            </w:tabs>
            <w:rPr>
              <w:rFonts w:eastAsiaTheme="minorEastAsia"/>
              <w:noProof/>
              <w:sz w:val="22"/>
              <w:szCs w:val="22"/>
              <w:lang w:val="en-IN" w:eastAsia="en-IN"/>
            </w:rPr>
          </w:pPr>
          <w:hyperlink w:anchor="_Toc235309814" w:history="1">
            <w:r w:rsidR="00C8339C" w:rsidRPr="00280A06">
              <w:rPr>
                <w:rStyle w:val="Hyperlink"/>
                <w:noProof/>
              </w:rPr>
              <w:t>1.2 External Actor 1: The Natural Environment</w:t>
            </w:r>
            <w:r w:rsidR="00C8339C">
              <w:rPr>
                <w:noProof/>
                <w:webHidden/>
              </w:rPr>
              <w:tab/>
            </w:r>
            <w:r w:rsidR="00C8339C">
              <w:rPr>
                <w:noProof/>
                <w:webHidden/>
              </w:rPr>
              <w:fldChar w:fldCharType="begin"/>
            </w:r>
            <w:r w:rsidR="00C8339C">
              <w:rPr>
                <w:noProof/>
                <w:webHidden/>
              </w:rPr>
              <w:instrText xml:space="preserve"> PAGEREF _Toc235309814 \h </w:instrText>
            </w:r>
            <w:r w:rsidR="00C8339C">
              <w:rPr>
                <w:noProof/>
                <w:webHidden/>
              </w:rPr>
            </w:r>
            <w:r w:rsidR="00C8339C">
              <w:rPr>
                <w:noProof/>
                <w:webHidden/>
              </w:rPr>
              <w:fldChar w:fldCharType="separate"/>
            </w:r>
            <w:r w:rsidR="00C8339C">
              <w:rPr>
                <w:noProof/>
                <w:webHidden/>
              </w:rPr>
              <w:t>3</w:t>
            </w:r>
            <w:r w:rsidR="00C8339C">
              <w:rPr>
                <w:noProof/>
                <w:webHidden/>
              </w:rPr>
              <w:fldChar w:fldCharType="end"/>
            </w:r>
          </w:hyperlink>
        </w:p>
        <w:p w14:paraId="7848BA29" w14:textId="084FEFB7" w:rsidR="00C8339C" w:rsidRDefault="00000000">
          <w:pPr>
            <w:pStyle w:val="TOC2"/>
            <w:tabs>
              <w:tab w:val="right" w:leader="dot" w:pos="9016"/>
            </w:tabs>
            <w:rPr>
              <w:rFonts w:eastAsiaTheme="minorEastAsia"/>
              <w:noProof/>
              <w:sz w:val="22"/>
              <w:szCs w:val="22"/>
              <w:lang w:val="en-IN" w:eastAsia="en-IN"/>
            </w:rPr>
          </w:pPr>
          <w:hyperlink w:anchor="_Toc235309815" w:history="1">
            <w:r w:rsidR="00C8339C" w:rsidRPr="00280A06">
              <w:rPr>
                <w:rStyle w:val="Hyperlink"/>
                <w:noProof/>
              </w:rPr>
              <w:t>1.3 External Actor 2: The Political/Legal Environment</w:t>
            </w:r>
            <w:r w:rsidR="00C8339C">
              <w:rPr>
                <w:noProof/>
                <w:webHidden/>
              </w:rPr>
              <w:tab/>
            </w:r>
            <w:r w:rsidR="00C8339C">
              <w:rPr>
                <w:noProof/>
                <w:webHidden/>
              </w:rPr>
              <w:fldChar w:fldCharType="begin"/>
            </w:r>
            <w:r w:rsidR="00C8339C">
              <w:rPr>
                <w:noProof/>
                <w:webHidden/>
              </w:rPr>
              <w:instrText xml:space="preserve"> PAGEREF _Toc235309815 \h </w:instrText>
            </w:r>
            <w:r w:rsidR="00C8339C">
              <w:rPr>
                <w:noProof/>
                <w:webHidden/>
              </w:rPr>
            </w:r>
            <w:r w:rsidR="00C8339C">
              <w:rPr>
                <w:noProof/>
                <w:webHidden/>
              </w:rPr>
              <w:fldChar w:fldCharType="separate"/>
            </w:r>
            <w:r w:rsidR="00C8339C">
              <w:rPr>
                <w:noProof/>
                <w:webHidden/>
              </w:rPr>
              <w:t>5</w:t>
            </w:r>
            <w:r w:rsidR="00C8339C">
              <w:rPr>
                <w:noProof/>
                <w:webHidden/>
              </w:rPr>
              <w:fldChar w:fldCharType="end"/>
            </w:r>
          </w:hyperlink>
        </w:p>
        <w:p w14:paraId="191AB5E7" w14:textId="09D9FAB6" w:rsidR="00C8339C" w:rsidRDefault="00000000">
          <w:pPr>
            <w:pStyle w:val="TOC1"/>
            <w:tabs>
              <w:tab w:val="right" w:leader="dot" w:pos="9016"/>
            </w:tabs>
            <w:rPr>
              <w:rFonts w:eastAsiaTheme="minorEastAsia"/>
              <w:noProof/>
              <w:sz w:val="22"/>
              <w:szCs w:val="22"/>
              <w:lang w:val="en-IN" w:eastAsia="en-IN"/>
            </w:rPr>
          </w:pPr>
          <w:hyperlink w:anchor="_Toc235309816" w:history="1">
            <w:r w:rsidR="00C8339C" w:rsidRPr="00280A06">
              <w:rPr>
                <w:rStyle w:val="Hyperlink"/>
                <w:noProof/>
              </w:rPr>
              <w:t>TASK 2: STRATEGIC GROWTH AND COMPETITIVE POSITIONING</w:t>
            </w:r>
            <w:r w:rsidR="00C8339C">
              <w:rPr>
                <w:noProof/>
                <w:webHidden/>
              </w:rPr>
              <w:tab/>
            </w:r>
            <w:r w:rsidR="00C8339C">
              <w:rPr>
                <w:noProof/>
                <w:webHidden/>
              </w:rPr>
              <w:fldChar w:fldCharType="begin"/>
            </w:r>
            <w:r w:rsidR="00C8339C">
              <w:rPr>
                <w:noProof/>
                <w:webHidden/>
              </w:rPr>
              <w:instrText xml:space="preserve"> PAGEREF _Toc235309816 \h </w:instrText>
            </w:r>
            <w:r w:rsidR="00C8339C">
              <w:rPr>
                <w:noProof/>
                <w:webHidden/>
              </w:rPr>
            </w:r>
            <w:r w:rsidR="00C8339C">
              <w:rPr>
                <w:noProof/>
                <w:webHidden/>
              </w:rPr>
              <w:fldChar w:fldCharType="separate"/>
            </w:r>
            <w:r w:rsidR="00C8339C">
              <w:rPr>
                <w:noProof/>
                <w:webHidden/>
              </w:rPr>
              <w:t>7</w:t>
            </w:r>
            <w:r w:rsidR="00C8339C">
              <w:rPr>
                <w:noProof/>
                <w:webHidden/>
              </w:rPr>
              <w:fldChar w:fldCharType="end"/>
            </w:r>
          </w:hyperlink>
        </w:p>
        <w:p w14:paraId="30C10DE6" w14:textId="49157683" w:rsidR="00C8339C" w:rsidRDefault="00000000">
          <w:pPr>
            <w:pStyle w:val="TOC2"/>
            <w:tabs>
              <w:tab w:val="right" w:leader="dot" w:pos="9016"/>
            </w:tabs>
            <w:rPr>
              <w:rFonts w:eastAsiaTheme="minorEastAsia"/>
              <w:noProof/>
              <w:sz w:val="22"/>
              <w:szCs w:val="22"/>
              <w:lang w:val="en-IN" w:eastAsia="en-IN"/>
            </w:rPr>
          </w:pPr>
          <w:hyperlink w:anchor="_Toc235309817" w:history="1">
            <w:r w:rsidR="00C8339C" w:rsidRPr="00280A06">
              <w:rPr>
                <w:rStyle w:val="Hyperlink"/>
                <w:noProof/>
              </w:rPr>
              <w:t>2. Strategic Growth and Competitive Positioning</w:t>
            </w:r>
            <w:r w:rsidR="00C8339C">
              <w:rPr>
                <w:noProof/>
                <w:webHidden/>
              </w:rPr>
              <w:tab/>
            </w:r>
            <w:r w:rsidR="00C8339C">
              <w:rPr>
                <w:noProof/>
                <w:webHidden/>
              </w:rPr>
              <w:fldChar w:fldCharType="begin"/>
            </w:r>
            <w:r w:rsidR="00C8339C">
              <w:rPr>
                <w:noProof/>
                <w:webHidden/>
              </w:rPr>
              <w:instrText xml:space="preserve"> PAGEREF _Toc235309817 \h </w:instrText>
            </w:r>
            <w:r w:rsidR="00C8339C">
              <w:rPr>
                <w:noProof/>
                <w:webHidden/>
              </w:rPr>
            </w:r>
            <w:r w:rsidR="00C8339C">
              <w:rPr>
                <w:noProof/>
                <w:webHidden/>
              </w:rPr>
              <w:fldChar w:fldCharType="separate"/>
            </w:r>
            <w:r w:rsidR="00C8339C">
              <w:rPr>
                <w:noProof/>
                <w:webHidden/>
              </w:rPr>
              <w:t>7</w:t>
            </w:r>
            <w:r w:rsidR="00C8339C">
              <w:rPr>
                <w:noProof/>
                <w:webHidden/>
              </w:rPr>
              <w:fldChar w:fldCharType="end"/>
            </w:r>
          </w:hyperlink>
        </w:p>
        <w:p w14:paraId="793F061F" w14:textId="036ED9AE" w:rsidR="00C8339C" w:rsidRDefault="00000000">
          <w:pPr>
            <w:pStyle w:val="TOC2"/>
            <w:tabs>
              <w:tab w:val="right" w:leader="dot" w:pos="9016"/>
            </w:tabs>
            <w:rPr>
              <w:rFonts w:eastAsiaTheme="minorEastAsia"/>
              <w:noProof/>
              <w:sz w:val="22"/>
              <w:szCs w:val="22"/>
              <w:lang w:val="en-IN" w:eastAsia="en-IN"/>
            </w:rPr>
          </w:pPr>
          <w:hyperlink w:anchor="_Toc235309818" w:history="1">
            <w:r w:rsidR="00C8339C" w:rsidRPr="00280A06">
              <w:rPr>
                <w:rStyle w:val="Hyperlink"/>
                <w:noProof/>
              </w:rPr>
              <w:t>2.1 Strategic Growth Recommendation: The Ansoff Matrix</w:t>
            </w:r>
            <w:r w:rsidR="00C8339C">
              <w:rPr>
                <w:noProof/>
                <w:webHidden/>
              </w:rPr>
              <w:tab/>
            </w:r>
            <w:r w:rsidR="00C8339C">
              <w:rPr>
                <w:noProof/>
                <w:webHidden/>
              </w:rPr>
              <w:fldChar w:fldCharType="begin"/>
            </w:r>
            <w:r w:rsidR="00C8339C">
              <w:rPr>
                <w:noProof/>
                <w:webHidden/>
              </w:rPr>
              <w:instrText xml:space="preserve"> PAGEREF _Toc235309818 \h </w:instrText>
            </w:r>
            <w:r w:rsidR="00C8339C">
              <w:rPr>
                <w:noProof/>
                <w:webHidden/>
              </w:rPr>
            </w:r>
            <w:r w:rsidR="00C8339C">
              <w:rPr>
                <w:noProof/>
                <w:webHidden/>
              </w:rPr>
              <w:fldChar w:fldCharType="separate"/>
            </w:r>
            <w:r w:rsidR="00C8339C">
              <w:rPr>
                <w:noProof/>
                <w:webHidden/>
              </w:rPr>
              <w:t>8</w:t>
            </w:r>
            <w:r w:rsidR="00C8339C">
              <w:rPr>
                <w:noProof/>
                <w:webHidden/>
              </w:rPr>
              <w:fldChar w:fldCharType="end"/>
            </w:r>
          </w:hyperlink>
        </w:p>
        <w:p w14:paraId="01DABDBD" w14:textId="4DA5C234" w:rsidR="00C8339C" w:rsidRDefault="00000000">
          <w:pPr>
            <w:pStyle w:val="TOC2"/>
            <w:tabs>
              <w:tab w:val="right" w:leader="dot" w:pos="9016"/>
            </w:tabs>
            <w:rPr>
              <w:rFonts w:eastAsiaTheme="minorEastAsia"/>
              <w:noProof/>
              <w:sz w:val="22"/>
              <w:szCs w:val="22"/>
              <w:lang w:val="en-IN" w:eastAsia="en-IN"/>
            </w:rPr>
          </w:pPr>
          <w:hyperlink w:anchor="_Toc235309819" w:history="1">
            <w:r w:rsidR="00C8339C" w:rsidRPr="00280A06">
              <w:rPr>
                <w:rStyle w:val="Hyperlink"/>
                <w:noProof/>
              </w:rPr>
              <w:t>2.2 Competitive Advantage: Porter's Generic Strategies</w:t>
            </w:r>
            <w:r w:rsidR="00C8339C">
              <w:rPr>
                <w:noProof/>
                <w:webHidden/>
              </w:rPr>
              <w:tab/>
            </w:r>
            <w:r w:rsidR="00C8339C">
              <w:rPr>
                <w:noProof/>
                <w:webHidden/>
              </w:rPr>
              <w:fldChar w:fldCharType="begin"/>
            </w:r>
            <w:r w:rsidR="00C8339C">
              <w:rPr>
                <w:noProof/>
                <w:webHidden/>
              </w:rPr>
              <w:instrText xml:space="preserve"> PAGEREF _Toc235309819 \h </w:instrText>
            </w:r>
            <w:r w:rsidR="00C8339C">
              <w:rPr>
                <w:noProof/>
                <w:webHidden/>
              </w:rPr>
            </w:r>
            <w:r w:rsidR="00C8339C">
              <w:rPr>
                <w:noProof/>
                <w:webHidden/>
              </w:rPr>
              <w:fldChar w:fldCharType="separate"/>
            </w:r>
            <w:r w:rsidR="00C8339C">
              <w:rPr>
                <w:noProof/>
                <w:webHidden/>
              </w:rPr>
              <w:t>10</w:t>
            </w:r>
            <w:r w:rsidR="00C8339C">
              <w:rPr>
                <w:noProof/>
                <w:webHidden/>
              </w:rPr>
              <w:fldChar w:fldCharType="end"/>
            </w:r>
          </w:hyperlink>
        </w:p>
        <w:p w14:paraId="3FADB37B" w14:textId="27B8C85A" w:rsidR="00C8339C" w:rsidRDefault="00000000">
          <w:pPr>
            <w:pStyle w:val="TOC1"/>
            <w:tabs>
              <w:tab w:val="right" w:leader="dot" w:pos="9016"/>
            </w:tabs>
            <w:rPr>
              <w:rFonts w:eastAsiaTheme="minorEastAsia"/>
              <w:noProof/>
              <w:sz w:val="22"/>
              <w:szCs w:val="22"/>
              <w:lang w:val="en-IN" w:eastAsia="en-IN"/>
            </w:rPr>
          </w:pPr>
          <w:hyperlink w:anchor="_Toc235309820" w:history="1">
            <w:r w:rsidR="00C8339C" w:rsidRPr="00280A06">
              <w:rPr>
                <w:rStyle w:val="Hyperlink"/>
                <w:noProof/>
              </w:rPr>
              <w:t>TASK 3. Critical Reflection on AI Usage</w:t>
            </w:r>
            <w:r w:rsidR="00C8339C">
              <w:rPr>
                <w:noProof/>
                <w:webHidden/>
              </w:rPr>
              <w:tab/>
            </w:r>
            <w:r w:rsidR="00C8339C">
              <w:rPr>
                <w:noProof/>
                <w:webHidden/>
              </w:rPr>
              <w:fldChar w:fldCharType="begin"/>
            </w:r>
            <w:r w:rsidR="00C8339C">
              <w:rPr>
                <w:noProof/>
                <w:webHidden/>
              </w:rPr>
              <w:instrText xml:space="preserve"> PAGEREF _Toc235309820 \h </w:instrText>
            </w:r>
            <w:r w:rsidR="00C8339C">
              <w:rPr>
                <w:noProof/>
                <w:webHidden/>
              </w:rPr>
            </w:r>
            <w:r w:rsidR="00C8339C">
              <w:rPr>
                <w:noProof/>
                <w:webHidden/>
              </w:rPr>
              <w:fldChar w:fldCharType="separate"/>
            </w:r>
            <w:r w:rsidR="00C8339C">
              <w:rPr>
                <w:noProof/>
                <w:webHidden/>
              </w:rPr>
              <w:t>12</w:t>
            </w:r>
            <w:r w:rsidR="00C8339C">
              <w:rPr>
                <w:noProof/>
                <w:webHidden/>
              </w:rPr>
              <w:fldChar w:fldCharType="end"/>
            </w:r>
          </w:hyperlink>
        </w:p>
        <w:p w14:paraId="05CB5BE4" w14:textId="4B6570C0" w:rsidR="00C8339C" w:rsidRDefault="00000000">
          <w:pPr>
            <w:pStyle w:val="TOC2"/>
            <w:tabs>
              <w:tab w:val="right" w:leader="dot" w:pos="9016"/>
            </w:tabs>
            <w:rPr>
              <w:rFonts w:eastAsiaTheme="minorEastAsia"/>
              <w:noProof/>
              <w:sz w:val="22"/>
              <w:szCs w:val="22"/>
              <w:lang w:val="en-IN" w:eastAsia="en-IN"/>
            </w:rPr>
          </w:pPr>
          <w:hyperlink w:anchor="_Toc235309821" w:history="1">
            <w:r w:rsidR="00C8339C" w:rsidRPr="00280A06">
              <w:rPr>
                <w:rStyle w:val="Hyperlink"/>
                <w:noProof/>
              </w:rPr>
              <w:t>3.1 Tool Disclosure</w:t>
            </w:r>
            <w:r w:rsidR="00C8339C">
              <w:rPr>
                <w:noProof/>
                <w:webHidden/>
              </w:rPr>
              <w:tab/>
            </w:r>
            <w:r w:rsidR="00C8339C">
              <w:rPr>
                <w:noProof/>
                <w:webHidden/>
              </w:rPr>
              <w:fldChar w:fldCharType="begin"/>
            </w:r>
            <w:r w:rsidR="00C8339C">
              <w:rPr>
                <w:noProof/>
                <w:webHidden/>
              </w:rPr>
              <w:instrText xml:space="preserve"> PAGEREF _Toc235309821 \h </w:instrText>
            </w:r>
            <w:r w:rsidR="00C8339C">
              <w:rPr>
                <w:noProof/>
                <w:webHidden/>
              </w:rPr>
            </w:r>
            <w:r w:rsidR="00C8339C">
              <w:rPr>
                <w:noProof/>
                <w:webHidden/>
              </w:rPr>
              <w:fldChar w:fldCharType="separate"/>
            </w:r>
            <w:r w:rsidR="00C8339C">
              <w:rPr>
                <w:noProof/>
                <w:webHidden/>
              </w:rPr>
              <w:t>12</w:t>
            </w:r>
            <w:r w:rsidR="00C8339C">
              <w:rPr>
                <w:noProof/>
                <w:webHidden/>
              </w:rPr>
              <w:fldChar w:fldCharType="end"/>
            </w:r>
          </w:hyperlink>
        </w:p>
        <w:p w14:paraId="6590FB04" w14:textId="500C5A62" w:rsidR="00C8339C" w:rsidRDefault="00000000">
          <w:pPr>
            <w:pStyle w:val="TOC2"/>
            <w:tabs>
              <w:tab w:val="right" w:leader="dot" w:pos="9016"/>
            </w:tabs>
            <w:rPr>
              <w:rFonts w:eastAsiaTheme="minorEastAsia"/>
              <w:noProof/>
              <w:sz w:val="22"/>
              <w:szCs w:val="22"/>
              <w:lang w:val="en-IN" w:eastAsia="en-IN"/>
            </w:rPr>
          </w:pPr>
          <w:hyperlink w:anchor="_Toc235309822" w:history="1">
            <w:r w:rsidR="00C8339C" w:rsidRPr="00280A06">
              <w:rPr>
                <w:rStyle w:val="Hyperlink"/>
                <w:noProof/>
              </w:rPr>
              <w:t>3.2 Critical Evaluation of AI Output</w:t>
            </w:r>
            <w:r w:rsidR="00C8339C">
              <w:rPr>
                <w:noProof/>
                <w:webHidden/>
              </w:rPr>
              <w:tab/>
            </w:r>
            <w:r w:rsidR="00C8339C">
              <w:rPr>
                <w:noProof/>
                <w:webHidden/>
              </w:rPr>
              <w:fldChar w:fldCharType="begin"/>
            </w:r>
            <w:r w:rsidR="00C8339C">
              <w:rPr>
                <w:noProof/>
                <w:webHidden/>
              </w:rPr>
              <w:instrText xml:space="preserve"> PAGEREF _Toc235309822 \h </w:instrText>
            </w:r>
            <w:r w:rsidR="00C8339C">
              <w:rPr>
                <w:noProof/>
                <w:webHidden/>
              </w:rPr>
            </w:r>
            <w:r w:rsidR="00C8339C">
              <w:rPr>
                <w:noProof/>
                <w:webHidden/>
              </w:rPr>
              <w:fldChar w:fldCharType="separate"/>
            </w:r>
            <w:r w:rsidR="00C8339C">
              <w:rPr>
                <w:noProof/>
                <w:webHidden/>
              </w:rPr>
              <w:t>12</w:t>
            </w:r>
            <w:r w:rsidR="00C8339C">
              <w:rPr>
                <w:noProof/>
                <w:webHidden/>
              </w:rPr>
              <w:fldChar w:fldCharType="end"/>
            </w:r>
          </w:hyperlink>
        </w:p>
        <w:p w14:paraId="05FAA358" w14:textId="38D87953" w:rsidR="00C8339C" w:rsidRDefault="00000000">
          <w:pPr>
            <w:pStyle w:val="TOC2"/>
            <w:tabs>
              <w:tab w:val="right" w:leader="dot" w:pos="9016"/>
            </w:tabs>
            <w:rPr>
              <w:rFonts w:eastAsiaTheme="minorEastAsia"/>
              <w:noProof/>
              <w:sz w:val="22"/>
              <w:szCs w:val="22"/>
              <w:lang w:val="en-IN" w:eastAsia="en-IN"/>
            </w:rPr>
          </w:pPr>
          <w:hyperlink w:anchor="_Toc235309823" w:history="1">
            <w:r w:rsidR="00C8339C" w:rsidRPr="00280A06">
              <w:rPr>
                <w:rStyle w:val="Hyperlink"/>
                <w:noProof/>
              </w:rPr>
              <w:t>3.3 Contribution Analysis</w:t>
            </w:r>
            <w:r w:rsidR="00C8339C">
              <w:rPr>
                <w:noProof/>
                <w:webHidden/>
              </w:rPr>
              <w:tab/>
            </w:r>
            <w:r w:rsidR="00C8339C">
              <w:rPr>
                <w:noProof/>
                <w:webHidden/>
              </w:rPr>
              <w:fldChar w:fldCharType="begin"/>
            </w:r>
            <w:r w:rsidR="00C8339C">
              <w:rPr>
                <w:noProof/>
                <w:webHidden/>
              </w:rPr>
              <w:instrText xml:space="preserve"> PAGEREF _Toc235309823 \h </w:instrText>
            </w:r>
            <w:r w:rsidR="00C8339C">
              <w:rPr>
                <w:noProof/>
                <w:webHidden/>
              </w:rPr>
            </w:r>
            <w:r w:rsidR="00C8339C">
              <w:rPr>
                <w:noProof/>
                <w:webHidden/>
              </w:rPr>
              <w:fldChar w:fldCharType="separate"/>
            </w:r>
            <w:r w:rsidR="00C8339C">
              <w:rPr>
                <w:noProof/>
                <w:webHidden/>
              </w:rPr>
              <w:t>13</w:t>
            </w:r>
            <w:r w:rsidR="00C8339C">
              <w:rPr>
                <w:noProof/>
                <w:webHidden/>
              </w:rPr>
              <w:fldChar w:fldCharType="end"/>
            </w:r>
          </w:hyperlink>
        </w:p>
        <w:p w14:paraId="7B59271B" w14:textId="2F99FDD9" w:rsidR="00C8339C" w:rsidRDefault="00000000">
          <w:pPr>
            <w:pStyle w:val="TOC2"/>
            <w:tabs>
              <w:tab w:val="right" w:leader="dot" w:pos="9016"/>
            </w:tabs>
            <w:rPr>
              <w:rFonts w:eastAsiaTheme="minorEastAsia"/>
              <w:noProof/>
              <w:sz w:val="22"/>
              <w:szCs w:val="22"/>
              <w:lang w:val="en-IN" w:eastAsia="en-IN"/>
            </w:rPr>
          </w:pPr>
          <w:hyperlink w:anchor="_Toc235309824" w:history="1">
            <w:r w:rsidR="00C8339C" w:rsidRPr="00280A06">
              <w:rPr>
                <w:rStyle w:val="Hyperlink"/>
                <w:noProof/>
              </w:rPr>
              <w:t>3.4 Ethical and Professional Reflection</w:t>
            </w:r>
            <w:r w:rsidR="00C8339C">
              <w:rPr>
                <w:noProof/>
                <w:webHidden/>
              </w:rPr>
              <w:tab/>
            </w:r>
            <w:r w:rsidR="00C8339C">
              <w:rPr>
                <w:noProof/>
                <w:webHidden/>
              </w:rPr>
              <w:fldChar w:fldCharType="begin"/>
            </w:r>
            <w:r w:rsidR="00C8339C">
              <w:rPr>
                <w:noProof/>
                <w:webHidden/>
              </w:rPr>
              <w:instrText xml:space="preserve"> PAGEREF _Toc235309824 \h </w:instrText>
            </w:r>
            <w:r w:rsidR="00C8339C">
              <w:rPr>
                <w:noProof/>
                <w:webHidden/>
              </w:rPr>
            </w:r>
            <w:r w:rsidR="00C8339C">
              <w:rPr>
                <w:noProof/>
                <w:webHidden/>
              </w:rPr>
              <w:fldChar w:fldCharType="separate"/>
            </w:r>
            <w:r w:rsidR="00C8339C">
              <w:rPr>
                <w:noProof/>
                <w:webHidden/>
              </w:rPr>
              <w:t>13</w:t>
            </w:r>
            <w:r w:rsidR="00C8339C">
              <w:rPr>
                <w:noProof/>
                <w:webHidden/>
              </w:rPr>
              <w:fldChar w:fldCharType="end"/>
            </w:r>
          </w:hyperlink>
        </w:p>
        <w:p w14:paraId="263E233B" w14:textId="17A3C59D" w:rsidR="00C8339C" w:rsidRDefault="00000000">
          <w:pPr>
            <w:pStyle w:val="TOC1"/>
            <w:tabs>
              <w:tab w:val="right" w:leader="dot" w:pos="9016"/>
            </w:tabs>
            <w:rPr>
              <w:rFonts w:eastAsiaTheme="minorEastAsia"/>
              <w:noProof/>
              <w:sz w:val="22"/>
              <w:szCs w:val="22"/>
              <w:lang w:val="en-IN" w:eastAsia="en-IN"/>
            </w:rPr>
          </w:pPr>
          <w:hyperlink w:anchor="_Toc235309825" w:history="1">
            <w:r w:rsidR="00C8339C" w:rsidRPr="00280A06">
              <w:rPr>
                <w:rStyle w:val="Hyperlink"/>
                <w:noProof/>
              </w:rPr>
              <w:t>Reference List</w:t>
            </w:r>
            <w:r w:rsidR="00C8339C">
              <w:rPr>
                <w:noProof/>
                <w:webHidden/>
              </w:rPr>
              <w:tab/>
            </w:r>
            <w:r w:rsidR="00C8339C">
              <w:rPr>
                <w:noProof/>
                <w:webHidden/>
              </w:rPr>
              <w:fldChar w:fldCharType="begin"/>
            </w:r>
            <w:r w:rsidR="00C8339C">
              <w:rPr>
                <w:noProof/>
                <w:webHidden/>
              </w:rPr>
              <w:instrText xml:space="preserve"> PAGEREF _Toc235309825 \h </w:instrText>
            </w:r>
            <w:r w:rsidR="00C8339C">
              <w:rPr>
                <w:noProof/>
                <w:webHidden/>
              </w:rPr>
            </w:r>
            <w:r w:rsidR="00C8339C">
              <w:rPr>
                <w:noProof/>
                <w:webHidden/>
              </w:rPr>
              <w:fldChar w:fldCharType="separate"/>
            </w:r>
            <w:r w:rsidR="00C8339C">
              <w:rPr>
                <w:noProof/>
                <w:webHidden/>
              </w:rPr>
              <w:t>15</w:t>
            </w:r>
            <w:r w:rsidR="00C8339C">
              <w:rPr>
                <w:noProof/>
                <w:webHidden/>
              </w:rPr>
              <w:fldChar w:fldCharType="end"/>
            </w:r>
          </w:hyperlink>
        </w:p>
        <w:p w14:paraId="4CB76703" w14:textId="38DA61FB" w:rsidR="00AB7D96" w:rsidRPr="00851E26" w:rsidRDefault="00AB7D96" w:rsidP="00851E26">
          <w:pPr>
            <w:spacing w:line="360" w:lineRule="auto"/>
            <w:jc w:val="both"/>
            <w:rPr>
              <w:rFonts w:ascii="Arial" w:hAnsi="Arial" w:cs="Arial"/>
            </w:rPr>
          </w:pPr>
          <w:r w:rsidRPr="00851E26">
            <w:rPr>
              <w:rFonts w:ascii="Arial" w:hAnsi="Arial" w:cs="Arial"/>
              <w:b/>
              <w:bCs/>
              <w:noProof/>
            </w:rPr>
            <w:fldChar w:fldCharType="end"/>
          </w:r>
        </w:p>
      </w:sdtContent>
    </w:sdt>
    <w:p w14:paraId="2BF5CC25" w14:textId="77777777" w:rsidR="00AB7D96" w:rsidRPr="00851E26" w:rsidRDefault="00AB7D96" w:rsidP="00851E26">
      <w:pPr>
        <w:spacing w:line="360" w:lineRule="auto"/>
        <w:jc w:val="both"/>
        <w:rPr>
          <w:rFonts w:ascii="Arial" w:eastAsiaTheme="majorEastAsia" w:hAnsi="Arial" w:cs="Arial"/>
          <w:color w:val="0F4761" w:themeColor="accent1" w:themeShade="BF"/>
        </w:rPr>
      </w:pPr>
      <w:r w:rsidRPr="00851E26">
        <w:rPr>
          <w:rFonts w:ascii="Arial" w:hAnsi="Arial" w:cs="Arial"/>
        </w:rPr>
        <w:br w:type="page"/>
      </w:r>
    </w:p>
    <w:p w14:paraId="198F3960" w14:textId="16ADFDFF" w:rsidR="00ED51F6" w:rsidRPr="00851E26" w:rsidRDefault="00ED51F6" w:rsidP="00851E26">
      <w:pPr>
        <w:pStyle w:val="Heading1"/>
        <w:spacing w:line="360" w:lineRule="auto"/>
        <w:jc w:val="both"/>
        <w:rPr>
          <w:sz w:val="24"/>
          <w:szCs w:val="24"/>
        </w:rPr>
      </w:pPr>
      <w:bookmarkStart w:id="0" w:name="_Toc235309811"/>
      <w:r w:rsidRPr="00851E26">
        <w:rPr>
          <w:sz w:val="24"/>
          <w:szCs w:val="24"/>
        </w:rPr>
        <w:lastRenderedPageBreak/>
        <w:t>TASK 1: MARKETING ENVIRONMENT ANALYSIS</w:t>
      </w:r>
      <w:bookmarkEnd w:id="0"/>
    </w:p>
    <w:p w14:paraId="32FA00FA" w14:textId="77777777" w:rsidR="00ED51F6" w:rsidRPr="00851E26" w:rsidRDefault="00ED51F6" w:rsidP="00851E26">
      <w:pPr>
        <w:pStyle w:val="Heading2"/>
        <w:spacing w:line="360" w:lineRule="auto"/>
        <w:jc w:val="both"/>
        <w:rPr>
          <w:sz w:val="24"/>
          <w:szCs w:val="24"/>
        </w:rPr>
      </w:pPr>
      <w:bookmarkStart w:id="1" w:name="_Toc235309812"/>
      <w:r w:rsidRPr="00851E26">
        <w:rPr>
          <w:sz w:val="24"/>
          <w:szCs w:val="24"/>
        </w:rPr>
        <w:t>1. Introduction</w:t>
      </w:r>
      <w:bookmarkEnd w:id="1"/>
    </w:p>
    <w:p w14:paraId="3C04438C" w14:textId="65B25655" w:rsidR="00ED51F6" w:rsidRPr="00851E26" w:rsidRDefault="009B532F" w:rsidP="00851E26">
      <w:pPr>
        <w:spacing w:line="360" w:lineRule="auto"/>
        <w:jc w:val="both"/>
        <w:rPr>
          <w:rFonts w:ascii="Arial" w:hAnsi="Arial" w:cs="Arial"/>
        </w:rPr>
      </w:pPr>
      <w:r w:rsidRPr="00851E26">
        <w:rPr>
          <w:rFonts w:ascii="Arial" w:hAnsi="Arial" w:cs="Arial"/>
        </w:rPr>
        <w:t xml:space="preserve">BHP Group is a diversified resources firm among the largest in the world that deals with iron ore, copper, metallurgical coal, and nickel, with a 2024 revenue of US$55.7 billion (BHP, 2024a). With regulatory frameworks becoming more stringent and the demands of </w:t>
      </w:r>
      <w:r w:rsidR="00EC2FDE" w:rsidRPr="00851E26">
        <w:rPr>
          <w:rFonts w:ascii="Arial" w:hAnsi="Arial" w:cs="Arial"/>
        </w:rPr>
        <w:t>stakeholders</w:t>
      </w:r>
      <w:r w:rsidRPr="00851E26">
        <w:rPr>
          <w:rFonts w:ascii="Arial" w:hAnsi="Arial" w:cs="Arial"/>
        </w:rPr>
        <w:t xml:space="preserve"> becoming increasingly plain to the world, the marketing environment of BHP is being </w:t>
      </w:r>
      <w:r w:rsidR="00EC2FDE" w:rsidRPr="00851E26">
        <w:rPr>
          <w:rFonts w:ascii="Arial" w:hAnsi="Arial" w:cs="Arial"/>
        </w:rPr>
        <w:t>fundamentally redefined</w:t>
      </w:r>
      <w:r w:rsidRPr="00851E26">
        <w:rPr>
          <w:rFonts w:ascii="Arial" w:hAnsi="Arial" w:cs="Arial"/>
        </w:rPr>
        <w:t xml:space="preserve"> by forces that require the company to undergo a shift to lower-carbon operations. This report critically examines two macroenvironmental actors (</w:t>
      </w:r>
      <w:r w:rsidR="00EC2FDE" w:rsidRPr="00851E26">
        <w:rPr>
          <w:rFonts w:ascii="Arial" w:hAnsi="Arial" w:cs="Arial"/>
        </w:rPr>
        <w:t xml:space="preserve">the </w:t>
      </w:r>
      <w:r w:rsidRPr="00851E26">
        <w:rPr>
          <w:rFonts w:ascii="Arial" w:hAnsi="Arial" w:cs="Arial"/>
        </w:rPr>
        <w:t xml:space="preserve">Natural Environment and the Political / Legal Environment) that will facilitate this transition, and then prescribes a strategic growth strategy, and reflects on how artificial intelligence will contribute to this change. </w:t>
      </w:r>
    </w:p>
    <w:p w14:paraId="0AA02BB4" w14:textId="47957C8D" w:rsidR="00ED51F6" w:rsidRPr="00851E26" w:rsidRDefault="00ED51F6" w:rsidP="00851E26">
      <w:pPr>
        <w:spacing w:line="360" w:lineRule="auto"/>
        <w:jc w:val="both"/>
        <w:rPr>
          <w:rFonts w:ascii="Arial" w:hAnsi="Arial" w:cs="Arial"/>
        </w:rPr>
      </w:pPr>
    </w:p>
    <w:p w14:paraId="3DB943B3" w14:textId="77777777" w:rsidR="00ED51F6" w:rsidRPr="00851E26" w:rsidRDefault="00ED51F6" w:rsidP="00851E26">
      <w:pPr>
        <w:pStyle w:val="Heading2"/>
        <w:spacing w:line="360" w:lineRule="auto"/>
        <w:jc w:val="both"/>
        <w:rPr>
          <w:sz w:val="24"/>
          <w:szCs w:val="24"/>
        </w:rPr>
      </w:pPr>
      <w:bookmarkStart w:id="2" w:name="_Toc235309813"/>
      <w:r w:rsidRPr="00851E26">
        <w:rPr>
          <w:sz w:val="24"/>
          <w:szCs w:val="24"/>
        </w:rPr>
        <w:t>1.1 Company Overview</w:t>
      </w:r>
      <w:bookmarkEnd w:id="2"/>
    </w:p>
    <w:p w14:paraId="0767036C" w14:textId="6173DFE3" w:rsidR="00ED51F6" w:rsidRPr="00851E26" w:rsidRDefault="009B532F" w:rsidP="00851E26">
      <w:pPr>
        <w:spacing w:line="360" w:lineRule="auto"/>
        <w:jc w:val="both"/>
        <w:rPr>
          <w:rFonts w:ascii="Arial" w:hAnsi="Arial" w:cs="Arial"/>
        </w:rPr>
      </w:pPr>
      <w:r w:rsidRPr="00851E26">
        <w:rPr>
          <w:rFonts w:ascii="Arial" w:hAnsi="Arial" w:cs="Arial"/>
        </w:rPr>
        <w:t xml:space="preserve">Based in Melbourne, BHP is a major provider of materials at the core of </w:t>
      </w:r>
      <w:r w:rsidR="00843D05">
        <w:rPr>
          <w:rFonts w:ascii="Arial" w:hAnsi="Arial" w:cs="Arial"/>
        </w:rPr>
        <w:t xml:space="preserve">the </w:t>
      </w:r>
      <w:r w:rsidRPr="00851E26">
        <w:rPr>
          <w:rFonts w:ascii="Arial" w:hAnsi="Arial" w:cs="Arial"/>
        </w:rPr>
        <w:t xml:space="preserve">energy transition worldwide - copper to power the world, nickel to power batteries, and iron ore of the best quality to make steel. In FY2024, iron ore per se contributed about US$28 billion to the </w:t>
      </w:r>
      <w:r w:rsidR="00EC2FDE" w:rsidRPr="00851E26">
        <w:rPr>
          <w:rFonts w:ascii="Arial" w:hAnsi="Arial" w:cs="Arial"/>
        </w:rPr>
        <w:t>group's</w:t>
      </w:r>
      <w:r w:rsidRPr="00851E26">
        <w:rPr>
          <w:rFonts w:ascii="Arial" w:hAnsi="Arial" w:cs="Arial"/>
        </w:rPr>
        <w:t xml:space="preserve"> revenues (BHP, 2024a). In response to mounting environmental and regulatory pressure, BHP committed to reducing its operational Scope 1 and 2 greenhouse gas (GHG) emissions by at least 30% from its FY2020 baseline by FY2030, achieving a 32% reduction in FY2024, equating to 9.2 </w:t>
      </w:r>
      <w:proofErr w:type="spellStart"/>
      <w:r w:rsidRPr="00851E26">
        <w:rPr>
          <w:rFonts w:ascii="Arial" w:hAnsi="Arial" w:cs="Arial"/>
        </w:rPr>
        <w:t>MtCO</w:t>
      </w:r>
      <w:proofErr w:type="spellEnd"/>
      <w:r w:rsidRPr="00851E26">
        <w:rPr>
          <w:rFonts w:ascii="Cambria Math" w:hAnsi="Cambria Math" w:cs="Cambria Math"/>
        </w:rPr>
        <w:t>₂</w:t>
      </w:r>
      <w:r w:rsidRPr="00851E26">
        <w:rPr>
          <w:rFonts w:ascii="Arial" w:hAnsi="Arial" w:cs="Arial"/>
        </w:rPr>
        <w:t xml:space="preserve">-e (BHP, 2024b). These promises depict the increasing role of external environmental forces on corporate marketing strategy. According to Kotler et al. (2024), the scope of where organisations build and share value is basically defined by the macroenvironment, which is ever more noticeable in </w:t>
      </w:r>
      <w:r w:rsidR="00B072FF" w:rsidRPr="00851E26">
        <w:rPr>
          <w:rFonts w:ascii="Arial" w:hAnsi="Arial" w:cs="Arial"/>
        </w:rPr>
        <w:t>BHP's</w:t>
      </w:r>
      <w:r w:rsidRPr="00851E26">
        <w:rPr>
          <w:rFonts w:ascii="Arial" w:hAnsi="Arial" w:cs="Arial"/>
        </w:rPr>
        <w:t xml:space="preserve"> strategic positioning.</w:t>
      </w:r>
    </w:p>
    <w:p w14:paraId="15FAEE19" w14:textId="4CD7FF32" w:rsidR="00ED51F6" w:rsidRPr="00851E26" w:rsidRDefault="00ED51F6" w:rsidP="00851E26">
      <w:pPr>
        <w:spacing w:line="360" w:lineRule="auto"/>
        <w:jc w:val="both"/>
        <w:rPr>
          <w:rFonts w:ascii="Arial" w:hAnsi="Arial" w:cs="Arial"/>
        </w:rPr>
      </w:pPr>
    </w:p>
    <w:p w14:paraId="568D00D5" w14:textId="77777777" w:rsidR="00ED51F6" w:rsidRPr="00851E26" w:rsidRDefault="00ED51F6" w:rsidP="00851E26">
      <w:pPr>
        <w:pStyle w:val="Heading2"/>
        <w:spacing w:line="360" w:lineRule="auto"/>
        <w:jc w:val="both"/>
        <w:rPr>
          <w:sz w:val="24"/>
          <w:szCs w:val="24"/>
        </w:rPr>
      </w:pPr>
      <w:bookmarkStart w:id="3" w:name="_Toc235309814"/>
      <w:r w:rsidRPr="00851E26">
        <w:rPr>
          <w:sz w:val="24"/>
          <w:szCs w:val="24"/>
        </w:rPr>
        <w:t>1.2 External Actor 1: The Natural Environment</w:t>
      </w:r>
      <w:bookmarkEnd w:id="3"/>
    </w:p>
    <w:p w14:paraId="7A65DDB7" w14:textId="627F0A2F" w:rsidR="00ED51F6" w:rsidRPr="00851E26" w:rsidRDefault="009B532F" w:rsidP="00851E26">
      <w:pPr>
        <w:spacing w:line="360" w:lineRule="auto"/>
        <w:jc w:val="both"/>
        <w:rPr>
          <w:rFonts w:ascii="Arial" w:hAnsi="Arial" w:cs="Arial"/>
        </w:rPr>
      </w:pPr>
      <w:r w:rsidRPr="00851E26">
        <w:rPr>
          <w:rFonts w:ascii="Arial" w:hAnsi="Arial" w:cs="Arial"/>
        </w:rPr>
        <w:t xml:space="preserve">The Natural Environment poses the most radical change that is altering the marketing environment in BHP. In the macroenvironmental framework by Kotler et al. (2024), this player captures resource shortage, climate change, and the general </w:t>
      </w:r>
      <w:r w:rsidR="00843D05">
        <w:rPr>
          <w:rFonts w:ascii="Arial" w:hAnsi="Arial" w:cs="Arial"/>
        </w:rPr>
        <w:t>ecological</w:t>
      </w:r>
      <w:r w:rsidRPr="00851E26">
        <w:rPr>
          <w:rFonts w:ascii="Arial" w:hAnsi="Arial" w:cs="Arial"/>
        </w:rPr>
        <w:t xml:space="preserve"> pressures - all </w:t>
      </w:r>
      <w:r w:rsidR="00EC2FDE" w:rsidRPr="00851E26">
        <w:rPr>
          <w:rFonts w:ascii="Arial" w:hAnsi="Arial" w:cs="Arial"/>
        </w:rPr>
        <w:t xml:space="preserve">of </w:t>
      </w:r>
      <w:r w:rsidRPr="00851E26">
        <w:rPr>
          <w:rFonts w:ascii="Arial" w:hAnsi="Arial" w:cs="Arial"/>
        </w:rPr>
        <w:t xml:space="preserve">which are acutely material in </w:t>
      </w:r>
      <w:r w:rsidR="00EC2FDE" w:rsidRPr="00851E26">
        <w:rPr>
          <w:rFonts w:ascii="Arial" w:hAnsi="Arial" w:cs="Arial"/>
        </w:rPr>
        <w:t xml:space="preserve">the </w:t>
      </w:r>
      <w:r w:rsidRPr="00851E26">
        <w:rPr>
          <w:rFonts w:ascii="Arial" w:hAnsi="Arial" w:cs="Arial"/>
        </w:rPr>
        <w:t>BHP context of operation.</w:t>
      </w:r>
    </w:p>
    <w:p w14:paraId="30F7BCBA" w14:textId="336C0EDB" w:rsidR="00ED51F6" w:rsidRPr="00851E26" w:rsidRDefault="009B532F" w:rsidP="00851E26">
      <w:pPr>
        <w:spacing w:line="360" w:lineRule="auto"/>
        <w:jc w:val="both"/>
        <w:rPr>
          <w:rFonts w:ascii="Arial" w:hAnsi="Arial" w:cs="Arial"/>
        </w:rPr>
      </w:pPr>
      <w:r w:rsidRPr="00851E26">
        <w:rPr>
          <w:rFonts w:ascii="Arial" w:hAnsi="Arial" w:cs="Arial"/>
        </w:rPr>
        <w:lastRenderedPageBreak/>
        <w:t xml:space="preserve">Water scarcity is the most immediate </w:t>
      </w:r>
      <w:r w:rsidR="00EC2FDE" w:rsidRPr="00851E26">
        <w:rPr>
          <w:rFonts w:ascii="Arial" w:hAnsi="Arial" w:cs="Arial"/>
        </w:rPr>
        <w:t>physical threat</w:t>
      </w:r>
      <w:r w:rsidRPr="00851E26">
        <w:rPr>
          <w:rFonts w:ascii="Arial" w:hAnsi="Arial" w:cs="Arial"/>
        </w:rPr>
        <w:t xml:space="preserve">. The </w:t>
      </w:r>
      <w:proofErr w:type="spellStart"/>
      <w:r w:rsidRPr="00851E26">
        <w:rPr>
          <w:rFonts w:ascii="Arial" w:hAnsi="Arial" w:cs="Arial"/>
        </w:rPr>
        <w:t>Escondida</w:t>
      </w:r>
      <w:proofErr w:type="spellEnd"/>
      <w:r w:rsidRPr="00851E26">
        <w:rPr>
          <w:rFonts w:ascii="Arial" w:hAnsi="Arial" w:cs="Arial"/>
        </w:rPr>
        <w:t xml:space="preserve"> mine in the hyper-arid Atacama Desert in Chile, operated by BHP, the world's largest copper mine, directly led to legal ramifications as the Environmental Regulator in Chile decided that work in the mine had led to a reduction in the water-table, which surpassed the stipulated limits, imposing a remediation agreement on BHP in the US ranging between US$81 million to US$93 million in court (BHP, 2024a). The case is a representation of the </w:t>
      </w:r>
      <w:r w:rsidR="00EC2FDE" w:rsidRPr="00851E26">
        <w:rPr>
          <w:rFonts w:ascii="Arial" w:hAnsi="Arial" w:cs="Arial"/>
        </w:rPr>
        <w:t>direct conversion of</w:t>
      </w:r>
      <w:r w:rsidRPr="00851E26">
        <w:rPr>
          <w:rFonts w:ascii="Arial" w:hAnsi="Arial" w:cs="Arial"/>
        </w:rPr>
        <w:t xml:space="preserve"> natural environment pressure into financial and reputational exposure. According to McKinsey and Company (2020), the most material threats facing mining companies in the current decade were water shortage, extreme weather and physical climate risk.</w:t>
      </w:r>
    </w:p>
    <w:p w14:paraId="2B10002A" w14:textId="76DB46F8" w:rsidR="00ED51F6" w:rsidRPr="00851E26" w:rsidRDefault="009B532F" w:rsidP="00851E26">
      <w:pPr>
        <w:spacing w:line="360" w:lineRule="auto"/>
        <w:jc w:val="both"/>
        <w:rPr>
          <w:rFonts w:ascii="Arial" w:hAnsi="Arial" w:cs="Arial"/>
        </w:rPr>
      </w:pPr>
      <w:r w:rsidRPr="00851E26">
        <w:rPr>
          <w:rFonts w:ascii="Arial" w:hAnsi="Arial" w:cs="Arial"/>
        </w:rPr>
        <w:t xml:space="preserve">Other than water, </w:t>
      </w:r>
      <w:r w:rsidR="00EC2FDE" w:rsidRPr="00851E26">
        <w:rPr>
          <w:rFonts w:ascii="Arial" w:hAnsi="Arial" w:cs="Arial"/>
        </w:rPr>
        <w:t xml:space="preserve">the </w:t>
      </w:r>
      <w:r w:rsidRPr="00851E26">
        <w:rPr>
          <w:rFonts w:ascii="Arial" w:hAnsi="Arial" w:cs="Arial"/>
        </w:rPr>
        <w:t>carbon footprint of the sector poses a structural marketing challenge. According to McKinsey and Company (2020)</w:t>
      </w:r>
      <w:r w:rsidR="00EC2FDE" w:rsidRPr="00851E26">
        <w:rPr>
          <w:rFonts w:ascii="Arial" w:hAnsi="Arial" w:cs="Arial"/>
        </w:rPr>
        <w:t>,</w:t>
      </w:r>
      <w:r w:rsidRPr="00851E26">
        <w:rPr>
          <w:rFonts w:ascii="Arial" w:hAnsi="Arial" w:cs="Arial"/>
        </w:rPr>
        <w:t xml:space="preserve"> mining operations directly generate 4-7 percent of global GHG emissions. In the case of BHP, Scope 3 emissions, mainly arising </w:t>
      </w:r>
      <w:r w:rsidR="00EC2FDE" w:rsidRPr="00851E26">
        <w:rPr>
          <w:rFonts w:ascii="Arial" w:hAnsi="Arial" w:cs="Arial"/>
        </w:rPr>
        <w:t>from</w:t>
      </w:r>
      <w:r w:rsidRPr="00851E26">
        <w:rPr>
          <w:rFonts w:ascii="Arial" w:hAnsi="Arial" w:cs="Arial"/>
        </w:rPr>
        <w:t xml:space="preserve"> the steelmaking processes of customers, amounted to 377 </w:t>
      </w:r>
      <w:proofErr w:type="spellStart"/>
      <w:r w:rsidRPr="00851E26">
        <w:rPr>
          <w:rFonts w:ascii="Arial" w:hAnsi="Arial" w:cs="Arial"/>
        </w:rPr>
        <w:t>MtCO</w:t>
      </w:r>
      <w:proofErr w:type="spellEnd"/>
      <w:r w:rsidRPr="00851E26">
        <w:rPr>
          <w:rFonts w:ascii="Cambria Math" w:hAnsi="Cambria Math" w:cs="Cambria Math"/>
        </w:rPr>
        <w:t>₂</w:t>
      </w:r>
      <w:r w:rsidRPr="00851E26">
        <w:rPr>
          <w:rFonts w:ascii="Arial" w:hAnsi="Arial" w:cs="Arial"/>
        </w:rPr>
        <w:t xml:space="preserve">-e </w:t>
      </w:r>
      <w:r w:rsidR="00EC2FDE" w:rsidRPr="00851E26">
        <w:rPr>
          <w:rFonts w:ascii="Arial" w:hAnsi="Arial" w:cs="Arial"/>
        </w:rPr>
        <w:t>in</w:t>
      </w:r>
      <w:r w:rsidRPr="00851E26">
        <w:rPr>
          <w:rFonts w:ascii="Arial" w:hAnsi="Arial" w:cs="Arial"/>
        </w:rPr>
        <w:t xml:space="preserve"> FY2024, with just under 94 percent of the entire emission footprint of BHP coming from Scope 3 (BHP, 2024b). This subsidiary concentration puts the green credibility of BHP under the microscope of investors, regulatory authorities and B2B clients seeking their own net-zero agenda. Companies that do not react meaningfully to environmental pressure, as Kemper, Hall and Ballantine (2019) put it, risk compromising their marketing legitimacy over time in the </w:t>
      </w:r>
      <w:r w:rsidR="00EC2FDE" w:rsidRPr="00851E26">
        <w:rPr>
          <w:rFonts w:ascii="Arial" w:hAnsi="Arial" w:cs="Arial"/>
        </w:rPr>
        <w:t>sustainability-sensitive</w:t>
      </w:r>
      <w:r w:rsidRPr="00851E26">
        <w:rPr>
          <w:rFonts w:ascii="Arial" w:hAnsi="Arial" w:cs="Arial"/>
        </w:rPr>
        <w:t xml:space="preserve"> value chains. </w:t>
      </w:r>
    </w:p>
    <w:p w14:paraId="1FE327DF" w14:textId="3E6F3890" w:rsidR="00ED51F6" w:rsidRPr="00851E26" w:rsidRDefault="009B532F" w:rsidP="00851E26">
      <w:pPr>
        <w:spacing w:line="360" w:lineRule="auto"/>
        <w:jc w:val="both"/>
        <w:rPr>
          <w:rFonts w:ascii="Arial" w:hAnsi="Arial" w:cs="Arial"/>
        </w:rPr>
      </w:pPr>
      <w:r w:rsidRPr="00851E26">
        <w:rPr>
          <w:rFonts w:ascii="Arial" w:hAnsi="Arial" w:cs="Arial"/>
        </w:rPr>
        <w:t xml:space="preserve">However, the </w:t>
      </w:r>
      <w:r w:rsidR="004E3603" w:rsidRPr="00851E26">
        <w:rPr>
          <w:rFonts w:ascii="Arial" w:hAnsi="Arial" w:cs="Arial"/>
        </w:rPr>
        <w:t>Natural Environment</w:t>
      </w:r>
      <w:r w:rsidR="00EC2FDE" w:rsidRPr="00851E26">
        <w:rPr>
          <w:rFonts w:ascii="Arial" w:hAnsi="Arial" w:cs="Arial"/>
        </w:rPr>
        <w:t>,</w:t>
      </w:r>
      <w:r w:rsidRPr="00851E26">
        <w:rPr>
          <w:rFonts w:ascii="Arial" w:hAnsi="Arial" w:cs="Arial"/>
        </w:rPr>
        <w:t xml:space="preserve"> on the other hand</w:t>
      </w:r>
      <w:r w:rsidR="00EC2FDE" w:rsidRPr="00851E26">
        <w:rPr>
          <w:rFonts w:ascii="Arial" w:hAnsi="Arial" w:cs="Arial"/>
        </w:rPr>
        <w:t>,</w:t>
      </w:r>
      <w:r w:rsidRPr="00851E26">
        <w:rPr>
          <w:rFonts w:ascii="Arial" w:hAnsi="Arial" w:cs="Arial"/>
        </w:rPr>
        <w:t xml:space="preserve"> creates substantial strategic opportunities. Structural demand </w:t>
      </w:r>
      <w:r w:rsidR="00EC2FDE" w:rsidRPr="00851E26">
        <w:rPr>
          <w:rFonts w:ascii="Arial" w:hAnsi="Arial" w:cs="Arial"/>
        </w:rPr>
        <w:t>for</w:t>
      </w:r>
      <w:r w:rsidRPr="00851E26">
        <w:rPr>
          <w:rFonts w:ascii="Arial" w:hAnsi="Arial" w:cs="Arial"/>
        </w:rPr>
        <w:t xml:space="preserve"> copper in electrical systems and renewable energy technologies and nickel in battery systems is growing as a result of climate change mitigation efforts (</w:t>
      </w:r>
      <w:proofErr w:type="spellStart"/>
      <w:r w:rsidRPr="00851E26">
        <w:rPr>
          <w:rFonts w:ascii="Arial" w:hAnsi="Arial" w:cs="Arial"/>
        </w:rPr>
        <w:t>Amegboleza</w:t>
      </w:r>
      <w:proofErr w:type="spellEnd"/>
      <w:r w:rsidRPr="00851E26">
        <w:rPr>
          <w:rFonts w:ascii="Arial" w:hAnsi="Arial" w:cs="Arial"/>
        </w:rPr>
        <w:t xml:space="preserve"> and Ülkü, 2025). According to Deo and Prasad (2022), those companies that actively align marketing approaches with management requirements to adapt to climate </w:t>
      </w:r>
      <w:r w:rsidR="00EC2FDE" w:rsidRPr="00851E26">
        <w:rPr>
          <w:rFonts w:ascii="Arial" w:hAnsi="Arial" w:cs="Arial"/>
        </w:rPr>
        <w:t>change</w:t>
      </w:r>
      <w:r w:rsidRPr="00851E26">
        <w:rPr>
          <w:rFonts w:ascii="Arial" w:hAnsi="Arial" w:cs="Arial"/>
        </w:rPr>
        <w:t xml:space="preserve"> have a higher chance </w:t>
      </w:r>
      <w:r w:rsidR="00EC2FDE" w:rsidRPr="00851E26">
        <w:rPr>
          <w:rFonts w:ascii="Arial" w:hAnsi="Arial" w:cs="Arial"/>
        </w:rPr>
        <w:t>of capturing</w:t>
      </w:r>
      <w:r w:rsidRPr="00851E26">
        <w:rPr>
          <w:rFonts w:ascii="Arial" w:hAnsi="Arial" w:cs="Arial"/>
        </w:rPr>
        <w:t xml:space="preserve"> new demand, as well as controlling physical risk exposure. A pilot </w:t>
      </w:r>
      <w:proofErr w:type="spellStart"/>
      <w:r w:rsidRPr="00851E26">
        <w:rPr>
          <w:rFonts w:ascii="Arial" w:hAnsi="Arial" w:cs="Arial"/>
        </w:rPr>
        <w:t>NeoSmelt</w:t>
      </w:r>
      <w:proofErr w:type="spellEnd"/>
      <w:r w:rsidRPr="00851E26">
        <w:rPr>
          <w:rFonts w:ascii="Arial" w:hAnsi="Arial" w:cs="Arial"/>
        </w:rPr>
        <w:t xml:space="preserve"> electric smelting furnace developed by BHP in partnership with Rio Tinto, BlueScope and Woodside is a direct incarnation of this line of thought, aiming to achieve more than 80 percent CO</w:t>
      </w:r>
      <w:r w:rsidRPr="00851E26">
        <w:rPr>
          <w:rFonts w:ascii="Cambria Math" w:hAnsi="Cambria Math" w:cs="Cambria Math"/>
        </w:rPr>
        <w:t>₂</w:t>
      </w:r>
      <w:r w:rsidRPr="00851E26">
        <w:rPr>
          <w:rFonts w:ascii="Arial" w:hAnsi="Arial" w:cs="Arial"/>
        </w:rPr>
        <w:t xml:space="preserve"> intensity reduction relative to traditional blast-furnace steelmaking (BHP, 2024b).</w:t>
      </w:r>
    </w:p>
    <w:p w14:paraId="687D5CF7" w14:textId="0665B5B5" w:rsidR="00ED51F6" w:rsidRPr="00851E26" w:rsidRDefault="009B532F" w:rsidP="00851E26">
      <w:pPr>
        <w:spacing w:line="360" w:lineRule="auto"/>
        <w:jc w:val="both"/>
        <w:rPr>
          <w:rFonts w:ascii="Arial" w:hAnsi="Arial" w:cs="Arial"/>
        </w:rPr>
      </w:pPr>
      <w:r w:rsidRPr="00851E26">
        <w:rPr>
          <w:rFonts w:ascii="Arial" w:hAnsi="Arial" w:cs="Arial"/>
        </w:rPr>
        <w:lastRenderedPageBreak/>
        <w:t xml:space="preserve">Importantly, though, </w:t>
      </w:r>
      <w:proofErr w:type="spellStart"/>
      <w:r w:rsidRPr="00851E26">
        <w:rPr>
          <w:rFonts w:ascii="Arial" w:hAnsi="Arial" w:cs="Arial"/>
        </w:rPr>
        <w:t>NeoSmelt</w:t>
      </w:r>
      <w:proofErr w:type="spellEnd"/>
      <w:r w:rsidRPr="00851E26">
        <w:rPr>
          <w:rFonts w:ascii="Arial" w:hAnsi="Arial" w:cs="Arial"/>
        </w:rPr>
        <w:t xml:space="preserve"> is still in </w:t>
      </w:r>
      <w:r w:rsidR="00EC2FDE" w:rsidRPr="00851E26">
        <w:rPr>
          <w:rFonts w:ascii="Arial" w:hAnsi="Arial" w:cs="Arial"/>
        </w:rPr>
        <w:t xml:space="preserve">the </w:t>
      </w:r>
      <w:r w:rsidRPr="00851E26">
        <w:rPr>
          <w:rFonts w:ascii="Arial" w:hAnsi="Arial" w:cs="Arial"/>
        </w:rPr>
        <w:t>pilot phase</w:t>
      </w:r>
      <w:r w:rsidR="00EC2FDE" w:rsidRPr="00851E26">
        <w:rPr>
          <w:rFonts w:ascii="Arial" w:hAnsi="Arial" w:cs="Arial"/>
        </w:rPr>
        <w:t>,</w:t>
      </w:r>
      <w:r w:rsidRPr="00851E26">
        <w:rPr>
          <w:rFonts w:ascii="Arial" w:hAnsi="Arial" w:cs="Arial"/>
        </w:rPr>
        <w:t xml:space="preserve"> and nothing is expected to be commercially produced </w:t>
      </w:r>
      <w:r w:rsidR="00BC6B92">
        <w:rPr>
          <w:rFonts w:ascii="Arial" w:hAnsi="Arial" w:cs="Arial"/>
        </w:rPr>
        <w:t>before</w:t>
      </w:r>
      <w:r w:rsidRPr="00851E26">
        <w:rPr>
          <w:rFonts w:ascii="Arial" w:hAnsi="Arial" w:cs="Arial"/>
        </w:rPr>
        <w:t xml:space="preserve"> 2030. Nicholas (2024) questions the credibility of </w:t>
      </w:r>
      <w:r w:rsidR="00EC2FDE" w:rsidRPr="00851E26">
        <w:rPr>
          <w:rFonts w:ascii="Arial" w:hAnsi="Arial" w:cs="Arial"/>
        </w:rPr>
        <w:t>BHP's</w:t>
      </w:r>
      <w:r w:rsidRPr="00851E26">
        <w:rPr>
          <w:rFonts w:ascii="Arial" w:hAnsi="Arial" w:cs="Arial"/>
        </w:rPr>
        <w:t xml:space="preserve"> transition, claiming that BHP </w:t>
      </w:r>
      <w:proofErr w:type="spellStart"/>
      <w:r w:rsidRPr="00851E26">
        <w:rPr>
          <w:rFonts w:ascii="Arial" w:hAnsi="Arial" w:cs="Arial"/>
        </w:rPr>
        <w:t>overstresses</w:t>
      </w:r>
      <w:proofErr w:type="spellEnd"/>
      <w:r w:rsidRPr="00851E26">
        <w:rPr>
          <w:rFonts w:ascii="Arial" w:hAnsi="Arial" w:cs="Arial"/>
        </w:rPr>
        <w:t xml:space="preserve"> unproven carbon capture in running the coal business and falls behind in Scope 3 accountability. Such a conflict between strategic aspiration and working reality needs to be </w:t>
      </w:r>
      <w:r w:rsidR="00EC2FDE" w:rsidRPr="00851E26">
        <w:rPr>
          <w:rFonts w:ascii="Arial" w:hAnsi="Arial" w:cs="Arial"/>
        </w:rPr>
        <w:t>acknowledged</w:t>
      </w:r>
      <w:r w:rsidRPr="00851E26">
        <w:rPr>
          <w:rFonts w:ascii="Arial" w:hAnsi="Arial" w:cs="Arial"/>
        </w:rPr>
        <w:t xml:space="preserve"> in any environmental analysis of the marketing position of BHP.</w:t>
      </w:r>
    </w:p>
    <w:p w14:paraId="2C647075" w14:textId="1565F011" w:rsidR="00ED51F6" w:rsidRPr="00851E26" w:rsidRDefault="00ED51F6" w:rsidP="00851E26">
      <w:pPr>
        <w:spacing w:line="360" w:lineRule="auto"/>
        <w:jc w:val="both"/>
        <w:rPr>
          <w:rFonts w:ascii="Arial" w:hAnsi="Arial" w:cs="Arial"/>
        </w:rPr>
      </w:pPr>
    </w:p>
    <w:p w14:paraId="243B1498" w14:textId="77777777" w:rsidR="00ED51F6" w:rsidRPr="00851E26" w:rsidRDefault="00ED51F6" w:rsidP="00851E26">
      <w:pPr>
        <w:pStyle w:val="Heading2"/>
        <w:spacing w:line="360" w:lineRule="auto"/>
        <w:jc w:val="both"/>
        <w:rPr>
          <w:sz w:val="24"/>
          <w:szCs w:val="24"/>
        </w:rPr>
      </w:pPr>
      <w:bookmarkStart w:id="4" w:name="_Toc235309815"/>
      <w:r w:rsidRPr="00851E26">
        <w:rPr>
          <w:sz w:val="24"/>
          <w:szCs w:val="24"/>
        </w:rPr>
        <w:t>1.3 External Actor 2: The Political/Legal Environment</w:t>
      </w:r>
      <w:bookmarkEnd w:id="4"/>
    </w:p>
    <w:p w14:paraId="0991C7C4" w14:textId="575BBA0B" w:rsidR="00ED51F6" w:rsidRPr="00851E26" w:rsidRDefault="009B532F" w:rsidP="00851E26">
      <w:pPr>
        <w:spacing w:line="360" w:lineRule="auto"/>
        <w:jc w:val="both"/>
        <w:rPr>
          <w:rFonts w:ascii="Arial" w:hAnsi="Arial" w:cs="Arial"/>
        </w:rPr>
      </w:pPr>
      <w:r w:rsidRPr="00851E26">
        <w:rPr>
          <w:rFonts w:ascii="Arial" w:hAnsi="Arial" w:cs="Arial"/>
        </w:rPr>
        <w:t xml:space="preserve">The </w:t>
      </w:r>
      <w:r w:rsidR="004E3603" w:rsidRPr="00851E26">
        <w:rPr>
          <w:rFonts w:ascii="Arial" w:hAnsi="Arial" w:cs="Arial"/>
        </w:rPr>
        <w:t>second dominant force</w:t>
      </w:r>
      <w:r w:rsidRPr="00851E26">
        <w:rPr>
          <w:rFonts w:ascii="Arial" w:hAnsi="Arial" w:cs="Arial"/>
        </w:rPr>
        <w:t xml:space="preserve"> affecting the marketing environment of BHP, which works by regulatory policies that make carbon </w:t>
      </w:r>
      <w:r w:rsidR="00EC2FDE" w:rsidRPr="00851E26">
        <w:rPr>
          <w:rFonts w:ascii="Arial" w:hAnsi="Arial" w:cs="Arial"/>
        </w:rPr>
        <w:t>minimisation</w:t>
      </w:r>
      <w:r w:rsidRPr="00851E26">
        <w:rPr>
          <w:rFonts w:ascii="Arial" w:hAnsi="Arial" w:cs="Arial"/>
        </w:rPr>
        <w:t xml:space="preserve"> a compulsory </w:t>
      </w:r>
      <w:r w:rsidR="00EC2FDE" w:rsidRPr="00851E26">
        <w:rPr>
          <w:rFonts w:ascii="Arial" w:hAnsi="Arial" w:cs="Arial"/>
        </w:rPr>
        <w:t>cost instead of an aspirational one</w:t>
      </w:r>
      <w:r w:rsidRPr="00851E26">
        <w:rPr>
          <w:rFonts w:ascii="Arial" w:hAnsi="Arial" w:cs="Arial"/>
        </w:rPr>
        <w:t>, is the Political/Legal Environment.</w:t>
      </w:r>
    </w:p>
    <w:p w14:paraId="38A954B0" w14:textId="7F5F02C4" w:rsidR="00ED51F6" w:rsidRPr="00851E26" w:rsidRDefault="000D55E4" w:rsidP="00851E26">
      <w:pPr>
        <w:spacing w:line="360" w:lineRule="auto"/>
        <w:jc w:val="both"/>
        <w:rPr>
          <w:rFonts w:ascii="Arial" w:hAnsi="Arial" w:cs="Arial"/>
        </w:rPr>
      </w:pPr>
      <w:r w:rsidRPr="00851E26">
        <w:rPr>
          <w:rFonts w:ascii="Arial" w:hAnsi="Arial" w:cs="Arial"/>
        </w:rPr>
        <w:t xml:space="preserve">In </w:t>
      </w:r>
      <w:r w:rsidR="00EC2FDE" w:rsidRPr="00851E26">
        <w:rPr>
          <w:rFonts w:ascii="Arial" w:hAnsi="Arial" w:cs="Arial"/>
        </w:rPr>
        <w:t>Australia</w:t>
      </w:r>
      <w:r w:rsidRPr="00851E26">
        <w:rPr>
          <w:rFonts w:ascii="Arial" w:hAnsi="Arial" w:cs="Arial"/>
        </w:rPr>
        <w:t>, the reformed Safeguard Mechanism</w:t>
      </w:r>
      <w:r w:rsidR="00EC2FDE" w:rsidRPr="00851E26">
        <w:rPr>
          <w:rFonts w:ascii="Arial" w:hAnsi="Arial" w:cs="Arial"/>
        </w:rPr>
        <w:t>,</w:t>
      </w:r>
      <w:r w:rsidRPr="00851E26">
        <w:rPr>
          <w:rFonts w:ascii="Arial" w:hAnsi="Arial" w:cs="Arial"/>
        </w:rPr>
        <w:t xml:space="preserve"> which starts </w:t>
      </w:r>
      <w:r w:rsidR="00EC2FDE" w:rsidRPr="00851E26">
        <w:rPr>
          <w:rFonts w:ascii="Arial" w:hAnsi="Arial" w:cs="Arial"/>
        </w:rPr>
        <w:t xml:space="preserve">on </w:t>
      </w:r>
      <w:r w:rsidRPr="00851E26">
        <w:rPr>
          <w:rFonts w:ascii="Arial" w:hAnsi="Arial" w:cs="Arial"/>
        </w:rPr>
        <w:t xml:space="preserve">1 July 2023, </w:t>
      </w:r>
      <w:r w:rsidR="00EC2FDE" w:rsidRPr="00851E26">
        <w:rPr>
          <w:rFonts w:ascii="Arial" w:hAnsi="Arial" w:cs="Arial"/>
        </w:rPr>
        <w:t>includes</w:t>
      </w:r>
      <w:r w:rsidRPr="00851E26">
        <w:rPr>
          <w:rFonts w:ascii="Arial" w:hAnsi="Arial" w:cs="Arial"/>
        </w:rPr>
        <w:t xml:space="preserve"> falling emissions targets of 4.9% per annum </w:t>
      </w:r>
      <w:r w:rsidR="00EC2FDE" w:rsidRPr="00851E26">
        <w:rPr>
          <w:rFonts w:ascii="Arial" w:hAnsi="Arial" w:cs="Arial"/>
        </w:rPr>
        <w:t>for</w:t>
      </w:r>
      <w:r w:rsidRPr="00851E26">
        <w:rPr>
          <w:rFonts w:ascii="Arial" w:hAnsi="Arial" w:cs="Arial"/>
        </w:rPr>
        <w:t xml:space="preserve"> large industrial emitters, with emissions exceeding 100,000 </w:t>
      </w:r>
      <w:proofErr w:type="spellStart"/>
      <w:r w:rsidRPr="00851E26">
        <w:rPr>
          <w:rFonts w:ascii="Arial" w:hAnsi="Arial" w:cs="Arial"/>
        </w:rPr>
        <w:t>tCO</w:t>
      </w:r>
      <w:proofErr w:type="spellEnd"/>
      <w:r w:rsidRPr="00851E26">
        <w:rPr>
          <w:rFonts w:ascii="Cambria Math" w:hAnsi="Cambria Math" w:cs="Cambria Math"/>
        </w:rPr>
        <w:t>₂</w:t>
      </w:r>
      <w:r w:rsidRPr="00851E26">
        <w:rPr>
          <w:rFonts w:ascii="Arial" w:hAnsi="Arial" w:cs="Arial"/>
        </w:rPr>
        <w:t>-e</w:t>
      </w:r>
      <w:r w:rsidR="00EC2FDE" w:rsidRPr="00851E26">
        <w:rPr>
          <w:rFonts w:ascii="Arial" w:hAnsi="Arial" w:cs="Arial"/>
        </w:rPr>
        <w:t>,</w:t>
      </w:r>
      <w:r w:rsidRPr="00851E26">
        <w:rPr>
          <w:rFonts w:ascii="Arial" w:hAnsi="Arial" w:cs="Arial"/>
        </w:rPr>
        <w:t xml:space="preserve"> of </w:t>
      </w:r>
      <w:r w:rsidR="00EC2FDE" w:rsidRPr="00851E26">
        <w:rPr>
          <w:rFonts w:ascii="Arial" w:hAnsi="Arial" w:cs="Arial"/>
        </w:rPr>
        <w:t>which</w:t>
      </w:r>
      <w:r w:rsidRPr="00851E26">
        <w:rPr>
          <w:rFonts w:ascii="Arial" w:hAnsi="Arial" w:cs="Arial"/>
        </w:rPr>
        <w:t xml:space="preserve"> BHP would necessarily have direct exposure </w:t>
      </w:r>
      <w:r w:rsidR="00843D05">
        <w:rPr>
          <w:rFonts w:ascii="Arial" w:hAnsi="Arial" w:cs="Arial"/>
        </w:rPr>
        <w:t>through</w:t>
      </w:r>
      <w:r w:rsidRPr="00851E26">
        <w:rPr>
          <w:rFonts w:ascii="Arial" w:hAnsi="Arial" w:cs="Arial"/>
        </w:rPr>
        <w:t xml:space="preserve"> its mining operations in Australia (Australian Government, 2023). Failure to comply would impose a purchase requirement on Australian Carbon Credit Units (ACCUs) or Safeguard Mechanism Credits (SMCs), an effect that creates a domestic carbon price that would increase the </w:t>
      </w:r>
      <w:r w:rsidR="00EC2FDE" w:rsidRPr="00851E26">
        <w:rPr>
          <w:rFonts w:ascii="Arial" w:hAnsi="Arial" w:cs="Arial"/>
        </w:rPr>
        <w:t>cost of</w:t>
      </w:r>
      <w:r w:rsidRPr="00851E26">
        <w:rPr>
          <w:rFonts w:ascii="Arial" w:hAnsi="Arial" w:cs="Arial"/>
        </w:rPr>
        <w:t xml:space="preserve"> production and motivate an investment in abatement.</w:t>
      </w:r>
    </w:p>
    <w:p w14:paraId="5322BD67" w14:textId="14ADD45B" w:rsidR="00ED51F6" w:rsidRPr="00851E26" w:rsidRDefault="000D55E4" w:rsidP="00851E26">
      <w:pPr>
        <w:spacing w:line="360" w:lineRule="auto"/>
        <w:jc w:val="both"/>
        <w:rPr>
          <w:rFonts w:ascii="Arial" w:hAnsi="Arial" w:cs="Arial"/>
        </w:rPr>
      </w:pPr>
      <w:r w:rsidRPr="00851E26">
        <w:rPr>
          <w:rFonts w:ascii="Arial" w:hAnsi="Arial" w:cs="Arial"/>
        </w:rPr>
        <w:t>The global state of the European Union Carbon Border Adjustment Mechanism (CBAM)</w:t>
      </w:r>
      <w:r w:rsidR="00EC2FDE" w:rsidRPr="00851E26">
        <w:rPr>
          <w:rFonts w:ascii="Arial" w:hAnsi="Arial" w:cs="Arial"/>
        </w:rPr>
        <w:t>, which</w:t>
      </w:r>
      <w:r w:rsidRPr="00851E26">
        <w:rPr>
          <w:rFonts w:ascii="Arial" w:hAnsi="Arial" w:cs="Arial"/>
        </w:rPr>
        <w:t xml:space="preserve"> enters its definitive financial binding stage on 1 January 2026, demands that importers of iron, steel, and aluminium buy certificates valued against the EU Emissions Trading System (European Commission, 2023). In the case of BHP, whose iron ore and metallurgical coal feed the European steelmaking value chains, CBAM would impose direct commercial pressure on it</w:t>
      </w:r>
      <w:r w:rsidR="00EC2FDE" w:rsidRPr="00851E26">
        <w:rPr>
          <w:rFonts w:ascii="Arial" w:hAnsi="Arial" w:cs="Arial"/>
        </w:rPr>
        <w:t>,</w:t>
      </w:r>
      <w:r w:rsidRPr="00851E26">
        <w:rPr>
          <w:rFonts w:ascii="Arial" w:hAnsi="Arial" w:cs="Arial"/>
        </w:rPr>
        <w:t xml:space="preserve"> lowering the embedded carbon of its products. According to Ellis, Nachtigall and </w:t>
      </w:r>
      <w:proofErr w:type="spellStart"/>
      <w:r w:rsidRPr="00851E26">
        <w:rPr>
          <w:rFonts w:ascii="Arial" w:hAnsi="Arial" w:cs="Arial"/>
        </w:rPr>
        <w:t>Venmans</w:t>
      </w:r>
      <w:proofErr w:type="spellEnd"/>
      <w:r w:rsidRPr="00851E26">
        <w:rPr>
          <w:rFonts w:ascii="Arial" w:hAnsi="Arial" w:cs="Arial"/>
        </w:rPr>
        <w:t xml:space="preserve"> (2020), the available empirical evidence shows that industrial flexibility to carbon pricing is much higher than commonly believed to date, implying that CBAM also poses first-mover dominance of lower-carbon suppliers. </w:t>
      </w:r>
      <w:proofErr w:type="spellStart"/>
      <w:r w:rsidRPr="00851E26">
        <w:rPr>
          <w:rFonts w:ascii="Arial" w:hAnsi="Arial" w:cs="Arial"/>
        </w:rPr>
        <w:t>Wirdyansyah</w:t>
      </w:r>
      <w:proofErr w:type="spellEnd"/>
      <w:r w:rsidRPr="00851E26">
        <w:rPr>
          <w:rFonts w:ascii="Arial" w:hAnsi="Arial" w:cs="Arial"/>
        </w:rPr>
        <w:t xml:space="preserve"> (2025) supports this by noting that the high-emission commodity exporters are disproportionately disadvantaged by CBAM as a </w:t>
      </w:r>
      <w:r w:rsidRPr="00851E26">
        <w:rPr>
          <w:rFonts w:ascii="Arial" w:hAnsi="Arial" w:cs="Arial"/>
        </w:rPr>
        <w:lastRenderedPageBreak/>
        <w:t xml:space="preserve">reinforcement of the competitive premium on early-investing low-carbon technology </w:t>
      </w:r>
      <w:r w:rsidR="00EC2FDE" w:rsidRPr="00851E26">
        <w:rPr>
          <w:rFonts w:ascii="Arial" w:hAnsi="Arial" w:cs="Arial"/>
        </w:rPr>
        <w:t>producers</w:t>
      </w:r>
      <w:r w:rsidRPr="00851E26">
        <w:rPr>
          <w:rFonts w:ascii="Arial" w:hAnsi="Arial" w:cs="Arial"/>
        </w:rPr>
        <w:t>.</w:t>
      </w:r>
    </w:p>
    <w:p w14:paraId="495218CC" w14:textId="48249BC7" w:rsidR="00180710" w:rsidRPr="00851E26" w:rsidRDefault="000D55E4" w:rsidP="00851E26">
      <w:pPr>
        <w:spacing w:line="360" w:lineRule="auto"/>
        <w:jc w:val="both"/>
        <w:rPr>
          <w:rFonts w:ascii="Arial" w:hAnsi="Arial" w:cs="Arial"/>
        </w:rPr>
      </w:pPr>
      <w:r w:rsidRPr="00851E26">
        <w:rPr>
          <w:rFonts w:ascii="Arial" w:hAnsi="Arial" w:cs="Arial"/>
        </w:rPr>
        <w:t xml:space="preserve">In combination, the Natural and the Political/Legal environment </w:t>
      </w:r>
      <w:r w:rsidR="00EC2FDE" w:rsidRPr="00851E26">
        <w:rPr>
          <w:rFonts w:ascii="Arial" w:hAnsi="Arial" w:cs="Arial"/>
        </w:rPr>
        <w:t>provide</w:t>
      </w:r>
      <w:r w:rsidRPr="00851E26">
        <w:rPr>
          <w:rFonts w:ascii="Arial" w:hAnsi="Arial" w:cs="Arial"/>
        </w:rPr>
        <w:t xml:space="preserve"> compounding and reciprocally reinforcing pressure on BHP: physical climate risk is compounded by operational and reputational pressure; and regulatory mechanisms transform these pressures into binding financial commitments. Significantly, the two forces put lower-carbon products and capabilities on the strategic growth tool simultaneously</w:t>
      </w:r>
      <w:r w:rsidR="00EC2FDE" w:rsidRPr="00851E26">
        <w:rPr>
          <w:rFonts w:ascii="Arial" w:hAnsi="Arial" w:cs="Arial"/>
        </w:rPr>
        <w:t>, which</w:t>
      </w:r>
      <w:r w:rsidRPr="00851E26">
        <w:rPr>
          <w:rFonts w:ascii="Arial" w:hAnsi="Arial" w:cs="Arial"/>
        </w:rPr>
        <w:t xml:space="preserve"> forms the analytical basis of the strategic recommendations hatched in Task 2. </w:t>
      </w:r>
    </w:p>
    <w:p w14:paraId="1691A4E8" w14:textId="5ABABF84" w:rsidR="00180710" w:rsidRPr="00851E26" w:rsidRDefault="00180710" w:rsidP="00851E26">
      <w:pPr>
        <w:spacing w:line="360" w:lineRule="auto"/>
        <w:jc w:val="both"/>
        <w:rPr>
          <w:rFonts w:ascii="Arial" w:hAnsi="Arial" w:cs="Arial"/>
        </w:rPr>
      </w:pPr>
      <w:r w:rsidRPr="00851E26">
        <w:rPr>
          <w:rFonts w:ascii="Arial" w:hAnsi="Arial" w:cs="Arial"/>
        </w:rPr>
        <w:t>Table 1 below summarises the key threats and opportunities arising from both external actors analysed above.</w:t>
      </w:r>
    </w:p>
    <w:tbl>
      <w:tblPr>
        <w:tblW w:w="90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2400"/>
        <w:gridCol w:w="2400"/>
        <w:gridCol w:w="2664"/>
      </w:tblGrid>
      <w:tr w:rsidR="00666AA1" w:rsidRPr="00851E26" w14:paraId="23BA47CE" w14:textId="77777777" w:rsidTr="00072DE9">
        <w:tc>
          <w:tcPr>
            <w:tcW w:w="9064" w:type="dxa"/>
            <w:gridSpan w:val="4"/>
            <w:tcBorders>
              <w:top w:val="single" w:sz="6" w:space="0" w:color="AAAAAA"/>
              <w:left w:val="single" w:sz="6" w:space="0" w:color="AAAAAA"/>
              <w:bottom w:val="single" w:sz="6" w:space="0" w:color="AAAAAA"/>
              <w:right w:val="single" w:sz="6" w:space="0" w:color="AAAAAA"/>
            </w:tcBorders>
            <w:shd w:val="clear" w:color="auto" w:fill="1A237E"/>
            <w:vAlign w:val="center"/>
          </w:tcPr>
          <w:p w14:paraId="305E10E1" w14:textId="77777777" w:rsidR="00666AA1" w:rsidRPr="00851E26" w:rsidRDefault="00666AA1" w:rsidP="00851E26">
            <w:pPr>
              <w:spacing w:before="40" w:after="40" w:line="360" w:lineRule="auto"/>
              <w:jc w:val="both"/>
              <w:rPr>
                <w:rFonts w:ascii="Arial" w:hAnsi="Arial" w:cs="Arial"/>
              </w:rPr>
            </w:pPr>
            <w:r w:rsidRPr="00851E26">
              <w:rPr>
                <w:rFonts w:ascii="Arial" w:eastAsia="Arial" w:hAnsi="Arial" w:cs="Arial"/>
                <w:b/>
                <w:bCs/>
                <w:color w:val="FFFFFF"/>
              </w:rPr>
              <w:t>Table 1: External Marketing Environment — Threats and Opportunities for BHP</w:t>
            </w:r>
          </w:p>
        </w:tc>
      </w:tr>
      <w:tr w:rsidR="00666AA1" w:rsidRPr="00851E26" w14:paraId="6DBF2107" w14:textId="77777777" w:rsidTr="00072DE9">
        <w:tc>
          <w:tcPr>
            <w:tcW w:w="1600" w:type="dxa"/>
            <w:tcBorders>
              <w:top w:val="single" w:sz="6" w:space="0" w:color="AAAAAA"/>
              <w:left w:val="single" w:sz="6" w:space="0" w:color="AAAAAA"/>
              <w:bottom w:val="single" w:sz="6" w:space="0" w:color="AAAAAA"/>
              <w:right w:val="single" w:sz="6" w:space="0" w:color="AAAAAA"/>
            </w:tcBorders>
            <w:shd w:val="clear" w:color="auto" w:fill="DCE3F5"/>
            <w:vAlign w:val="center"/>
          </w:tcPr>
          <w:p w14:paraId="3C6168ED" w14:textId="77777777" w:rsidR="00666AA1" w:rsidRPr="00851E26" w:rsidRDefault="00666AA1" w:rsidP="00851E26">
            <w:pPr>
              <w:spacing w:before="40" w:after="40" w:line="360" w:lineRule="auto"/>
              <w:jc w:val="both"/>
              <w:rPr>
                <w:rFonts w:ascii="Arial" w:hAnsi="Arial" w:cs="Arial"/>
              </w:rPr>
            </w:pPr>
          </w:p>
        </w:tc>
        <w:tc>
          <w:tcPr>
            <w:tcW w:w="2400" w:type="dxa"/>
            <w:tcBorders>
              <w:top w:val="single" w:sz="6" w:space="0" w:color="AAAAAA"/>
              <w:left w:val="single" w:sz="6" w:space="0" w:color="AAAAAA"/>
              <w:bottom w:val="single" w:sz="6" w:space="0" w:color="AAAAAA"/>
              <w:right w:val="single" w:sz="6" w:space="0" w:color="AAAAAA"/>
            </w:tcBorders>
            <w:shd w:val="clear" w:color="auto" w:fill="DCE3F5"/>
            <w:vAlign w:val="center"/>
          </w:tcPr>
          <w:p w14:paraId="000323B1" w14:textId="77777777" w:rsidR="00666AA1" w:rsidRPr="00851E26" w:rsidRDefault="00666AA1" w:rsidP="00851E26">
            <w:pPr>
              <w:spacing w:before="40" w:after="40" w:line="360" w:lineRule="auto"/>
              <w:jc w:val="both"/>
              <w:rPr>
                <w:rFonts w:ascii="Arial" w:hAnsi="Arial" w:cs="Arial"/>
              </w:rPr>
            </w:pPr>
            <w:r w:rsidRPr="00851E26">
              <w:rPr>
                <w:rFonts w:ascii="Arial" w:eastAsia="Arial" w:hAnsi="Arial" w:cs="Arial"/>
                <w:b/>
                <w:bCs/>
                <w:color w:val="1A237E"/>
              </w:rPr>
              <w:t>Natural Environment</w:t>
            </w:r>
          </w:p>
        </w:tc>
        <w:tc>
          <w:tcPr>
            <w:tcW w:w="2400" w:type="dxa"/>
            <w:tcBorders>
              <w:top w:val="single" w:sz="6" w:space="0" w:color="AAAAAA"/>
              <w:left w:val="single" w:sz="6" w:space="0" w:color="AAAAAA"/>
              <w:bottom w:val="single" w:sz="6" w:space="0" w:color="AAAAAA"/>
              <w:right w:val="single" w:sz="6" w:space="0" w:color="AAAAAA"/>
            </w:tcBorders>
            <w:shd w:val="clear" w:color="auto" w:fill="DCE3F5"/>
            <w:vAlign w:val="center"/>
          </w:tcPr>
          <w:p w14:paraId="137CFDBE" w14:textId="77777777" w:rsidR="00666AA1" w:rsidRPr="00851E26" w:rsidRDefault="00666AA1" w:rsidP="00851E26">
            <w:pPr>
              <w:spacing w:before="40" w:after="40" w:line="360" w:lineRule="auto"/>
              <w:jc w:val="both"/>
              <w:rPr>
                <w:rFonts w:ascii="Arial" w:hAnsi="Arial" w:cs="Arial"/>
              </w:rPr>
            </w:pPr>
            <w:r w:rsidRPr="00851E26">
              <w:rPr>
                <w:rFonts w:ascii="Arial" w:eastAsia="Arial" w:hAnsi="Arial" w:cs="Arial"/>
                <w:b/>
                <w:bCs/>
                <w:color w:val="1A237E"/>
              </w:rPr>
              <w:t>Political / Legal Environment</w:t>
            </w:r>
          </w:p>
        </w:tc>
        <w:tc>
          <w:tcPr>
            <w:tcW w:w="2664" w:type="dxa"/>
            <w:tcBorders>
              <w:top w:val="single" w:sz="6" w:space="0" w:color="AAAAAA"/>
              <w:left w:val="single" w:sz="6" w:space="0" w:color="AAAAAA"/>
              <w:bottom w:val="single" w:sz="6" w:space="0" w:color="AAAAAA"/>
              <w:right w:val="single" w:sz="6" w:space="0" w:color="AAAAAA"/>
            </w:tcBorders>
            <w:shd w:val="clear" w:color="auto" w:fill="DCE3F5"/>
            <w:vAlign w:val="center"/>
          </w:tcPr>
          <w:p w14:paraId="3D1F1D98" w14:textId="77777777" w:rsidR="00666AA1" w:rsidRPr="00851E26" w:rsidRDefault="00666AA1" w:rsidP="00851E26">
            <w:pPr>
              <w:spacing w:before="40" w:after="40" w:line="360" w:lineRule="auto"/>
              <w:jc w:val="both"/>
              <w:rPr>
                <w:rFonts w:ascii="Arial" w:hAnsi="Arial" w:cs="Arial"/>
              </w:rPr>
            </w:pPr>
            <w:r w:rsidRPr="00851E26">
              <w:rPr>
                <w:rFonts w:ascii="Arial" w:eastAsia="Arial" w:hAnsi="Arial" w:cs="Arial"/>
                <w:b/>
                <w:bCs/>
                <w:color w:val="1A237E"/>
              </w:rPr>
              <w:t>BHP Strategic Response</w:t>
            </w:r>
          </w:p>
        </w:tc>
      </w:tr>
      <w:tr w:rsidR="00666AA1" w:rsidRPr="00851E26" w14:paraId="754D84C1" w14:textId="77777777" w:rsidTr="00072DE9">
        <w:tc>
          <w:tcPr>
            <w:tcW w:w="1600" w:type="dxa"/>
            <w:tcBorders>
              <w:top w:val="single" w:sz="6" w:space="0" w:color="AAAAAA"/>
              <w:left w:val="single" w:sz="6" w:space="0" w:color="AAAAAA"/>
              <w:bottom w:val="single" w:sz="6" w:space="0" w:color="AAAAAA"/>
              <w:right w:val="single" w:sz="6" w:space="0" w:color="AAAAAA"/>
            </w:tcBorders>
            <w:shd w:val="clear" w:color="auto" w:fill="F5F5F5"/>
            <w:vAlign w:val="center"/>
          </w:tcPr>
          <w:p w14:paraId="5862F2BE" w14:textId="77777777" w:rsidR="00666AA1" w:rsidRPr="00851E26" w:rsidRDefault="00666AA1" w:rsidP="00851E26">
            <w:pPr>
              <w:spacing w:before="40" w:after="40" w:line="360" w:lineRule="auto"/>
              <w:jc w:val="both"/>
              <w:rPr>
                <w:rFonts w:ascii="Arial" w:hAnsi="Arial" w:cs="Arial"/>
              </w:rPr>
            </w:pPr>
            <w:r w:rsidRPr="00851E26">
              <w:rPr>
                <w:rFonts w:ascii="Arial" w:eastAsia="Arial" w:hAnsi="Arial" w:cs="Arial"/>
                <w:b/>
                <w:bCs/>
                <w:color w:val="1A237E"/>
              </w:rPr>
              <w:t>Threats</w:t>
            </w:r>
          </w:p>
        </w:tc>
        <w:tc>
          <w:tcPr>
            <w:tcW w:w="2400" w:type="dxa"/>
            <w:tcBorders>
              <w:top w:val="single" w:sz="6" w:space="0" w:color="AAAAAA"/>
              <w:left w:val="single" w:sz="6" w:space="0" w:color="AAAAAA"/>
              <w:bottom w:val="single" w:sz="6" w:space="0" w:color="AAAAAA"/>
              <w:right w:val="single" w:sz="6" w:space="0" w:color="AAAAAA"/>
            </w:tcBorders>
            <w:shd w:val="clear" w:color="auto" w:fill="FFFFFF"/>
          </w:tcPr>
          <w:p w14:paraId="67073DC2" w14:textId="77777777" w:rsidR="00666AA1" w:rsidRPr="00851E26" w:rsidRDefault="00666AA1" w:rsidP="00851E26">
            <w:pPr>
              <w:spacing w:before="40" w:after="20" w:line="360" w:lineRule="auto"/>
              <w:jc w:val="both"/>
              <w:rPr>
                <w:rFonts w:ascii="Arial" w:hAnsi="Arial" w:cs="Arial"/>
              </w:rPr>
            </w:pPr>
            <w:r w:rsidRPr="00851E26">
              <w:rPr>
                <w:rFonts w:ascii="Arial" w:eastAsia="Arial" w:hAnsi="Arial" w:cs="Arial"/>
              </w:rPr>
              <w:t xml:space="preserve">• Water scarcity: </w:t>
            </w:r>
            <w:proofErr w:type="spellStart"/>
            <w:r w:rsidRPr="00851E26">
              <w:rPr>
                <w:rFonts w:ascii="Arial" w:eastAsia="Arial" w:hAnsi="Arial" w:cs="Arial"/>
              </w:rPr>
              <w:t>Escondida</w:t>
            </w:r>
            <w:proofErr w:type="spellEnd"/>
            <w:r w:rsidRPr="00851E26">
              <w:rPr>
                <w:rFonts w:ascii="Arial" w:eastAsia="Arial" w:hAnsi="Arial" w:cs="Arial"/>
              </w:rPr>
              <w:t xml:space="preserve"> US$81–93m remediation (BHP, 2024a)</w:t>
            </w:r>
          </w:p>
          <w:p w14:paraId="1BD93A68" w14:textId="77777777" w:rsidR="00666AA1" w:rsidRPr="00851E26" w:rsidRDefault="00666AA1" w:rsidP="00851E26">
            <w:pPr>
              <w:spacing w:before="20" w:after="20" w:line="360" w:lineRule="auto"/>
              <w:jc w:val="both"/>
              <w:rPr>
                <w:rFonts w:ascii="Arial" w:hAnsi="Arial" w:cs="Arial"/>
              </w:rPr>
            </w:pPr>
            <w:r w:rsidRPr="00851E26">
              <w:rPr>
                <w:rFonts w:ascii="Arial" w:eastAsia="Arial" w:hAnsi="Arial" w:cs="Arial"/>
              </w:rPr>
              <w:t>• Physical climate risk: extreme weather and mine site disruption</w:t>
            </w:r>
          </w:p>
          <w:p w14:paraId="77A27614" w14:textId="77777777" w:rsidR="00666AA1" w:rsidRPr="00851E26" w:rsidRDefault="00666AA1" w:rsidP="00851E26">
            <w:pPr>
              <w:spacing w:before="20" w:after="20" w:line="360" w:lineRule="auto"/>
              <w:jc w:val="both"/>
              <w:rPr>
                <w:rFonts w:ascii="Arial" w:hAnsi="Arial" w:cs="Arial"/>
              </w:rPr>
            </w:pPr>
            <w:r w:rsidRPr="00851E26">
              <w:rPr>
                <w:rFonts w:ascii="Arial" w:eastAsia="Arial" w:hAnsi="Arial" w:cs="Arial"/>
              </w:rPr>
              <w:t xml:space="preserve">• Scope 3 emissions: 377 </w:t>
            </w:r>
            <w:proofErr w:type="spellStart"/>
            <w:r w:rsidRPr="00851E26">
              <w:rPr>
                <w:rFonts w:ascii="Arial" w:eastAsia="Arial" w:hAnsi="Arial" w:cs="Arial"/>
              </w:rPr>
              <w:t>MtCO</w:t>
            </w:r>
            <w:proofErr w:type="spellEnd"/>
            <w:r w:rsidRPr="00851E26">
              <w:rPr>
                <w:rFonts w:ascii="Cambria Math" w:eastAsia="Arial" w:hAnsi="Cambria Math" w:cs="Cambria Math"/>
              </w:rPr>
              <w:t>₂</w:t>
            </w:r>
            <w:r w:rsidRPr="00851E26">
              <w:rPr>
                <w:rFonts w:ascii="Arial" w:eastAsia="Arial" w:hAnsi="Arial" w:cs="Arial"/>
              </w:rPr>
              <w:t>-e — 94% of total footprint (BHP, 2024b)</w:t>
            </w:r>
          </w:p>
          <w:p w14:paraId="2E98D65A" w14:textId="77777777" w:rsidR="00666AA1" w:rsidRPr="00851E26" w:rsidRDefault="00666AA1" w:rsidP="00851E26">
            <w:pPr>
              <w:spacing w:before="20" w:after="40" w:line="360" w:lineRule="auto"/>
              <w:jc w:val="both"/>
              <w:rPr>
                <w:rFonts w:ascii="Arial" w:hAnsi="Arial" w:cs="Arial"/>
              </w:rPr>
            </w:pPr>
            <w:r w:rsidRPr="00851E26">
              <w:rPr>
                <w:rFonts w:ascii="Arial" w:eastAsia="Arial" w:hAnsi="Arial" w:cs="Arial"/>
              </w:rPr>
              <w:t>• Investor and ESG scrutiny of carbon exposure</w:t>
            </w:r>
          </w:p>
        </w:tc>
        <w:tc>
          <w:tcPr>
            <w:tcW w:w="2400" w:type="dxa"/>
            <w:tcBorders>
              <w:top w:val="single" w:sz="6" w:space="0" w:color="AAAAAA"/>
              <w:left w:val="single" w:sz="6" w:space="0" w:color="AAAAAA"/>
              <w:bottom w:val="single" w:sz="6" w:space="0" w:color="AAAAAA"/>
              <w:right w:val="single" w:sz="6" w:space="0" w:color="AAAAAA"/>
            </w:tcBorders>
            <w:shd w:val="clear" w:color="auto" w:fill="FFFFFF"/>
          </w:tcPr>
          <w:p w14:paraId="3864028D" w14:textId="77777777" w:rsidR="00666AA1" w:rsidRPr="00851E26" w:rsidRDefault="00666AA1" w:rsidP="00851E26">
            <w:pPr>
              <w:spacing w:before="40" w:after="20" w:line="360" w:lineRule="auto"/>
              <w:jc w:val="both"/>
              <w:rPr>
                <w:rFonts w:ascii="Arial" w:hAnsi="Arial" w:cs="Arial"/>
              </w:rPr>
            </w:pPr>
            <w:r w:rsidRPr="00851E26">
              <w:rPr>
                <w:rFonts w:ascii="Arial" w:eastAsia="Arial" w:hAnsi="Arial" w:cs="Arial"/>
              </w:rPr>
              <w:t>• Safeguard Mechanism: 4.9% p.a. baseline decline — rising domestic carbon cost (Australian Government, 2023)</w:t>
            </w:r>
          </w:p>
          <w:p w14:paraId="6FC2BC7A" w14:textId="77777777" w:rsidR="00666AA1" w:rsidRPr="00851E26" w:rsidRDefault="00666AA1" w:rsidP="00851E26">
            <w:pPr>
              <w:spacing w:before="20" w:after="20" w:line="360" w:lineRule="auto"/>
              <w:jc w:val="both"/>
              <w:rPr>
                <w:rFonts w:ascii="Arial" w:hAnsi="Arial" w:cs="Arial"/>
              </w:rPr>
            </w:pPr>
            <w:r w:rsidRPr="00851E26">
              <w:rPr>
                <w:rFonts w:ascii="Arial" w:eastAsia="Arial" w:hAnsi="Arial" w:cs="Arial"/>
              </w:rPr>
              <w:t>• EU CBAM (January 2026): embedded carbon certificates required for iron and steel exports (European Commission, 2023)</w:t>
            </w:r>
          </w:p>
          <w:p w14:paraId="1CC58BAF" w14:textId="77777777" w:rsidR="00666AA1" w:rsidRPr="00851E26" w:rsidRDefault="00666AA1" w:rsidP="00851E26">
            <w:pPr>
              <w:spacing w:before="20" w:after="40" w:line="360" w:lineRule="auto"/>
              <w:jc w:val="both"/>
              <w:rPr>
                <w:rFonts w:ascii="Arial" w:hAnsi="Arial" w:cs="Arial"/>
              </w:rPr>
            </w:pPr>
            <w:r w:rsidRPr="00851E26">
              <w:rPr>
                <w:rFonts w:ascii="Arial" w:eastAsia="Arial" w:hAnsi="Arial" w:cs="Arial"/>
              </w:rPr>
              <w:t>• Risk of regulatory non-compliance: financial penalties and loss of operating licences</w:t>
            </w:r>
          </w:p>
        </w:tc>
        <w:tc>
          <w:tcPr>
            <w:tcW w:w="2664" w:type="dxa"/>
            <w:tcBorders>
              <w:top w:val="single" w:sz="6" w:space="0" w:color="AAAAAA"/>
              <w:left w:val="single" w:sz="6" w:space="0" w:color="AAAAAA"/>
              <w:bottom w:val="single" w:sz="6" w:space="0" w:color="AAAAAA"/>
              <w:right w:val="single" w:sz="6" w:space="0" w:color="AAAAAA"/>
            </w:tcBorders>
            <w:shd w:val="clear" w:color="auto" w:fill="FFFFFF"/>
          </w:tcPr>
          <w:p w14:paraId="618C79AF" w14:textId="77777777" w:rsidR="00666AA1" w:rsidRPr="00851E26" w:rsidRDefault="00666AA1" w:rsidP="00851E26">
            <w:pPr>
              <w:spacing w:before="40" w:after="20" w:line="360" w:lineRule="auto"/>
              <w:jc w:val="both"/>
              <w:rPr>
                <w:rFonts w:ascii="Arial" w:hAnsi="Arial" w:cs="Arial"/>
              </w:rPr>
            </w:pPr>
            <w:r w:rsidRPr="00851E26">
              <w:rPr>
                <w:rFonts w:ascii="Arial" w:eastAsia="Arial" w:hAnsi="Arial" w:cs="Arial"/>
              </w:rPr>
              <w:t xml:space="preserve">• Transition to desalinated seawater at </w:t>
            </w:r>
            <w:proofErr w:type="spellStart"/>
            <w:r w:rsidRPr="00851E26">
              <w:rPr>
                <w:rFonts w:ascii="Arial" w:eastAsia="Arial" w:hAnsi="Arial" w:cs="Arial"/>
              </w:rPr>
              <w:t>Escondida</w:t>
            </w:r>
            <w:proofErr w:type="spellEnd"/>
          </w:p>
          <w:p w14:paraId="652528DB" w14:textId="77777777" w:rsidR="00666AA1" w:rsidRPr="00851E26" w:rsidRDefault="00666AA1" w:rsidP="00851E26">
            <w:pPr>
              <w:spacing w:before="20" w:after="20" w:line="360" w:lineRule="auto"/>
              <w:jc w:val="both"/>
              <w:rPr>
                <w:rFonts w:ascii="Arial" w:hAnsi="Arial" w:cs="Arial"/>
              </w:rPr>
            </w:pPr>
            <w:r w:rsidRPr="00851E26">
              <w:rPr>
                <w:rFonts w:ascii="Arial" w:eastAsia="Arial" w:hAnsi="Arial" w:cs="Arial"/>
              </w:rPr>
              <w:t>• US$4bn committed to operational decarbonisation to FY2030 (BHP, 2024b)</w:t>
            </w:r>
          </w:p>
          <w:p w14:paraId="5D9D442E" w14:textId="77777777" w:rsidR="00666AA1" w:rsidRPr="00851E26" w:rsidRDefault="00666AA1" w:rsidP="00851E26">
            <w:pPr>
              <w:spacing w:before="20" w:after="40" w:line="360" w:lineRule="auto"/>
              <w:jc w:val="both"/>
              <w:rPr>
                <w:rFonts w:ascii="Arial" w:hAnsi="Arial" w:cs="Arial"/>
              </w:rPr>
            </w:pPr>
            <w:r w:rsidRPr="00851E26">
              <w:rPr>
                <w:rFonts w:ascii="Arial" w:eastAsia="Arial" w:hAnsi="Arial" w:cs="Arial"/>
              </w:rPr>
              <w:t>• Active ACCU and SMC procurement strategy</w:t>
            </w:r>
          </w:p>
        </w:tc>
      </w:tr>
      <w:tr w:rsidR="00666AA1" w:rsidRPr="00851E26" w14:paraId="770B442F" w14:textId="77777777" w:rsidTr="00072DE9">
        <w:tc>
          <w:tcPr>
            <w:tcW w:w="1600" w:type="dxa"/>
            <w:tcBorders>
              <w:top w:val="single" w:sz="6" w:space="0" w:color="AAAAAA"/>
              <w:left w:val="single" w:sz="6" w:space="0" w:color="AAAAAA"/>
              <w:bottom w:val="single" w:sz="6" w:space="0" w:color="AAAAAA"/>
              <w:right w:val="single" w:sz="6" w:space="0" w:color="AAAAAA"/>
            </w:tcBorders>
            <w:shd w:val="clear" w:color="auto" w:fill="F5F5F5"/>
            <w:vAlign w:val="center"/>
          </w:tcPr>
          <w:p w14:paraId="39EADD78" w14:textId="77777777" w:rsidR="00666AA1" w:rsidRPr="00851E26" w:rsidRDefault="00666AA1" w:rsidP="00851E26">
            <w:pPr>
              <w:spacing w:before="40" w:after="40" w:line="360" w:lineRule="auto"/>
              <w:jc w:val="both"/>
              <w:rPr>
                <w:rFonts w:ascii="Arial" w:hAnsi="Arial" w:cs="Arial"/>
              </w:rPr>
            </w:pPr>
            <w:r w:rsidRPr="00851E26">
              <w:rPr>
                <w:rFonts w:ascii="Arial" w:eastAsia="Arial" w:hAnsi="Arial" w:cs="Arial"/>
                <w:b/>
                <w:bCs/>
                <w:color w:val="1A237E"/>
              </w:rPr>
              <w:lastRenderedPageBreak/>
              <w:t>Opportunities</w:t>
            </w:r>
          </w:p>
        </w:tc>
        <w:tc>
          <w:tcPr>
            <w:tcW w:w="2400" w:type="dxa"/>
            <w:tcBorders>
              <w:top w:val="single" w:sz="6" w:space="0" w:color="AAAAAA"/>
              <w:left w:val="single" w:sz="6" w:space="0" w:color="AAAAAA"/>
              <w:bottom w:val="single" w:sz="6" w:space="0" w:color="AAAAAA"/>
              <w:right w:val="single" w:sz="6" w:space="0" w:color="AAAAAA"/>
            </w:tcBorders>
            <w:shd w:val="clear" w:color="auto" w:fill="F5F5F5"/>
          </w:tcPr>
          <w:p w14:paraId="023F1A17" w14:textId="77777777" w:rsidR="00666AA1" w:rsidRPr="00851E26" w:rsidRDefault="00666AA1" w:rsidP="00851E26">
            <w:pPr>
              <w:spacing w:before="40" w:after="20" w:line="360" w:lineRule="auto"/>
              <w:jc w:val="both"/>
              <w:rPr>
                <w:rFonts w:ascii="Arial" w:hAnsi="Arial" w:cs="Arial"/>
              </w:rPr>
            </w:pPr>
            <w:r w:rsidRPr="00851E26">
              <w:rPr>
                <w:rFonts w:ascii="Arial" w:eastAsia="Arial" w:hAnsi="Arial" w:cs="Arial"/>
              </w:rPr>
              <w:t>• Rising copper demand from electrification and renewable energy (</w:t>
            </w:r>
            <w:proofErr w:type="spellStart"/>
            <w:r w:rsidRPr="00851E26">
              <w:rPr>
                <w:rFonts w:ascii="Arial" w:eastAsia="Arial" w:hAnsi="Arial" w:cs="Arial"/>
              </w:rPr>
              <w:t>Amegboleza</w:t>
            </w:r>
            <w:proofErr w:type="spellEnd"/>
            <w:r w:rsidRPr="00851E26">
              <w:rPr>
                <w:rFonts w:ascii="Arial" w:eastAsia="Arial" w:hAnsi="Arial" w:cs="Arial"/>
              </w:rPr>
              <w:t xml:space="preserve"> and Ülkü, 2025)</w:t>
            </w:r>
          </w:p>
          <w:p w14:paraId="49D8A17F" w14:textId="77777777" w:rsidR="00666AA1" w:rsidRPr="00851E26" w:rsidRDefault="00666AA1" w:rsidP="00851E26">
            <w:pPr>
              <w:spacing w:before="20" w:after="20" w:line="360" w:lineRule="auto"/>
              <w:jc w:val="both"/>
              <w:rPr>
                <w:rFonts w:ascii="Arial" w:hAnsi="Arial" w:cs="Arial"/>
              </w:rPr>
            </w:pPr>
            <w:r w:rsidRPr="00851E26">
              <w:rPr>
                <w:rFonts w:ascii="Arial" w:eastAsia="Arial" w:hAnsi="Arial" w:cs="Arial"/>
              </w:rPr>
              <w:t>• EV-driven growth in battery-grade nickel demand</w:t>
            </w:r>
          </w:p>
          <w:p w14:paraId="16B8675F" w14:textId="2118C413" w:rsidR="00666AA1" w:rsidRPr="00851E26" w:rsidRDefault="00666AA1" w:rsidP="00851E26">
            <w:pPr>
              <w:spacing w:before="20" w:after="20" w:line="360" w:lineRule="auto"/>
              <w:jc w:val="both"/>
              <w:rPr>
                <w:rFonts w:ascii="Arial" w:hAnsi="Arial" w:cs="Arial"/>
              </w:rPr>
            </w:pPr>
            <w:r w:rsidRPr="00851E26">
              <w:rPr>
                <w:rFonts w:ascii="Arial" w:eastAsia="Arial" w:hAnsi="Arial" w:cs="Arial"/>
              </w:rPr>
              <w:t xml:space="preserve">• Pilbara ore </w:t>
            </w:r>
            <w:r w:rsidR="00EC2FDE" w:rsidRPr="00851E26">
              <w:rPr>
                <w:rFonts w:ascii="Arial" w:eastAsia="Arial" w:hAnsi="Arial" w:cs="Arial"/>
              </w:rPr>
              <w:t xml:space="preserve">is </w:t>
            </w:r>
            <w:r w:rsidRPr="00851E26">
              <w:rPr>
                <w:rFonts w:ascii="Arial" w:eastAsia="Arial" w:hAnsi="Arial" w:cs="Arial"/>
              </w:rPr>
              <w:t xml:space="preserve">compatible with </w:t>
            </w:r>
            <w:r w:rsidR="00EC2FDE" w:rsidRPr="00851E26">
              <w:rPr>
                <w:rFonts w:ascii="Arial" w:eastAsia="Arial" w:hAnsi="Arial" w:cs="Arial"/>
              </w:rPr>
              <w:t xml:space="preserve">the </w:t>
            </w:r>
            <w:r w:rsidRPr="00851E26">
              <w:rPr>
                <w:rFonts w:ascii="Arial" w:eastAsia="Arial" w:hAnsi="Arial" w:cs="Arial"/>
              </w:rPr>
              <w:t>DRI-ESF green-steel production route</w:t>
            </w:r>
          </w:p>
          <w:p w14:paraId="3B627703" w14:textId="77777777" w:rsidR="00666AA1" w:rsidRPr="00851E26" w:rsidRDefault="00666AA1" w:rsidP="00851E26">
            <w:pPr>
              <w:spacing w:before="20" w:after="40" w:line="360" w:lineRule="auto"/>
              <w:jc w:val="both"/>
              <w:rPr>
                <w:rFonts w:ascii="Arial" w:hAnsi="Arial" w:cs="Arial"/>
              </w:rPr>
            </w:pPr>
            <w:r w:rsidRPr="00851E26">
              <w:rPr>
                <w:rFonts w:ascii="Arial" w:eastAsia="Arial" w:hAnsi="Arial" w:cs="Arial"/>
              </w:rPr>
              <w:t>• First-mover positioning in low-carbon mining technology</w:t>
            </w:r>
          </w:p>
        </w:tc>
        <w:tc>
          <w:tcPr>
            <w:tcW w:w="2400" w:type="dxa"/>
            <w:tcBorders>
              <w:top w:val="single" w:sz="6" w:space="0" w:color="AAAAAA"/>
              <w:left w:val="single" w:sz="6" w:space="0" w:color="AAAAAA"/>
              <w:bottom w:val="single" w:sz="6" w:space="0" w:color="AAAAAA"/>
              <w:right w:val="single" w:sz="6" w:space="0" w:color="AAAAAA"/>
            </w:tcBorders>
            <w:shd w:val="clear" w:color="auto" w:fill="F5F5F5"/>
          </w:tcPr>
          <w:p w14:paraId="4B7C7D37" w14:textId="4E26D6DB" w:rsidR="00666AA1" w:rsidRPr="00851E26" w:rsidRDefault="00666AA1" w:rsidP="00851E26">
            <w:pPr>
              <w:spacing w:before="40" w:after="20" w:line="360" w:lineRule="auto"/>
              <w:jc w:val="both"/>
              <w:rPr>
                <w:rFonts w:ascii="Arial" w:hAnsi="Arial" w:cs="Arial"/>
              </w:rPr>
            </w:pPr>
            <w:r w:rsidRPr="00851E26">
              <w:rPr>
                <w:rFonts w:ascii="Arial" w:eastAsia="Arial" w:hAnsi="Arial" w:cs="Arial"/>
              </w:rPr>
              <w:t xml:space="preserve">• CBAM creates </w:t>
            </w:r>
            <w:r w:rsidR="00EC2FDE" w:rsidRPr="00851E26">
              <w:rPr>
                <w:rFonts w:ascii="Arial" w:eastAsia="Arial" w:hAnsi="Arial" w:cs="Arial"/>
              </w:rPr>
              <w:t xml:space="preserve">a </w:t>
            </w:r>
            <w:r w:rsidRPr="00851E26">
              <w:rPr>
                <w:rFonts w:ascii="Arial" w:eastAsia="Arial" w:hAnsi="Arial" w:cs="Arial"/>
              </w:rPr>
              <w:t xml:space="preserve">preferred-supplier advantage for low-carbon iron ore producers (Ellis, Nachtigall and </w:t>
            </w:r>
            <w:proofErr w:type="spellStart"/>
            <w:r w:rsidRPr="00851E26">
              <w:rPr>
                <w:rFonts w:ascii="Arial" w:eastAsia="Arial" w:hAnsi="Arial" w:cs="Arial"/>
              </w:rPr>
              <w:t>Venmans</w:t>
            </w:r>
            <w:proofErr w:type="spellEnd"/>
            <w:r w:rsidRPr="00851E26">
              <w:rPr>
                <w:rFonts w:ascii="Arial" w:eastAsia="Arial" w:hAnsi="Arial" w:cs="Arial"/>
              </w:rPr>
              <w:t>, 2020)</w:t>
            </w:r>
          </w:p>
          <w:p w14:paraId="01DC79A1" w14:textId="77777777" w:rsidR="00666AA1" w:rsidRPr="00851E26" w:rsidRDefault="00666AA1" w:rsidP="00851E26">
            <w:pPr>
              <w:spacing w:before="20" w:after="20" w:line="360" w:lineRule="auto"/>
              <w:jc w:val="both"/>
              <w:rPr>
                <w:rFonts w:ascii="Arial" w:hAnsi="Arial" w:cs="Arial"/>
              </w:rPr>
            </w:pPr>
            <w:r w:rsidRPr="00851E26">
              <w:rPr>
                <w:rFonts w:ascii="Arial" w:eastAsia="Arial" w:hAnsi="Arial" w:cs="Arial"/>
              </w:rPr>
              <w:t>• SMC revenue generation through early abatement investment</w:t>
            </w:r>
          </w:p>
          <w:p w14:paraId="0232D661" w14:textId="77777777" w:rsidR="00666AA1" w:rsidRPr="00851E26" w:rsidRDefault="00666AA1" w:rsidP="00851E26">
            <w:pPr>
              <w:spacing w:before="20" w:after="40" w:line="360" w:lineRule="auto"/>
              <w:jc w:val="both"/>
              <w:rPr>
                <w:rFonts w:ascii="Arial" w:hAnsi="Arial" w:cs="Arial"/>
              </w:rPr>
            </w:pPr>
            <w:r w:rsidRPr="00851E26">
              <w:rPr>
                <w:rFonts w:ascii="Arial" w:eastAsia="Arial" w:hAnsi="Arial" w:cs="Arial"/>
              </w:rPr>
              <w:t>• Regulatory alignment strengthens B2B relationships with Scope 3-conscious steelmakers</w:t>
            </w:r>
          </w:p>
        </w:tc>
        <w:tc>
          <w:tcPr>
            <w:tcW w:w="2664" w:type="dxa"/>
            <w:tcBorders>
              <w:top w:val="single" w:sz="6" w:space="0" w:color="AAAAAA"/>
              <w:left w:val="single" w:sz="6" w:space="0" w:color="AAAAAA"/>
              <w:bottom w:val="single" w:sz="6" w:space="0" w:color="AAAAAA"/>
              <w:right w:val="single" w:sz="6" w:space="0" w:color="AAAAAA"/>
            </w:tcBorders>
            <w:shd w:val="clear" w:color="auto" w:fill="F5F5F5"/>
          </w:tcPr>
          <w:p w14:paraId="73570641" w14:textId="77777777" w:rsidR="00666AA1" w:rsidRPr="00851E26" w:rsidRDefault="00666AA1" w:rsidP="00851E26">
            <w:pPr>
              <w:spacing w:before="40" w:after="20" w:line="360" w:lineRule="auto"/>
              <w:jc w:val="both"/>
              <w:rPr>
                <w:rFonts w:ascii="Arial" w:hAnsi="Arial" w:cs="Arial"/>
              </w:rPr>
            </w:pPr>
            <w:r w:rsidRPr="00851E26">
              <w:rPr>
                <w:rFonts w:ascii="Arial" w:eastAsia="Arial" w:hAnsi="Arial" w:cs="Arial"/>
              </w:rPr>
              <w:t xml:space="preserve">• </w:t>
            </w:r>
            <w:proofErr w:type="spellStart"/>
            <w:r w:rsidRPr="00851E26">
              <w:rPr>
                <w:rFonts w:ascii="Arial" w:eastAsia="Arial" w:hAnsi="Arial" w:cs="Arial"/>
              </w:rPr>
              <w:t>NeoSmelt</w:t>
            </w:r>
            <w:proofErr w:type="spellEnd"/>
            <w:r w:rsidRPr="00851E26">
              <w:rPr>
                <w:rFonts w:ascii="Arial" w:eastAsia="Arial" w:hAnsi="Arial" w:cs="Arial"/>
              </w:rPr>
              <w:t xml:space="preserve"> pilot — DRI-ESF green iron, &gt;80% CO</w:t>
            </w:r>
            <w:r w:rsidRPr="00851E26">
              <w:rPr>
                <w:rFonts w:ascii="Cambria Math" w:eastAsia="Arial" w:hAnsi="Cambria Math" w:cs="Cambria Math"/>
              </w:rPr>
              <w:t>₂</w:t>
            </w:r>
            <w:r w:rsidRPr="00851E26">
              <w:rPr>
                <w:rFonts w:ascii="Arial" w:eastAsia="Arial" w:hAnsi="Arial" w:cs="Arial"/>
              </w:rPr>
              <w:t xml:space="preserve"> reduction (BHP, 2024b)</w:t>
            </w:r>
          </w:p>
          <w:p w14:paraId="6C97D33B" w14:textId="77777777" w:rsidR="00666AA1" w:rsidRPr="00851E26" w:rsidRDefault="00666AA1" w:rsidP="00851E26">
            <w:pPr>
              <w:spacing w:before="20" w:after="20" w:line="360" w:lineRule="auto"/>
              <w:jc w:val="both"/>
              <w:rPr>
                <w:rFonts w:ascii="Arial" w:hAnsi="Arial" w:cs="Arial"/>
              </w:rPr>
            </w:pPr>
            <w:r w:rsidRPr="00851E26">
              <w:rPr>
                <w:rFonts w:ascii="Arial" w:eastAsia="Arial" w:hAnsi="Arial" w:cs="Arial"/>
              </w:rPr>
              <w:t>• Nickel West / Tesla battery-grade nickel supply agreement</w:t>
            </w:r>
          </w:p>
          <w:p w14:paraId="178F7F17" w14:textId="77777777" w:rsidR="00666AA1" w:rsidRPr="00851E26" w:rsidRDefault="00666AA1" w:rsidP="00851E26">
            <w:pPr>
              <w:spacing w:before="20" w:after="40" w:line="360" w:lineRule="auto"/>
              <w:jc w:val="both"/>
              <w:rPr>
                <w:rFonts w:ascii="Arial" w:hAnsi="Arial" w:cs="Arial"/>
              </w:rPr>
            </w:pPr>
            <w:r w:rsidRPr="00851E26">
              <w:rPr>
                <w:rFonts w:ascii="Arial" w:eastAsia="Arial" w:hAnsi="Arial" w:cs="Arial"/>
              </w:rPr>
              <w:t>• Renewable PPAs reducing Scope 2 emissions in Australia and Chile</w:t>
            </w:r>
          </w:p>
        </w:tc>
      </w:tr>
      <w:tr w:rsidR="00666AA1" w:rsidRPr="00851E26" w14:paraId="6D5357E3" w14:textId="77777777" w:rsidTr="00072DE9">
        <w:tc>
          <w:tcPr>
            <w:tcW w:w="9064" w:type="dxa"/>
            <w:gridSpan w:val="4"/>
            <w:tcBorders>
              <w:top w:val="single" w:sz="6" w:space="0" w:color="AAAAAA"/>
              <w:left w:val="single" w:sz="6" w:space="0" w:color="AAAAAA"/>
              <w:bottom w:val="single" w:sz="6" w:space="0" w:color="AAAAAA"/>
              <w:right w:val="single" w:sz="6" w:space="0" w:color="AAAAAA"/>
            </w:tcBorders>
            <w:shd w:val="clear" w:color="auto" w:fill="FFFFFF"/>
          </w:tcPr>
          <w:p w14:paraId="0643AD13" w14:textId="77777777" w:rsidR="00666AA1" w:rsidRPr="00851E26" w:rsidRDefault="00666AA1" w:rsidP="00851E26">
            <w:pPr>
              <w:spacing w:before="40" w:after="40" w:line="360" w:lineRule="auto"/>
              <w:jc w:val="both"/>
              <w:rPr>
                <w:rFonts w:ascii="Arial" w:hAnsi="Arial" w:cs="Arial"/>
              </w:rPr>
            </w:pPr>
            <w:r w:rsidRPr="00851E26">
              <w:rPr>
                <w:rFonts w:ascii="Arial" w:eastAsia="Arial" w:hAnsi="Arial" w:cs="Arial"/>
                <w:i/>
                <w:iCs/>
                <w:color w:val="555555"/>
              </w:rPr>
              <w:t xml:space="preserve">Source: Adapted from BHP (2024a); BHP (2024b); Australian Government (2023); European Commission (2023); </w:t>
            </w:r>
            <w:proofErr w:type="spellStart"/>
            <w:r w:rsidRPr="00851E26">
              <w:rPr>
                <w:rFonts w:ascii="Arial" w:eastAsia="Arial" w:hAnsi="Arial" w:cs="Arial"/>
                <w:i/>
                <w:iCs/>
                <w:color w:val="555555"/>
              </w:rPr>
              <w:t>Amegboleza</w:t>
            </w:r>
            <w:proofErr w:type="spellEnd"/>
            <w:r w:rsidRPr="00851E26">
              <w:rPr>
                <w:rFonts w:ascii="Arial" w:eastAsia="Arial" w:hAnsi="Arial" w:cs="Arial"/>
                <w:i/>
                <w:iCs/>
                <w:color w:val="555555"/>
              </w:rPr>
              <w:t xml:space="preserve"> and Ülkü (2025); Ellis, Nachtigall and </w:t>
            </w:r>
            <w:proofErr w:type="spellStart"/>
            <w:r w:rsidRPr="00851E26">
              <w:rPr>
                <w:rFonts w:ascii="Arial" w:eastAsia="Arial" w:hAnsi="Arial" w:cs="Arial"/>
                <w:i/>
                <w:iCs/>
                <w:color w:val="555555"/>
              </w:rPr>
              <w:t>Venmans</w:t>
            </w:r>
            <w:proofErr w:type="spellEnd"/>
            <w:r w:rsidRPr="00851E26">
              <w:rPr>
                <w:rFonts w:ascii="Arial" w:eastAsia="Arial" w:hAnsi="Arial" w:cs="Arial"/>
                <w:i/>
                <w:iCs/>
                <w:color w:val="555555"/>
              </w:rPr>
              <w:t xml:space="preserve"> (2020)</w:t>
            </w:r>
          </w:p>
        </w:tc>
      </w:tr>
    </w:tbl>
    <w:p w14:paraId="0DC9A3AD" w14:textId="77777777" w:rsidR="00ED51F6" w:rsidRPr="00851E26" w:rsidRDefault="00ED51F6" w:rsidP="00851E26">
      <w:pPr>
        <w:spacing w:line="360" w:lineRule="auto"/>
        <w:jc w:val="both"/>
        <w:rPr>
          <w:rFonts w:ascii="Arial" w:hAnsi="Arial" w:cs="Arial"/>
        </w:rPr>
      </w:pPr>
    </w:p>
    <w:p w14:paraId="38CCFD79" w14:textId="213E9641" w:rsidR="00ED51F6" w:rsidRPr="00851E26" w:rsidRDefault="00ED51F6" w:rsidP="00851E26">
      <w:pPr>
        <w:pStyle w:val="Heading1"/>
        <w:spacing w:line="360" w:lineRule="auto"/>
        <w:jc w:val="both"/>
        <w:rPr>
          <w:sz w:val="24"/>
          <w:szCs w:val="24"/>
        </w:rPr>
      </w:pPr>
      <w:bookmarkStart w:id="5" w:name="_Toc235309816"/>
      <w:r w:rsidRPr="00851E26">
        <w:rPr>
          <w:sz w:val="24"/>
          <w:szCs w:val="24"/>
        </w:rPr>
        <w:t>TASK 2: STRATEGIC GROWTH AND COMPETITIVE POSITIONING</w:t>
      </w:r>
      <w:bookmarkEnd w:id="5"/>
    </w:p>
    <w:p w14:paraId="2B24D237" w14:textId="77777777" w:rsidR="00ED51F6" w:rsidRPr="00851E26" w:rsidRDefault="00ED51F6" w:rsidP="00851E26">
      <w:pPr>
        <w:pStyle w:val="Heading2"/>
        <w:spacing w:line="360" w:lineRule="auto"/>
        <w:jc w:val="both"/>
        <w:rPr>
          <w:sz w:val="24"/>
          <w:szCs w:val="24"/>
        </w:rPr>
      </w:pPr>
      <w:bookmarkStart w:id="6" w:name="_Toc235309817"/>
      <w:r w:rsidRPr="00851E26">
        <w:rPr>
          <w:sz w:val="24"/>
          <w:szCs w:val="24"/>
        </w:rPr>
        <w:t>2. Strategic Growth and Competitive Positioning</w:t>
      </w:r>
      <w:bookmarkEnd w:id="6"/>
    </w:p>
    <w:p w14:paraId="3EA157DB" w14:textId="44A0D00E" w:rsidR="00ED51F6" w:rsidRPr="00851E26" w:rsidRDefault="000D55E4" w:rsidP="00851E26">
      <w:pPr>
        <w:spacing w:line="360" w:lineRule="auto"/>
        <w:jc w:val="both"/>
        <w:rPr>
          <w:rFonts w:ascii="Arial" w:hAnsi="Arial" w:cs="Arial"/>
        </w:rPr>
      </w:pPr>
      <w:r w:rsidRPr="00851E26">
        <w:rPr>
          <w:rFonts w:ascii="Arial" w:hAnsi="Arial" w:cs="Arial"/>
        </w:rPr>
        <w:t xml:space="preserve">This section is based on the </w:t>
      </w:r>
      <w:r w:rsidR="00EC2FDE" w:rsidRPr="00851E26">
        <w:rPr>
          <w:rFonts w:ascii="Arial" w:hAnsi="Arial" w:cs="Arial"/>
        </w:rPr>
        <w:t>environmental</w:t>
      </w:r>
      <w:r w:rsidRPr="00851E26">
        <w:rPr>
          <w:rFonts w:ascii="Arial" w:hAnsi="Arial" w:cs="Arial"/>
        </w:rPr>
        <w:t xml:space="preserve"> analysis (Task 1) and proposes a strategic growth strategy of BHP based on the Ansoff Matrix, </w:t>
      </w:r>
      <w:r w:rsidR="00EC2FDE" w:rsidRPr="00851E26">
        <w:rPr>
          <w:rFonts w:ascii="Arial" w:hAnsi="Arial" w:cs="Arial"/>
        </w:rPr>
        <w:t>so that</w:t>
      </w:r>
      <w:r w:rsidRPr="00851E26">
        <w:rPr>
          <w:rFonts w:ascii="Arial" w:hAnsi="Arial" w:cs="Arial"/>
        </w:rPr>
        <w:t xml:space="preserve"> the organisation can maintain its competitive advantage based on </w:t>
      </w:r>
      <w:r w:rsidR="00EC2FDE" w:rsidRPr="00851E26">
        <w:rPr>
          <w:rFonts w:ascii="Arial" w:hAnsi="Arial" w:cs="Arial"/>
        </w:rPr>
        <w:t>Porter's</w:t>
      </w:r>
      <w:r w:rsidRPr="00851E26">
        <w:rPr>
          <w:rFonts w:ascii="Arial" w:hAnsi="Arial" w:cs="Arial"/>
        </w:rPr>
        <w:t xml:space="preserve"> Generic Strategies in its shift to a lower-carbon business model.</w:t>
      </w:r>
    </w:p>
    <w:p w14:paraId="4EB43829" w14:textId="02B779EC" w:rsidR="00ED51F6" w:rsidRPr="00851E26" w:rsidRDefault="00ED51F6" w:rsidP="00851E26">
      <w:pPr>
        <w:spacing w:line="360" w:lineRule="auto"/>
        <w:jc w:val="both"/>
        <w:rPr>
          <w:rFonts w:ascii="Arial" w:hAnsi="Arial" w:cs="Arial"/>
        </w:rPr>
      </w:pPr>
    </w:p>
    <w:p w14:paraId="72DB614C" w14:textId="77777777" w:rsidR="00ED51F6" w:rsidRPr="00851E26" w:rsidRDefault="00ED51F6" w:rsidP="00851E26">
      <w:pPr>
        <w:pStyle w:val="Heading2"/>
        <w:spacing w:line="360" w:lineRule="auto"/>
        <w:jc w:val="both"/>
        <w:rPr>
          <w:sz w:val="24"/>
          <w:szCs w:val="24"/>
        </w:rPr>
      </w:pPr>
      <w:bookmarkStart w:id="7" w:name="_Toc235309818"/>
      <w:r w:rsidRPr="00851E26">
        <w:rPr>
          <w:sz w:val="24"/>
          <w:szCs w:val="24"/>
        </w:rPr>
        <w:lastRenderedPageBreak/>
        <w:t>2.1 Strategic Growth Recommendation: The Ansoff Matrix</w:t>
      </w:r>
      <w:bookmarkEnd w:id="7"/>
    </w:p>
    <w:p w14:paraId="322E7B2C" w14:textId="7C73CF4A" w:rsidR="00C65791" w:rsidRPr="00851E26" w:rsidRDefault="000D55E4" w:rsidP="00851E26">
      <w:pPr>
        <w:spacing w:line="360" w:lineRule="auto"/>
        <w:jc w:val="both"/>
        <w:rPr>
          <w:rFonts w:ascii="Arial" w:hAnsi="Arial" w:cs="Arial"/>
        </w:rPr>
      </w:pPr>
      <w:r w:rsidRPr="00851E26">
        <w:rPr>
          <w:rFonts w:ascii="Arial" w:hAnsi="Arial" w:cs="Arial"/>
        </w:rPr>
        <w:t xml:space="preserve">The Ansoff Matrix is a systematic model </w:t>
      </w:r>
      <w:r w:rsidR="00EC2FDE" w:rsidRPr="00851E26">
        <w:rPr>
          <w:rFonts w:ascii="Arial" w:hAnsi="Arial" w:cs="Arial"/>
        </w:rPr>
        <w:t>for</w:t>
      </w:r>
      <w:r w:rsidRPr="00851E26">
        <w:rPr>
          <w:rFonts w:ascii="Arial" w:hAnsi="Arial" w:cs="Arial"/>
        </w:rPr>
        <w:t xml:space="preserve"> determining the opportunities in corporate growth by plotting </w:t>
      </w:r>
      <w:r w:rsidR="00EC2FDE" w:rsidRPr="00851E26">
        <w:rPr>
          <w:rFonts w:ascii="Arial" w:hAnsi="Arial" w:cs="Arial"/>
        </w:rPr>
        <w:t xml:space="preserve">the </w:t>
      </w:r>
      <w:r w:rsidRPr="00851E26">
        <w:rPr>
          <w:rFonts w:ascii="Arial" w:hAnsi="Arial" w:cs="Arial"/>
        </w:rPr>
        <w:t xml:space="preserve">products and markets relationship in four strategic </w:t>
      </w:r>
      <w:r w:rsidR="00EC2FDE" w:rsidRPr="00851E26">
        <w:rPr>
          <w:rFonts w:ascii="Arial" w:hAnsi="Arial" w:cs="Arial"/>
        </w:rPr>
        <w:t>quadrants</w:t>
      </w:r>
      <w:r w:rsidRPr="00851E26">
        <w:rPr>
          <w:rFonts w:ascii="Arial" w:hAnsi="Arial" w:cs="Arial"/>
        </w:rPr>
        <w:t xml:space="preserve">: Market Penetration, Market Development, Product Development, and Diversification (Kotler et al., 2024). The lower-carbon transition strategy of BHP, as shown in Figure 1 below, is applied to the four quadrants of the Ansoff Matrix. </w:t>
      </w:r>
    </w:p>
    <w:p w14:paraId="50EE2936" w14:textId="6726403D" w:rsidR="00C65791" w:rsidRPr="00851E26" w:rsidRDefault="00D906E0" w:rsidP="00851E26">
      <w:pPr>
        <w:spacing w:line="360" w:lineRule="auto"/>
        <w:jc w:val="both"/>
        <w:rPr>
          <w:rFonts w:ascii="Arial" w:hAnsi="Arial" w:cs="Arial"/>
        </w:rPr>
      </w:pPr>
      <w:r>
        <w:rPr>
          <w:rFonts w:ascii="Arial" w:hAnsi="Arial" w:cs="Arial"/>
          <w:noProof/>
        </w:rPr>
        <w:drawing>
          <wp:inline distT="0" distB="0" distL="0" distR="0" wp14:anchorId="606CF210" wp14:editId="6B73C80B">
            <wp:extent cx="5708527" cy="3157412"/>
            <wp:effectExtent l="0" t="0" r="6985" b="5080"/>
            <wp:docPr id="19182343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5737392" cy="3173377"/>
                    </a:xfrm>
                    <a:prstGeom prst="rect">
                      <a:avLst/>
                    </a:prstGeom>
                    <a:noFill/>
                    <a:ln>
                      <a:noFill/>
                    </a:ln>
                    <a:extLst>
                      <a:ext uri="{53640926-AAD7-44D8-BBD7-CCE9431645EC}">
                        <a14:shadowObscured xmlns:a14="http://schemas.microsoft.com/office/drawing/2010/main"/>
                      </a:ext>
                    </a:extLst>
                  </pic:spPr>
                </pic:pic>
              </a:graphicData>
            </a:graphic>
          </wp:inline>
        </w:drawing>
      </w:r>
    </w:p>
    <w:p w14:paraId="7130A469" w14:textId="1A406841" w:rsidR="00C65791" w:rsidRPr="00851E26" w:rsidRDefault="003764D0" w:rsidP="002758A2">
      <w:pPr>
        <w:spacing w:line="360" w:lineRule="auto"/>
        <w:jc w:val="both"/>
        <w:rPr>
          <w:rFonts w:ascii="Arial" w:hAnsi="Arial" w:cs="Arial"/>
        </w:rPr>
      </w:pPr>
      <w:r w:rsidRPr="00851E26">
        <w:rPr>
          <w:rFonts w:ascii="Arial" w:hAnsi="Arial" w:cs="Arial"/>
          <w:i/>
          <w:iCs/>
        </w:rPr>
        <w:t>Figure 1: Ansoff Matrix — BHP Strategic Growth Options</w:t>
      </w:r>
      <w:r w:rsidR="00375A51" w:rsidRPr="00851E26">
        <w:rPr>
          <w:rFonts w:ascii="Arial" w:hAnsi="Arial" w:cs="Arial"/>
          <w:i/>
          <w:iCs/>
        </w:rPr>
        <w:t xml:space="preserve"> </w:t>
      </w:r>
      <w:r w:rsidRPr="00851E26">
        <w:rPr>
          <w:rFonts w:ascii="Arial" w:hAnsi="Arial" w:cs="Arial"/>
        </w:rPr>
        <w:br/>
      </w:r>
      <w:r w:rsidRPr="00851E26">
        <w:rPr>
          <w:rFonts w:ascii="Arial" w:hAnsi="Arial" w:cs="Arial"/>
          <w:i/>
          <w:iCs/>
        </w:rPr>
        <w:t xml:space="preserve">(Source: Adapted from Kotler et al., 2024; BHP, 2024a; BHP, 2024b; </w:t>
      </w:r>
      <w:proofErr w:type="spellStart"/>
      <w:r w:rsidRPr="00851E26">
        <w:rPr>
          <w:rFonts w:ascii="Arial" w:hAnsi="Arial" w:cs="Arial"/>
          <w:i/>
          <w:iCs/>
        </w:rPr>
        <w:t>Rutenko</w:t>
      </w:r>
      <w:proofErr w:type="spellEnd"/>
      <w:r w:rsidRPr="00851E26">
        <w:rPr>
          <w:rFonts w:ascii="Arial" w:hAnsi="Arial" w:cs="Arial"/>
          <w:i/>
          <w:iCs/>
        </w:rPr>
        <w:t>, 2022)</w:t>
      </w:r>
    </w:p>
    <w:p w14:paraId="653089BB" w14:textId="69AB5E48" w:rsidR="00ED51F6" w:rsidRPr="00851E26" w:rsidRDefault="000D55E4" w:rsidP="00851E26">
      <w:pPr>
        <w:spacing w:line="360" w:lineRule="auto"/>
        <w:jc w:val="both"/>
        <w:rPr>
          <w:rFonts w:ascii="Arial" w:hAnsi="Arial" w:cs="Arial"/>
        </w:rPr>
      </w:pPr>
      <w:r w:rsidRPr="00851E26">
        <w:rPr>
          <w:rFonts w:ascii="Arial" w:hAnsi="Arial" w:cs="Arial"/>
        </w:rPr>
        <w:t xml:space="preserve">Applied to </w:t>
      </w:r>
      <w:r w:rsidR="00EC2FDE" w:rsidRPr="00851E26">
        <w:rPr>
          <w:rFonts w:ascii="Arial" w:hAnsi="Arial" w:cs="Arial"/>
        </w:rPr>
        <w:t xml:space="preserve">the </w:t>
      </w:r>
      <w:r w:rsidRPr="00851E26">
        <w:rPr>
          <w:rFonts w:ascii="Arial" w:hAnsi="Arial" w:cs="Arial"/>
        </w:rPr>
        <w:t xml:space="preserve">lower-carbon transition at BHP, the framework provides a </w:t>
      </w:r>
      <w:r w:rsidR="004E3603" w:rsidRPr="00851E26">
        <w:rPr>
          <w:rFonts w:ascii="Arial" w:hAnsi="Arial" w:cs="Arial"/>
        </w:rPr>
        <w:t>rigorous lens</w:t>
      </w:r>
      <w:r w:rsidRPr="00851E26">
        <w:rPr>
          <w:rFonts w:ascii="Arial" w:hAnsi="Arial" w:cs="Arial"/>
        </w:rPr>
        <w:t xml:space="preserve"> through which one can consider growth opportunities with the natural and regulatory pressures that were outlined in Task 1.</w:t>
      </w:r>
    </w:p>
    <w:p w14:paraId="1220C525" w14:textId="538B5CA4" w:rsidR="00ED51F6" w:rsidRPr="00851E26" w:rsidRDefault="000D55E4" w:rsidP="00851E26">
      <w:pPr>
        <w:spacing w:line="360" w:lineRule="auto"/>
        <w:jc w:val="both"/>
        <w:rPr>
          <w:rFonts w:ascii="Arial" w:hAnsi="Arial" w:cs="Arial"/>
        </w:rPr>
      </w:pPr>
      <w:r w:rsidRPr="00851E26">
        <w:rPr>
          <w:rFonts w:ascii="Arial" w:hAnsi="Arial" w:cs="Arial"/>
        </w:rPr>
        <w:t>This is where the company puts the most suitable quadrant on the strategy of BHP under development of new products (or re-development) in terms of existing markets and customer ties. This suggestion is based on a combination of three forces</w:t>
      </w:r>
      <w:r w:rsidR="00EC2FDE" w:rsidRPr="00851E26">
        <w:rPr>
          <w:rFonts w:ascii="Arial" w:hAnsi="Arial" w:cs="Arial"/>
        </w:rPr>
        <w:t>:</w:t>
      </w:r>
      <w:r w:rsidRPr="00851E26">
        <w:rPr>
          <w:rFonts w:ascii="Arial" w:hAnsi="Arial" w:cs="Arial"/>
        </w:rPr>
        <w:t xml:space="preserve"> the physical climate pressures that dictate the need to demand lower-carbon materials, regulatory requirements within the Safeguard Mechanism and CBAM, and the current market relationship between BHP and the global steelmakers and battery-makers. </w:t>
      </w:r>
      <w:proofErr w:type="spellStart"/>
      <w:r w:rsidRPr="00851E26">
        <w:rPr>
          <w:rFonts w:ascii="Arial" w:hAnsi="Arial" w:cs="Arial"/>
        </w:rPr>
        <w:t>Rutenko</w:t>
      </w:r>
      <w:proofErr w:type="spellEnd"/>
      <w:r w:rsidRPr="00851E26">
        <w:rPr>
          <w:rFonts w:ascii="Arial" w:hAnsi="Arial" w:cs="Arial"/>
        </w:rPr>
        <w:t xml:space="preserve"> (2022) asserts </w:t>
      </w:r>
      <w:r w:rsidR="00EC2FDE" w:rsidRPr="00851E26">
        <w:rPr>
          <w:rFonts w:ascii="Arial" w:hAnsi="Arial" w:cs="Arial"/>
        </w:rPr>
        <w:t xml:space="preserve">that </w:t>
      </w:r>
      <w:r w:rsidRPr="00851E26">
        <w:rPr>
          <w:rFonts w:ascii="Arial" w:hAnsi="Arial" w:cs="Arial"/>
        </w:rPr>
        <w:t xml:space="preserve">Product Development </w:t>
      </w:r>
      <w:r w:rsidR="00EC2FDE" w:rsidRPr="00851E26">
        <w:rPr>
          <w:rFonts w:ascii="Arial" w:hAnsi="Arial" w:cs="Arial"/>
        </w:rPr>
        <w:t>is</w:t>
      </w:r>
      <w:r w:rsidRPr="00851E26">
        <w:rPr>
          <w:rFonts w:ascii="Arial" w:hAnsi="Arial" w:cs="Arial"/>
        </w:rPr>
        <w:t xml:space="preserve"> the prevailing growth strategy of the carbon-intensive resource companies in the energy transition, claiming that the </w:t>
      </w:r>
      <w:r w:rsidRPr="00851E26">
        <w:rPr>
          <w:rFonts w:ascii="Arial" w:hAnsi="Arial" w:cs="Arial"/>
        </w:rPr>
        <w:lastRenderedPageBreak/>
        <w:t>companies investing in the new lower-emitting products to serve the existing industrial clientele will be in a better position to maintain access to the market as carbon regulation tightens.</w:t>
      </w:r>
    </w:p>
    <w:p w14:paraId="0E37D9BC" w14:textId="66D5E627" w:rsidR="00ED51F6" w:rsidRPr="00851E26" w:rsidRDefault="000D55E4" w:rsidP="00851E26">
      <w:pPr>
        <w:spacing w:line="360" w:lineRule="auto"/>
        <w:jc w:val="both"/>
        <w:rPr>
          <w:rFonts w:ascii="Arial" w:hAnsi="Arial" w:cs="Arial"/>
        </w:rPr>
      </w:pPr>
      <w:r w:rsidRPr="00851E26">
        <w:rPr>
          <w:rFonts w:ascii="Arial" w:hAnsi="Arial" w:cs="Arial"/>
        </w:rPr>
        <w:t xml:space="preserve">The best example of this strategy is the </w:t>
      </w:r>
      <w:proofErr w:type="spellStart"/>
      <w:r w:rsidRPr="00851E26">
        <w:rPr>
          <w:rFonts w:ascii="Arial" w:hAnsi="Arial" w:cs="Arial"/>
        </w:rPr>
        <w:t>NeoSmelt</w:t>
      </w:r>
      <w:proofErr w:type="spellEnd"/>
      <w:r w:rsidRPr="00851E26">
        <w:rPr>
          <w:rFonts w:ascii="Arial" w:hAnsi="Arial" w:cs="Arial"/>
        </w:rPr>
        <w:t xml:space="preserve"> electric smelting furnace pilot that is being developed by BHP</w:t>
      </w:r>
      <w:r w:rsidR="00EC2FDE" w:rsidRPr="00851E26">
        <w:rPr>
          <w:rFonts w:ascii="Arial" w:hAnsi="Arial" w:cs="Arial"/>
        </w:rPr>
        <w:t>,</w:t>
      </w:r>
      <w:r w:rsidRPr="00851E26">
        <w:rPr>
          <w:rFonts w:ascii="Arial" w:hAnsi="Arial" w:cs="Arial"/>
        </w:rPr>
        <w:t xml:space="preserve"> which aims to achieve more than </w:t>
      </w:r>
      <w:r w:rsidR="00EC2FDE" w:rsidRPr="00851E26">
        <w:rPr>
          <w:rFonts w:ascii="Arial" w:hAnsi="Arial" w:cs="Arial"/>
        </w:rPr>
        <w:t xml:space="preserve">an </w:t>
      </w:r>
      <w:r w:rsidRPr="00851E26">
        <w:rPr>
          <w:rFonts w:ascii="Arial" w:hAnsi="Arial" w:cs="Arial"/>
        </w:rPr>
        <w:t>80 percent reduction in CO</w:t>
      </w:r>
      <w:r w:rsidRPr="00851E26">
        <w:rPr>
          <w:rFonts w:ascii="Cambria Math" w:hAnsi="Cambria Math" w:cs="Cambria Math"/>
        </w:rPr>
        <w:t>₂</w:t>
      </w:r>
      <w:r w:rsidRPr="00851E26">
        <w:rPr>
          <w:rFonts w:ascii="Arial" w:hAnsi="Arial" w:cs="Arial"/>
        </w:rPr>
        <w:t xml:space="preserve"> intensity against traditional blast-furnace steelmaking</w:t>
      </w:r>
      <w:r w:rsidR="00964C28" w:rsidRPr="00851E26">
        <w:rPr>
          <w:rFonts w:ascii="Arial" w:hAnsi="Arial" w:cs="Arial"/>
        </w:rPr>
        <w:t>,</w:t>
      </w:r>
      <w:r w:rsidRPr="00851E26">
        <w:rPr>
          <w:rFonts w:ascii="Arial" w:hAnsi="Arial" w:cs="Arial"/>
        </w:rPr>
        <w:t xml:space="preserve"> providing a completely reformulated product to the existing BHP steelmaking customer portfolio (BHP, 2024b). Likewise, BHP Nickel West operations</w:t>
      </w:r>
      <w:r w:rsidR="00964C28" w:rsidRPr="00851E26">
        <w:rPr>
          <w:rFonts w:ascii="Arial" w:hAnsi="Arial" w:cs="Arial"/>
        </w:rPr>
        <w:t>,</w:t>
      </w:r>
      <w:r w:rsidRPr="00851E26">
        <w:rPr>
          <w:rFonts w:ascii="Arial" w:hAnsi="Arial" w:cs="Arial"/>
        </w:rPr>
        <w:t xml:space="preserve"> which manufacture battery-grade nickel sulphate </w:t>
      </w:r>
      <w:r w:rsidR="00964C28" w:rsidRPr="00851E26">
        <w:rPr>
          <w:rFonts w:ascii="Arial" w:hAnsi="Arial" w:cs="Arial"/>
        </w:rPr>
        <w:t>for</w:t>
      </w:r>
      <w:r w:rsidRPr="00851E26">
        <w:rPr>
          <w:rFonts w:ascii="Arial" w:hAnsi="Arial" w:cs="Arial"/>
        </w:rPr>
        <w:t xml:space="preserve"> electric car manufacturers</w:t>
      </w:r>
      <w:r w:rsidR="00964C28" w:rsidRPr="00851E26">
        <w:rPr>
          <w:rFonts w:ascii="Arial" w:hAnsi="Arial" w:cs="Arial"/>
        </w:rPr>
        <w:t>,</w:t>
      </w:r>
      <w:r w:rsidRPr="00851E26">
        <w:rPr>
          <w:rFonts w:ascii="Arial" w:hAnsi="Arial" w:cs="Arial"/>
        </w:rPr>
        <w:t xml:space="preserve"> are </w:t>
      </w:r>
      <w:r w:rsidR="00843D05">
        <w:rPr>
          <w:rFonts w:ascii="Arial" w:hAnsi="Arial" w:cs="Arial"/>
        </w:rPr>
        <w:t>involved in</w:t>
      </w:r>
      <w:r w:rsidRPr="00851E26">
        <w:rPr>
          <w:rFonts w:ascii="Arial" w:hAnsi="Arial" w:cs="Arial"/>
        </w:rPr>
        <w:t xml:space="preserve"> Product Development because they process the available materials into new and more specific products in accordance with the energy transition demand. </w:t>
      </w:r>
      <w:proofErr w:type="spellStart"/>
      <w:r w:rsidRPr="00851E26">
        <w:rPr>
          <w:rFonts w:ascii="Arial" w:hAnsi="Arial" w:cs="Arial"/>
        </w:rPr>
        <w:t>Amegboleza</w:t>
      </w:r>
      <w:proofErr w:type="spellEnd"/>
      <w:r w:rsidRPr="00851E26">
        <w:rPr>
          <w:rFonts w:ascii="Arial" w:hAnsi="Arial" w:cs="Arial"/>
        </w:rPr>
        <w:t xml:space="preserve"> and </w:t>
      </w:r>
      <w:r w:rsidR="00DC3142" w:rsidRPr="00DC3142">
        <w:rPr>
          <w:rFonts w:ascii="Arial" w:hAnsi="Arial" w:cs="Arial"/>
        </w:rPr>
        <w:t>Ülkü</w:t>
      </w:r>
      <w:r w:rsidRPr="00851E26">
        <w:rPr>
          <w:rFonts w:ascii="Arial" w:hAnsi="Arial" w:cs="Arial"/>
        </w:rPr>
        <w:t xml:space="preserve"> (2025) confirm this trend, pointing </w:t>
      </w:r>
      <w:r w:rsidR="00964C28" w:rsidRPr="00851E26">
        <w:rPr>
          <w:rFonts w:ascii="Arial" w:hAnsi="Arial" w:cs="Arial"/>
        </w:rPr>
        <w:t>to</w:t>
      </w:r>
      <w:r w:rsidRPr="00851E26">
        <w:rPr>
          <w:rFonts w:ascii="Arial" w:hAnsi="Arial" w:cs="Arial"/>
        </w:rPr>
        <w:t xml:space="preserve"> nickel and copper as the commodities that are most structurally </w:t>
      </w:r>
      <w:r w:rsidR="00964C28" w:rsidRPr="00851E26">
        <w:rPr>
          <w:rFonts w:ascii="Arial" w:hAnsi="Arial" w:cs="Arial"/>
        </w:rPr>
        <w:t>organised</w:t>
      </w:r>
      <w:r w:rsidRPr="00851E26">
        <w:rPr>
          <w:rFonts w:ascii="Arial" w:hAnsi="Arial" w:cs="Arial"/>
        </w:rPr>
        <w:t xml:space="preserve"> to enjoy the rise in energy transition demand, which supports the commercial rationale </w:t>
      </w:r>
      <w:r w:rsidR="00964C28" w:rsidRPr="00851E26">
        <w:rPr>
          <w:rFonts w:ascii="Arial" w:hAnsi="Arial" w:cs="Arial"/>
        </w:rPr>
        <w:t>for BHP's</w:t>
      </w:r>
      <w:r w:rsidRPr="00851E26">
        <w:rPr>
          <w:rFonts w:ascii="Arial" w:hAnsi="Arial" w:cs="Arial"/>
        </w:rPr>
        <w:t xml:space="preserve"> product reformulation strategy.</w:t>
      </w:r>
    </w:p>
    <w:p w14:paraId="0FA8CB1B" w14:textId="2210875C" w:rsidR="00ED51F6" w:rsidRPr="00851E26" w:rsidRDefault="000D55E4" w:rsidP="00851E26">
      <w:pPr>
        <w:spacing w:line="360" w:lineRule="auto"/>
        <w:jc w:val="both"/>
        <w:rPr>
          <w:rFonts w:ascii="Arial" w:hAnsi="Arial" w:cs="Arial"/>
        </w:rPr>
      </w:pPr>
      <w:r w:rsidRPr="00851E26">
        <w:rPr>
          <w:rFonts w:ascii="Arial" w:hAnsi="Arial" w:cs="Arial"/>
        </w:rPr>
        <w:t>The concept of diversification is less broadly applicable</w:t>
      </w:r>
      <w:r w:rsidR="00964C28" w:rsidRPr="00851E26">
        <w:rPr>
          <w:rFonts w:ascii="Arial" w:hAnsi="Arial" w:cs="Arial"/>
        </w:rPr>
        <w:t>,</w:t>
      </w:r>
      <w:r w:rsidRPr="00851E26">
        <w:rPr>
          <w:rFonts w:ascii="Arial" w:hAnsi="Arial" w:cs="Arial"/>
        </w:rPr>
        <w:t xml:space="preserve"> and yet it is strategic. The potash project of Jansen in Saskatchewan, Canada</w:t>
      </w:r>
      <w:r w:rsidR="00964C28" w:rsidRPr="00851E26">
        <w:rPr>
          <w:rFonts w:ascii="Arial" w:hAnsi="Arial" w:cs="Arial"/>
        </w:rPr>
        <w:t>,</w:t>
      </w:r>
      <w:r w:rsidRPr="00851E26">
        <w:rPr>
          <w:rFonts w:ascii="Arial" w:hAnsi="Arial" w:cs="Arial"/>
        </w:rPr>
        <w:t xml:space="preserve"> by BHP, a new product (potash fertiliser) and a new market (global agriculture)</w:t>
      </w:r>
      <w:r w:rsidR="00964C28" w:rsidRPr="00851E26">
        <w:rPr>
          <w:rFonts w:ascii="Arial" w:hAnsi="Arial" w:cs="Arial"/>
        </w:rPr>
        <w:t>,</w:t>
      </w:r>
      <w:r w:rsidRPr="00851E26">
        <w:rPr>
          <w:rFonts w:ascii="Arial" w:hAnsi="Arial" w:cs="Arial"/>
        </w:rPr>
        <w:t xml:space="preserve"> is a true diversification initiative aimed at </w:t>
      </w:r>
      <w:r w:rsidR="00964C28" w:rsidRPr="00851E26">
        <w:rPr>
          <w:rFonts w:ascii="Arial" w:hAnsi="Arial" w:cs="Arial"/>
        </w:rPr>
        <w:t>minimising</w:t>
      </w:r>
      <w:r w:rsidRPr="00851E26">
        <w:rPr>
          <w:rFonts w:ascii="Arial" w:hAnsi="Arial" w:cs="Arial"/>
        </w:rPr>
        <w:t xml:space="preserve"> portfolio exposure </w:t>
      </w:r>
      <w:r w:rsidR="00964C28" w:rsidRPr="00851E26">
        <w:rPr>
          <w:rFonts w:ascii="Arial" w:hAnsi="Arial" w:cs="Arial"/>
        </w:rPr>
        <w:t>to</w:t>
      </w:r>
      <w:r w:rsidRPr="00851E26">
        <w:rPr>
          <w:rFonts w:ascii="Arial" w:hAnsi="Arial" w:cs="Arial"/>
        </w:rPr>
        <w:t xml:space="preserve"> carbon-intensive products (BHP, 2024a). According to Espinola, Castillo and Orellana (2025), diversification into lower-carbon-intensity adjacent resource lines is a growing strategic reaction by major extractive firms to rising environmental and political/legal pressure - a trend that equally applies to the justification of the Jansen subsidiary at BHP.</w:t>
      </w:r>
    </w:p>
    <w:p w14:paraId="59847B10" w14:textId="62ACE01F" w:rsidR="00ED51F6" w:rsidRPr="00851E26" w:rsidRDefault="000D55E4" w:rsidP="00851E26">
      <w:pPr>
        <w:spacing w:line="360" w:lineRule="auto"/>
        <w:jc w:val="both"/>
        <w:rPr>
          <w:rFonts w:ascii="Arial" w:hAnsi="Arial" w:cs="Arial"/>
        </w:rPr>
      </w:pPr>
      <w:r w:rsidRPr="00851E26">
        <w:rPr>
          <w:rFonts w:ascii="Arial" w:hAnsi="Arial" w:cs="Arial"/>
        </w:rPr>
        <w:t xml:space="preserve">Market Penetration and Market Development are less powerful strategic options in the present scenario of BHP. Market Penetration -sell the current products to current markets on an even more aggressive basis - this sits at the risk of </w:t>
      </w:r>
      <w:r w:rsidR="00964C28" w:rsidRPr="00851E26">
        <w:rPr>
          <w:rFonts w:ascii="Arial" w:hAnsi="Arial" w:cs="Arial"/>
        </w:rPr>
        <w:t>carbonising</w:t>
      </w:r>
      <w:r w:rsidRPr="00851E26">
        <w:rPr>
          <w:rFonts w:ascii="Arial" w:hAnsi="Arial" w:cs="Arial"/>
        </w:rPr>
        <w:t xml:space="preserve"> the markets without handling the structural</w:t>
      </w:r>
      <w:r w:rsidR="00964C28" w:rsidRPr="00851E26">
        <w:rPr>
          <w:rFonts w:ascii="Arial" w:hAnsi="Arial" w:cs="Arial"/>
        </w:rPr>
        <w:t>,</w:t>
      </w:r>
      <w:r w:rsidRPr="00851E26">
        <w:rPr>
          <w:rFonts w:ascii="Arial" w:hAnsi="Arial" w:cs="Arial"/>
        </w:rPr>
        <w:t xml:space="preserve"> regulatory and environmental forces of Task 1. Market Development - entering new geographies with current products - again, does not address the fundamental issue</w:t>
      </w:r>
      <w:r w:rsidR="00964C28" w:rsidRPr="00851E26">
        <w:rPr>
          <w:rFonts w:ascii="Arial" w:hAnsi="Arial" w:cs="Arial"/>
        </w:rPr>
        <w:t>,</w:t>
      </w:r>
      <w:r w:rsidRPr="00851E26">
        <w:rPr>
          <w:rFonts w:ascii="Arial" w:hAnsi="Arial" w:cs="Arial"/>
        </w:rPr>
        <w:t xml:space="preserve"> which is that the current high-carbon product portfolio of BHP is under mounting headwinds of CBAM and domestic carbon pricing</w:t>
      </w:r>
      <w:r w:rsidR="00964C28" w:rsidRPr="00851E26">
        <w:rPr>
          <w:rFonts w:ascii="Arial" w:hAnsi="Arial" w:cs="Arial"/>
        </w:rPr>
        <w:t>,</w:t>
      </w:r>
      <w:r w:rsidRPr="00851E26">
        <w:rPr>
          <w:rFonts w:ascii="Arial" w:hAnsi="Arial" w:cs="Arial"/>
        </w:rPr>
        <w:t xml:space="preserve"> no matter what markets it is being served. Product Development, in turn, with some assistance provided by Diversification, is the strategically consistent and </w:t>
      </w:r>
      <w:r w:rsidR="00964C28" w:rsidRPr="00851E26">
        <w:rPr>
          <w:rFonts w:ascii="Arial" w:hAnsi="Arial" w:cs="Arial"/>
        </w:rPr>
        <w:t>evidence-based</w:t>
      </w:r>
      <w:r w:rsidRPr="00851E26">
        <w:rPr>
          <w:rFonts w:ascii="Arial" w:hAnsi="Arial" w:cs="Arial"/>
        </w:rPr>
        <w:t xml:space="preserve"> growth suggestion of BHP</w:t>
      </w:r>
      <w:r w:rsidR="00964C28" w:rsidRPr="00851E26">
        <w:rPr>
          <w:rFonts w:ascii="Arial" w:hAnsi="Arial" w:cs="Arial"/>
        </w:rPr>
        <w:t>,</w:t>
      </w:r>
      <w:r w:rsidRPr="00851E26">
        <w:rPr>
          <w:rFonts w:ascii="Arial" w:hAnsi="Arial" w:cs="Arial"/>
        </w:rPr>
        <w:t xml:space="preserve"> leaving behind the </w:t>
      </w:r>
      <w:r w:rsidR="00964C28" w:rsidRPr="00851E26">
        <w:rPr>
          <w:rFonts w:ascii="Arial" w:hAnsi="Arial" w:cs="Arial"/>
        </w:rPr>
        <w:t>high-carbon</w:t>
      </w:r>
      <w:r w:rsidRPr="00851E26">
        <w:rPr>
          <w:rFonts w:ascii="Arial" w:hAnsi="Arial" w:cs="Arial"/>
        </w:rPr>
        <w:t xml:space="preserve"> approach.</w:t>
      </w:r>
    </w:p>
    <w:p w14:paraId="4A71EDC1" w14:textId="53CCF99F" w:rsidR="00ED51F6" w:rsidRPr="00851E26" w:rsidRDefault="00ED51F6" w:rsidP="00851E26">
      <w:pPr>
        <w:spacing w:line="360" w:lineRule="auto"/>
        <w:jc w:val="both"/>
        <w:rPr>
          <w:rFonts w:ascii="Arial" w:hAnsi="Arial" w:cs="Arial"/>
        </w:rPr>
      </w:pPr>
    </w:p>
    <w:p w14:paraId="0FBACFE5" w14:textId="77777777" w:rsidR="00ED51F6" w:rsidRPr="00851E26" w:rsidRDefault="00ED51F6" w:rsidP="00851E26">
      <w:pPr>
        <w:pStyle w:val="Heading2"/>
        <w:spacing w:line="360" w:lineRule="auto"/>
        <w:jc w:val="both"/>
        <w:rPr>
          <w:sz w:val="24"/>
          <w:szCs w:val="24"/>
        </w:rPr>
      </w:pPr>
      <w:bookmarkStart w:id="8" w:name="_Toc235309819"/>
      <w:r w:rsidRPr="00851E26">
        <w:rPr>
          <w:sz w:val="24"/>
          <w:szCs w:val="24"/>
        </w:rPr>
        <w:t>2.2 Competitive Advantage: Porter's Generic Strategies</w:t>
      </w:r>
      <w:bookmarkEnd w:id="8"/>
    </w:p>
    <w:p w14:paraId="4FDF2000" w14:textId="04395CC9" w:rsidR="00AC51B6" w:rsidRPr="00851E26" w:rsidRDefault="000D55E4" w:rsidP="00851E26">
      <w:pPr>
        <w:spacing w:line="360" w:lineRule="auto"/>
        <w:jc w:val="both"/>
        <w:rPr>
          <w:rFonts w:ascii="Arial" w:hAnsi="Arial" w:cs="Arial"/>
        </w:rPr>
      </w:pPr>
      <w:r w:rsidRPr="00851E26">
        <w:rPr>
          <w:rFonts w:ascii="Arial" w:hAnsi="Arial" w:cs="Arial"/>
        </w:rPr>
        <w:t xml:space="preserve">This analysis is conducted with the help of </w:t>
      </w:r>
      <w:r w:rsidR="00964C28" w:rsidRPr="00851E26">
        <w:rPr>
          <w:rFonts w:ascii="Arial" w:hAnsi="Arial" w:cs="Arial"/>
        </w:rPr>
        <w:t>Porter's</w:t>
      </w:r>
      <w:r w:rsidRPr="00851E26">
        <w:rPr>
          <w:rFonts w:ascii="Arial" w:hAnsi="Arial" w:cs="Arial"/>
        </w:rPr>
        <w:t xml:space="preserve"> generic strategies framework (which includes Cost Leadership, Differentiation, and Focus) (Kotler et al., 2024). Figure 2 below uses the framework in </w:t>
      </w:r>
      <w:r w:rsidR="00964C28" w:rsidRPr="00851E26">
        <w:rPr>
          <w:rFonts w:ascii="Arial" w:hAnsi="Arial" w:cs="Arial"/>
        </w:rPr>
        <w:t>Porter's</w:t>
      </w:r>
      <w:r w:rsidRPr="00851E26">
        <w:rPr>
          <w:rFonts w:ascii="Arial" w:hAnsi="Arial" w:cs="Arial"/>
        </w:rPr>
        <w:t xml:space="preserve"> Generic Strategies </w:t>
      </w:r>
      <w:r w:rsidR="00964C28" w:rsidRPr="00851E26">
        <w:rPr>
          <w:rFonts w:ascii="Arial" w:hAnsi="Arial" w:cs="Arial"/>
        </w:rPr>
        <w:t>for</w:t>
      </w:r>
      <w:r w:rsidRPr="00851E26">
        <w:rPr>
          <w:rFonts w:ascii="Arial" w:hAnsi="Arial" w:cs="Arial"/>
        </w:rPr>
        <w:t xml:space="preserve"> the current and desirable competitive positioning within BHP.</w:t>
      </w:r>
    </w:p>
    <w:p w14:paraId="25FE3654" w14:textId="083E8AC4" w:rsidR="00AC51B6" w:rsidRPr="00851E26" w:rsidRDefault="00AC51B6" w:rsidP="00851E26">
      <w:pPr>
        <w:spacing w:line="360" w:lineRule="auto"/>
        <w:jc w:val="both"/>
        <w:rPr>
          <w:rFonts w:ascii="Arial" w:hAnsi="Arial" w:cs="Arial"/>
        </w:rPr>
      </w:pPr>
      <w:r w:rsidRPr="00851E26">
        <w:rPr>
          <w:rFonts w:ascii="Arial" w:hAnsi="Arial" w:cs="Arial"/>
          <w:noProof/>
        </w:rPr>
        <w:drawing>
          <wp:inline distT="0" distB="0" distL="0" distR="0" wp14:anchorId="38EC65D0" wp14:editId="43CEE585">
            <wp:extent cx="5718412" cy="3916045"/>
            <wp:effectExtent l="0" t="0" r="0" b="8255"/>
            <wp:docPr id="1637023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723110" cy="3919262"/>
                    </a:xfrm>
                    <a:prstGeom prst="rect">
                      <a:avLst/>
                    </a:prstGeom>
                    <a:noFill/>
                    <a:ln>
                      <a:noFill/>
                    </a:ln>
                    <a:extLst>
                      <a:ext uri="{53640926-AAD7-44D8-BBD7-CCE9431645EC}">
                        <a14:shadowObscured xmlns:a14="http://schemas.microsoft.com/office/drawing/2010/main"/>
                      </a:ext>
                    </a:extLst>
                  </pic:spPr>
                </pic:pic>
              </a:graphicData>
            </a:graphic>
          </wp:inline>
        </w:drawing>
      </w:r>
    </w:p>
    <w:p w14:paraId="6DCCE17A" w14:textId="1A32F90E" w:rsidR="00AC51B6" w:rsidRPr="00851E26" w:rsidRDefault="00B429F2" w:rsidP="00851E26">
      <w:pPr>
        <w:spacing w:line="360" w:lineRule="auto"/>
        <w:jc w:val="both"/>
        <w:rPr>
          <w:rFonts w:ascii="Arial" w:hAnsi="Arial" w:cs="Arial"/>
        </w:rPr>
      </w:pPr>
      <w:r w:rsidRPr="00851E26">
        <w:rPr>
          <w:rFonts w:ascii="Arial" w:hAnsi="Arial" w:cs="Arial"/>
          <w:i/>
          <w:iCs/>
        </w:rPr>
        <w:t>Figure 2: Porter's Generic Strategies — BHP Competitive Positioning</w:t>
      </w:r>
      <w:r w:rsidRPr="00851E26">
        <w:rPr>
          <w:rFonts w:ascii="Arial" w:hAnsi="Arial" w:cs="Arial"/>
        </w:rPr>
        <w:br/>
      </w:r>
      <w:r w:rsidRPr="00851E26">
        <w:rPr>
          <w:rFonts w:ascii="Arial" w:hAnsi="Arial" w:cs="Arial"/>
          <w:i/>
          <w:iCs/>
        </w:rPr>
        <w:t xml:space="preserve">(Source: Adapted from Kotler et al., 2024; Islami, Mustafa and </w:t>
      </w:r>
      <w:proofErr w:type="spellStart"/>
      <w:r w:rsidRPr="00851E26">
        <w:rPr>
          <w:rFonts w:ascii="Arial" w:hAnsi="Arial" w:cs="Arial"/>
          <w:i/>
          <w:iCs/>
        </w:rPr>
        <w:t>Topuzovska</w:t>
      </w:r>
      <w:proofErr w:type="spellEnd"/>
      <w:r w:rsidRPr="00851E26">
        <w:rPr>
          <w:rFonts w:ascii="Arial" w:hAnsi="Arial" w:cs="Arial"/>
          <w:i/>
          <w:iCs/>
        </w:rPr>
        <w:t xml:space="preserve"> </w:t>
      </w:r>
      <w:proofErr w:type="spellStart"/>
      <w:r w:rsidRPr="00851E26">
        <w:rPr>
          <w:rFonts w:ascii="Arial" w:hAnsi="Arial" w:cs="Arial"/>
          <w:i/>
          <w:iCs/>
        </w:rPr>
        <w:t>Latkovikj</w:t>
      </w:r>
      <w:proofErr w:type="spellEnd"/>
      <w:r w:rsidRPr="00851E26">
        <w:rPr>
          <w:rFonts w:ascii="Arial" w:hAnsi="Arial" w:cs="Arial"/>
          <w:i/>
          <w:iCs/>
        </w:rPr>
        <w:t>, 2020; Ali and Anwar, 2021; BHP, 2024b)</w:t>
      </w:r>
    </w:p>
    <w:p w14:paraId="2CEA9A6E" w14:textId="27A932A9" w:rsidR="00ED51F6" w:rsidRPr="00851E26" w:rsidRDefault="000D55E4" w:rsidP="00851E26">
      <w:pPr>
        <w:spacing w:line="360" w:lineRule="auto"/>
        <w:jc w:val="both"/>
        <w:rPr>
          <w:rFonts w:ascii="Arial" w:hAnsi="Arial" w:cs="Arial"/>
        </w:rPr>
      </w:pPr>
      <w:r w:rsidRPr="00851E26">
        <w:rPr>
          <w:rFonts w:ascii="Arial" w:hAnsi="Arial" w:cs="Arial"/>
        </w:rPr>
        <w:t xml:space="preserve">Traditionally, BHP has competed by relying on Cost Leadership, leveraging the size, quality and logistical efficiency of its Pilbara iron ore activities to sustain the lowest cost leadership of all major iron ore producers. This base is also commercially important and cannot be thrown away. But the lower-carbon transition makes a strong and growing rationale </w:t>
      </w:r>
      <w:r w:rsidR="00964C28" w:rsidRPr="00851E26">
        <w:rPr>
          <w:rFonts w:ascii="Arial" w:hAnsi="Arial" w:cs="Arial"/>
        </w:rPr>
        <w:t xml:space="preserve">for </w:t>
      </w:r>
      <w:r w:rsidRPr="00851E26">
        <w:rPr>
          <w:rFonts w:ascii="Arial" w:hAnsi="Arial" w:cs="Arial"/>
        </w:rPr>
        <w:t xml:space="preserve">why BHP ought to seek Differentiation in its green products portfolio. Islami, Mustafa and </w:t>
      </w:r>
      <w:proofErr w:type="spellStart"/>
      <w:r w:rsidRPr="00851E26">
        <w:rPr>
          <w:rFonts w:ascii="Arial" w:hAnsi="Arial" w:cs="Arial"/>
        </w:rPr>
        <w:t>Topuzovska</w:t>
      </w:r>
      <w:proofErr w:type="spellEnd"/>
      <w:r w:rsidRPr="00851E26">
        <w:rPr>
          <w:rFonts w:ascii="Arial" w:hAnsi="Arial" w:cs="Arial"/>
        </w:rPr>
        <w:t xml:space="preserve"> </w:t>
      </w:r>
      <w:proofErr w:type="spellStart"/>
      <w:r w:rsidRPr="00851E26">
        <w:rPr>
          <w:rFonts w:ascii="Arial" w:hAnsi="Arial" w:cs="Arial"/>
        </w:rPr>
        <w:t>Latkovikj</w:t>
      </w:r>
      <w:proofErr w:type="spellEnd"/>
      <w:r w:rsidRPr="00851E26">
        <w:rPr>
          <w:rFonts w:ascii="Arial" w:hAnsi="Arial" w:cs="Arial"/>
        </w:rPr>
        <w:t xml:space="preserve"> (2020) empirically show that differentiation strategy creates greater firm performance than cost leadership alone, </w:t>
      </w:r>
      <w:r w:rsidRPr="00851E26">
        <w:rPr>
          <w:rFonts w:ascii="Arial" w:hAnsi="Arial" w:cs="Arial"/>
        </w:rPr>
        <w:lastRenderedPageBreak/>
        <w:t>specifically in firms where market factors favour product differentiation - exactly the dynamic in CBAM-revealed European steelmaking markets.</w:t>
      </w:r>
    </w:p>
    <w:p w14:paraId="3F333D9C" w14:textId="36EB41CE" w:rsidR="00ED51F6" w:rsidRPr="00851E26" w:rsidRDefault="00EA7BF3" w:rsidP="00851E26">
      <w:pPr>
        <w:spacing w:line="360" w:lineRule="auto"/>
        <w:jc w:val="both"/>
        <w:rPr>
          <w:rFonts w:ascii="Arial" w:hAnsi="Arial" w:cs="Arial"/>
        </w:rPr>
      </w:pPr>
      <w:r w:rsidRPr="00851E26">
        <w:rPr>
          <w:rFonts w:ascii="Arial" w:hAnsi="Arial" w:cs="Arial"/>
        </w:rPr>
        <w:t xml:space="preserve">In the case of BHP, differentiation focuses on promoting </w:t>
      </w:r>
      <w:r w:rsidR="004E3603" w:rsidRPr="00851E26">
        <w:rPr>
          <w:rFonts w:ascii="Arial" w:hAnsi="Arial" w:cs="Arial"/>
        </w:rPr>
        <w:t>low-carbon-intensity</w:t>
      </w:r>
      <w:r w:rsidRPr="00851E26">
        <w:rPr>
          <w:rFonts w:ascii="Arial" w:hAnsi="Arial" w:cs="Arial"/>
        </w:rPr>
        <w:t xml:space="preserve"> iron ore and metals that could help customers cut down their Scope 3 emissions. Green marketing as a strategic representation of environmental capabilities as the source of product value is becoming a major competitive advantage source in industries that are exposed to sustainability questioning</w:t>
      </w:r>
      <w:r w:rsidR="00964C28" w:rsidRPr="00851E26">
        <w:rPr>
          <w:rFonts w:ascii="Arial" w:hAnsi="Arial" w:cs="Arial"/>
        </w:rPr>
        <w:t>,</w:t>
      </w:r>
      <w:r w:rsidRPr="00851E26">
        <w:rPr>
          <w:rFonts w:ascii="Arial" w:hAnsi="Arial" w:cs="Arial"/>
        </w:rPr>
        <w:t xml:space="preserve"> as </w:t>
      </w:r>
      <w:proofErr w:type="spellStart"/>
      <w:r w:rsidRPr="00851E26">
        <w:rPr>
          <w:rFonts w:ascii="Arial" w:hAnsi="Arial" w:cs="Arial"/>
        </w:rPr>
        <w:t>Moravcikova</w:t>
      </w:r>
      <w:proofErr w:type="spellEnd"/>
      <w:r w:rsidRPr="00851E26">
        <w:rPr>
          <w:rFonts w:ascii="Arial" w:hAnsi="Arial" w:cs="Arial"/>
        </w:rPr>
        <w:t xml:space="preserve">, </w:t>
      </w:r>
      <w:proofErr w:type="spellStart"/>
      <w:r w:rsidRPr="00851E26">
        <w:rPr>
          <w:rFonts w:ascii="Arial" w:hAnsi="Arial" w:cs="Arial"/>
        </w:rPr>
        <w:t>Krizanova</w:t>
      </w:r>
      <w:proofErr w:type="spellEnd"/>
      <w:r w:rsidRPr="00851E26">
        <w:rPr>
          <w:rFonts w:ascii="Arial" w:hAnsi="Arial" w:cs="Arial"/>
        </w:rPr>
        <w:t xml:space="preserve">, </w:t>
      </w:r>
      <w:proofErr w:type="spellStart"/>
      <w:r w:rsidRPr="00851E26">
        <w:rPr>
          <w:rFonts w:ascii="Arial" w:hAnsi="Arial" w:cs="Arial"/>
        </w:rPr>
        <w:t>Kliestikova</w:t>
      </w:r>
      <w:proofErr w:type="spellEnd"/>
      <w:r w:rsidRPr="00851E26">
        <w:rPr>
          <w:rFonts w:ascii="Arial" w:hAnsi="Arial" w:cs="Arial"/>
        </w:rPr>
        <w:t xml:space="preserve"> and </w:t>
      </w:r>
      <w:proofErr w:type="spellStart"/>
      <w:r w:rsidRPr="00851E26">
        <w:rPr>
          <w:rFonts w:ascii="Arial" w:hAnsi="Arial" w:cs="Arial"/>
        </w:rPr>
        <w:t>Rypakova</w:t>
      </w:r>
      <w:proofErr w:type="spellEnd"/>
      <w:r w:rsidRPr="00851E26">
        <w:rPr>
          <w:rFonts w:ascii="Arial" w:hAnsi="Arial" w:cs="Arial"/>
        </w:rPr>
        <w:t xml:space="preserve"> (2017) maintain. By offering iron ore suitable </w:t>
      </w:r>
      <w:r w:rsidR="00964C28" w:rsidRPr="00851E26">
        <w:rPr>
          <w:rFonts w:ascii="Arial" w:hAnsi="Arial" w:cs="Arial"/>
        </w:rPr>
        <w:t>for</w:t>
      </w:r>
      <w:r w:rsidRPr="00851E26">
        <w:rPr>
          <w:rFonts w:ascii="Arial" w:hAnsi="Arial" w:cs="Arial"/>
        </w:rPr>
        <w:t xml:space="preserve"> the DRI-ESF green-steel journey of production, BHP </w:t>
      </w:r>
      <w:r w:rsidR="00964C28" w:rsidRPr="00851E26">
        <w:rPr>
          <w:rFonts w:ascii="Arial" w:hAnsi="Arial" w:cs="Arial"/>
        </w:rPr>
        <w:t xml:space="preserve">is </w:t>
      </w:r>
      <w:r w:rsidRPr="00851E26">
        <w:rPr>
          <w:rFonts w:ascii="Arial" w:hAnsi="Arial" w:cs="Arial"/>
        </w:rPr>
        <w:t xml:space="preserve">a </w:t>
      </w:r>
      <w:r w:rsidR="00964C28" w:rsidRPr="00851E26">
        <w:rPr>
          <w:rFonts w:ascii="Arial" w:hAnsi="Arial" w:cs="Arial"/>
        </w:rPr>
        <w:t>favoured</w:t>
      </w:r>
      <w:r w:rsidRPr="00851E26">
        <w:rPr>
          <w:rFonts w:ascii="Arial" w:hAnsi="Arial" w:cs="Arial"/>
        </w:rPr>
        <w:t xml:space="preserve"> provider of iron ore to European steelmakers, which are required to choose between CBAM commitments</w:t>
      </w:r>
      <w:r w:rsidR="00964C28" w:rsidRPr="00851E26">
        <w:rPr>
          <w:rFonts w:ascii="Arial" w:hAnsi="Arial" w:cs="Arial"/>
        </w:rPr>
        <w:t xml:space="preserve"> and</w:t>
      </w:r>
      <w:r w:rsidRPr="00851E26">
        <w:rPr>
          <w:rFonts w:ascii="Arial" w:hAnsi="Arial" w:cs="Arial"/>
        </w:rPr>
        <w:t xml:space="preserve"> a differentiation advantage based not only on price but also on regulation.</w:t>
      </w:r>
    </w:p>
    <w:p w14:paraId="2BCF66BC" w14:textId="2364029E" w:rsidR="00ED51F6" w:rsidRPr="00851E26" w:rsidRDefault="00EA7BF3" w:rsidP="00851E26">
      <w:pPr>
        <w:spacing w:line="360" w:lineRule="auto"/>
        <w:jc w:val="both"/>
        <w:rPr>
          <w:rFonts w:ascii="Arial" w:hAnsi="Arial" w:cs="Arial"/>
        </w:rPr>
      </w:pPr>
      <w:r w:rsidRPr="00851E26">
        <w:rPr>
          <w:rFonts w:ascii="Arial" w:hAnsi="Arial" w:cs="Arial"/>
        </w:rPr>
        <w:t xml:space="preserve">Do and Nguyen (2020) give more empirical evidence and note that </w:t>
      </w:r>
      <w:r w:rsidR="00B072FF" w:rsidRPr="00851E26">
        <w:rPr>
          <w:rFonts w:ascii="Arial" w:hAnsi="Arial" w:cs="Arial"/>
        </w:rPr>
        <w:t xml:space="preserve">a </w:t>
      </w:r>
      <w:r w:rsidRPr="00851E26">
        <w:rPr>
          <w:rFonts w:ascii="Arial" w:hAnsi="Arial" w:cs="Arial"/>
        </w:rPr>
        <w:t xml:space="preserve">proactive environmental strategy yields </w:t>
      </w:r>
      <w:r w:rsidR="00B072FF" w:rsidRPr="00851E26">
        <w:rPr>
          <w:rFonts w:ascii="Arial" w:hAnsi="Arial" w:cs="Arial"/>
        </w:rPr>
        <w:t xml:space="preserve">a </w:t>
      </w:r>
      <w:r w:rsidRPr="00851E26">
        <w:rPr>
          <w:rFonts w:ascii="Arial" w:hAnsi="Arial" w:cs="Arial"/>
        </w:rPr>
        <w:t xml:space="preserve">quantifiable competitive advantage by creating </w:t>
      </w:r>
      <w:r w:rsidR="00B072FF" w:rsidRPr="00851E26">
        <w:rPr>
          <w:rFonts w:ascii="Arial" w:hAnsi="Arial" w:cs="Arial"/>
        </w:rPr>
        <w:t xml:space="preserve">a </w:t>
      </w:r>
      <w:r w:rsidRPr="00851E26">
        <w:rPr>
          <w:rFonts w:ascii="Arial" w:hAnsi="Arial" w:cs="Arial"/>
        </w:rPr>
        <w:t>stronger market position, greater stakeholder relationships, and higher access to capital</w:t>
      </w:r>
      <w:r w:rsidR="00964C28" w:rsidRPr="00851E26">
        <w:rPr>
          <w:rFonts w:ascii="Arial" w:hAnsi="Arial" w:cs="Arial"/>
        </w:rPr>
        <w:t>,</w:t>
      </w:r>
      <w:r w:rsidRPr="00851E26">
        <w:rPr>
          <w:rFonts w:ascii="Arial" w:hAnsi="Arial" w:cs="Arial"/>
        </w:rPr>
        <w:t xml:space="preserve"> which directly applies to the BHP strategic pathway. Similarly, Ali and Anwar (2021) authenticate that the differentiation strategy, based on true product and process innovation, results in </w:t>
      </w:r>
      <w:r w:rsidR="00964C28" w:rsidRPr="00851E26">
        <w:rPr>
          <w:rFonts w:ascii="Arial" w:hAnsi="Arial" w:cs="Arial"/>
        </w:rPr>
        <w:t>a</w:t>
      </w:r>
      <w:r w:rsidRPr="00851E26">
        <w:rPr>
          <w:rFonts w:ascii="Arial" w:hAnsi="Arial" w:cs="Arial"/>
        </w:rPr>
        <w:t xml:space="preserve"> long-term competitive edge in multi-faceted industrial markets.</w:t>
      </w:r>
    </w:p>
    <w:p w14:paraId="4EA504B3" w14:textId="44E335D2" w:rsidR="00ED51F6" w:rsidRPr="00851E26" w:rsidRDefault="00EA7BF3" w:rsidP="00851E26">
      <w:pPr>
        <w:spacing w:line="360" w:lineRule="auto"/>
        <w:jc w:val="both"/>
        <w:rPr>
          <w:rFonts w:ascii="Arial" w:hAnsi="Arial" w:cs="Arial"/>
        </w:rPr>
      </w:pPr>
      <w:r w:rsidRPr="00851E26">
        <w:rPr>
          <w:rFonts w:ascii="Arial" w:hAnsi="Arial" w:cs="Arial"/>
        </w:rPr>
        <w:t>However, it is important to note</w:t>
      </w:r>
      <w:r w:rsidR="00964C28" w:rsidRPr="00851E26">
        <w:rPr>
          <w:rFonts w:ascii="Arial" w:hAnsi="Arial" w:cs="Arial"/>
        </w:rPr>
        <w:t xml:space="preserve"> that</w:t>
      </w:r>
      <w:r w:rsidRPr="00851E26">
        <w:rPr>
          <w:rFonts w:ascii="Arial" w:hAnsi="Arial" w:cs="Arial"/>
        </w:rPr>
        <w:t xml:space="preserve"> green-steel price premiums are still commercially thin. Nicholas (2024) notes that </w:t>
      </w:r>
      <w:r w:rsidR="00964C28" w:rsidRPr="00851E26">
        <w:rPr>
          <w:rFonts w:ascii="Arial" w:hAnsi="Arial" w:cs="Arial"/>
        </w:rPr>
        <w:t>BHP's</w:t>
      </w:r>
      <w:r w:rsidRPr="00851E26">
        <w:rPr>
          <w:rFonts w:ascii="Arial" w:hAnsi="Arial" w:cs="Arial"/>
        </w:rPr>
        <w:t xml:space="preserve"> Scope 3 responsibility is worse than </w:t>
      </w:r>
      <w:r w:rsidR="00964C28" w:rsidRPr="00851E26">
        <w:rPr>
          <w:rFonts w:ascii="Arial" w:hAnsi="Arial" w:cs="Arial"/>
        </w:rPr>
        <w:t xml:space="preserve">that of </w:t>
      </w:r>
      <w:r w:rsidRPr="00851E26">
        <w:rPr>
          <w:rFonts w:ascii="Arial" w:hAnsi="Arial" w:cs="Arial"/>
        </w:rPr>
        <w:t>competitors</w:t>
      </w:r>
      <w:r w:rsidR="00964C28" w:rsidRPr="00851E26">
        <w:rPr>
          <w:rFonts w:ascii="Arial" w:hAnsi="Arial" w:cs="Arial"/>
        </w:rPr>
        <w:t>,</w:t>
      </w:r>
      <w:r w:rsidRPr="00851E26">
        <w:rPr>
          <w:rFonts w:ascii="Arial" w:hAnsi="Arial" w:cs="Arial"/>
        </w:rPr>
        <w:t xml:space="preserve"> and the business case </w:t>
      </w:r>
      <w:r w:rsidR="00964C28" w:rsidRPr="00851E26">
        <w:rPr>
          <w:rFonts w:ascii="Arial" w:hAnsi="Arial" w:cs="Arial"/>
        </w:rPr>
        <w:t>for</w:t>
      </w:r>
      <w:r w:rsidRPr="00851E26">
        <w:rPr>
          <w:rFonts w:ascii="Arial" w:hAnsi="Arial" w:cs="Arial"/>
        </w:rPr>
        <w:t xml:space="preserve"> </w:t>
      </w:r>
      <w:proofErr w:type="spellStart"/>
      <w:r w:rsidRPr="00851E26">
        <w:rPr>
          <w:rFonts w:ascii="Arial" w:hAnsi="Arial" w:cs="Arial"/>
        </w:rPr>
        <w:t>NeoSmelt</w:t>
      </w:r>
      <w:proofErr w:type="spellEnd"/>
      <w:r w:rsidRPr="00851E26">
        <w:rPr>
          <w:rFonts w:ascii="Arial" w:hAnsi="Arial" w:cs="Arial"/>
        </w:rPr>
        <w:t xml:space="preserve"> on a large scale has not yet been demonstrated by 2030. </w:t>
      </w:r>
      <w:r w:rsidR="00373F6F" w:rsidRPr="00373F6F">
        <w:rPr>
          <w:rFonts w:ascii="Arial" w:hAnsi="Arial" w:cs="Arial"/>
        </w:rPr>
        <w:t xml:space="preserve">This explains that the short-term differentiation advantage of BHP is more influenced by access to markets and preferred supplier status in </w:t>
      </w:r>
      <w:r w:rsidR="00843D05">
        <w:rPr>
          <w:rFonts w:ascii="Arial" w:hAnsi="Arial" w:cs="Arial"/>
        </w:rPr>
        <w:t>CBAM-regulated</w:t>
      </w:r>
      <w:r w:rsidR="00373F6F" w:rsidRPr="00373F6F">
        <w:rPr>
          <w:rFonts w:ascii="Arial" w:hAnsi="Arial" w:cs="Arial"/>
        </w:rPr>
        <w:t xml:space="preserve"> markets than by high capture price, </w:t>
      </w:r>
      <w:proofErr w:type="gramStart"/>
      <w:r w:rsidR="00373F6F" w:rsidRPr="00373F6F">
        <w:rPr>
          <w:rFonts w:ascii="Arial" w:hAnsi="Arial" w:cs="Arial"/>
        </w:rPr>
        <w:t>i.e.</w:t>
      </w:r>
      <w:proofErr w:type="gramEnd"/>
      <w:r w:rsidR="00373F6F" w:rsidRPr="00373F6F">
        <w:rPr>
          <w:rFonts w:ascii="Arial" w:hAnsi="Arial" w:cs="Arial"/>
        </w:rPr>
        <w:t xml:space="preserve"> the best competitive position is a dual-tracking strategy: maintain low cost leadership in primary iron ore but systematically develop differentiation with lower-carbon products.</w:t>
      </w:r>
    </w:p>
    <w:p w14:paraId="2BB22F08" w14:textId="79912D04" w:rsidR="00ED51F6" w:rsidRPr="00851E26" w:rsidRDefault="00ED51F6" w:rsidP="00851E26">
      <w:pPr>
        <w:spacing w:line="360" w:lineRule="auto"/>
        <w:jc w:val="both"/>
        <w:rPr>
          <w:rFonts w:ascii="Arial" w:hAnsi="Arial" w:cs="Arial"/>
        </w:rPr>
      </w:pPr>
    </w:p>
    <w:p w14:paraId="00026E6B" w14:textId="77777777" w:rsidR="00ED51F6" w:rsidRPr="00851E26" w:rsidRDefault="00ED51F6" w:rsidP="00851E26">
      <w:pPr>
        <w:spacing w:line="360" w:lineRule="auto"/>
        <w:jc w:val="both"/>
        <w:rPr>
          <w:rFonts w:ascii="Arial" w:hAnsi="Arial" w:cs="Arial"/>
        </w:rPr>
      </w:pPr>
    </w:p>
    <w:p w14:paraId="258467B3" w14:textId="0C1A8678" w:rsidR="001A3459" w:rsidRPr="00851E26" w:rsidRDefault="00A72489" w:rsidP="00851E26">
      <w:pPr>
        <w:pStyle w:val="Heading1"/>
        <w:spacing w:line="360" w:lineRule="auto"/>
        <w:jc w:val="both"/>
        <w:rPr>
          <w:sz w:val="24"/>
          <w:szCs w:val="24"/>
        </w:rPr>
      </w:pPr>
      <w:bookmarkStart w:id="9" w:name="_Toc235309820"/>
      <w:r w:rsidRPr="00851E26">
        <w:rPr>
          <w:sz w:val="24"/>
          <w:szCs w:val="24"/>
        </w:rPr>
        <w:t xml:space="preserve">TASK </w:t>
      </w:r>
      <w:r w:rsidR="001A3459" w:rsidRPr="00851E26">
        <w:rPr>
          <w:sz w:val="24"/>
          <w:szCs w:val="24"/>
        </w:rPr>
        <w:t>3. Critical Reflection on AI Usage</w:t>
      </w:r>
      <w:bookmarkEnd w:id="9"/>
    </w:p>
    <w:p w14:paraId="638B00A3" w14:textId="10E80D4B" w:rsidR="001A3459" w:rsidRPr="00851E26" w:rsidRDefault="00EA7BF3" w:rsidP="00851E26">
      <w:pPr>
        <w:spacing w:line="360" w:lineRule="auto"/>
        <w:jc w:val="both"/>
        <w:rPr>
          <w:rFonts w:ascii="Arial" w:hAnsi="Arial" w:cs="Arial"/>
        </w:rPr>
      </w:pPr>
      <w:r w:rsidRPr="00851E26">
        <w:rPr>
          <w:rFonts w:ascii="Arial" w:hAnsi="Arial" w:cs="Arial"/>
        </w:rPr>
        <w:t xml:space="preserve">This report was developed using </w:t>
      </w:r>
      <w:r w:rsidRPr="00D25597">
        <w:rPr>
          <w:rFonts w:ascii="Arial" w:hAnsi="Arial" w:cs="Arial"/>
        </w:rPr>
        <w:t>Claude</w:t>
      </w:r>
      <w:r w:rsidRPr="00851E26">
        <w:rPr>
          <w:rFonts w:ascii="Arial" w:hAnsi="Arial" w:cs="Arial"/>
        </w:rPr>
        <w:t xml:space="preserve"> (Anthropic), a large language model, as per the AI use acknowledgement policy in LCMB7024. A critical reflection on the use of AI, verification of the outputs, the difference between AI-generated and student inputs, </w:t>
      </w:r>
      <w:r w:rsidRPr="00851E26">
        <w:rPr>
          <w:rFonts w:ascii="Arial" w:hAnsi="Arial" w:cs="Arial"/>
        </w:rPr>
        <w:lastRenderedPageBreak/>
        <w:t>and the overall ethical considerations of AI application in marketing analysis are discussed further.</w:t>
      </w:r>
    </w:p>
    <w:p w14:paraId="66A45969" w14:textId="5178E4A5" w:rsidR="001A3459" w:rsidRPr="00851E26" w:rsidRDefault="001A3459" w:rsidP="00851E26">
      <w:pPr>
        <w:spacing w:line="360" w:lineRule="auto"/>
        <w:jc w:val="both"/>
        <w:rPr>
          <w:rFonts w:ascii="Arial" w:hAnsi="Arial" w:cs="Arial"/>
        </w:rPr>
      </w:pPr>
    </w:p>
    <w:p w14:paraId="4A06F613" w14:textId="77777777" w:rsidR="001A3459" w:rsidRPr="00851E26" w:rsidRDefault="001A3459" w:rsidP="00851E26">
      <w:pPr>
        <w:pStyle w:val="Heading2"/>
        <w:spacing w:line="360" w:lineRule="auto"/>
        <w:jc w:val="both"/>
        <w:rPr>
          <w:sz w:val="24"/>
          <w:szCs w:val="24"/>
        </w:rPr>
      </w:pPr>
      <w:bookmarkStart w:id="10" w:name="_Toc235309821"/>
      <w:r w:rsidRPr="00851E26">
        <w:rPr>
          <w:sz w:val="24"/>
          <w:szCs w:val="24"/>
        </w:rPr>
        <w:t>3.1 Tool Disclosure</w:t>
      </w:r>
      <w:bookmarkEnd w:id="10"/>
    </w:p>
    <w:p w14:paraId="081B0415" w14:textId="11ECA931" w:rsidR="001A3459" w:rsidRPr="00851E26" w:rsidRDefault="00EA7BF3" w:rsidP="00851E26">
      <w:pPr>
        <w:spacing w:line="360" w:lineRule="auto"/>
        <w:jc w:val="both"/>
        <w:rPr>
          <w:rFonts w:ascii="Arial" w:hAnsi="Arial" w:cs="Arial"/>
        </w:rPr>
      </w:pPr>
      <w:r w:rsidRPr="00D25597">
        <w:rPr>
          <w:rFonts w:ascii="Arial" w:hAnsi="Arial" w:cs="Arial"/>
        </w:rPr>
        <w:t>Claude</w:t>
      </w:r>
      <w:r w:rsidRPr="00851E26">
        <w:rPr>
          <w:rFonts w:ascii="Arial" w:hAnsi="Arial" w:cs="Arial"/>
        </w:rPr>
        <w:t xml:space="preserve"> was </w:t>
      </w:r>
      <w:r w:rsidR="00964C28" w:rsidRPr="00851E26">
        <w:rPr>
          <w:rFonts w:ascii="Arial" w:hAnsi="Arial" w:cs="Arial"/>
        </w:rPr>
        <w:t>utilised</w:t>
      </w:r>
      <w:r w:rsidRPr="00851E26">
        <w:rPr>
          <w:rFonts w:ascii="Arial" w:hAnsi="Arial" w:cs="Arial"/>
        </w:rPr>
        <w:t xml:space="preserve"> as a research support. Certain tasks involved locating and identifying academic sources </w:t>
      </w:r>
      <w:r w:rsidR="00964C28" w:rsidRPr="00851E26">
        <w:rPr>
          <w:rFonts w:ascii="Arial" w:hAnsi="Arial" w:cs="Arial"/>
        </w:rPr>
        <w:t>in</w:t>
      </w:r>
      <w:r w:rsidRPr="00851E26">
        <w:rPr>
          <w:rFonts w:ascii="Arial" w:hAnsi="Arial" w:cs="Arial"/>
        </w:rPr>
        <w:t xml:space="preserve"> the marketing environment of BHP, summarising major findings of the Natural Environment and Political/Legal literature, and giving pure background information on BHP financial returns, emissions statistics and strategic actions. The student guided all AI interactions and framed prompts based on clear information needs </w:t>
      </w:r>
      <w:r w:rsidR="00DC3142" w:rsidRPr="00DC3142">
        <w:rPr>
          <w:rFonts w:ascii="Arial" w:hAnsi="Arial" w:cs="Arial"/>
        </w:rPr>
        <w:t>per the assignment brief.</w:t>
      </w:r>
    </w:p>
    <w:p w14:paraId="0F78508E" w14:textId="25E860E4" w:rsidR="001A3459" w:rsidRPr="00851E26" w:rsidRDefault="001A3459" w:rsidP="00851E26">
      <w:pPr>
        <w:spacing w:line="360" w:lineRule="auto"/>
        <w:jc w:val="both"/>
        <w:rPr>
          <w:rFonts w:ascii="Arial" w:hAnsi="Arial" w:cs="Arial"/>
        </w:rPr>
      </w:pPr>
    </w:p>
    <w:p w14:paraId="15B71089" w14:textId="77777777" w:rsidR="001A3459" w:rsidRPr="00851E26" w:rsidRDefault="001A3459" w:rsidP="00851E26">
      <w:pPr>
        <w:pStyle w:val="Heading2"/>
        <w:spacing w:line="360" w:lineRule="auto"/>
        <w:jc w:val="both"/>
        <w:rPr>
          <w:sz w:val="24"/>
          <w:szCs w:val="24"/>
        </w:rPr>
      </w:pPr>
      <w:bookmarkStart w:id="11" w:name="_Toc235309822"/>
      <w:r w:rsidRPr="00851E26">
        <w:rPr>
          <w:sz w:val="24"/>
          <w:szCs w:val="24"/>
        </w:rPr>
        <w:t>3.2 Critical Evaluation of AI Output</w:t>
      </w:r>
      <w:bookmarkEnd w:id="11"/>
    </w:p>
    <w:p w14:paraId="2B020D0C" w14:textId="65288615" w:rsidR="001A3459" w:rsidRPr="00851E26" w:rsidRDefault="00375A51" w:rsidP="00851E26">
      <w:pPr>
        <w:spacing w:line="360" w:lineRule="auto"/>
        <w:jc w:val="both"/>
        <w:rPr>
          <w:rFonts w:ascii="Arial" w:hAnsi="Arial" w:cs="Arial"/>
        </w:rPr>
      </w:pPr>
      <w:r w:rsidRPr="00851E26">
        <w:rPr>
          <w:rFonts w:ascii="Arial" w:hAnsi="Arial" w:cs="Arial"/>
        </w:rPr>
        <w:t>AI-generated outputs were subjected to systematic verification before inclusion in this report.</w:t>
      </w:r>
      <w:r w:rsidR="00EA7BF3" w:rsidRPr="00851E26">
        <w:rPr>
          <w:rFonts w:ascii="Arial" w:hAnsi="Arial" w:cs="Arial"/>
        </w:rPr>
        <w:t xml:space="preserve"> All the factual statements, such as the FY2024 revenue of BHP, the Scope 3 emissions number by BHP, the </w:t>
      </w:r>
      <w:proofErr w:type="spellStart"/>
      <w:r w:rsidR="00EA7BF3" w:rsidRPr="00851E26">
        <w:rPr>
          <w:rFonts w:ascii="Arial" w:hAnsi="Arial" w:cs="Arial"/>
        </w:rPr>
        <w:t>NeoSmelt</w:t>
      </w:r>
      <w:proofErr w:type="spellEnd"/>
      <w:r w:rsidR="00EA7BF3" w:rsidRPr="00851E26">
        <w:rPr>
          <w:rFonts w:ascii="Arial" w:hAnsi="Arial" w:cs="Arial"/>
        </w:rPr>
        <w:t xml:space="preserve"> specification and regulatory provisions, such as the Safeguard Mechanism and CBAM, were cross-referenced with primary sources, such as BHP (2024a), BHP (2024b), Australian Government (2023), and European Commission (2023). Outputs which could not be verified were omitted completely.</w:t>
      </w:r>
    </w:p>
    <w:p w14:paraId="08BB3E75" w14:textId="6D7B6F0E" w:rsidR="001A3459" w:rsidRPr="00851E26" w:rsidRDefault="00DC3142" w:rsidP="00851E26">
      <w:pPr>
        <w:spacing w:line="360" w:lineRule="auto"/>
        <w:jc w:val="both"/>
        <w:rPr>
          <w:rFonts w:ascii="Arial" w:hAnsi="Arial" w:cs="Arial"/>
        </w:rPr>
      </w:pPr>
      <w:r w:rsidRPr="00DC3142">
        <w:rPr>
          <w:rFonts w:ascii="Arial" w:hAnsi="Arial" w:cs="Arial"/>
        </w:rPr>
        <w:t>Even the assignment brief mentions that the contribution of the mining sector to global GHG emissions amounts to approximately a quarter of the global GHG emissions (Kotler et al., 2024). This number was compared to McKinsey and Company (2020) stating that mining directly contributes to worldwide production of GHG emissions, in the range of 4 to 7%. Instead of just taking the figure stated in the brief at face value, this discrepancy was considered</w:t>
      </w:r>
      <w:r w:rsidR="00843D05">
        <w:rPr>
          <w:rFonts w:ascii="Arial" w:hAnsi="Arial" w:cs="Arial"/>
        </w:rPr>
        <w:t>,</w:t>
      </w:r>
      <w:r w:rsidRPr="00DC3142">
        <w:rPr>
          <w:rFonts w:ascii="Arial" w:hAnsi="Arial" w:cs="Arial"/>
        </w:rPr>
        <w:t xml:space="preserve"> and the more credible 4-7% figure was employed throughout the rest of the report, which highlights the value of not blindly taking information even when it comes down to information already framed within a specific assignment.</w:t>
      </w:r>
    </w:p>
    <w:p w14:paraId="1257D1B8" w14:textId="5ED9C139" w:rsidR="001A3459" w:rsidRPr="00851E26" w:rsidRDefault="001A3459" w:rsidP="00851E26">
      <w:pPr>
        <w:spacing w:line="360" w:lineRule="auto"/>
        <w:jc w:val="both"/>
        <w:rPr>
          <w:rFonts w:ascii="Arial" w:hAnsi="Arial" w:cs="Arial"/>
        </w:rPr>
      </w:pPr>
    </w:p>
    <w:p w14:paraId="4E1530B2" w14:textId="77777777" w:rsidR="001A3459" w:rsidRPr="00851E26" w:rsidRDefault="001A3459" w:rsidP="00851E26">
      <w:pPr>
        <w:pStyle w:val="Heading2"/>
        <w:spacing w:line="360" w:lineRule="auto"/>
        <w:jc w:val="both"/>
        <w:rPr>
          <w:sz w:val="24"/>
          <w:szCs w:val="24"/>
        </w:rPr>
      </w:pPr>
      <w:bookmarkStart w:id="12" w:name="_Toc235309823"/>
      <w:r w:rsidRPr="00851E26">
        <w:rPr>
          <w:sz w:val="24"/>
          <w:szCs w:val="24"/>
        </w:rPr>
        <w:lastRenderedPageBreak/>
        <w:t>3.3 Contribution Analysis</w:t>
      </w:r>
      <w:bookmarkEnd w:id="12"/>
    </w:p>
    <w:p w14:paraId="1DFA06FD" w14:textId="701169EC" w:rsidR="001A3459" w:rsidRPr="00851E26" w:rsidRDefault="00EA7BF3" w:rsidP="00851E26">
      <w:pPr>
        <w:spacing w:line="360" w:lineRule="auto"/>
        <w:jc w:val="both"/>
        <w:rPr>
          <w:rFonts w:ascii="Arial" w:hAnsi="Arial" w:cs="Arial"/>
        </w:rPr>
      </w:pPr>
      <w:r w:rsidRPr="00851E26">
        <w:rPr>
          <w:rFonts w:ascii="Arial" w:hAnsi="Arial" w:cs="Arial"/>
        </w:rPr>
        <w:t xml:space="preserve">AI was involved in the source </w:t>
      </w:r>
      <w:r w:rsidR="00964C28" w:rsidRPr="00851E26">
        <w:rPr>
          <w:rFonts w:ascii="Arial" w:hAnsi="Arial" w:cs="Arial"/>
        </w:rPr>
        <w:t>identification</w:t>
      </w:r>
      <w:r w:rsidRPr="00851E26">
        <w:rPr>
          <w:rFonts w:ascii="Arial" w:hAnsi="Arial" w:cs="Arial"/>
        </w:rPr>
        <w:t xml:space="preserve"> and research stages. The critical appraisal, argument formation and evaluative judgements, the justification of Product Development as the major Ansoff quadrant, the dual positioning lead and differentiation as two Cost Leadership and Differentiation, the critical examination of the transition credibility of BHP, are all the intellectual inputs of the student.</w:t>
      </w:r>
    </w:p>
    <w:p w14:paraId="1BEAE816" w14:textId="62D6A2F6" w:rsidR="001A3459" w:rsidRPr="00851E26" w:rsidRDefault="001A3459" w:rsidP="00851E26">
      <w:pPr>
        <w:spacing w:line="360" w:lineRule="auto"/>
        <w:jc w:val="both"/>
        <w:rPr>
          <w:rFonts w:ascii="Arial" w:hAnsi="Arial" w:cs="Arial"/>
        </w:rPr>
      </w:pPr>
    </w:p>
    <w:p w14:paraId="1DD6551B" w14:textId="77777777" w:rsidR="001A3459" w:rsidRPr="00851E26" w:rsidRDefault="001A3459" w:rsidP="00851E26">
      <w:pPr>
        <w:pStyle w:val="Heading2"/>
        <w:spacing w:line="360" w:lineRule="auto"/>
        <w:jc w:val="both"/>
        <w:rPr>
          <w:sz w:val="24"/>
          <w:szCs w:val="24"/>
        </w:rPr>
      </w:pPr>
      <w:bookmarkStart w:id="13" w:name="_Toc235309824"/>
      <w:r w:rsidRPr="00851E26">
        <w:rPr>
          <w:sz w:val="24"/>
          <w:szCs w:val="24"/>
        </w:rPr>
        <w:t>3.4 Ethical and Professional Reflection</w:t>
      </w:r>
      <w:bookmarkEnd w:id="13"/>
    </w:p>
    <w:p w14:paraId="428BC0BA" w14:textId="33605E81" w:rsidR="001A3459" w:rsidRPr="00851E26" w:rsidRDefault="00EA7BF3" w:rsidP="00851E26">
      <w:pPr>
        <w:spacing w:line="360" w:lineRule="auto"/>
        <w:jc w:val="both"/>
        <w:rPr>
          <w:rFonts w:ascii="Arial" w:hAnsi="Arial" w:cs="Arial"/>
        </w:rPr>
      </w:pPr>
      <w:r w:rsidRPr="00851E26">
        <w:rPr>
          <w:rFonts w:ascii="Arial" w:hAnsi="Arial" w:cs="Arial"/>
        </w:rPr>
        <w:t xml:space="preserve">Ethics is a key concern in the application of AI in marketing analysis. The overuse of AI </w:t>
      </w:r>
      <w:r w:rsidR="00964C28" w:rsidRPr="00851E26">
        <w:rPr>
          <w:rFonts w:ascii="Arial" w:hAnsi="Arial" w:cs="Arial"/>
        </w:rPr>
        <w:t>endangers</w:t>
      </w:r>
      <w:r w:rsidRPr="00851E26">
        <w:rPr>
          <w:rFonts w:ascii="Arial" w:hAnsi="Arial" w:cs="Arial"/>
        </w:rPr>
        <w:t xml:space="preserve"> the creation of surface analysis that is not qualitative enough to qualify as a postgraduate essay. </w:t>
      </w:r>
      <w:r w:rsidR="00373F6F" w:rsidRPr="00373F6F">
        <w:rPr>
          <w:rFonts w:ascii="Arial" w:hAnsi="Arial" w:cs="Arial"/>
        </w:rPr>
        <w:t>Moreover, AI applications can repeat unverified figures without flagging them, as this report's initial reliance on an unchecked emissions statistic illustrates.</w:t>
      </w:r>
      <w:r w:rsidRPr="00851E26">
        <w:rPr>
          <w:rFonts w:ascii="Arial" w:hAnsi="Arial" w:cs="Arial"/>
        </w:rPr>
        <w:t xml:space="preserve"> Professionally, marketing practitioners have a role in the validity and integrity of strategic analysis; by delegating </w:t>
      </w:r>
      <w:r w:rsidR="00964C28" w:rsidRPr="00851E26">
        <w:rPr>
          <w:rFonts w:ascii="Arial" w:hAnsi="Arial" w:cs="Arial"/>
        </w:rPr>
        <w:t>judgment</w:t>
      </w:r>
      <w:r w:rsidRPr="00851E26">
        <w:rPr>
          <w:rFonts w:ascii="Arial" w:hAnsi="Arial" w:cs="Arial"/>
        </w:rPr>
        <w:t xml:space="preserve"> on the analytical aspect to AI without strict verification, they lose this role. Applied critically and openly, though, AI can be rightfully helpful to aid the efficiency of the research, as long as human judgement is at the centre of the analytical process.</w:t>
      </w:r>
    </w:p>
    <w:p w14:paraId="794FA60E" w14:textId="3E56D3AA" w:rsidR="001A3459" w:rsidRPr="00851E26" w:rsidRDefault="001A3459" w:rsidP="00851E26">
      <w:pPr>
        <w:spacing w:line="360" w:lineRule="auto"/>
        <w:jc w:val="both"/>
        <w:rPr>
          <w:rFonts w:ascii="Arial" w:hAnsi="Arial" w:cs="Arial"/>
        </w:rPr>
      </w:pPr>
    </w:p>
    <w:p w14:paraId="7AB7A865" w14:textId="77777777" w:rsidR="001A3459" w:rsidRPr="00851E26" w:rsidRDefault="001A3459" w:rsidP="00851E26">
      <w:pPr>
        <w:spacing w:line="360" w:lineRule="auto"/>
        <w:jc w:val="both"/>
        <w:rPr>
          <w:rFonts w:ascii="Arial" w:hAnsi="Arial" w:cs="Arial"/>
          <w:b/>
          <w:bCs/>
        </w:rPr>
      </w:pPr>
    </w:p>
    <w:p w14:paraId="5718F8F7" w14:textId="77777777" w:rsidR="00843D05" w:rsidRDefault="00843D05">
      <w:pPr>
        <w:rPr>
          <w:rFonts w:ascii="Arial" w:eastAsiaTheme="majorEastAsia" w:hAnsi="Arial" w:cs="Arial"/>
          <w:color w:val="0F4761" w:themeColor="accent1" w:themeShade="BF"/>
        </w:rPr>
      </w:pPr>
      <w:bookmarkStart w:id="14" w:name="_Toc235309825"/>
      <w:r>
        <w:br w:type="page"/>
      </w:r>
    </w:p>
    <w:p w14:paraId="6FAE1CC0" w14:textId="13163C6E" w:rsidR="001A3459" w:rsidRPr="00851E26" w:rsidRDefault="001A3459" w:rsidP="00851E26">
      <w:pPr>
        <w:pStyle w:val="Heading1"/>
        <w:spacing w:line="360" w:lineRule="auto"/>
        <w:jc w:val="both"/>
        <w:rPr>
          <w:sz w:val="24"/>
          <w:szCs w:val="24"/>
        </w:rPr>
      </w:pPr>
      <w:r w:rsidRPr="00851E26">
        <w:rPr>
          <w:sz w:val="24"/>
          <w:szCs w:val="24"/>
        </w:rPr>
        <w:lastRenderedPageBreak/>
        <w:t>Reference List</w:t>
      </w:r>
      <w:bookmarkEnd w:id="14"/>
    </w:p>
    <w:p w14:paraId="0591DA81" w14:textId="5CEAFAEC" w:rsidR="001A3459" w:rsidRPr="00851E26" w:rsidRDefault="001A3459" w:rsidP="002758A2">
      <w:pPr>
        <w:spacing w:line="360" w:lineRule="auto"/>
        <w:rPr>
          <w:rFonts w:ascii="Arial" w:hAnsi="Arial" w:cs="Arial"/>
        </w:rPr>
      </w:pPr>
      <w:r w:rsidRPr="00851E26">
        <w:rPr>
          <w:rFonts w:ascii="Arial" w:hAnsi="Arial" w:cs="Arial"/>
        </w:rPr>
        <w:t xml:space="preserve">Ali, B.J. and Anwar, G. (2021) 'Porter's generic competitive strategies and </w:t>
      </w:r>
      <w:r w:rsidR="00BC6B92">
        <w:rPr>
          <w:rFonts w:ascii="Arial" w:hAnsi="Arial" w:cs="Arial"/>
        </w:rPr>
        <w:t>their</w:t>
      </w:r>
      <w:r w:rsidRPr="00851E26">
        <w:rPr>
          <w:rFonts w:ascii="Arial" w:hAnsi="Arial" w:cs="Arial"/>
        </w:rPr>
        <w:t xml:space="preserve"> influence on the competitive advantage', </w:t>
      </w:r>
      <w:r w:rsidRPr="00851E26">
        <w:rPr>
          <w:rFonts w:ascii="Arial" w:hAnsi="Arial" w:cs="Arial"/>
          <w:i/>
          <w:iCs/>
        </w:rPr>
        <w:t>International Journal of Advanced Engineering, Management and Science</w:t>
      </w:r>
      <w:r w:rsidRPr="00851E26">
        <w:rPr>
          <w:rFonts w:ascii="Arial" w:hAnsi="Arial" w:cs="Arial"/>
        </w:rPr>
        <w:t>, 7(6), pp. 42–51.</w:t>
      </w:r>
    </w:p>
    <w:p w14:paraId="477837F1" w14:textId="77777777" w:rsidR="001A3459" w:rsidRPr="00851E26" w:rsidRDefault="001A3459" w:rsidP="002758A2">
      <w:pPr>
        <w:spacing w:line="360" w:lineRule="auto"/>
        <w:rPr>
          <w:rFonts w:ascii="Arial" w:hAnsi="Arial" w:cs="Arial"/>
        </w:rPr>
      </w:pPr>
      <w:proofErr w:type="spellStart"/>
      <w:r w:rsidRPr="00851E26">
        <w:rPr>
          <w:rFonts w:ascii="Arial" w:hAnsi="Arial" w:cs="Arial"/>
        </w:rPr>
        <w:t>Amegboleza</w:t>
      </w:r>
      <w:proofErr w:type="spellEnd"/>
      <w:r w:rsidRPr="00851E26">
        <w:rPr>
          <w:rFonts w:ascii="Arial" w:hAnsi="Arial" w:cs="Arial"/>
        </w:rPr>
        <w:t xml:space="preserve">, A.A. and Ülkü, M.A. (2025) 'Sustainable energy transition for the mining industry: a bibliometric analysis of trends and emerging research pathways', </w:t>
      </w:r>
      <w:r w:rsidRPr="00851E26">
        <w:rPr>
          <w:rFonts w:ascii="Arial" w:hAnsi="Arial" w:cs="Arial"/>
          <w:i/>
          <w:iCs/>
        </w:rPr>
        <w:t>Sustainability</w:t>
      </w:r>
      <w:r w:rsidRPr="00851E26">
        <w:rPr>
          <w:rFonts w:ascii="Arial" w:hAnsi="Arial" w:cs="Arial"/>
        </w:rPr>
        <w:t>, 17(5), p. 2292.</w:t>
      </w:r>
    </w:p>
    <w:p w14:paraId="6A06F16A" w14:textId="77777777" w:rsidR="001A3459" w:rsidRPr="00851E26" w:rsidRDefault="001A3459" w:rsidP="002758A2">
      <w:pPr>
        <w:spacing w:line="360" w:lineRule="auto"/>
        <w:rPr>
          <w:rFonts w:ascii="Arial" w:hAnsi="Arial" w:cs="Arial"/>
        </w:rPr>
      </w:pPr>
      <w:r w:rsidRPr="00851E26">
        <w:rPr>
          <w:rFonts w:ascii="Arial" w:hAnsi="Arial" w:cs="Arial"/>
        </w:rPr>
        <w:t xml:space="preserve">Australian Government, Department of the Prime Minister and Cabinet (2023) </w:t>
      </w:r>
      <w:r w:rsidRPr="00851E26">
        <w:rPr>
          <w:rFonts w:ascii="Arial" w:hAnsi="Arial" w:cs="Arial"/>
          <w:i/>
          <w:iCs/>
        </w:rPr>
        <w:t>Reforms to the Safeguard Mechanism: impact analysis</w:t>
      </w:r>
      <w:r w:rsidRPr="00851E26">
        <w:rPr>
          <w:rFonts w:ascii="Arial" w:hAnsi="Arial" w:cs="Arial"/>
        </w:rPr>
        <w:t xml:space="preserve">. Canberra: Office of Impact Analysis. Available at: </w:t>
      </w:r>
      <w:hyperlink r:id="rId9" w:history="1">
        <w:r w:rsidRPr="00851E26">
          <w:rPr>
            <w:rStyle w:val="Hyperlink"/>
            <w:rFonts w:ascii="Arial" w:hAnsi="Arial" w:cs="Arial"/>
          </w:rPr>
          <w:t>https://oia.pmc.gov.au/sites/default/files/posts/2023/05/Publish%20Version%20-%20Impact%20Analysis.pdf</w:t>
        </w:r>
      </w:hyperlink>
      <w:r w:rsidRPr="00851E26">
        <w:rPr>
          <w:rFonts w:ascii="Arial" w:hAnsi="Arial" w:cs="Arial"/>
        </w:rPr>
        <w:t xml:space="preserve"> (Accessed: 10 July 2026).</w:t>
      </w:r>
    </w:p>
    <w:p w14:paraId="276859AF" w14:textId="77777777" w:rsidR="001A3459" w:rsidRPr="00851E26" w:rsidRDefault="001A3459" w:rsidP="002758A2">
      <w:pPr>
        <w:spacing w:line="360" w:lineRule="auto"/>
        <w:rPr>
          <w:rFonts w:ascii="Arial" w:hAnsi="Arial" w:cs="Arial"/>
        </w:rPr>
      </w:pPr>
      <w:r w:rsidRPr="00851E26">
        <w:rPr>
          <w:rFonts w:ascii="Arial" w:hAnsi="Arial" w:cs="Arial"/>
        </w:rPr>
        <w:t xml:space="preserve">BHP (2024a) </w:t>
      </w:r>
      <w:r w:rsidRPr="00851E26">
        <w:rPr>
          <w:rFonts w:ascii="Arial" w:hAnsi="Arial" w:cs="Arial"/>
          <w:i/>
          <w:iCs/>
        </w:rPr>
        <w:t>Annual report 2024</w:t>
      </w:r>
      <w:r w:rsidRPr="00851E26">
        <w:rPr>
          <w:rFonts w:ascii="Arial" w:hAnsi="Arial" w:cs="Arial"/>
        </w:rPr>
        <w:t xml:space="preserve">. Melbourne: BHP Group Limited. Available at: </w:t>
      </w:r>
      <w:hyperlink r:id="rId10" w:history="1">
        <w:r w:rsidRPr="00851E26">
          <w:rPr>
            <w:rStyle w:val="Hyperlink"/>
            <w:rFonts w:ascii="Arial" w:hAnsi="Arial" w:cs="Arial"/>
          </w:rPr>
          <w:t>https://www.bhp.com/investors/annual-reporting</w:t>
        </w:r>
      </w:hyperlink>
      <w:r w:rsidRPr="00851E26">
        <w:rPr>
          <w:rFonts w:ascii="Arial" w:hAnsi="Arial" w:cs="Arial"/>
        </w:rPr>
        <w:t xml:space="preserve"> (Accessed: 10 July 2026).</w:t>
      </w:r>
    </w:p>
    <w:p w14:paraId="694550CF" w14:textId="77777777" w:rsidR="001A3459" w:rsidRPr="00851E26" w:rsidRDefault="001A3459" w:rsidP="002758A2">
      <w:pPr>
        <w:spacing w:line="360" w:lineRule="auto"/>
        <w:rPr>
          <w:rFonts w:ascii="Arial" w:hAnsi="Arial" w:cs="Arial"/>
        </w:rPr>
      </w:pPr>
      <w:r w:rsidRPr="00851E26">
        <w:rPr>
          <w:rFonts w:ascii="Arial" w:hAnsi="Arial" w:cs="Arial"/>
        </w:rPr>
        <w:t xml:space="preserve">BHP (2024b) </w:t>
      </w:r>
      <w:r w:rsidRPr="00851E26">
        <w:rPr>
          <w:rFonts w:ascii="Arial" w:hAnsi="Arial" w:cs="Arial"/>
          <w:i/>
          <w:iCs/>
        </w:rPr>
        <w:t>Climate transition action plan 2024</w:t>
      </w:r>
      <w:r w:rsidRPr="00851E26">
        <w:rPr>
          <w:rFonts w:ascii="Arial" w:hAnsi="Arial" w:cs="Arial"/>
        </w:rPr>
        <w:t xml:space="preserve">. Melbourne: BHP Group Limited. Available at: </w:t>
      </w:r>
      <w:hyperlink r:id="rId11" w:history="1">
        <w:r w:rsidRPr="00851E26">
          <w:rPr>
            <w:rStyle w:val="Hyperlink"/>
            <w:rFonts w:ascii="Arial" w:hAnsi="Arial" w:cs="Arial"/>
          </w:rPr>
          <w:t>https://www.bhp.com/sustainability/climate-change</w:t>
        </w:r>
      </w:hyperlink>
      <w:r w:rsidRPr="00851E26">
        <w:rPr>
          <w:rFonts w:ascii="Arial" w:hAnsi="Arial" w:cs="Arial"/>
        </w:rPr>
        <w:t xml:space="preserve"> (Accessed: 10 July 2026).</w:t>
      </w:r>
    </w:p>
    <w:p w14:paraId="233A04EB" w14:textId="77777777" w:rsidR="001A3459" w:rsidRPr="00851E26" w:rsidRDefault="001A3459" w:rsidP="002758A2">
      <w:pPr>
        <w:spacing w:line="360" w:lineRule="auto"/>
        <w:rPr>
          <w:rFonts w:ascii="Arial" w:hAnsi="Arial" w:cs="Arial"/>
        </w:rPr>
      </w:pPr>
      <w:r w:rsidRPr="00851E26">
        <w:rPr>
          <w:rFonts w:ascii="Arial" w:hAnsi="Arial" w:cs="Arial"/>
        </w:rPr>
        <w:t xml:space="preserve">Deo, K. and Prasad, A.A. (2022) 'Exploring climate change adaptation, mitigation and marketing connections', </w:t>
      </w:r>
      <w:r w:rsidRPr="00851E26">
        <w:rPr>
          <w:rFonts w:ascii="Arial" w:hAnsi="Arial" w:cs="Arial"/>
          <w:i/>
          <w:iCs/>
        </w:rPr>
        <w:t>Sustainability</w:t>
      </w:r>
      <w:r w:rsidRPr="00851E26">
        <w:rPr>
          <w:rFonts w:ascii="Arial" w:hAnsi="Arial" w:cs="Arial"/>
        </w:rPr>
        <w:t>, 14(7), p. 4255.</w:t>
      </w:r>
    </w:p>
    <w:p w14:paraId="03DB7E8C" w14:textId="77777777" w:rsidR="001A3459" w:rsidRPr="00851E26" w:rsidRDefault="001A3459" w:rsidP="002758A2">
      <w:pPr>
        <w:spacing w:line="360" w:lineRule="auto"/>
        <w:rPr>
          <w:rFonts w:ascii="Arial" w:hAnsi="Arial" w:cs="Arial"/>
        </w:rPr>
      </w:pPr>
      <w:r w:rsidRPr="00851E26">
        <w:rPr>
          <w:rFonts w:ascii="Arial" w:hAnsi="Arial" w:cs="Arial"/>
        </w:rPr>
        <w:t xml:space="preserve">Do, B. and Nguyen, N. (2020) 'The links between proactive environmental strategy, competitive advantages and firm performance: an empirical study in Vietnam', </w:t>
      </w:r>
      <w:r w:rsidRPr="00851E26">
        <w:rPr>
          <w:rFonts w:ascii="Arial" w:hAnsi="Arial" w:cs="Arial"/>
          <w:i/>
          <w:iCs/>
        </w:rPr>
        <w:t>Sustainability</w:t>
      </w:r>
      <w:r w:rsidRPr="00851E26">
        <w:rPr>
          <w:rFonts w:ascii="Arial" w:hAnsi="Arial" w:cs="Arial"/>
        </w:rPr>
        <w:t>, 12(12), p. 4962.</w:t>
      </w:r>
    </w:p>
    <w:p w14:paraId="169265CD" w14:textId="77777777" w:rsidR="001A3459" w:rsidRPr="00851E26" w:rsidRDefault="001A3459" w:rsidP="002758A2">
      <w:pPr>
        <w:spacing w:line="360" w:lineRule="auto"/>
        <w:rPr>
          <w:rFonts w:ascii="Arial" w:hAnsi="Arial" w:cs="Arial"/>
        </w:rPr>
      </w:pPr>
      <w:r w:rsidRPr="00851E26">
        <w:rPr>
          <w:rFonts w:ascii="Arial" w:hAnsi="Arial" w:cs="Arial"/>
        </w:rPr>
        <w:t xml:space="preserve">Ellis, J., Nachtigall, D. and </w:t>
      </w:r>
      <w:proofErr w:type="spellStart"/>
      <w:r w:rsidRPr="00851E26">
        <w:rPr>
          <w:rFonts w:ascii="Arial" w:hAnsi="Arial" w:cs="Arial"/>
        </w:rPr>
        <w:t>Venmans</w:t>
      </w:r>
      <w:proofErr w:type="spellEnd"/>
      <w:r w:rsidRPr="00851E26">
        <w:rPr>
          <w:rFonts w:ascii="Arial" w:hAnsi="Arial" w:cs="Arial"/>
        </w:rPr>
        <w:t xml:space="preserve">, F. (2020) 'Carbon pricing and competitiveness: are they at odds?', </w:t>
      </w:r>
      <w:r w:rsidRPr="00851E26">
        <w:rPr>
          <w:rFonts w:ascii="Arial" w:hAnsi="Arial" w:cs="Arial"/>
          <w:i/>
          <w:iCs/>
        </w:rPr>
        <w:t>Climate Policy</w:t>
      </w:r>
      <w:r w:rsidRPr="00851E26">
        <w:rPr>
          <w:rFonts w:ascii="Arial" w:hAnsi="Arial" w:cs="Arial"/>
        </w:rPr>
        <w:t>, 20(9), pp. 1070–1091.</w:t>
      </w:r>
    </w:p>
    <w:p w14:paraId="09583202" w14:textId="77777777" w:rsidR="001A3459" w:rsidRPr="00851E26" w:rsidRDefault="001A3459" w:rsidP="002758A2">
      <w:pPr>
        <w:spacing w:line="360" w:lineRule="auto"/>
        <w:rPr>
          <w:rFonts w:ascii="Arial" w:hAnsi="Arial" w:cs="Arial"/>
        </w:rPr>
      </w:pPr>
      <w:proofErr w:type="spellStart"/>
      <w:r w:rsidRPr="00851E26">
        <w:rPr>
          <w:rFonts w:ascii="Arial" w:hAnsi="Arial" w:cs="Arial"/>
        </w:rPr>
        <w:t>Espínola</w:t>
      </w:r>
      <w:proofErr w:type="spellEnd"/>
      <w:r w:rsidRPr="00851E26">
        <w:rPr>
          <w:rFonts w:ascii="Arial" w:hAnsi="Arial" w:cs="Arial"/>
        </w:rPr>
        <w:t xml:space="preserve">, F., Castillo, E. and Orellana, L.F. (2025) 'Bibliometric and PESTEL analysis of deep-sea mining: trends and challenges for sustainable development', </w:t>
      </w:r>
      <w:r w:rsidRPr="00851E26">
        <w:rPr>
          <w:rFonts w:ascii="Arial" w:hAnsi="Arial" w:cs="Arial"/>
          <w:i/>
          <w:iCs/>
        </w:rPr>
        <w:t>Mining</w:t>
      </w:r>
      <w:r w:rsidRPr="00851E26">
        <w:rPr>
          <w:rFonts w:ascii="Arial" w:hAnsi="Arial" w:cs="Arial"/>
        </w:rPr>
        <w:t>, 5(2), p. 36.</w:t>
      </w:r>
    </w:p>
    <w:p w14:paraId="1783239D" w14:textId="77777777" w:rsidR="001A3459" w:rsidRPr="00851E26" w:rsidRDefault="001A3459" w:rsidP="002758A2">
      <w:pPr>
        <w:spacing w:line="360" w:lineRule="auto"/>
        <w:rPr>
          <w:rFonts w:ascii="Arial" w:hAnsi="Arial" w:cs="Arial"/>
        </w:rPr>
      </w:pPr>
      <w:r w:rsidRPr="00851E26">
        <w:rPr>
          <w:rFonts w:ascii="Arial" w:hAnsi="Arial" w:cs="Arial"/>
        </w:rPr>
        <w:t xml:space="preserve">European Commission (2023) </w:t>
      </w:r>
      <w:r w:rsidRPr="00851E26">
        <w:rPr>
          <w:rFonts w:ascii="Arial" w:hAnsi="Arial" w:cs="Arial"/>
          <w:i/>
          <w:iCs/>
        </w:rPr>
        <w:t>Carbon border adjustment mechanism</w:t>
      </w:r>
      <w:r w:rsidRPr="00851E26">
        <w:rPr>
          <w:rFonts w:ascii="Arial" w:hAnsi="Arial" w:cs="Arial"/>
        </w:rPr>
        <w:t xml:space="preserve">. Brussels: European Commission. Available at: </w:t>
      </w:r>
      <w:hyperlink r:id="rId12" w:history="1">
        <w:r w:rsidRPr="00851E26">
          <w:rPr>
            <w:rStyle w:val="Hyperlink"/>
            <w:rFonts w:ascii="Arial" w:hAnsi="Arial" w:cs="Arial"/>
          </w:rPr>
          <w:t>https://taxation-customs.ec.europa.eu/carbon-border-adjustment-mechanism_en</w:t>
        </w:r>
      </w:hyperlink>
      <w:r w:rsidRPr="00851E26">
        <w:rPr>
          <w:rFonts w:ascii="Arial" w:hAnsi="Arial" w:cs="Arial"/>
        </w:rPr>
        <w:t xml:space="preserve"> (Accessed: 10 July 2026).</w:t>
      </w:r>
    </w:p>
    <w:p w14:paraId="1CF9E9F2" w14:textId="77777777" w:rsidR="001A3459" w:rsidRPr="00851E26" w:rsidRDefault="001A3459" w:rsidP="002758A2">
      <w:pPr>
        <w:spacing w:line="360" w:lineRule="auto"/>
        <w:rPr>
          <w:rFonts w:ascii="Arial" w:hAnsi="Arial" w:cs="Arial"/>
        </w:rPr>
      </w:pPr>
      <w:r w:rsidRPr="00851E26">
        <w:rPr>
          <w:rFonts w:ascii="Arial" w:hAnsi="Arial" w:cs="Arial"/>
        </w:rPr>
        <w:lastRenderedPageBreak/>
        <w:t xml:space="preserve">Islami, X., Mustafa, N. and </w:t>
      </w:r>
      <w:proofErr w:type="spellStart"/>
      <w:r w:rsidRPr="00851E26">
        <w:rPr>
          <w:rFonts w:ascii="Arial" w:hAnsi="Arial" w:cs="Arial"/>
        </w:rPr>
        <w:t>Topuzovska</w:t>
      </w:r>
      <w:proofErr w:type="spellEnd"/>
      <w:r w:rsidRPr="00851E26">
        <w:rPr>
          <w:rFonts w:ascii="Arial" w:hAnsi="Arial" w:cs="Arial"/>
        </w:rPr>
        <w:t xml:space="preserve"> </w:t>
      </w:r>
      <w:proofErr w:type="spellStart"/>
      <w:r w:rsidRPr="00851E26">
        <w:rPr>
          <w:rFonts w:ascii="Arial" w:hAnsi="Arial" w:cs="Arial"/>
        </w:rPr>
        <w:t>Latkovikj</w:t>
      </w:r>
      <w:proofErr w:type="spellEnd"/>
      <w:r w:rsidRPr="00851E26">
        <w:rPr>
          <w:rFonts w:ascii="Arial" w:hAnsi="Arial" w:cs="Arial"/>
        </w:rPr>
        <w:t xml:space="preserve">, M. (2020) 'Linking Porter's generic strategies to firm performance', </w:t>
      </w:r>
      <w:r w:rsidRPr="00851E26">
        <w:rPr>
          <w:rFonts w:ascii="Arial" w:hAnsi="Arial" w:cs="Arial"/>
          <w:i/>
          <w:iCs/>
        </w:rPr>
        <w:t>Future Business Journal</w:t>
      </w:r>
      <w:r w:rsidRPr="00851E26">
        <w:rPr>
          <w:rFonts w:ascii="Arial" w:hAnsi="Arial" w:cs="Arial"/>
        </w:rPr>
        <w:t>, 6(1), article 3.</w:t>
      </w:r>
    </w:p>
    <w:p w14:paraId="3A90AD53" w14:textId="77777777" w:rsidR="001A3459" w:rsidRPr="00851E26" w:rsidRDefault="001A3459" w:rsidP="002758A2">
      <w:pPr>
        <w:spacing w:line="360" w:lineRule="auto"/>
        <w:rPr>
          <w:rFonts w:ascii="Arial" w:hAnsi="Arial" w:cs="Arial"/>
        </w:rPr>
      </w:pPr>
      <w:r w:rsidRPr="00851E26">
        <w:rPr>
          <w:rFonts w:ascii="Arial" w:hAnsi="Arial" w:cs="Arial"/>
        </w:rPr>
        <w:t xml:space="preserve">Kemper, J.A., Hall, C.M. and Ballantine, P.W. (2019) 'Marketing and sustainability: business as usual or changing worldviews?', </w:t>
      </w:r>
      <w:r w:rsidRPr="00851E26">
        <w:rPr>
          <w:rFonts w:ascii="Arial" w:hAnsi="Arial" w:cs="Arial"/>
          <w:i/>
          <w:iCs/>
        </w:rPr>
        <w:t>Sustainability</w:t>
      </w:r>
      <w:r w:rsidRPr="00851E26">
        <w:rPr>
          <w:rFonts w:ascii="Arial" w:hAnsi="Arial" w:cs="Arial"/>
        </w:rPr>
        <w:t>, 11(3), p. 780.</w:t>
      </w:r>
    </w:p>
    <w:p w14:paraId="5B561CC5" w14:textId="77777777" w:rsidR="001A3459" w:rsidRPr="00851E26" w:rsidRDefault="001A3459" w:rsidP="002758A2">
      <w:pPr>
        <w:spacing w:line="360" w:lineRule="auto"/>
        <w:rPr>
          <w:rFonts w:ascii="Arial" w:hAnsi="Arial" w:cs="Arial"/>
        </w:rPr>
      </w:pPr>
      <w:r w:rsidRPr="00851E26">
        <w:rPr>
          <w:rFonts w:ascii="Arial" w:hAnsi="Arial" w:cs="Arial"/>
        </w:rPr>
        <w:t xml:space="preserve">Kotler, P., Armstrong, G., Harris, L.C. and He, H. (2024) </w:t>
      </w:r>
      <w:r w:rsidRPr="00851E26">
        <w:rPr>
          <w:rFonts w:ascii="Arial" w:hAnsi="Arial" w:cs="Arial"/>
          <w:i/>
          <w:iCs/>
        </w:rPr>
        <w:t>Principles of marketing</w:t>
      </w:r>
      <w:r w:rsidRPr="00851E26">
        <w:rPr>
          <w:rFonts w:ascii="Arial" w:hAnsi="Arial" w:cs="Arial"/>
        </w:rPr>
        <w:t xml:space="preserve">. 19th </w:t>
      </w:r>
      <w:proofErr w:type="spellStart"/>
      <w:r w:rsidRPr="00851E26">
        <w:rPr>
          <w:rFonts w:ascii="Arial" w:hAnsi="Arial" w:cs="Arial"/>
        </w:rPr>
        <w:t>edn</w:t>
      </w:r>
      <w:proofErr w:type="spellEnd"/>
      <w:r w:rsidRPr="00851E26">
        <w:rPr>
          <w:rFonts w:ascii="Arial" w:hAnsi="Arial" w:cs="Arial"/>
        </w:rPr>
        <w:t>. Harlow: Pearson.</w:t>
      </w:r>
    </w:p>
    <w:p w14:paraId="119AA6AF" w14:textId="77777777" w:rsidR="001A3459" w:rsidRPr="00851E26" w:rsidRDefault="001A3459" w:rsidP="002758A2">
      <w:pPr>
        <w:spacing w:line="360" w:lineRule="auto"/>
        <w:rPr>
          <w:rFonts w:ascii="Arial" w:hAnsi="Arial" w:cs="Arial"/>
        </w:rPr>
      </w:pPr>
      <w:r w:rsidRPr="00851E26">
        <w:rPr>
          <w:rFonts w:ascii="Arial" w:hAnsi="Arial" w:cs="Arial"/>
        </w:rPr>
        <w:t xml:space="preserve">McKinsey and Company (2020) </w:t>
      </w:r>
      <w:r w:rsidRPr="00851E26">
        <w:rPr>
          <w:rFonts w:ascii="Arial" w:hAnsi="Arial" w:cs="Arial"/>
          <w:i/>
          <w:iCs/>
        </w:rPr>
        <w:t>Climate risk and decarbonization: what every mining CEO needs to know</w:t>
      </w:r>
      <w:r w:rsidRPr="00851E26">
        <w:rPr>
          <w:rFonts w:ascii="Arial" w:hAnsi="Arial" w:cs="Arial"/>
        </w:rPr>
        <w:t xml:space="preserve">. McKinsey and Company. Available at: </w:t>
      </w:r>
      <w:hyperlink r:id="rId13" w:history="1">
        <w:r w:rsidRPr="00851E26">
          <w:rPr>
            <w:rStyle w:val="Hyperlink"/>
            <w:rFonts w:ascii="Arial" w:hAnsi="Arial" w:cs="Arial"/>
          </w:rPr>
          <w:t>https://www.mckinsey.com/industries/metals-and-mining/our-insights/climate-risk-and-decarbonization-what-every-mining-ceo-needs-to-know</w:t>
        </w:r>
      </w:hyperlink>
      <w:r w:rsidRPr="00851E26">
        <w:rPr>
          <w:rFonts w:ascii="Arial" w:hAnsi="Arial" w:cs="Arial"/>
        </w:rPr>
        <w:t xml:space="preserve"> (Accessed: 10 July 2026).</w:t>
      </w:r>
    </w:p>
    <w:p w14:paraId="74F93760" w14:textId="77777777" w:rsidR="001A3459" w:rsidRPr="00851E26" w:rsidRDefault="001A3459" w:rsidP="002758A2">
      <w:pPr>
        <w:spacing w:line="360" w:lineRule="auto"/>
        <w:rPr>
          <w:rFonts w:ascii="Arial" w:hAnsi="Arial" w:cs="Arial"/>
        </w:rPr>
      </w:pPr>
      <w:proofErr w:type="spellStart"/>
      <w:r w:rsidRPr="00851E26">
        <w:rPr>
          <w:rFonts w:ascii="Arial" w:hAnsi="Arial" w:cs="Arial"/>
        </w:rPr>
        <w:t>Moravcikova</w:t>
      </w:r>
      <w:proofErr w:type="spellEnd"/>
      <w:r w:rsidRPr="00851E26">
        <w:rPr>
          <w:rFonts w:ascii="Arial" w:hAnsi="Arial" w:cs="Arial"/>
        </w:rPr>
        <w:t xml:space="preserve">, D., </w:t>
      </w:r>
      <w:proofErr w:type="spellStart"/>
      <w:r w:rsidRPr="00851E26">
        <w:rPr>
          <w:rFonts w:ascii="Arial" w:hAnsi="Arial" w:cs="Arial"/>
        </w:rPr>
        <w:t>Krizanova</w:t>
      </w:r>
      <w:proofErr w:type="spellEnd"/>
      <w:r w:rsidRPr="00851E26">
        <w:rPr>
          <w:rFonts w:ascii="Arial" w:hAnsi="Arial" w:cs="Arial"/>
        </w:rPr>
        <w:t xml:space="preserve">, A., </w:t>
      </w:r>
      <w:proofErr w:type="spellStart"/>
      <w:r w:rsidRPr="00851E26">
        <w:rPr>
          <w:rFonts w:ascii="Arial" w:hAnsi="Arial" w:cs="Arial"/>
        </w:rPr>
        <w:t>Kliestikova</w:t>
      </w:r>
      <w:proofErr w:type="spellEnd"/>
      <w:r w:rsidRPr="00851E26">
        <w:rPr>
          <w:rFonts w:ascii="Arial" w:hAnsi="Arial" w:cs="Arial"/>
        </w:rPr>
        <w:t xml:space="preserve">, J. and </w:t>
      </w:r>
      <w:proofErr w:type="spellStart"/>
      <w:r w:rsidRPr="00851E26">
        <w:rPr>
          <w:rFonts w:ascii="Arial" w:hAnsi="Arial" w:cs="Arial"/>
        </w:rPr>
        <w:t>Rypakova</w:t>
      </w:r>
      <w:proofErr w:type="spellEnd"/>
      <w:r w:rsidRPr="00851E26">
        <w:rPr>
          <w:rFonts w:ascii="Arial" w:hAnsi="Arial" w:cs="Arial"/>
        </w:rPr>
        <w:t xml:space="preserve">, M. (2017) 'Green marketing as the source of the competitive advantage of the business', </w:t>
      </w:r>
      <w:r w:rsidRPr="00851E26">
        <w:rPr>
          <w:rFonts w:ascii="Arial" w:hAnsi="Arial" w:cs="Arial"/>
          <w:i/>
          <w:iCs/>
        </w:rPr>
        <w:t>Sustainability</w:t>
      </w:r>
      <w:r w:rsidRPr="00851E26">
        <w:rPr>
          <w:rFonts w:ascii="Arial" w:hAnsi="Arial" w:cs="Arial"/>
        </w:rPr>
        <w:t>, 9(12), p. 2218.</w:t>
      </w:r>
    </w:p>
    <w:p w14:paraId="17CE59BC" w14:textId="77777777" w:rsidR="001A3459" w:rsidRPr="00851E26" w:rsidRDefault="001A3459" w:rsidP="002758A2">
      <w:pPr>
        <w:spacing w:line="360" w:lineRule="auto"/>
        <w:rPr>
          <w:rFonts w:ascii="Arial" w:hAnsi="Arial" w:cs="Arial"/>
        </w:rPr>
      </w:pPr>
      <w:r w:rsidRPr="00851E26">
        <w:rPr>
          <w:rFonts w:ascii="Arial" w:hAnsi="Arial" w:cs="Arial"/>
        </w:rPr>
        <w:t xml:space="preserve">Nicholas, S. (2024) </w:t>
      </w:r>
      <w:r w:rsidRPr="00851E26">
        <w:rPr>
          <w:rFonts w:ascii="Arial" w:hAnsi="Arial" w:cs="Arial"/>
          <w:i/>
          <w:iCs/>
        </w:rPr>
        <w:t>BHP is lagging its peers on Scope 3 and steel technology transition</w:t>
      </w:r>
      <w:r w:rsidRPr="00851E26">
        <w:rPr>
          <w:rFonts w:ascii="Arial" w:hAnsi="Arial" w:cs="Arial"/>
        </w:rPr>
        <w:t xml:space="preserve">. Institute for Energy Economics and Financial Analysis (IEEFA), 10 October. Available at: </w:t>
      </w:r>
      <w:hyperlink r:id="rId14" w:history="1">
        <w:r w:rsidRPr="00851E26">
          <w:rPr>
            <w:rStyle w:val="Hyperlink"/>
            <w:rFonts w:ascii="Arial" w:hAnsi="Arial" w:cs="Arial"/>
          </w:rPr>
          <w:t>https://ieefa.org/resources/bhp-lagging-its-peers-scope-3-and-steel-technology-transition</w:t>
        </w:r>
      </w:hyperlink>
      <w:r w:rsidRPr="00851E26">
        <w:rPr>
          <w:rFonts w:ascii="Arial" w:hAnsi="Arial" w:cs="Arial"/>
        </w:rPr>
        <w:t xml:space="preserve"> (Accessed: 10 July 2026).</w:t>
      </w:r>
    </w:p>
    <w:p w14:paraId="62553E83" w14:textId="77777777" w:rsidR="001A3459" w:rsidRPr="00851E26" w:rsidRDefault="001A3459" w:rsidP="002758A2">
      <w:pPr>
        <w:spacing w:line="360" w:lineRule="auto"/>
        <w:rPr>
          <w:rFonts w:ascii="Arial" w:hAnsi="Arial" w:cs="Arial"/>
        </w:rPr>
      </w:pPr>
      <w:proofErr w:type="spellStart"/>
      <w:r w:rsidRPr="00851E26">
        <w:rPr>
          <w:rFonts w:ascii="Arial" w:hAnsi="Arial" w:cs="Arial"/>
        </w:rPr>
        <w:t>Rutenko</w:t>
      </w:r>
      <w:proofErr w:type="spellEnd"/>
      <w:r w:rsidRPr="00851E26">
        <w:rPr>
          <w:rFonts w:ascii="Arial" w:hAnsi="Arial" w:cs="Arial"/>
        </w:rPr>
        <w:t xml:space="preserve">, E. (2022) 'Strategic planning of oil and gas companies: the decarbonization transition', </w:t>
      </w:r>
      <w:r w:rsidRPr="00851E26">
        <w:rPr>
          <w:rFonts w:ascii="Arial" w:hAnsi="Arial" w:cs="Arial"/>
          <w:i/>
          <w:iCs/>
        </w:rPr>
        <w:t>Energies</w:t>
      </w:r>
      <w:r w:rsidRPr="00851E26">
        <w:rPr>
          <w:rFonts w:ascii="Arial" w:hAnsi="Arial" w:cs="Arial"/>
        </w:rPr>
        <w:t>, 15(17), p. 6163.</w:t>
      </w:r>
    </w:p>
    <w:p w14:paraId="7B3C28E6" w14:textId="2EFCEF3F" w:rsidR="001A3459" w:rsidRPr="00851E26" w:rsidRDefault="001A3459" w:rsidP="002758A2">
      <w:pPr>
        <w:spacing w:line="360" w:lineRule="auto"/>
        <w:rPr>
          <w:rFonts w:ascii="Arial" w:hAnsi="Arial" w:cs="Arial"/>
        </w:rPr>
      </w:pPr>
      <w:proofErr w:type="spellStart"/>
      <w:r w:rsidRPr="00851E26">
        <w:rPr>
          <w:rFonts w:ascii="Arial" w:hAnsi="Arial" w:cs="Arial"/>
        </w:rPr>
        <w:t>Wirdyansyah</w:t>
      </w:r>
      <w:proofErr w:type="spellEnd"/>
      <w:r w:rsidRPr="00851E26">
        <w:rPr>
          <w:rFonts w:ascii="Arial" w:hAnsi="Arial" w:cs="Arial"/>
        </w:rPr>
        <w:t xml:space="preserve">, D.M. (2025) 'Carbon Border Adjustment Mechanism (CBAM) and its implications for developing economies: a systematic literature review', </w:t>
      </w:r>
      <w:r w:rsidRPr="00851E26">
        <w:rPr>
          <w:rFonts w:ascii="Arial" w:hAnsi="Arial" w:cs="Arial"/>
          <w:i/>
          <w:iCs/>
        </w:rPr>
        <w:t>Indonesian Journal of Energy</w:t>
      </w:r>
      <w:r w:rsidRPr="00851E26">
        <w:rPr>
          <w:rFonts w:ascii="Arial" w:hAnsi="Arial" w:cs="Arial"/>
        </w:rPr>
        <w:t>, 8(2), pp. 162–176.</w:t>
      </w:r>
    </w:p>
    <w:sectPr w:rsidR="001A3459" w:rsidRPr="00851E2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91B15" w14:textId="77777777" w:rsidR="00B43F85" w:rsidRDefault="00B43F85" w:rsidP="002C30F8">
      <w:pPr>
        <w:spacing w:after="0" w:line="240" w:lineRule="auto"/>
      </w:pPr>
      <w:r>
        <w:separator/>
      </w:r>
    </w:p>
  </w:endnote>
  <w:endnote w:type="continuationSeparator" w:id="0">
    <w:p w14:paraId="654147E1" w14:textId="77777777" w:rsidR="00B43F85" w:rsidRDefault="00B43F85" w:rsidP="002C3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7485082"/>
      <w:docPartObj>
        <w:docPartGallery w:val="Page Numbers (Bottom of Page)"/>
        <w:docPartUnique/>
      </w:docPartObj>
    </w:sdtPr>
    <w:sdtEndPr>
      <w:rPr>
        <w:noProof/>
      </w:rPr>
    </w:sdtEndPr>
    <w:sdtContent>
      <w:p w14:paraId="75B3C37E" w14:textId="4E56AB6E" w:rsidR="002C30F8" w:rsidRDefault="002C30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263876" w14:textId="77777777" w:rsidR="002C30F8" w:rsidRDefault="002C3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FC939" w14:textId="77777777" w:rsidR="00B43F85" w:rsidRDefault="00B43F85" w:rsidP="002C30F8">
      <w:pPr>
        <w:spacing w:after="0" w:line="240" w:lineRule="auto"/>
      </w:pPr>
      <w:r>
        <w:separator/>
      </w:r>
    </w:p>
  </w:footnote>
  <w:footnote w:type="continuationSeparator" w:id="0">
    <w:p w14:paraId="3F2CD050" w14:textId="77777777" w:rsidR="00B43F85" w:rsidRDefault="00B43F85" w:rsidP="002C30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1F6"/>
    <w:rsid w:val="00017660"/>
    <w:rsid w:val="00046757"/>
    <w:rsid w:val="00050567"/>
    <w:rsid w:val="00051C5F"/>
    <w:rsid w:val="00072DE9"/>
    <w:rsid w:val="000769F1"/>
    <w:rsid w:val="00080D8F"/>
    <w:rsid w:val="000D55E4"/>
    <w:rsid w:val="001326A4"/>
    <w:rsid w:val="00180710"/>
    <w:rsid w:val="001A3459"/>
    <w:rsid w:val="001C3881"/>
    <w:rsid w:val="001F0317"/>
    <w:rsid w:val="00245222"/>
    <w:rsid w:val="00247733"/>
    <w:rsid w:val="00261186"/>
    <w:rsid w:val="002758A2"/>
    <w:rsid w:val="002844CB"/>
    <w:rsid w:val="00291404"/>
    <w:rsid w:val="002C30F8"/>
    <w:rsid w:val="00301832"/>
    <w:rsid w:val="00311B7A"/>
    <w:rsid w:val="00373F6F"/>
    <w:rsid w:val="00375A51"/>
    <w:rsid w:val="003764D0"/>
    <w:rsid w:val="003B4621"/>
    <w:rsid w:val="00412CDF"/>
    <w:rsid w:val="004162E0"/>
    <w:rsid w:val="00427EC1"/>
    <w:rsid w:val="004858A9"/>
    <w:rsid w:val="004E3603"/>
    <w:rsid w:val="00505344"/>
    <w:rsid w:val="005414A0"/>
    <w:rsid w:val="00556CDA"/>
    <w:rsid w:val="00587E97"/>
    <w:rsid w:val="005B4D88"/>
    <w:rsid w:val="00666AA1"/>
    <w:rsid w:val="006764F1"/>
    <w:rsid w:val="006A39C6"/>
    <w:rsid w:val="007A0FB5"/>
    <w:rsid w:val="00823018"/>
    <w:rsid w:val="0082639E"/>
    <w:rsid w:val="00837496"/>
    <w:rsid w:val="00843D05"/>
    <w:rsid w:val="00851E26"/>
    <w:rsid w:val="008A7000"/>
    <w:rsid w:val="00964C28"/>
    <w:rsid w:val="0098471D"/>
    <w:rsid w:val="009B0D47"/>
    <w:rsid w:val="009B532F"/>
    <w:rsid w:val="009F0860"/>
    <w:rsid w:val="009F3FC4"/>
    <w:rsid w:val="00A21566"/>
    <w:rsid w:val="00A259D6"/>
    <w:rsid w:val="00A71C90"/>
    <w:rsid w:val="00A72489"/>
    <w:rsid w:val="00AB2C3B"/>
    <w:rsid w:val="00AB7D96"/>
    <w:rsid w:val="00AC51B6"/>
    <w:rsid w:val="00AC6840"/>
    <w:rsid w:val="00B072FF"/>
    <w:rsid w:val="00B429F2"/>
    <w:rsid w:val="00B43F85"/>
    <w:rsid w:val="00B55FA5"/>
    <w:rsid w:val="00B747E4"/>
    <w:rsid w:val="00BC6B92"/>
    <w:rsid w:val="00BE7656"/>
    <w:rsid w:val="00C65791"/>
    <w:rsid w:val="00C8339C"/>
    <w:rsid w:val="00CC07F8"/>
    <w:rsid w:val="00D25597"/>
    <w:rsid w:val="00D50F18"/>
    <w:rsid w:val="00D643EF"/>
    <w:rsid w:val="00D71EF8"/>
    <w:rsid w:val="00D906E0"/>
    <w:rsid w:val="00D976C8"/>
    <w:rsid w:val="00DC3142"/>
    <w:rsid w:val="00DC769E"/>
    <w:rsid w:val="00E0548E"/>
    <w:rsid w:val="00E2592F"/>
    <w:rsid w:val="00E7078A"/>
    <w:rsid w:val="00EA011E"/>
    <w:rsid w:val="00EA7BF3"/>
    <w:rsid w:val="00EC1D65"/>
    <w:rsid w:val="00EC2FDE"/>
    <w:rsid w:val="00ED1F5A"/>
    <w:rsid w:val="00ED51F6"/>
    <w:rsid w:val="00EF08F4"/>
    <w:rsid w:val="00F45654"/>
    <w:rsid w:val="00FB5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65C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3018"/>
    <w:pPr>
      <w:keepNext/>
      <w:keepLines/>
      <w:spacing w:before="360" w:after="80"/>
      <w:outlineLvl w:val="0"/>
    </w:pPr>
    <w:rPr>
      <w:rFonts w:ascii="Arial" w:eastAsiaTheme="majorEastAsia" w:hAnsi="Arial" w:cs="Arial"/>
      <w:color w:val="0F4761" w:themeColor="accent1" w:themeShade="BF"/>
      <w:sz w:val="32"/>
      <w:szCs w:val="32"/>
    </w:rPr>
  </w:style>
  <w:style w:type="paragraph" w:styleId="Heading2">
    <w:name w:val="heading 2"/>
    <w:basedOn w:val="Heading1"/>
    <w:next w:val="Normal"/>
    <w:link w:val="Heading2Char"/>
    <w:uiPriority w:val="9"/>
    <w:unhideWhenUsed/>
    <w:qFormat/>
    <w:rsid w:val="00D71EF8"/>
    <w:pPr>
      <w:outlineLvl w:val="1"/>
    </w:pPr>
    <w:rPr>
      <w:sz w:val="28"/>
      <w:szCs w:val="28"/>
    </w:rPr>
  </w:style>
  <w:style w:type="paragraph" w:styleId="Heading3">
    <w:name w:val="heading 3"/>
    <w:basedOn w:val="Normal"/>
    <w:next w:val="Normal"/>
    <w:link w:val="Heading3Char"/>
    <w:uiPriority w:val="9"/>
    <w:semiHidden/>
    <w:unhideWhenUsed/>
    <w:qFormat/>
    <w:rsid w:val="00ED51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51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51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51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51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51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51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018"/>
    <w:rPr>
      <w:rFonts w:ascii="Arial" w:eastAsiaTheme="majorEastAsia" w:hAnsi="Arial" w:cs="Arial"/>
      <w:color w:val="0F4761" w:themeColor="accent1" w:themeShade="BF"/>
      <w:sz w:val="32"/>
      <w:szCs w:val="32"/>
    </w:rPr>
  </w:style>
  <w:style w:type="character" w:customStyle="1" w:styleId="Heading2Char">
    <w:name w:val="Heading 2 Char"/>
    <w:basedOn w:val="DefaultParagraphFont"/>
    <w:link w:val="Heading2"/>
    <w:uiPriority w:val="9"/>
    <w:rsid w:val="00D71EF8"/>
    <w:rPr>
      <w:rFonts w:ascii="Arial" w:eastAsiaTheme="majorEastAsia" w:hAnsi="Arial" w:cs="Arial"/>
      <w:color w:val="0F4761" w:themeColor="accent1" w:themeShade="BF"/>
      <w:sz w:val="28"/>
      <w:szCs w:val="28"/>
    </w:rPr>
  </w:style>
  <w:style w:type="character" w:customStyle="1" w:styleId="Heading3Char">
    <w:name w:val="Heading 3 Char"/>
    <w:basedOn w:val="DefaultParagraphFont"/>
    <w:link w:val="Heading3"/>
    <w:uiPriority w:val="9"/>
    <w:semiHidden/>
    <w:rsid w:val="00ED51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51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51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51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51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51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51F6"/>
    <w:rPr>
      <w:rFonts w:eastAsiaTheme="majorEastAsia" w:cstheme="majorBidi"/>
      <w:color w:val="272727" w:themeColor="text1" w:themeTint="D8"/>
    </w:rPr>
  </w:style>
  <w:style w:type="paragraph" w:styleId="Title">
    <w:name w:val="Title"/>
    <w:basedOn w:val="Normal"/>
    <w:next w:val="Normal"/>
    <w:link w:val="TitleChar"/>
    <w:uiPriority w:val="10"/>
    <w:qFormat/>
    <w:rsid w:val="00ED51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51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51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51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51F6"/>
    <w:pPr>
      <w:spacing w:before="160"/>
      <w:jc w:val="center"/>
    </w:pPr>
    <w:rPr>
      <w:i/>
      <w:iCs/>
      <w:color w:val="404040" w:themeColor="text1" w:themeTint="BF"/>
    </w:rPr>
  </w:style>
  <w:style w:type="character" w:customStyle="1" w:styleId="QuoteChar">
    <w:name w:val="Quote Char"/>
    <w:basedOn w:val="DefaultParagraphFont"/>
    <w:link w:val="Quote"/>
    <w:uiPriority w:val="29"/>
    <w:rsid w:val="00ED51F6"/>
    <w:rPr>
      <w:i/>
      <w:iCs/>
      <w:color w:val="404040" w:themeColor="text1" w:themeTint="BF"/>
    </w:rPr>
  </w:style>
  <w:style w:type="paragraph" w:styleId="ListParagraph">
    <w:name w:val="List Paragraph"/>
    <w:basedOn w:val="Normal"/>
    <w:uiPriority w:val="34"/>
    <w:qFormat/>
    <w:rsid w:val="00ED51F6"/>
    <w:pPr>
      <w:ind w:left="720"/>
      <w:contextualSpacing/>
    </w:pPr>
  </w:style>
  <w:style w:type="character" w:styleId="IntenseEmphasis">
    <w:name w:val="Intense Emphasis"/>
    <w:basedOn w:val="DefaultParagraphFont"/>
    <w:uiPriority w:val="21"/>
    <w:qFormat/>
    <w:rsid w:val="00ED51F6"/>
    <w:rPr>
      <w:i/>
      <w:iCs/>
      <w:color w:val="0F4761" w:themeColor="accent1" w:themeShade="BF"/>
    </w:rPr>
  </w:style>
  <w:style w:type="paragraph" w:styleId="IntenseQuote">
    <w:name w:val="Intense Quote"/>
    <w:basedOn w:val="Normal"/>
    <w:next w:val="Normal"/>
    <w:link w:val="IntenseQuoteChar"/>
    <w:uiPriority w:val="30"/>
    <w:qFormat/>
    <w:rsid w:val="00ED51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51F6"/>
    <w:rPr>
      <w:i/>
      <w:iCs/>
      <w:color w:val="0F4761" w:themeColor="accent1" w:themeShade="BF"/>
    </w:rPr>
  </w:style>
  <w:style w:type="character" w:styleId="IntenseReference">
    <w:name w:val="Intense Reference"/>
    <w:basedOn w:val="DefaultParagraphFont"/>
    <w:uiPriority w:val="32"/>
    <w:qFormat/>
    <w:rsid w:val="00ED51F6"/>
    <w:rPr>
      <w:b/>
      <w:bCs/>
      <w:smallCaps/>
      <w:color w:val="0F4761" w:themeColor="accent1" w:themeShade="BF"/>
      <w:spacing w:val="5"/>
    </w:rPr>
  </w:style>
  <w:style w:type="character" w:styleId="Hyperlink">
    <w:name w:val="Hyperlink"/>
    <w:basedOn w:val="DefaultParagraphFont"/>
    <w:uiPriority w:val="99"/>
    <w:unhideWhenUsed/>
    <w:rsid w:val="001A3459"/>
    <w:rPr>
      <w:color w:val="467886" w:themeColor="hyperlink"/>
      <w:u w:val="single"/>
    </w:rPr>
  </w:style>
  <w:style w:type="character" w:styleId="UnresolvedMention">
    <w:name w:val="Unresolved Mention"/>
    <w:basedOn w:val="DefaultParagraphFont"/>
    <w:uiPriority w:val="99"/>
    <w:semiHidden/>
    <w:unhideWhenUsed/>
    <w:rsid w:val="001A3459"/>
    <w:rPr>
      <w:color w:val="605E5C"/>
      <w:shd w:val="clear" w:color="auto" w:fill="E1DFDD"/>
    </w:rPr>
  </w:style>
  <w:style w:type="paragraph" w:styleId="TOCHeading">
    <w:name w:val="TOC Heading"/>
    <w:basedOn w:val="Heading1"/>
    <w:next w:val="Normal"/>
    <w:uiPriority w:val="39"/>
    <w:unhideWhenUsed/>
    <w:qFormat/>
    <w:rsid w:val="00AB7D96"/>
    <w:pPr>
      <w:spacing w:before="240" w:after="0" w:line="259" w:lineRule="auto"/>
      <w:outlineLvl w:val="9"/>
    </w:pPr>
    <w:rPr>
      <w:rFonts w:asciiTheme="majorHAnsi" w:hAnsiTheme="majorHAnsi" w:cstheme="majorBidi"/>
      <w:kern w:val="0"/>
      <w:lang w:val="en-US"/>
      <w14:ligatures w14:val="none"/>
    </w:rPr>
  </w:style>
  <w:style w:type="paragraph" w:styleId="TOC1">
    <w:name w:val="toc 1"/>
    <w:basedOn w:val="Normal"/>
    <w:next w:val="Normal"/>
    <w:autoRedefine/>
    <w:uiPriority w:val="39"/>
    <w:unhideWhenUsed/>
    <w:rsid w:val="00AB7D96"/>
    <w:pPr>
      <w:spacing w:after="100"/>
    </w:pPr>
  </w:style>
  <w:style w:type="paragraph" w:styleId="TOC2">
    <w:name w:val="toc 2"/>
    <w:basedOn w:val="Normal"/>
    <w:next w:val="Normal"/>
    <w:autoRedefine/>
    <w:uiPriority w:val="39"/>
    <w:unhideWhenUsed/>
    <w:rsid w:val="00AB7D96"/>
    <w:pPr>
      <w:spacing w:after="100"/>
      <w:ind w:left="240"/>
    </w:pPr>
  </w:style>
  <w:style w:type="paragraph" w:styleId="Header">
    <w:name w:val="header"/>
    <w:basedOn w:val="Normal"/>
    <w:link w:val="HeaderChar"/>
    <w:uiPriority w:val="99"/>
    <w:unhideWhenUsed/>
    <w:rsid w:val="002C3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0F8"/>
  </w:style>
  <w:style w:type="paragraph" w:styleId="Footer">
    <w:name w:val="footer"/>
    <w:basedOn w:val="Normal"/>
    <w:link w:val="FooterChar"/>
    <w:uiPriority w:val="99"/>
    <w:unhideWhenUsed/>
    <w:rsid w:val="002C3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0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4203">
      <w:bodyDiv w:val="1"/>
      <w:marLeft w:val="0"/>
      <w:marRight w:val="0"/>
      <w:marTop w:val="0"/>
      <w:marBottom w:val="0"/>
      <w:divBdr>
        <w:top w:val="none" w:sz="0" w:space="0" w:color="auto"/>
        <w:left w:val="none" w:sz="0" w:space="0" w:color="auto"/>
        <w:bottom w:val="none" w:sz="0" w:space="0" w:color="auto"/>
        <w:right w:val="none" w:sz="0" w:space="0" w:color="auto"/>
      </w:divBdr>
    </w:div>
    <w:div w:id="387464105">
      <w:bodyDiv w:val="1"/>
      <w:marLeft w:val="0"/>
      <w:marRight w:val="0"/>
      <w:marTop w:val="0"/>
      <w:marBottom w:val="0"/>
      <w:divBdr>
        <w:top w:val="none" w:sz="0" w:space="0" w:color="auto"/>
        <w:left w:val="none" w:sz="0" w:space="0" w:color="auto"/>
        <w:bottom w:val="none" w:sz="0" w:space="0" w:color="auto"/>
        <w:right w:val="none" w:sz="0" w:space="0" w:color="auto"/>
      </w:divBdr>
    </w:div>
    <w:div w:id="664624891">
      <w:bodyDiv w:val="1"/>
      <w:marLeft w:val="0"/>
      <w:marRight w:val="0"/>
      <w:marTop w:val="0"/>
      <w:marBottom w:val="0"/>
      <w:divBdr>
        <w:top w:val="none" w:sz="0" w:space="0" w:color="auto"/>
        <w:left w:val="none" w:sz="0" w:space="0" w:color="auto"/>
        <w:bottom w:val="none" w:sz="0" w:space="0" w:color="auto"/>
        <w:right w:val="none" w:sz="0" w:space="0" w:color="auto"/>
      </w:divBdr>
      <w:divsChild>
        <w:div w:id="626740868">
          <w:marLeft w:val="0"/>
          <w:marRight w:val="0"/>
          <w:marTop w:val="0"/>
          <w:marBottom w:val="0"/>
          <w:divBdr>
            <w:top w:val="none" w:sz="0" w:space="0" w:color="auto"/>
            <w:left w:val="none" w:sz="0" w:space="0" w:color="auto"/>
            <w:bottom w:val="none" w:sz="0" w:space="0" w:color="auto"/>
            <w:right w:val="none" w:sz="0" w:space="0" w:color="auto"/>
          </w:divBdr>
        </w:div>
        <w:div w:id="1177235485">
          <w:marLeft w:val="0"/>
          <w:marRight w:val="0"/>
          <w:marTop w:val="0"/>
          <w:marBottom w:val="0"/>
          <w:divBdr>
            <w:top w:val="none" w:sz="0" w:space="0" w:color="auto"/>
            <w:left w:val="none" w:sz="0" w:space="0" w:color="auto"/>
            <w:bottom w:val="none" w:sz="0" w:space="0" w:color="auto"/>
            <w:right w:val="none" w:sz="0" w:space="0" w:color="auto"/>
          </w:divBdr>
        </w:div>
        <w:div w:id="1737820373">
          <w:marLeft w:val="0"/>
          <w:marRight w:val="0"/>
          <w:marTop w:val="0"/>
          <w:marBottom w:val="0"/>
          <w:divBdr>
            <w:top w:val="none" w:sz="0" w:space="0" w:color="auto"/>
            <w:left w:val="none" w:sz="0" w:space="0" w:color="auto"/>
            <w:bottom w:val="none" w:sz="0" w:space="0" w:color="auto"/>
            <w:right w:val="none" w:sz="0" w:space="0" w:color="auto"/>
          </w:divBdr>
        </w:div>
        <w:div w:id="1254633570">
          <w:marLeft w:val="0"/>
          <w:marRight w:val="0"/>
          <w:marTop w:val="0"/>
          <w:marBottom w:val="0"/>
          <w:divBdr>
            <w:top w:val="none" w:sz="0" w:space="0" w:color="auto"/>
            <w:left w:val="none" w:sz="0" w:space="0" w:color="auto"/>
            <w:bottom w:val="none" w:sz="0" w:space="0" w:color="auto"/>
            <w:right w:val="none" w:sz="0" w:space="0" w:color="auto"/>
          </w:divBdr>
        </w:div>
        <w:div w:id="601885983">
          <w:marLeft w:val="0"/>
          <w:marRight w:val="0"/>
          <w:marTop w:val="0"/>
          <w:marBottom w:val="0"/>
          <w:divBdr>
            <w:top w:val="none" w:sz="0" w:space="0" w:color="auto"/>
            <w:left w:val="none" w:sz="0" w:space="0" w:color="auto"/>
            <w:bottom w:val="none" w:sz="0" w:space="0" w:color="auto"/>
            <w:right w:val="none" w:sz="0" w:space="0" w:color="auto"/>
          </w:divBdr>
        </w:div>
        <w:div w:id="1884438461">
          <w:marLeft w:val="0"/>
          <w:marRight w:val="0"/>
          <w:marTop w:val="0"/>
          <w:marBottom w:val="0"/>
          <w:divBdr>
            <w:top w:val="none" w:sz="0" w:space="0" w:color="auto"/>
            <w:left w:val="none" w:sz="0" w:space="0" w:color="auto"/>
            <w:bottom w:val="none" w:sz="0" w:space="0" w:color="auto"/>
            <w:right w:val="none" w:sz="0" w:space="0" w:color="auto"/>
          </w:divBdr>
        </w:div>
        <w:div w:id="1626961589">
          <w:marLeft w:val="0"/>
          <w:marRight w:val="0"/>
          <w:marTop w:val="0"/>
          <w:marBottom w:val="0"/>
          <w:divBdr>
            <w:top w:val="none" w:sz="0" w:space="0" w:color="auto"/>
            <w:left w:val="none" w:sz="0" w:space="0" w:color="auto"/>
            <w:bottom w:val="none" w:sz="0" w:space="0" w:color="auto"/>
            <w:right w:val="none" w:sz="0" w:space="0" w:color="auto"/>
          </w:divBdr>
        </w:div>
        <w:div w:id="641887653">
          <w:marLeft w:val="0"/>
          <w:marRight w:val="0"/>
          <w:marTop w:val="0"/>
          <w:marBottom w:val="0"/>
          <w:divBdr>
            <w:top w:val="none" w:sz="0" w:space="0" w:color="auto"/>
            <w:left w:val="none" w:sz="0" w:space="0" w:color="auto"/>
            <w:bottom w:val="none" w:sz="0" w:space="0" w:color="auto"/>
            <w:right w:val="none" w:sz="0" w:space="0" w:color="auto"/>
          </w:divBdr>
        </w:div>
        <w:div w:id="63264551">
          <w:marLeft w:val="0"/>
          <w:marRight w:val="0"/>
          <w:marTop w:val="0"/>
          <w:marBottom w:val="0"/>
          <w:divBdr>
            <w:top w:val="none" w:sz="0" w:space="0" w:color="auto"/>
            <w:left w:val="none" w:sz="0" w:space="0" w:color="auto"/>
            <w:bottom w:val="none" w:sz="0" w:space="0" w:color="auto"/>
            <w:right w:val="none" w:sz="0" w:space="0" w:color="auto"/>
          </w:divBdr>
        </w:div>
        <w:div w:id="653721977">
          <w:marLeft w:val="0"/>
          <w:marRight w:val="0"/>
          <w:marTop w:val="0"/>
          <w:marBottom w:val="0"/>
          <w:divBdr>
            <w:top w:val="none" w:sz="0" w:space="0" w:color="auto"/>
            <w:left w:val="none" w:sz="0" w:space="0" w:color="auto"/>
            <w:bottom w:val="none" w:sz="0" w:space="0" w:color="auto"/>
            <w:right w:val="none" w:sz="0" w:space="0" w:color="auto"/>
          </w:divBdr>
        </w:div>
        <w:div w:id="2021734591">
          <w:marLeft w:val="0"/>
          <w:marRight w:val="0"/>
          <w:marTop w:val="0"/>
          <w:marBottom w:val="0"/>
          <w:divBdr>
            <w:top w:val="none" w:sz="0" w:space="0" w:color="auto"/>
            <w:left w:val="none" w:sz="0" w:space="0" w:color="auto"/>
            <w:bottom w:val="none" w:sz="0" w:space="0" w:color="auto"/>
            <w:right w:val="none" w:sz="0" w:space="0" w:color="auto"/>
          </w:divBdr>
        </w:div>
        <w:div w:id="85880423">
          <w:marLeft w:val="0"/>
          <w:marRight w:val="0"/>
          <w:marTop w:val="0"/>
          <w:marBottom w:val="0"/>
          <w:divBdr>
            <w:top w:val="none" w:sz="0" w:space="0" w:color="auto"/>
            <w:left w:val="none" w:sz="0" w:space="0" w:color="auto"/>
            <w:bottom w:val="none" w:sz="0" w:space="0" w:color="auto"/>
            <w:right w:val="none" w:sz="0" w:space="0" w:color="auto"/>
          </w:divBdr>
        </w:div>
        <w:div w:id="555820639">
          <w:marLeft w:val="0"/>
          <w:marRight w:val="0"/>
          <w:marTop w:val="0"/>
          <w:marBottom w:val="0"/>
          <w:divBdr>
            <w:top w:val="none" w:sz="0" w:space="0" w:color="auto"/>
            <w:left w:val="none" w:sz="0" w:space="0" w:color="auto"/>
            <w:bottom w:val="none" w:sz="0" w:space="0" w:color="auto"/>
            <w:right w:val="none" w:sz="0" w:space="0" w:color="auto"/>
          </w:divBdr>
        </w:div>
        <w:div w:id="496112048">
          <w:marLeft w:val="0"/>
          <w:marRight w:val="0"/>
          <w:marTop w:val="0"/>
          <w:marBottom w:val="0"/>
          <w:divBdr>
            <w:top w:val="none" w:sz="0" w:space="0" w:color="auto"/>
            <w:left w:val="none" w:sz="0" w:space="0" w:color="auto"/>
            <w:bottom w:val="none" w:sz="0" w:space="0" w:color="auto"/>
            <w:right w:val="none" w:sz="0" w:space="0" w:color="auto"/>
          </w:divBdr>
        </w:div>
        <w:div w:id="707876987">
          <w:marLeft w:val="0"/>
          <w:marRight w:val="0"/>
          <w:marTop w:val="0"/>
          <w:marBottom w:val="0"/>
          <w:divBdr>
            <w:top w:val="none" w:sz="0" w:space="0" w:color="auto"/>
            <w:left w:val="none" w:sz="0" w:space="0" w:color="auto"/>
            <w:bottom w:val="none" w:sz="0" w:space="0" w:color="auto"/>
            <w:right w:val="none" w:sz="0" w:space="0" w:color="auto"/>
          </w:divBdr>
        </w:div>
        <w:div w:id="2127309430">
          <w:marLeft w:val="0"/>
          <w:marRight w:val="0"/>
          <w:marTop w:val="0"/>
          <w:marBottom w:val="0"/>
          <w:divBdr>
            <w:top w:val="none" w:sz="0" w:space="0" w:color="auto"/>
            <w:left w:val="none" w:sz="0" w:space="0" w:color="auto"/>
            <w:bottom w:val="none" w:sz="0" w:space="0" w:color="auto"/>
            <w:right w:val="none" w:sz="0" w:space="0" w:color="auto"/>
          </w:divBdr>
        </w:div>
        <w:div w:id="327560691">
          <w:marLeft w:val="0"/>
          <w:marRight w:val="0"/>
          <w:marTop w:val="0"/>
          <w:marBottom w:val="0"/>
          <w:divBdr>
            <w:top w:val="none" w:sz="0" w:space="0" w:color="auto"/>
            <w:left w:val="none" w:sz="0" w:space="0" w:color="auto"/>
            <w:bottom w:val="none" w:sz="0" w:space="0" w:color="auto"/>
            <w:right w:val="none" w:sz="0" w:space="0" w:color="auto"/>
          </w:divBdr>
        </w:div>
        <w:div w:id="1457289120">
          <w:marLeft w:val="0"/>
          <w:marRight w:val="0"/>
          <w:marTop w:val="0"/>
          <w:marBottom w:val="0"/>
          <w:divBdr>
            <w:top w:val="none" w:sz="0" w:space="0" w:color="auto"/>
            <w:left w:val="none" w:sz="0" w:space="0" w:color="auto"/>
            <w:bottom w:val="none" w:sz="0" w:space="0" w:color="auto"/>
            <w:right w:val="none" w:sz="0" w:space="0" w:color="auto"/>
          </w:divBdr>
        </w:div>
        <w:div w:id="1651980283">
          <w:marLeft w:val="0"/>
          <w:marRight w:val="0"/>
          <w:marTop w:val="0"/>
          <w:marBottom w:val="0"/>
          <w:divBdr>
            <w:top w:val="none" w:sz="0" w:space="0" w:color="auto"/>
            <w:left w:val="none" w:sz="0" w:space="0" w:color="auto"/>
            <w:bottom w:val="none" w:sz="0" w:space="0" w:color="auto"/>
            <w:right w:val="none" w:sz="0" w:space="0" w:color="auto"/>
          </w:divBdr>
        </w:div>
      </w:divsChild>
    </w:div>
    <w:div w:id="687488538">
      <w:bodyDiv w:val="1"/>
      <w:marLeft w:val="0"/>
      <w:marRight w:val="0"/>
      <w:marTop w:val="0"/>
      <w:marBottom w:val="0"/>
      <w:divBdr>
        <w:top w:val="none" w:sz="0" w:space="0" w:color="auto"/>
        <w:left w:val="none" w:sz="0" w:space="0" w:color="auto"/>
        <w:bottom w:val="none" w:sz="0" w:space="0" w:color="auto"/>
        <w:right w:val="none" w:sz="0" w:space="0" w:color="auto"/>
      </w:divBdr>
    </w:div>
    <w:div w:id="728236233">
      <w:bodyDiv w:val="1"/>
      <w:marLeft w:val="0"/>
      <w:marRight w:val="0"/>
      <w:marTop w:val="0"/>
      <w:marBottom w:val="0"/>
      <w:divBdr>
        <w:top w:val="none" w:sz="0" w:space="0" w:color="auto"/>
        <w:left w:val="none" w:sz="0" w:space="0" w:color="auto"/>
        <w:bottom w:val="none" w:sz="0" w:space="0" w:color="auto"/>
        <w:right w:val="none" w:sz="0" w:space="0" w:color="auto"/>
      </w:divBdr>
    </w:div>
    <w:div w:id="932397837">
      <w:bodyDiv w:val="1"/>
      <w:marLeft w:val="0"/>
      <w:marRight w:val="0"/>
      <w:marTop w:val="0"/>
      <w:marBottom w:val="0"/>
      <w:divBdr>
        <w:top w:val="none" w:sz="0" w:space="0" w:color="auto"/>
        <w:left w:val="none" w:sz="0" w:space="0" w:color="auto"/>
        <w:bottom w:val="none" w:sz="0" w:space="0" w:color="auto"/>
        <w:right w:val="none" w:sz="0" w:space="0" w:color="auto"/>
      </w:divBdr>
    </w:div>
    <w:div w:id="1200703323">
      <w:bodyDiv w:val="1"/>
      <w:marLeft w:val="0"/>
      <w:marRight w:val="0"/>
      <w:marTop w:val="0"/>
      <w:marBottom w:val="0"/>
      <w:divBdr>
        <w:top w:val="none" w:sz="0" w:space="0" w:color="auto"/>
        <w:left w:val="none" w:sz="0" w:space="0" w:color="auto"/>
        <w:bottom w:val="none" w:sz="0" w:space="0" w:color="auto"/>
        <w:right w:val="none" w:sz="0" w:space="0" w:color="auto"/>
      </w:divBdr>
    </w:div>
    <w:div w:id="1203402453">
      <w:bodyDiv w:val="1"/>
      <w:marLeft w:val="0"/>
      <w:marRight w:val="0"/>
      <w:marTop w:val="0"/>
      <w:marBottom w:val="0"/>
      <w:divBdr>
        <w:top w:val="none" w:sz="0" w:space="0" w:color="auto"/>
        <w:left w:val="none" w:sz="0" w:space="0" w:color="auto"/>
        <w:bottom w:val="none" w:sz="0" w:space="0" w:color="auto"/>
        <w:right w:val="none" w:sz="0" w:space="0" w:color="auto"/>
      </w:divBdr>
    </w:div>
    <w:div w:id="1284115927">
      <w:bodyDiv w:val="1"/>
      <w:marLeft w:val="0"/>
      <w:marRight w:val="0"/>
      <w:marTop w:val="0"/>
      <w:marBottom w:val="0"/>
      <w:divBdr>
        <w:top w:val="none" w:sz="0" w:space="0" w:color="auto"/>
        <w:left w:val="none" w:sz="0" w:space="0" w:color="auto"/>
        <w:bottom w:val="none" w:sz="0" w:space="0" w:color="auto"/>
        <w:right w:val="none" w:sz="0" w:space="0" w:color="auto"/>
      </w:divBdr>
    </w:div>
    <w:div w:id="1375889117">
      <w:bodyDiv w:val="1"/>
      <w:marLeft w:val="0"/>
      <w:marRight w:val="0"/>
      <w:marTop w:val="0"/>
      <w:marBottom w:val="0"/>
      <w:divBdr>
        <w:top w:val="none" w:sz="0" w:space="0" w:color="auto"/>
        <w:left w:val="none" w:sz="0" w:space="0" w:color="auto"/>
        <w:bottom w:val="none" w:sz="0" w:space="0" w:color="auto"/>
        <w:right w:val="none" w:sz="0" w:space="0" w:color="auto"/>
      </w:divBdr>
      <w:divsChild>
        <w:div w:id="1831555369">
          <w:marLeft w:val="0"/>
          <w:marRight w:val="0"/>
          <w:marTop w:val="0"/>
          <w:marBottom w:val="0"/>
          <w:divBdr>
            <w:top w:val="none" w:sz="0" w:space="0" w:color="auto"/>
            <w:left w:val="none" w:sz="0" w:space="0" w:color="auto"/>
            <w:bottom w:val="none" w:sz="0" w:space="0" w:color="auto"/>
            <w:right w:val="none" w:sz="0" w:space="0" w:color="auto"/>
          </w:divBdr>
        </w:div>
        <w:div w:id="989098378">
          <w:marLeft w:val="0"/>
          <w:marRight w:val="0"/>
          <w:marTop w:val="0"/>
          <w:marBottom w:val="0"/>
          <w:divBdr>
            <w:top w:val="none" w:sz="0" w:space="0" w:color="auto"/>
            <w:left w:val="none" w:sz="0" w:space="0" w:color="auto"/>
            <w:bottom w:val="none" w:sz="0" w:space="0" w:color="auto"/>
            <w:right w:val="none" w:sz="0" w:space="0" w:color="auto"/>
          </w:divBdr>
        </w:div>
        <w:div w:id="1999920881">
          <w:marLeft w:val="0"/>
          <w:marRight w:val="0"/>
          <w:marTop w:val="0"/>
          <w:marBottom w:val="0"/>
          <w:divBdr>
            <w:top w:val="none" w:sz="0" w:space="0" w:color="auto"/>
            <w:left w:val="none" w:sz="0" w:space="0" w:color="auto"/>
            <w:bottom w:val="none" w:sz="0" w:space="0" w:color="auto"/>
            <w:right w:val="none" w:sz="0" w:space="0" w:color="auto"/>
          </w:divBdr>
        </w:div>
        <w:div w:id="2060280517">
          <w:marLeft w:val="0"/>
          <w:marRight w:val="0"/>
          <w:marTop w:val="0"/>
          <w:marBottom w:val="0"/>
          <w:divBdr>
            <w:top w:val="none" w:sz="0" w:space="0" w:color="auto"/>
            <w:left w:val="none" w:sz="0" w:space="0" w:color="auto"/>
            <w:bottom w:val="none" w:sz="0" w:space="0" w:color="auto"/>
            <w:right w:val="none" w:sz="0" w:space="0" w:color="auto"/>
          </w:divBdr>
        </w:div>
        <w:div w:id="1399861437">
          <w:marLeft w:val="0"/>
          <w:marRight w:val="0"/>
          <w:marTop w:val="0"/>
          <w:marBottom w:val="0"/>
          <w:divBdr>
            <w:top w:val="none" w:sz="0" w:space="0" w:color="auto"/>
            <w:left w:val="none" w:sz="0" w:space="0" w:color="auto"/>
            <w:bottom w:val="none" w:sz="0" w:space="0" w:color="auto"/>
            <w:right w:val="none" w:sz="0" w:space="0" w:color="auto"/>
          </w:divBdr>
        </w:div>
        <w:div w:id="1204712573">
          <w:marLeft w:val="0"/>
          <w:marRight w:val="0"/>
          <w:marTop w:val="0"/>
          <w:marBottom w:val="0"/>
          <w:divBdr>
            <w:top w:val="none" w:sz="0" w:space="0" w:color="auto"/>
            <w:left w:val="none" w:sz="0" w:space="0" w:color="auto"/>
            <w:bottom w:val="none" w:sz="0" w:space="0" w:color="auto"/>
            <w:right w:val="none" w:sz="0" w:space="0" w:color="auto"/>
          </w:divBdr>
        </w:div>
        <w:div w:id="2120755687">
          <w:marLeft w:val="0"/>
          <w:marRight w:val="0"/>
          <w:marTop w:val="0"/>
          <w:marBottom w:val="0"/>
          <w:divBdr>
            <w:top w:val="none" w:sz="0" w:space="0" w:color="auto"/>
            <w:left w:val="none" w:sz="0" w:space="0" w:color="auto"/>
            <w:bottom w:val="none" w:sz="0" w:space="0" w:color="auto"/>
            <w:right w:val="none" w:sz="0" w:space="0" w:color="auto"/>
          </w:divBdr>
        </w:div>
        <w:div w:id="541551651">
          <w:marLeft w:val="0"/>
          <w:marRight w:val="0"/>
          <w:marTop w:val="0"/>
          <w:marBottom w:val="0"/>
          <w:divBdr>
            <w:top w:val="none" w:sz="0" w:space="0" w:color="auto"/>
            <w:left w:val="none" w:sz="0" w:space="0" w:color="auto"/>
            <w:bottom w:val="none" w:sz="0" w:space="0" w:color="auto"/>
            <w:right w:val="none" w:sz="0" w:space="0" w:color="auto"/>
          </w:divBdr>
        </w:div>
        <w:div w:id="333996918">
          <w:marLeft w:val="0"/>
          <w:marRight w:val="0"/>
          <w:marTop w:val="0"/>
          <w:marBottom w:val="0"/>
          <w:divBdr>
            <w:top w:val="none" w:sz="0" w:space="0" w:color="auto"/>
            <w:left w:val="none" w:sz="0" w:space="0" w:color="auto"/>
            <w:bottom w:val="none" w:sz="0" w:space="0" w:color="auto"/>
            <w:right w:val="none" w:sz="0" w:space="0" w:color="auto"/>
          </w:divBdr>
        </w:div>
        <w:div w:id="1492211789">
          <w:marLeft w:val="0"/>
          <w:marRight w:val="0"/>
          <w:marTop w:val="0"/>
          <w:marBottom w:val="0"/>
          <w:divBdr>
            <w:top w:val="none" w:sz="0" w:space="0" w:color="auto"/>
            <w:left w:val="none" w:sz="0" w:space="0" w:color="auto"/>
            <w:bottom w:val="none" w:sz="0" w:space="0" w:color="auto"/>
            <w:right w:val="none" w:sz="0" w:space="0" w:color="auto"/>
          </w:divBdr>
        </w:div>
        <w:div w:id="377898321">
          <w:marLeft w:val="0"/>
          <w:marRight w:val="0"/>
          <w:marTop w:val="0"/>
          <w:marBottom w:val="0"/>
          <w:divBdr>
            <w:top w:val="none" w:sz="0" w:space="0" w:color="auto"/>
            <w:left w:val="none" w:sz="0" w:space="0" w:color="auto"/>
            <w:bottom w:val="none" w:sz="0" w:space="0" w:color="auto"/>
            <w:right w:val="none" w:sz="0" w:space="0" w:color="auto"/>
          </w:divBdr>
        </w:div>
        <w:div w:id="1483234966">
          <w:marLeft w:val="0"/>
          <w:marRight w:val="0"/>
          <w:marTop w:val="0"/>
          <w:marBottom w:val="0"/>
          <w:divBdr>
            <w:top w:val="none" w:sz="0" w:space="0" w:color="auto"/>
            <w:left w:val="none" w:sz="0" w:space="0" w:color="auto"/>
            <w:bottom w:val="none" w:sz="0" w:space="0" w:color="auto"/>
            <w:right w:val="none" w:sz="0" w:space="0" w:color="auto"/>
          </w:divBdr>
        </w:div>
        <w:div w:id="963000147">
          <w:marLeft w:val="0"/>
          <w:marRight w:val="0"/>
          <w:marTop w:val="0"/>
          <w:marBottom w:val="0"/>
          <w:divBdr>
            <w:top w:val="none" w:sz="0" w:space="0" w:color="auto"/>
            <w:left w:val="none" w:sz="0" w:space="0" w:color="auto"/>
            <w:bottom w:val="none" w:sz="0" w:space="0" w:color="auto"/>
            <w:right w:val="none" w:sz="0" w:space="0" w:color="auto"/>
          </w:divBdr>
        </w:div>
        <w:div w:id="71705961">
          <w:marLeft w:val="0"/>
          <w:marRight w:val="0"/>
          <w:marTop w:val="0"/>
          <w:marBottom w:val="0"/>
          <w:divBdr>
            <w:top w:val="none" w:sz="0" w:space="0" w:color="auto"/>
            <w:left w:val="none" w:sz="0" w:space="0" w:color="auto"/>
            <w:bottom w:val="none" w:sz="0" w:space="0" w:color="auto"/>
            <w:right w:val="none" w:sz="0" w:space="0" w:color="auto"/>
          </w:divBdr>
        </w:div>
        <w:div w:id="1216314610">
          <w:marLeft w:val="0"/>
          <w:marRight w:val="0"/>
          <w:marTop w:val="0"/>
          <w:marBottom w:val="0"/>
          <w:divBdr>
            <w:top w:val="none" w:sz="0" w:space="0" w:color="auto"/>
            <w:left w:val="none" w:sz="0" w:space="0" w:color="auto"/>
            <w:bottom w:val="none" w:sz="0" w:space="0" w:color="auto"/>
            <w:right w:val="none" w:sz="0" w:space="0" w:color="auto"/>
          </w:divBdr>
        </w:div>
        <w:div w:id="1857307312">
          <w:marLeft w:val="0"/>
          <w:marRight w:val="0"/>
          <w:marTop w:val="0"/>
          <w:marBottom w:val="0"/>
          <w:divBdr>
            <w:top w:val="none" w:sz="0" w:space="0" w:color="auto"/>
            <w:left w:val="none" w:sz="0" w:space="0" w:color="auto"/>
            <w:bottom w:val="none" w:sz="0" w:space="0" w:color="auto"/>
            <w:right w:val="none" w:sz="0" w:space="0" w:color="auto"/>
          </w:divBdr>
        </w:div>
        <w:div w:id="1756628244">
          <w:marLeft w:val="0"/>
          <w:marRight w:val="0"/>
          <w:marTop w:val="0"/>
          <w:marBottom w:val="0"/>
          <w:divBdr>
            <w:top w:val="none" w:sz="0" w:space="0" w:color="auto"/>
            <w:left w:val="none" w:sz="0" w:space="0" w:color="auto"/>
            <w:bottom w:val="none" w:sz="0" w:space="0" w:color="auto"/>
            <w:right w:val="none" w:sz="0" w:space="0" w:color="auto"/>
          </w:divBdr>
        </w:div>
        <w:div w:id="1182552699">
          <w:marLeft w:val="0"/>
          <w:marRight w:val="0"/>
          <w:marTop w:val="0"/>
          <w:marBottom w:val="0"/>
          <w:divBdr>
            <w:top w:val="none" w:sz="0" w:space="0" w:color="auto"/>
            <w:left w:val="none" w:sz="0" w:space="0" w:color="auto"/>
            <w:bottom w:val="none" w:sz="0" w:space="0" w:color="auto"/>
            <w:right w:val="none" w:sz="0" w:space="0" w:color="auto"/>
          </w:divBdr>
        </w:div>
        <w:div w:id="1672416205">
          <w:marLeft w:val="0"/>
          <w:marRight w:val="0"/>
          <w:marTop w:val="0"/>
          <w:marBottom w:val="0"/>
          <w:divBdr>
            <w:top w:val="none" w:sz="0" w:space="0" w:color="auto"/>
            <w:left w:val="none" w:sz="0" w:space="0" w:color="auto"/>
            <w:bottom w:val="none" w:sz="0" w:space="0" w:color="auto"/>
            <w:right w:val="none" w:sz="0" w:space="0" w:color="auto"/>
          </w:divBdr>
        </w:div>
      </w:divsChild>
    </w:div>
    <w:div w:id="1755516228">
      <w:bodyDiv w:val="1"/>
      <w:marLeft w:val="0"/>
      <w:marRight w:val="0"/>
      <w:marTop w:val="0"/>
      <w:marBottom w:val="0"/>
      <w:divBdr>
        <w:top w:val="none" w:sz="0" w:space="0" w:color="auto"/>
        <w:left w:val="none" w:sz="0" w:space="0" w:color="auto"/>
        <w:bottom w:val="none" w:sz="0" w:space="0" w:color="auto"/>
        <w:right w:val="none" w:sz="0" w:space="0" w:color="auto"/>
      </w:divBdr>
    </w:div>
    <w:div w:id="1792241145">
      <w:bodyDiv w:val="1"/>
      <w:marLeft w:val="0"/>
      <w:marRight w:val="0"/>
      <w:marTop w:val="0"/>
      <w:marBottom w:val="0"/>
      <w:divBdr>
        <w:top w:val="none" w:sz="0" w:space="0" w:color="auto"/>
        <w:left w:val="none" w:sz="0" w:space="0" w:color="auto"/>
        <w:bottom w:val="none" w:sz="0" w:space="0" w:color="auto"/>
        <w:right w:val="none" w:sz="0" w:space="0" w:color="auto"/>
      </w:divBdr>
    </w:div>
    <w:div w:id="1809010748">
      <w:bodyDiv w:val="1"/>
      <w:marLeft w:val="0"/>
      <w:marRight w:val="0"/>
      <w:marTop w:val="0"/>
      <w:marBottom w:val="0"/>
      <w:divBdr>
        <w:top w:val="none" w:sz="0" w:space="0" w:color="auto"/>
        <w:left w:val="none" w:sz="0" w:space="0" w:color="auto"/>
        <w:bottom w:val="none" w:sz="0" w:space="0" w:color="auto"/>
        <w:right w:val="none" w:sz="0" w:space="0" w:color="auto"/>
      </w:divBdr>
    </w:div>
    <w:div w:id="207650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ckinsey.com/industries/metals-and-mining/our-insights/climate-risk-and-decarbonization-what-every-mining-ceo-needs-to-know"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taxation-customs.ec.europa.eu/carbon-border-adjustment-mechanism_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hp.com/sustainability/climate-chang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hp.com/investors/annual-reporting" TargetMode="External"/><Relationship Id="rId4" Type="http://schemas.openxmlformats.org/officeDocument/2006/relationships/webSettings" Target="webSettings.xml"/><Relationship Id="rId9" Type="http://schemas.openxmlformats.org/officeDocument/2006/relationships/hyperlink" Target="https://oia.pmc.gov.au/sites/default/files/posts/2023/05/Publish%20Version%20-%20Impact%20Analysis.pdf" TargetMode="External"/><Relationship Id="rId14" Type="http://schemas.openxmlformats.org/officeDocument/2006/relationships/hyperlink" Target="https://ieefa.org/resources/bhp-lagging-its-peers-scope-3-and-steel-technology-trans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46A2B-7A0B-484D-AF3A-A890A990C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3943</Words>
  <Characters>22480</Characters>
  <Application>Microsoft Office Word</Application>
  <DocSecurity>0</DocSecurity>
  <Lines>187</Lines>
  <Paragraphs>52</Paragraphs>
  <ScaleCrop>false</ScaleCrop>
  <Company/>
  <LinksUpToDate>false</LinksUpToDate>
  <CharactersWithSpaces>26371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2026-07-23T09:23:00Z</dcterms:created>
  <dcterms:modified xsi:type="dcterms:W3CDTF">2026-07-23T09:24:00Z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1e6832a5-897b-45ce-b9ef-fc54fe2fac33</vt:lpwstr>
  </property>
</Properties>
</file>