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ind w:left="284" w:hanging="284"/>
        <w:rPr>
          <w:color w:val="222222"/>
          <w:highlight w:val="white"/>
        </w:rPr>
      </w:pPr>
      <w:r w:rsidDel="00000000" w:rsidR="00000000" w:rsidRPr="00000000">
        <w:rPr/>
        <w:drawing>
          <wp:inline distB="0" distT="0" distL="0" distR="0">
            <wp:extent cx="1786576" cy="606874"/>
            <wp:effectExtent b="0" l="0" r="0" t="0"/>
            <wp:docPr descr="A black text on a white background&#10;&#10;Description automatically generated" id="1" name="image1.png"/>
            <a:graphic>
              <a:graphicData uri="http://schemas.openxmlformats.org/drawingml/2006/picture">
                <pic:pic>
                  <pic:nvPicPr>
                    <pic:cNvPr descr="A black text on a white background&#10;&#10;Description automatically generated" id="0" name="image1.png"/>
                    <pic:cNvPicPr preferRelativeResize="0"/>
                  </pic:nvPicPr>
                  <pic:blipFill>
                    <a:blip r:embed="rId6"/>
                    <a:srcRect b="0" l="0" r="0" t="0"/>
                    <a:stretch>
                      <a:fillRect/>
                    </a:stretch>
                  </pic:blipFill>
                  <pic:spPr>
                    <a:xfrm>
                      <a:off x="0" y="0"/>
                      <a:ext cx="1786576" cy="606874"/>
                    </a:xfrm>
                    <a:prstGeom prst="rect"/>
                    <a:ln/>
                  </pic:spPr>
                </pic:pic>
              </a:graphicData>
            </a:graphic>
          </wp:inline>
        </w:drawing>
      </w:r>
      <w:r w:rsidDel="00000000" w:rsidR="00000000" w:rsidRPr="00000000">
        <w:rPr>
          <w:rtl w:val="0"/>
        </w:rPr>
      </w:r>
    </w:p>
    <w:tbl>
      <w:tblPr>
        <w:tblStyle w:val="Table1"/>
        <w:tblW w:w="8737.0" w:type="dxa"/>
        <w:jc w:val="left"/>
        <w:tblInd w:w="27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43"/>
        <w:gridCol w:w="2976"/>
        <w:gridCol w:w="1985"/>
        <w:gridCol w:w="709"/>
        <w:gridCol w:w="1224"/>
        <w:tblGridChange w:id="0">
          <w:tblGrid>
            <w:gridCol w:w="1843"/>
            <w:gridCol w:w="2976"/>
            <w:gridCol w:w="1985"/>
            <w:gridCol w:w="709"/>
            <w:gridCol w:w="1224"/>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2">
            <w:pPr>
              <w:spacing w:line="48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Student name: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3">
            <w:pPr>
              <w:tabs>
                <w:tab w:val="right" w:leader="none" w:pos="2121"/>
              </w:tabs>
              <w:spacing w:line="48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Elena Caragicu</w:t>
            </w:r>
          </w:p>
        </w:tc>
        <w:tc>
          <w:tcPr>
            <w:gridSpan w:val="2"/>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4">
            <w:pPr>
              <w:spacing w:line="48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Student ID number: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6">
            <w:pPr>
              <w:spacing w:line="48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2244881</w:t>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7">
            <w:pPr>
              <w:spacing w:line="48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Programme:</w:t>
            </w:r>
          </w:p>
        </w:tc>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8">
            <w:pPr>
              <w:spacing w:line="48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BA International Hotel Management </w:t>
            </w:r>
          </w:p>
        </w:tc>
      </w:tr>
      <w:tr>
        <w:trPr>
          <w:cantSplit w:val="0"/>
          <w:trHeight w:val="956"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C">
            <w:pPr>
              <w:spacing w:line="48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w:t>
            </w:r>
          </w:p>
        </w:tc>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D">
            <w:pPr>
              <w:spacing w:line="48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Foreign Languages &amp; Cultural Awareness</w:t>
            </w:r>
          </w:p>
        </w:tc>
      </w:tr>
      <w:tr>
        <w:trPr>
          <w:cantSplit w:val="0"/>
          <w:trHeight w:val="692"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1">
            <w:pPr>
              <w:spacing w:line="48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code: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2">
            <w:pPr>
              <w:spacing w:line="48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BHIH5003</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3">
            <w:pPr>
              <w:jc w:val="both"/>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Contribution to Overall Module Assessment (%)</w:t>
            </w:r>
          </w:p>
        </w:tc>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4">
            <w:pPr>
              <w:spacing w:line="48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75%</w:t>
            </w:r>
          </w:p>
        </w:tc>
      </w:tr>
    </w:tbl>
    <w:p w:rsidR="00000000" w:rsidDel="00000000" w:rsidP="00000000" w:rsidRDefault="00000000" w:rsidRPr="00000000" w14:paraId="00000016">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17">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18">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19">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1A">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1B">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1C">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1D">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1E">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1F">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20">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21">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22">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23">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24">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25">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26">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27">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2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i w:val="0"/>
          <w:smallCaps w:val="0"/>
          <w:strike w:val="0"/>
          <w:color w:val="2f5496"/>
          <w:sz w:val="28"/>
          <w:szCs w:val="28"/>
          <w:u w:val="none"/>
          <w:shd w:fill="auto" w:val="clear"/>
          <w:vertAlign w:val="baseline"/>
        </w:rPr>
      </w:pPr>
      <w:r w:rsidDel="00000000" w:rsidR="00000000" w:rsidRPr="00000000">
        <w:rPr>
          <w:rFonts w:ascii="Calibri" w:cs="Calibri" w:eastAsia="Calibri" w:hAnsi="Calibri"/>
          <w:b w:val="1"/>
          <w:i w:val="0"/>
          <w:smallCaps w:val="0"/>
          <w:strike w:val="0"/>
          <w:color w:val="2f5496"/>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1"/>
              <w:i w:val="1"/>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Calibri" w:cs="Calibri" w:eastAsia="Calibri" w:hAnsi="Calibri"/>
                <w:b w:val="1"/>
                <w:i w:val="1"/>
                <w:smallCaps w:val="0"/>
                <w:strike w:val="0"/>
                <w:color w:val="000000"/>
                <w:sz w:val="24"/>
                <w:szCs w:val="24"/>
                <w:highlight w:val="white"/>
                <w:u w:val="none"/>
                <w:vertAlign w:val="baseline"/>
                <w:rtl w:val="0"/>
              </w:rPr>
              <w:t xml:space="preserve">Component 1: Professional Reflection (500 words)</w:t>
            </w:r>
          </w:hyperlink>
          <w:hyperlink w:anchor="_gjdgxs">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1"/>
              <w:i w:val="1"/>
              <w:smallCaps w:val="0"/>
              <w:strike w:val="0"/>
              <w:color w:val="000000"/>
              <w:sz w:val="24"/>
              <w:szCs w:val="24"/>
              <w:u w:val="none"/>
              <w:shd w:fill="auto" w:val="clear"/>
              <w:vertAlign w:val="baseline"/>
            </w:rPr>
          </w:pPr>
          <w:hyperlink w:anchor="_30j0zll">
            <w:r w:rsidDel="00000000" w:rsidR="00000000" w:rsidRPr="00000000">
              <w:rPr>
                <w:rFonts w:ascii="Calibri" w:cs="Calibri" w:eastAsia="Calibri" w:hAnsi="Calibri"/>
                <w:b w:val="1"/>
                <w:i w:val="1"/>
                <w:smallCaps w:val="0"/>
                <w:strike w:val="0"/>
                <w:color w:val="000000"/>
                <w:sz w:val="24"/>
                <w:szCs w:val="24"/>
                <w:highlight w:val="white"/>
                <w:u w:val="none"/>
                <w:vertAlign w:val="baseline"/>
                <w:rtl w:val="0"/>
              </w:rPr>
              <w:t xml:space="preserve">Component 2: Training Plan (500 words)</w:t>
            </w:r>
          </w:hyperlink>
          <w:hyperlink w:anchor="_30j0zll">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1"/>
              <w:i w:val="1"/>
              <w:smallCaps w:val="0"/>
              <w:strike w:val="0"/>
              <w:color w:val="000000"/>
              <w:sz w:val="24"/>
              <w:szCs w:val="24"/>
              <w:u w:val="none"/>
              <w:shd w:fill="auto" w:val="clear"/>
              <w:vertAlign w:val="baseline"/>
            </w:rPr>
          </w:pPr>
          <w:hyperlink w:anchor="_1fob9te">
            <w:r w:rsidDel="00000000" w:rsidR="00000000" w:rsidRPr="00000000">
              <w:rPr>
                <w:rFonts w:ascii="Calibri" w:cs="Calibri" w:eastAsia="Calibri" w:hAnsi="Calibri"/>
                <w:b w:val="1"/>
                <w:i w:val="1"/>
                <w:smallCaps w:val="0"/>
                <w:strike w:val="0"/>
                <w:color w:val="000000"/>
                <w:sz w:val="24"/>
                <w:szCs w:val="24"/>
                <w:highlight w:val="white"/>
                <w:u w:val="none"/>
                <w:vertAlign w:val="baseline"/>
                <w:rtl w:val="0"/>
              </w:rPr>
              <w:t xml:space="preserve">Component 3: Student Self-reflection (500 words)</w:t>
            </w:r>
          </w:hyperlink>
          <w:hyperlink w:anchor="_1fob9te">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1"/>
              <w:i w:val="1"/>
              <w:smallCaps w:val="0"/>
              <w:strike w:val="0"/>
              <w:color w:val="000000"/>
              <w:sz w:val="24"/>
              <w:szCs w:val="24"/>
              <w:u w:val="none"/>
              <w:shd w:fill="auto" w:val="clear"/>
              <w:vertAlign w:val="baseline"/>
            </w:rPr>
          </w:pPr>
          <w:hyperlink w:anchor="_3znysh7">
            <w:r w:rsidDel="00000000" w:rsidR="00000000" w:rsidRPr="00000000">
              <w:rPr>
                <w:rFonts w:ascii="Calibri" w:cs="Calibri" w:eastAsia="Calibri" w:hAnsi="Calibri"/>
                <w:b w:val="1"/>
                <w:i w:val="1"/>
                <w:smallCaps w:val="0"/>
                <w:strike w:val="0"/>
                <w:color w:val="000000"/>
                <w:sz w:val="24"/>
                <w:szCs w:val="24"/>
                <w:highlight w:val="white"/>
                <w:u w:val="none"/>
                <w:vertAlign w:val="baseline"/>
                <w:rtl w:val="0"/>
              </w:rPr>
              <w:t xml:space="preserve">Component 4: Training Presentation (5 minutes)</w:t>
            </w:r>
          </w:hyperlink>
          <w:hyperlink w:anchor="_3znysh7">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1"/>
              <w:i w:val="1"/>
              <w:smallCaps w:val="0"/>
              <w:strike w:val="0"/>
              <w:color w:val="000000"/>
              <w:sz w:val="24"/>
              <w:szCs w:val="24"/>
              <w:u w:val="none"/>
              <w:shd w:fill="auto" w:val="clear"/>
              <w:vertAlign w:val="baseline"/>
            </w:rPr>
          </w:pPr>
          <w:hyperlink w:anchor="_2et92p0">
            <w:r w:rsidDel="00000000" w:rsidR="00000000" w:rsidRPr="00000000">
              <w:rPr>
                <w:rFonts w:ascii="Calibri" w:cs="Calibri" w:eastAsia="Calibri" w:hAnsi="Calibri"/>
                <w:b w:val="1"/>
                <w:i w:val="1"/>
                <w:smallCaps w:val="0"/>
                <w:strike w:val="0"/>
                <w:color w:val="000000"/>
                <w:sz w:val="24"/>
                <w:szCs w:val="24"/>
                <w:highlight w:val="white"/>
                <w:u w:val="none"/>
                <w:vertAlign w:val="baseline"/>
                <w:rtl w:val="0"/>
              </w:rPr>
              <w:t xml:space="preserve">REFERENCES:</w:t>
            </w:r>
          </w:hyperlink>
          <w:hyperlink w:anchor="_2et92p0">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21</w:t>
            </w:r>
          </w:hyperlink>
          <w:r w:rsidDel="00000000" w:rsidR="00000000" w:rsidRPr="00000000">
            <w:rPr>
              <w:rtl w:val="0"/>
            </w:rPr>
          </w:r>
        </w:p>
        <w:p w:rsidR="00000000" w:rsidDel="00000000" w:rsidP="00000000" w:rsidRDefault="00000000" w:rsidRPr="00000000" w14:paraId="0000002E">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F">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30">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31">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32">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33">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34">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35">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36">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37">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38">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39">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3A">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3B">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3C">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3D">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3E">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3F">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40">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41">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42">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43">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44">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45">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46">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47">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48">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49">
      <w:pPr>
        <w:pStyle w:val="Heading1"/>
        <w:rPr>
          <w:highlight w:val="white"/>
        </w:rPr>
      </w:pPr>
      <w:bookmarkStart w:colFirst="0" w:colLast="0" w:name="_gjdgxs" w:id="0"/>
      <w:bookmarkEnd w:id="0"/>
      <w:r w:rsidDel="00000000" w:rsidR="00000000" w:rsidRPr="00000000">
        <w:rPr>
          <w:highlight w:val="white"/>
          <w:rtl w:val="0"/>
        </w:rPr>
        <w:t xml:space="preserve">Component 1: Professional Reflection (500 words)</w:t>
      </w:r>
    </w:p>
    <w:p w:rsidR="00000000" w:rsidDel="00000000" w:rsidP="00000000" w:rsidRDefault="00000000" w:rsidRPr="00000000" w14:paraId="0000004A">
      <w:pPr>
        <w:spacing w:line="480" w:lineRule="auto"/>
        <w:ind w:left="284" w:hanging="284"/>
        <w:rPr>
          <w:b w:val="1"/>
          <w:color w:val="222222"/>
          <w:highlight w:val="white"/>
        </w:rPr>
      </w:pPr>
      <w:r w:rsidDel="00000000" w:rsidR="00000000" w:rsidRPr="00000000">
        <w:rPr>
          <w:b w:val="1"/>
          <w:color w:val="222222"/>
          <w:highlight w:val="white"/>
          <w:rtl w:val="0"/>
        </w:rPr>
        <w:t xml:space="preserve">Introduction</w:t>
      </w:r>
    </w:p>
    <w:p w:rsidR="00000000" w:rsidDel="00000000" w:rsidP="00000000" w:rsidRDefault="00000000" w:rsidRPr="00000000" w14:paraId="0000004B">
      <w:pPr>
        <w:spacing w:after="240" w:lineRule="auto"/>
        <w:rPr/>
      </w:pPr>
      <w:r w:rsidDel="00000000" w:rsidR="00000000" w:rsidRPr="00000000">
        <w:rPr>
          <w:rtl w:val="0"/>
        </w:rPr>
        <w:t xml:space="preserve">Cultural differences between hospitality personnel and guests can cause awkwardness and dissatisfaction. Most blunders occur when people speak, act, or expect differently. Be aware of and manage these cultural variations to maintain a welcome environment (Hampden-Turner &amp; Trompenaars, 2020).</w:t>
        <w:br w:type="textWrapping"/>
        <w:br w:type="textWrapping"/>
        <w:t xml:space="preserve">Describe the scenario </w:t>
        <w:br w:type="textWrapping"/>
        <w:br w:type="textWrapping"/>
        <w:t xml:space="preserve">Imagine a bustling hotel restaurant during dinnertime. The restaurant is part of a popular foreign hotel group with a diversified clientele and a global ambiance. The team is also multicultural. </w:t>
        <w:br w:type="textWrapping"/>
        <w:br w:type="textWrapping"/>
        <w:t xml:space="preserve">Situation: A F&amp;B worker and a Japanese guest misunderstand each other one evening. In Japanese social interactions, politeness and formal meals are crucial. Guest Mr. Suzuki is sitting in a restaurant corner that is generally used for informal eating, not business meetings, which he wants to do. Mr. Suzuki was disappointed by the seating arrangement since he expected more formality and seclusion at Japanese dinners. In Japanese society, this shows disrespect or ignorance of his status (Ricoeur, 1992).</w:t>
        <w:br w:type="textWrapping"/>
        <w:br w:type="textWrapping"/>
        <w:t xml:space="preserve">The food and beverage worker didn't know how to seat and private Japanese customers during business lunches, so they brought Mr. Suzuki to the first open table to speed up service. The employee thought this as nice and helpful, but Mr. Suzuki perceived it differently. </w:t>
        <w:br w:type="textWrapping"/>
        <w:br w:type="textWrapping"/>
        <w:t xml:space="preserve">Analysis: This event illustrates how simple gestures or decisions that are culturally neutral or positive in one environment may be misinterpreted in another, causing hospitality misconceptions. In multicultural environments, such misunderstandings are more prevalent (Newby et al., 2007).</w:t>
        <w:br w:type="textWrapping"/>
        <w:br w:type="textWrapping"/>
        <w:t xml:space="preserve">I'll explain why this misconception occurred and what abilities and behaviours are needed to prevent it in the next segment. Specific instances and academic references will support this analysis. Cultural sensitivity and understanding in global hospitality will be discussed. </w:t>
        <w:br w:type="textWrapping"/>
        <w:br w:type="textWrapping"/>
        <w:t xml:space="preserve">Body </w:t>
        <w:br w:type="textWrapping"/>
        <w:br w:type="textWrapping"/>
        <w:t xml:space="preserve">As a food and beverage staff, I managed seats in our busy hotel restaurant all night. On a hectic night, my major goal was to swiftly set up all guests so they could eat. I took Mr. Suzuki, our prominent Japanese guest, to a comfortable corner table. The nook provided solitude and warmth from where I stood, making it ideal for diners. However, I soon discovered that this option did not suit Mr. Suzuki (Hampden-Turner &amp; Trompenaars, 2020).</w:t>
        <w:br w:type="textWrapping"/>
        <w:br w:type="textWrapping"/>
        <w:t xml:space="preserve">From a cultural perspective </w:t>
        <w:br w:type="textWrapping"/>
        <w:br w:type="textWrapping"/>
        <w:t xml:space="preserve">I could tell Mr. Suzuki was uncomfortable as I seated him down. His slightly wrinkled eyes and courteous but tight grin warned me something was wrong. He peered around the restaurant before sitting, possibly looking for a quieter area. He calmed in a quiet voice that showed worry. He said, "Is there perhaps another table available, maybe somewhere quieter?" (1972, Hymes).</w:t>
        <w:br w:type="textWrapping"/>
        <w:br w:type="textWrapping"/>
        <w:t xml:space="preserve">That's when I realised Mr. Suzuki wanted a different dining experience that fit Japanese business dining conventions, which prioritise privacy and secrecy, especially for formal business meetings. I chose solely on how quickly I could find a place, not cultural differences. </w:t>
        <w:br w:type="textWrapping"/>
        <w:br w:type="textWrapping"/>
        <w:t xml:space="preserve">Look at Misunderstanding Causes </w:t>
        <w:br w:type="textWrapping"/>
        <w:br w:type="textWrapping"/>
        <w:t xml:space="preserve">The mistake may have been caused by cultural conventions and my assumption that all guests would prefer speed over seating. The setting of a business meal in Japan is as essential as the cuisine. The arrangement respects the guest's status and mealtime conversation (Kramsch, 2006).</w:t>
        <w:br w:type="textWrapping"/>
        <w:br w:type="textWrapping"/>
        <w:t xml:space="preserve">The language barrier may have prevented Mr. Suzuki from communicating his expectations promptly. He spoke English, but the intricacies and comfort of a second language may have prevented him from admitting his dissatisfaction. Due to my lack of knowledge of Japanese business etiquette, I couldn't detect and meet the guest's expectations without being told. </w:t>
        <w:br w:type="textWrapping"/>
        <w:br w:type="textWrapping"/>
        <w:t xml:space="preserve">This event taught me the importance of cultural sensitivity, especially in international hospitality. Our varied workplace requires people to understand about culture norms and expectations. Getting to know visitors' ethnic backgrounds and expectations helps improve service and suit their demands. I learned how to behave in international restaurants and how to aggressively ask individuals if they have any seating or experience requests from this experience. This strategy might certainly balance speed and personalisation to ensure everyone has fun, regardless of culture (Christiansen, Branch, &amp; Karmowska, 2020).</w:t>
        <w:br w:type="textWrapping"/>
        <w:br w:type="textWrapping"/>
        <w:t xml:space="preserve">Looking back at my Level 4 placement, I see a pattern of cultural misunderstandings that could have been prevented if I had learned more about the guests' backgrounds. Mr. Suzuki's experience was identical to mine at a foreign hotel. This highlights how vital cultural awareness is for hospitality workers. </w:t>
        <w:br w:type="textWrapping"/>
        <w:br w:type="textWrapping"/>
        <w:t xml:space="preserve">Learnings from Level 4 placement </w:t>
        <w:br w:type="textWrapping"/>
        <w:br w:type="textWrapping"/>
        <w:t xml:space="preserve">I previously worked at the front desk and assisted with dining room service during busy times. Indians were eating at our hotel restaurant in the evening. The server cleared the table while people were eating to speed things up. This is common in Western restaurants, but in Indian culture, it's disrespectful because it may indicate that the person is in a rush or wants to leave before everyone has eaten (Hymes, 1972).</w:t>
        <w:br w:type="textWrapping"/>
        <w:br w:type="textWrapping"/>
        <w:t xml:space="preserve">I remember the customers' discomfort and our senior server's swift and heartfelt apology, recognising he had made a culture error. He advised the new hire to wait until all visitors had finished their food before clearing the table, especially if there were people from different cultures. Later, a staff meeting discussed this situation and stressed the importance of changing how we serve guests to respect their culture and dining manners. </w:t>
        <w:br w:type="textWrapping"/>
        <w:br w:type="textWrapping"/>
        <w:t xml:space="preserve">How I Can Apply What I've Learned </w:t>
        <w:br w:type="textWrapping"/>
        <w:br w:type="textWrapping"/>
        <w:t xml:space="preserve">My Level 4 placement issue and my current misunderstanding with Mr. Suzuki demonstrate the importance of cultural sensitivity in hospitality management. These experiences taught me that minor actions, like when to clear a table or which table to give a buddy, may have a significant impact. These decisions about corporate management also demonstrate cultural awareness (Christiansen, Branch, &amp; Karmowska, 2020).</w:t>
        <w:br w:type="textWrapping"/>
        <w:br w:type="textWrapping"/>
        <w:t xml:space="preserve">These events have taught me the importance of learning about cultural differences and chatting to guests to understand their tastes. Simple queries about comfort and tastes could help with service and reduce confusion. These lessons have also pushed me to promote and actively participate in ongoing cultural training for all staff members, ensuring that this information is always current and used in our daily work. </w:t>
        <w:br w:type="textWrapping"/>
        <w:br w:type="textWrapping"/>
        <w:t xml:space="preserve">These thoughts can help me improve as a professional if I wish to handle situations involving other cultures better and make sure all of our hotel customers feel valued and respected. </w:t>
        <w:br w:type="textWrapping"/>
        <w:br w:type="textWrapping"/>
        <w:t xml:space="preserve">In conclusion </w:t>
        <w:br w:type="textWrapping"/>
        <w:br w:type="textWrapping"/>
        <w:t xml:space="preserve">The experience with Mr. Suzuki and other things I did during my Level 4 placement showed me how hard and vital cultural sensitivity is in hospitality. These incidents demonstrate how cultural misunderstandings over minor service errors can negatively impact a guest's experience. Cultural conventions, customs, and linguistic difficulties might hinder communication. This is why hospitality workers must be aware of and respectful of these variations. </w:t>
        <w:br w:type="textWrapping"/>
        <w:br w:type="textWrapping"/>
        <w:t xml:space="preserve">You must learn about foreign cultural norms and be proactive when asking guests about their preferences and expectations. This will prevent cultural miscommunication. Keep learning and be open to new experiences to improve these talents (Newby et al., 2007).</w:t>
        <w:br w:type="textWrapping"/>
        <w:br w:type="textWrapping"/>
        <w:t xml:space="preserve">I'll increase my cultural competence by attending regular training sessions, asking guests for feedback to better understand their requirements, and being sensitive to cultural differences. In keeping with international hospitality management best practices, I want my guests to feel sincerely loved and respected, providing a warm and friendly atmosphere. </w:t>
        <w:br w:type="textWrapping"/>
        <w:br w:type="textWrapping"/>
        <w:t xml:space="preserve">These lessons will prevent misunderstandings, improve the guest experience, and ensure that our hotel is known for its comforts, service, and cultural awareness. This strategy will make guests happier and improve the area for everyone, including workers. </w:t>
        <w:br w:type="textWrapping"/>
        <w:br w:type="textWrapping"/>
        <w:t xml:space="preserve">The events we've discussed here emphasise that hospitality workers must constantly learn and adapt to other cultures. As globalisation increases, more individuals from diverse cultures stay in hotels. Cultural misunderstandings are more prevalent. Hospitality workers must be devoted to continuing education. They must ensure that cultural norms and expectations are learned continuously, not just once. </w:t>
        <w:br w:type="textWrapping"/>
        <w:br w:type="textWrapping"/>
        <w:t xml:space="preserve">Hospitality workers must continuously learning and be open to new cultural concepts to prevent these cultural issues. This includes attending workshops, updating training programmes with new cultural trends and guest comments, and participating in cultural exchange activities to better understand guests' needs (Hymes, 1972).</w:t>
        <w:br w:type="textWrapping"/>
        <w:br w:type="textWrapping"/>
        <w:t xml:space="preserve">By encouraging employees to share their experiences and learn from each other's failures, this learning process can be considerably improved. In everyday contact with guests, this collaborative strategy ensures knowledge is gained and used. Therefore, the hospitality crew is continually enhancing service and cultural awareness. </w:t>
        <w:br w:type="textWrapping"/>
        <w:br w:type="textWrapping"/>
        <w:t xml:space="preserve">To conclude, cultural awareness must be continuously learned and developed to maintain guest satisfaction and provide a welcome, courteous, and culturally diverse space. </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spacing w:line="480" w:lineRule="auto"/>
        <w:rPr>
          <w:color w:val="222222"/>
          <w:highlight w:val="white"/>
        </w:rPr>
      </w:pPr>
      <w:r w:rsidDel="00000000" w:rsidR="00000000" w:rsidRPr="00000000">
        <w:rPr>
          <w:rtl w:val="0"/>
        </w:rPr>
      </w:r>
    </w:p>
    <w:p w:rsidR="00000000" w:rsidDel="00000000" w:rsidP="00000000" w:rsidRDefault="00000000" w:rsidRPr="00000000" w14:paraId="0000004E">
      <w:pPr>
        <w:pStyle w:val="Heading1"/>
        <w:rPr>
          <w:highlight w:val="white"/>
        </w:rPr>
      </w:pPr>
      <w:bookmarkStart w:colFirst="0" w:colLast="0" w:name="_30j0zll" w:id="1"/>
      <w:bookmarkEnd w:id="1"/>
      <w:r w:rsidDel="00000000" w:rsidR="00000000" w:rsidRPr="00000000">
        <w:rPr>
          <w:highlight w:val="white"/>
          <w:rtl w:val="0"/>
        </w:rPr>
        <w:t xml:space="preserve">Component 2: Training Plan (500 words)</w:t>
      </w:r>
    </w:p>
    <w:p w:rsidR="00000000" w:rsidDel="00000000" w:rsidP="00000000" w:rsidRDefault="00000000" w:rsidRPr="00000000" w14:paraId="0000004F">
      <w:pPr>
        <w:spacing w:line="480" w:lineRule="auto"/>
        <w:ind w:left="284" w:hanging="284"/>
        <w:rPr>
          <w:b w:val="1"/>
          <w:color w:val="222222"/>
          <w:highlight w:val="white"/>
        </w:rPr>
      </w:pPr>
      <w:r w:rsidDel="00000000" w:rsidR="00000000" w:rsidRPr="00000000">
        <w:rPr>
          <w:b w:val="1"/>
          <w:color w:val="222222"/>
          <w:highlight w:val="white"/>
          <w:rtl w:val="0"/>
        </w:rPr>
        <w:t xml:space="preserve">Introduction</w:t>
      </w:r>
    </w:p>
    <w:p w:rsidR="00000000" w:rsidDel="00000000" w:rsidP="00000000" w:rsidRDefault="00000000" w:rsidRPr="00000000" w14:paraId="00000050">
      <w:pPr>
        <w:spacing w:after="240" w:lineRule="auto"/>
        <w:rPr/>
      </w:pPr>
      <w:bookmarkStart w:colFirst="0" w:colLast="0" w:name="_1fob9te" w:id="2"/>
      <w:bookmarkEnd w:id="2"/>
      <w:r w:rsidDel="00000000" w:rsidR="00000000" w:rsidRPr="00000000">
        <w:rPr>
          <w:rtl w:val="0"/>
        </w:rPr>
        <w:t xml:space="preserve">I experienced a major cultural miscommunication with Japanese guest Mr. Suzuki in the hotel restaurant. He felt slighted since he was placed in an unsuitable spot for business dinners. This illustrated how cultural differences in expectations might effect guest satisfaction, especially in foreign hospitality. I didn't consider how seating would effect Mr. Suzuki's culture, therefore I didn't express his expectations of seclusion and formality (Hofstede, Hofstede, &amp; Minkov, 2010).</w:t>
        <w:br w:type="textWrapping"/>
        <w:br w:type="textWrapping"/>
        <w:t xml:space="preserve">This training strategy aims to reduce cultural misunderstandings by organising staff instruction. The approach aims to make our staff more culturally aware and sensitive so they can better serve our visitors. This training will help our personnel deliver outstanding service that respects other cultures by covering speaking styles, cultural norms, and proactive guest engagement. </w:t>
        <w:br w:type="textWrapping"/>
        <w:br w:type="textWrapping"/>
        <w:t xml:space="preserve">Body </w:t>
        <w:br w:type="textWrapping"/>
        <w:br w:type="textWrapping"/>
        <w:t xml:space="preserve">Training plan objectives: </w:t>
        <w:br w:type="textWrapping"/>
        <w:br w:type="textWrapping"/>
        <w:t xml:space="preserve">Staff must learn to embrace cultural variations to improve cultural sensitivity. This will prevent Mr. Suzuki-like miscommunications (Hampden-Turner &amp; Trompenaars, 2020).</w:t>
        <w:br w:type="textWrapping"/>
        <w:br w:type="textWrapping"/>
        <w:t xml:space="preserve">2. Learn to communicate across cultures. Teach your personnel how to communicate clearly with guests from varied backgrounds. </w:t>
        <w:br w:type="textWrapping"/>
        <w:br w:type="textWrapping"/>
        <w:t xml:space="preserve">3. Proactive Guest Engagement: Train personnel to question guests about their food, accommodation, and service preferences to meet their national and personal needs (Maheshkar &amp; Sharma, 2018).</w:t>
        <w:br w:type="textWrapping"/>
        <w:br w:type="textWrapping"/>
        <w:t xml:space="preserve">Key training components: </w:t>
        <w:br w:type="textWrapping"/>
        <w:br w:type="textWrapping"/>
        <w:t xml:space="preserve">1. Cultural sensitivity training: </w:t>
        <w:br w:type="textWrapping"/>
        <w:br w:type="textWrapping"/>
        <w:t xml:space="preserve">• Cultural Norms and Values: These classes cover the essential rules, values, and expectations of our most common guest countries, focusing on business and dining. </w:t>
        <w:br w:type="textWrapping"/>
        <w:br w:type="textWrapping"/>
        <w:t xml:space="preserve">• Scenario-based learning teaches workers how to handle cultural differences through participatory role-playing in a safe environment. </w:t>
        <w:br w:type="textWrapping"/>
        <w:br w:type="textWrapping"/>
        <w:t xml:space="preserve">2. Communication Methods: </w:t>
        <w:br w:type="textWrapping"/>
        <w:br w:type="textWrapping"/>
        <w:t xml:space="preserve">Japanese, Mandarin, French, and Spanish greetings and phrases. Proper pronunciation and etiquette are crucial. </w:t>
        <w:br w:type="textWrapping"/>
        <w:br w:type="textWrapping"/>
        <w:t xml:space="preserve">• Nonverbal Communication: Reading and using body language, facial expressions, and how people place themselves in space, which can vary by culture. </w:t>
        <w:br w:type="textWrapping"/>
        <w:br w:type="textWrapping"/>
        <w:t xml:space="preserve">3. Involving guests: </w:t>
        <w:br w:type="textWrapping"/>
        <w:br w:type="textWrapping"/>
        <w:t xml:space="preserve">• Guest Preference Assessment: This includes tools and procedures to enable staff ask visitors about their preferences when they check in or make a reservation and communicate them with the correct departments. </w:t>
        <w:br w:type="textWrapping"/>
        <w:br w:type="textWrapping"/>
        <w:t xml:space="preserve">We need robust mechanisms to obtain and use visitor feedback during and after their visit to adjust and improve our services' cultural competence (Risager, 2003).</w:t>
        <w:br w:type="textWrapping"/>
        <w:br w:type="textWrapping"/>
        <w:t xml:space="preserve">Strategy for Implementation: </w:t>
        <w:br w:type="textWrapping"/>
        <w:br w:type="textWrapping"/>
        <w:t xml:space="preserve">Monthly sessions inform staff of cultural trends and feedback (Hoff, 2014).</w:t>
        <w:br w:type="textWrapping"/>
        <w:br w:type="textWrapping"/>
        <w:t xml:space="preserve">• Guest Speakers: Asking cultural experts and more experienced coworkers for their advice. </w:t>
        <w:br w:type="textWrapping"/>
        <w:br w:type="textWrapping"/>
        <w:t xml:space="preserve">An online resource centre offers cultural awareness and language skills modules (Hofstede, Hofstede, &amp; Minkov, 2010).</w:t>
        <w:br w:type="textWrapping"/>
        <w:br w:type="textWrapping"/>
        <w:t xml:space="preserve">Verifying and Feedback: </w:t>
        <w:br w:type="textWrapping"/>
        <w:br w:type="textWrapping"/>
        <w:t xml:space="preserve">Use quizzes and practical examinations to assess staff understanding after training. </w:t>
        <w:br w:type="textWrapping"/>
        <w:br w:type="textWrapping"/>
        <w:t xml:space="preserve">Guest Satisfaction Surveys: Note how staff interacts with guests and understands diverse cultures. </w:t>
        <w:br w:type="textWrapping"/>
        <w:br w:type="textWrapping"/>
        <w:t xml:space="preserve">• Continuous Improvement: Review training material regularly depending on comments and guest kinds. </w:t>
        <w:br w:type="textWrapping"/>
        <w:br w:type="textWrapping"/>
        <w:t xml:space="preserve">This comprehensive approach strives to fill cultural knowledge gaps and build a team that values and respects other cultures (Wuthnow et al., 1984).</w:t>
        <w:br w:type="textWrapping"/>
        <w:br w:type="textWrapping"/>
        <w:t xml:space="preserve">How the training solves Part 1 problems: </w:t>
        <w:br w:type="textWrapping"/>
        <w:br w:type="textWrapping"/>
        <w:t xml:space="preserve">The meeting with Mr. Suzuki raised crucial cultural issues that must be addressed to avoid future misunderstandings. By making our team more culturally aware, especially in understanding and addressing the needs of our international consumers, the proposed training strategy addresses these issues. </w:t>
        <w:br w:type="textWrapping"/>
        <w:br w:type="textWrapping"/>
        <w:t xml:space="preserve">Cultural sensitivity training: We teach our personnel how to eat and do business with Japanese guests and people from other cultures so they can respect and obey cultural norms. This training will assist staff adopt seating and service approaches that respect customers' traditions and tastes to avoid mistakes like Mr. Suzuki's (Kramsch, 1993).</w:t>
        <w:br w:type="textWrapping"/>
        <w:br w:type="textWrapping"/>
        <w:t xml:space="preserve">• Communication: Staff can quickly comprehend and clarify guests' demands if they can communicate better. Language and nonverbal communication skills will help our team spot subtle signals of comfort, allowing them to resolve issues swiftly and effectively. </w:t>
        <w:br w:type="textWrapping"/>
        <w:br w:type="textWrapping"/>
        <w:t xml:space="preserve">• Proactive Guest Engagement: Staff should ask guests for their comments and clarify them. This will help personalise the service. This proactive approach ensures that all guests' needs are satisfied from the start, reducing uncertainty. </w:t>
        <w:br w:type="textWrapping"/>
        <w:br w:type="textWrapping"/>
        <w:t xml:space="preserve">In conclusion: </w:t>
        <w:br w:type="textWrapping"/>
        <w:br w:type="textWrapping"/>
        <w:t xml:space="preserve">Several things should happen after this instruction. Our main goal is to improve our service by increasing cultural knowledge and communication. These adjustments will make guests happier because they will feel valued, understood, and cared for (Hoff, 2016).</w:t>
        <w:br w:type="textWrapping"/>
        <w:br w:type="textWrapping"/>
        <w:t xml:space="preserve">The training also helps the hotel create a reputation as a culturally sensitive hotel, which is increasingly crucial in today's globalised travel industry. As our crew learns cultural variations, we expect greater guest feedback, repeat business, and word-of-mouth recommendations. Finally, this training is an investment in our personnel and our hotel's long-term success and growth, ensuring we provide excellent customer service and hospitality. </w:t>
        <w:br w:type="textWrapping"/>
        <w:br w:type="textWrapping"/>
        <w:t xml:space="preserve">In conclusion </w:t>
        <w:br w:type="textWrapping"/>
        <w:br w:type="textWrapping"/>
        <w:t xml:space="preserve">This comprehensive training strategy should improve our service by teaching our team how to handle cultural differences sensitively and professionally. A few key areas will show the immediate consequences of this training: Wuthnow et al. 1984.</w:t>
        <w:br w:type="textWrapping"/>
        <w:br w:type="textWrapping"/>
        <w:t xml:space="preserve">Staff can deal with guests more respectfully and personally if they understand and embrace cultural differences. </w:t>
        <w:br w:type="textWrapping"/>
        <w:br w:type="textWrapping"/>
        <w:t xml:space="preserve">2. Fewer Cultural Misunderstandings: Scenario-based learning and communication will meet cultural expectations, reducing miscommunications like Mr. Suzuki's (van Ek, 1986).</w:t>
        <w:br w:type="textWrapping"/>
        <w:br w:type="textWrapping"/>
        <w:t xml:space="preserve">3. Happier guests: As our staff improves at recognising and addressing guests' needs, we expect more positive reviews and loyal consumers. </w:t>
        <w:br w:type="textWrapping"/>
        <w:br w:type="textWrapping"/>
        <w:t xml:space="preserve">This training is crucial for providing high-quality support to international customers. People from throughout the world seek outstanding service in hospitality. By teaching our staff about various cultures, we improve our service and establish our reputation as a premier hotel that values and respects guests' differences. This commitment to quality and cultural awareness helps us create a welcoming atmosphere that customers enjoy and recommend, which helps us succeed in a competitive market (Hoff, 2016).</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pStyle w:val="Heading1"/>
        <w:rPr>
          <w:highlight w:val="white"/>
        </w:rPr>
      </w:pPr>
      <w:r w:rsidDel="00000000" w:rsidR="00000000" w:rsidRPr="00000000">
        <w:rPr>
          <w:highlight w:val="white"/>
          <w:rtl w:val="0"/>
        </w:rPr>
        <w:t xml:space="preserve">Component 3: Student Self-reflection (500 words)</w:t>
      </w:r>
    </w:p>
    <w:p w:rsidR="00000000" w:rsidDel="00000000" w:rsidP="00000000" w:rsidRDefault="00000000" w:rsidRPr="00000000" w14:paraId="00000053">
      <w:pPr>
        <w:spacing w:line="480" w:lineRule="auto"/>
        <w:ind w:left="284" w:hanging="284"/>
        <w:rPr>
          <w:b w:val="1"/>
          <w:color w:val="222222"/>
          <w:highlight w:val="white"/>
        </w:rPr>
      </w:pPr>
      <w:r w:rsidDel="00000000" w:rsidR="00000000" w:rsidRPr="00000000">
        <w:rPr>
          <w:b w:val="1"/>
          <w:color w:val="222222"/>
          <w:highlight w:val="white"/>
          <w:rtl w:val="0"/>
        </w:rPr>
        <w:t xml:space="preserve">Introduction</w:t>
      </w:r>
    </w:p>
    <w:p w:rsidR="00000000" w:rsidDel="00000000" w:rsidP="00000000" w:rsidRDefault="00000000" w:rsidRPr="00000000" w14:paraId="00000054">
      <w:pPr>
        <w:spacing w:after="240" w:lineRule="auto"/>
        <w:rPr/>
      </w:pPr>
      <w:bookmarkStart w:colFirst="0" w:colLast="0" w:name="_3znysh7" w:id="3"/>
      <w:bookmarkEnd w:id="3"/>
      <w:r w:rsidDel="00000000" w:rsidR="00000000" w:rsidRPr="00000000">
        <w:rPr>
          <w:rtl w:val="0"/>
        </w:rPr>
        <w:t xml:space="preserve">I used Gibbs' Reflective Cycle for self-reflection. Graham Gibbs devised this 1988 concept to assist people reflect on their experiences. This model has six steps: describing, feeling, assessing, analysing, concluding, and planning. This includes lessons learned and how the person felt during the event, providing a complete evaluation framework. This approach is useful for studying how people grow individually and professionally in difficult social contexts (Newby et al., 2007).</w:t>
        <w:br w:type="textWrapping"/>
        <w:br w:type="textWrapping"/>
        <w:t xml:space="preserve">This perspective expands on my knowledge of cultural awareness in hospitality. Gibbs' Reflective Cycle will help me consider how my experiences with people from different backgrounds have shaped my work and worldview. Strengths and weaknesses must be identified through this procedure. It helps me keep cultural sensitivity at the forefront of my hospitality company. </w:t>
        <w:br w:type="textWrapping"/>
        <w:br w:type="textWrapping"/>
        <w:t xml:space="preserve">Body </w:t>
        <w:br w:type="textWrapping"/>
        <w:br w:type="textWrapping"/>
        <w:t xml:space="preserve">First Cultural Awareness Impressions </w:t>
        <w:br w:type="textWrapping"/>
        <w:br w:type="textWrapping"/>
        <w:t xml:space="preserve">Cultural awareness wasn't clear to me when I started working in hospitality. I understood being polite and flexible with individuals from other cultures was vital, but my approach was focused on respect rather than cultural knowledge. I assumed a friendly attitude and good service would overcome cultural barriers. </w:t>
        <w:br w:type="textWrapping"/>
        <w:br w:type="textWrapping"/>
        <w:t xml:space="preserve">Evolution of Views Due to Experience and Education </w:t>
        <w:br w:type="textWrapping"/>
        <w:br w:type="textWrapping"/>
        <w:t xml:space="preserve">My notions regarding cultural awareness changed as I had situations that challenged my beliefs. A cultural misunderstanding during a banquet upset a group of Middle Eastern guests during my Level 4 placement. Although they were explicit about their food limitations, they felt they were not respected. This was one of my most crucial lessons. I learned that cultural awareness entails learning and respecting guests' food rules and mealtime customs, not just being courteous (Kramsch, 1993).</w:t>
        <w:br w:type="textWrapping"/>
        <w:br w:type="textWrapping"/>
        <w:t xml:space="preserve">Intercultural speaking training and employment training helped me comprehend these distinctions. We studied about diverse cultures' dining norms, communication styles, and service expectations in cultural awareness seminars. I acquired real-world theories and procedures in school. Hofstede's cultural aspects theory showed me how individuality and collectivism effect guest relationships. </w:t>
        <w:br w:type="textWrapping"/>
        <w:br w:type="textWrapping"/>
        <w:t xml:space="preserve">Important Learning Times </w:t>
        <w:br w:type="textWrapping"/>
        <w:br w:type="textWrapping"/>
        <w:t xml:space="preserve">A service session for a Japanese delegation taught me a valuable lesson. After my last error, I determined to study ahead. I learned how essential body language is in Japanese culture and how to bow to greet someone. This planning affected how people talked, and the group loved how we paid attention to cultural aspects (Lazar et al., 2008).</w:t>
        <w:br w:type="textWrapping"/>
        <w:br w:type="textWrapping"/>
        <w:t xml:space="preserve">Another crucial moment was correcting a Brazilian guest's personal space definition. People in Brazil stand closer when they chat, unlike in restrained countries. Accepting these differences in personal space and conversation style made the guest feel more comfortable and respected. </w:t>
        <w:br w:type="textWrapping"/>
        <w:br w:type="textWrapping"/>
        <w:t xml:space="preserve">What I gained from reflecting </w:t>
        <w:br w:type="textWrapping"/>
        <w:br w:type="textWrapping"/>
        <w:t xml:space="preserve">These occurrences taught me that cultural awareness in hospitality is about having significant, respectful conversations that recognise and honour cultural differences, not merely avoiding faux pas. Every time I chat to a friend, I can narrow or widen the cultural difference. I must keep the gap narrow (Abramson &amp; Moran, 2018).</w:t>
        <w:br w:type="textWrapping"/>
        <w:br w:type="textWrapping"/>
        <w:t xml:space="preserve">In conclusion </w:t>
        <w:br w:type="textWrapping"/>
        <w:br w:type="textWrapping"/>
        <w:t xml:space="preserve">By reflecting on myself utilising Gibbs' Reflective Cycle, I learnt that cultural awareness in hospitality is multifaceted and varies with time. It entails understanding and respecting our guests' ethnicities. Every interaction is an opportunity to show we care about being open and sensitive to everyone. This new information has transformed my catering career (Risager, 2012).</w:t>
        <w:br w:type="textWrapping"/>
        <w:br w:type="textWrapping"/>
        <w:t xml:space="preserve">Cultural awareness helps guests feel valued and understood, not merely avoid misunderstandings. Knowledge makes clients happy, keeps them coming back, and boosts the business's reputation. The workplace is better because personnel can handle varied situations with confidence and understanding. </w:t>
        <w:br w:type="textWrapping"/>
        <w:br w:type="textWrapping"/>
        <w:t xml:space="preserve">My hospitality profession will be greatly impacted by this information. I'm continually studying and staying up with culture and communication trends. I'll participate in training and development programmes and share my findings with coworkers to improve visitor service. I also aim to promote and enforce culturally sensitive hospitality management guidelines from guest service to staff training (Abramson &amp; Moran, 2018).</w:t>
        <w:br w:type="textWrapping"/>
        <w:br w:type="textWrapping"/>
        <w:t xml:space="preserve">Using what I've learnt at work will assist my career and make the hospitality sector more welcome and polite. Cultural awareness is my work and a hobby I'll follow throughout my career, always attempting to make guest interactions more meaningful and kind.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pStyle w:val="Heading1"/>
        <w:rPr>
          <w:highlight w:val="white"/>
        </w:rPr>
      </w:pPr>
      <w:r w:rsidDel="00000000" w:rsidR="00000000" w:rsidRPr="00000000">
        <w:rPr>
          <w:highlight w:val="white"/>
          <w:rtl w:val="0"/>
        </w:rPr>
        <w:t xml:space="preserve">Component 4: Training Presentation (5 minutes)</w:t>
      </w:r>
    </w:p>
    <w:p w:rsidR="00000000" w:rsidDel="00000000" w:rsidP="00000000" w:rsidRDefault="00000000" w:rsidRPr="00000000" w14:paraId="00000057">
      <w:pPr>
        <w:spacing w:line="480" w:lineRule="auto"/>
        <w:ind w:left="284" w:hanging="284"/>
        <w:rPr>
          <w:b w:val="1"/>
          <w:color w:val="222222"/>
          <w:highlight w:val="white"/>
        </w:rPr>
      </w:pPr>
      <w:r w:rsidDel="00000000" w:rsidR="00000000" w:rsidRPr="00000000">
        <w:rPr>
          <w:b w:val="1"/>
          <w:color w:val="222222"/>
          <w:highlight w:val="white"/>
          <w:rtl w:val="0"/>
        </w:rPr>
        <w:t xml:space="preserve">Introduction</w:t>
      </w:r>
    </w:p>
    <w:p w:rsidR="00000000" w:rsidDel="00000000" w:rsidP="00000000" w:rsidRDefault="00000000" w:rsidRPr="00000000" w14:paraId="00000058">
      <w:pPr>
        <w:spacing w:after="240" w:lineRule="auto"/>
        <w:rPr/>
      </w:pPr>
      <w:r w:rsidDel="00000000" w:rsidR="00000000" w:rsidRPr="00000000">
        <w:rPr>
          <w:rtl w:val="0"/>
        </w:rPr>
        <w:t xml:space="preserve">Good morning, everyone. I'm delighted to talk about language awareness and speaking multiple languages as part of quality hospitality service. Learning multiple languages is important and required as the globe gets increasingly interconnected. In our field, we meet international guests daily (Hofstede, Hofstede, &amp; Minkov, 2010).</w:t>
        <w:br w:type="textWrapping"/>
        <w:br w:type="textWrapping"/>
        <w:t xml:space="preserve">French will dominate this conversation. French is spoken in France and several European and African countries. French is crucial for our field because of its business and relations application. How studying French can improve our relationships and service, and why it's crucial to comprehend the language's complexities while talking to coworkers. </w:t>
        <w:br w:type="textWrapping"/>
        <w:br w:type="textWrapping"/>
        <w:t xml:space="preserve">I intend to demonstrate how learning multiple languages, especially French, may improve service and make clients happier at the end of my session. </w:t>
        <w:br w:type="textWrapping"/>
        <w:br w:type="textWrapping"/>
        <w:t xml:space="preserve">Body </w:t>
        <w:br w:type="textWrapping"/>
        <w:br w:type="textWrapping"/>
        <w:t xml:space="preserve">Why hotels should have bilingual staff </w:t>
        <w:br w:type="textWrapping"/>
        <w:br w:type="textWrapping"/>
        <w:t xml:space="preserve">Bilingual personnel and guests can communicate more clearly by removing barriers. Hospitality workers must know what guests desire. This is easier with language skills. French-speaking workers can immediately establish rapport with French-speaking guests and meet their demands. </w:t>
        <w:br w:type="textWrapping"/>
        <w:br w:type="textWrapping"/>
        <w:t xml:space="preserve">Better Service Personalisation: Multilingual workers may better tailor services to guests. In hospitality businesses like ours, customisation can make guests happier and more loyal (Starkey, 2005).</w:t>
        <w:br w:type="textWrapping"/>
        <w:br w:type="textWrapping"/>
        <w:t xml:space="preserve">Staff speaking guests' languages makes them feel at home. Comfort can boost client satisfaction, reviews, and vacations. </w:t>
        <w:br w:type="textWrapping"/>
        <w:br w:type="textWrapping"/>
        <w:t xml:space="preserve">French Polite and Ignorant Language Examples </w:t>
        <w:br w:type="textWrapping"/>
        <w:br w:type="textWrapping"/>
        <w:t xml:space="preserve">Nice </w:t>
        <w:br w:type="textWrapping"/>
        <w:br w:type="textWrapping"/>
        <w:br w:type="textWrapping"/>
        <w:br w:type="textWrapping"/>
        <w:br w:type="textWrapping"/>
        <w:br w:type="textWrapping"/>
        <w:t xml:space="preserve">How speaking French influences guest interactions and service </w:t>
        <w:br w:type="textWrapping"/>
        <w:br w:type="textWrapping"/>
        <w:t xml:space="preserve">Examples from the hotel industry: </w:t>
        <w:br w:type="textWrapping"/>
        <w:br w:type="textWrapping"/>
        <w:t xml:space="preserve">• Situation 1: A friend requests a service or meal in French, potentially utilising local slang or dialect. French-speaking staff can grasp guests' vocabulary and culture, making them feel cared for (Newby et al., 2007).</w:t>
        <w:br w:type="textWrapping"/>
        <w:br w:type="textWrapping"/>
        <w:t xml:space="preserve">Scenario 2: French-speaking guests arrive during crowded check-in. The French-speaking front desk clerk can immediately check them in, explain the hotel's services and answer inquiries. This speed and personal touch improve guests' first impressions and stays. </w:t>
        <w:br w:type="textWrapping"/>
        <w:br w:type="textWrapping"/>
        <w:t xml:space="preserve">French makes your knowledge more accurate and the conversation more fascinating. It helps workers make small chat, comprehend cultural allusions, and answer complicated queries, improving guest experiences. French-speaking staff can manage sensitive circumstances with tact and cultural knowledge, enhancing our image as a hotel that cares about its guests and is sensitive to diverse cultures. </w:t>
        <w:br w:type="textWrapping"/>
        <w:br w:type="textWrapping"/>
        <w:t xml:space="preserve">In conclusion </w:t>
        <w:br w:type="textWrapping"/>
        <w:br w:type="textWrapping"/>
        <w:t xml:space="preserve">To conclude, our staff's multilingualism, especially in French, improves service and keeps clients pleased. Through examples and conversation, being bilingual in the hospitality sector improves communication, understanding, and guest experience by making exchanges more personal, courteous, and efficient (Abramson &amp; Moran, 2018).</w:t>
        <w:br w:type="textWrapping"/>
        <w:br w:type="textWrapping"/>
        <w:t xml:space="preserve">Speaking multiple languages helps in the service industry: </w:t>
        <w:br w:type="textWrapping"/>
        <w:br w:type="textWrapping"/>
        <w:t xml:space="preserve">• Effective communication ensures guests' requirements are addressed (Spolsky, 1989).</w:t>
        <w:br w:type="textWrapping"/>
        <w:br w:type="textWrapping"/>
        <w:t xml:space="preserve">• Personalisation delights and retains customers. </w:t>
        <w:br w:type="textWrapping"/>
        <w:br w:type="textWrapping"/>
        <w:t xml:space="preserve">• Culturally competent language skills reduce misunderstandings and make a location more hospitable to foreigners (Hofstede, Hofstede, &amp; Minkov, 2010).</w:t>
        <w:br w:type="textWrapping"/>
        <w:br w:type="textWrapping"/>
        <w:t xml:space="preserve">Because we aspire to be the greatest, our personnel growth plans should include language training. Paying for our personnel to learn languages boosts their skills and confidence and makes our hotel a leader in serving foreigners. Training is an investment in our company and future, not just an expense. </w:t>
        <w:br w:type="textWrapping"/>
        <w:br w:type="textWrapping"/>
        <w:t xml:space="preserve">We should prioritise and grow our language training courses so our workforce can greet guests with knowledge and understanding. This action reinforces our cultural understanding and responsiveness. We warmly welcome international guests and speak their languages (Ricoeur, 1992).</w:t>
      </w:r>
    </w:p>
    <w:p w:rsidR="00000000" w:rsidDel="00000000" w:rsidP="00000000" w:rsidRDefault="00000000" w:rsidRPr="00000000" w14:paraId="00000059">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5A">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5B">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5C">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5D">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5E">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5F">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60">
      <w:pPr>
        <w:spacing w:line="480" w:lineRule="auto"/>
        <w:ind w:left="284" w:hanging="284"/>
        <w:rPr>
          <w:color w:val="222222"/>
          <w:highlight w:val="white"/>
        </w:rPr>
      </w:pPr>
      <w:r w:rsidDel="00000000" w:rsidR="00000000" w:rsidRPr="00000000">
        <w:rPr>
          <w:color w:val="222222"/>
          <w:highlight w:val="white"/>
        </w:rPr>
        <w:drawing>
          <wp:inline distB="0" distT="0" distL="0" distR="0">
            <wp:extent cx="5731510" cy="3176905"/>
            <wp:effectExtent b="0" l="0" r="0" t="0"/>
            <wp:docPr descr="A close-up of a globe&#10;&#10;Description automatically generated" id="3" name="image3.png"/>
            <a:graphic>
              <a:graphicData uri="http://schemas.openxmlformats.org/drawingml/2006/picture">
                <pic:pic>
                  <pic:nvPicPr>
                    <pic:cNvPr descr="A close-up of a globe&#10;&#10;Description automatically generated" id="0" name="image3.png"/>
                    <pic:cNvPicPr preferRelativeResize="0"/>
                  </pic:nvPicPr>
                  <pic:blipFill>
                    <a:blip r:embed="rId7"/>
                    <a:srcRect b="0" l="0" r="0" t="0"/>
                    <a:stretch>
                      <a:fillRect/>
                    </a:stretch>
                  </pic:blipFill>
                  <pic:spPr>
                    <a:xfrm>
                      <a:off x="0" y="0"/>
                      <a:ext cx="5731510" cy="3176905"/>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62">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63">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64">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65">
      <w:pPr>
        <w:spacing w:line="480" w:lineRule="auto"/>
        <w:ind w:left="284" w:hanging="284"/>
        <w:rPr>
          <w:color w:val="222222"/>
          <w:highlight w:val="white"/>
        </w:rPr>
      </w:pPr>
      <w:r w:rsidDel="00000000" w:rsidR="00000000" w:rsidRPr="00000000">
        <w:rPr>
          <w:color w:val="222222"/>
          <w:highlight w:val="white"/>
        </w:rPr>
        <w:drawing>
          <wp:inline distB="0" distT="0" distL="0" distR="0">
            <wp:extent cx="5731510" cy="3058160"/>
            <wp:effectExtent b="0" l="0" r="0" t="0"/>
            <wp:docPr descr="A close-up of a text&#10;&#10;Description automatically generated" id="2" name="image2.png"/>
            <a:graphic>
              <a:graphicData uri="http://schemas.openxmlformats.org/drawingml/2006/picture">
                <pic:pic>
                  <pic:nvPicPr>
                    <pic:cNvPr descr="A close-up of a text&#10;&#10;Description automatically generated" id="0" name="image2.png"/>
                    <pic:cNvPicPr preferRelativeResize="0"/>
                  </pic:nvPicPr>
                  <pic:blipFill>
                    <a:blip r:embed="rId8"/>
                    <a:srcRect b="0" l="0" r="0" t="0"/>
                    <a:stretch>
                      <a:fillRect/>
                    </a:stretch>
                  </pic:blipFill>
                  <pic:spPr>
                    <a:xfrm>
                      <a:off x="0" y="0"/>
                      <a:ext cx="5731510" cy="3058160"/>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67">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68">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69">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6A">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6B">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6C">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6D">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6E">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6F">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70">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71">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72">
      <w:pPr>
        <w:spacing w:line="480" w:lineRule="auto"/>
        <w:ind w:left="284" w:hanging="284"/>
        <w:rPr>
          <w:color w:val="222222"/>
          <w:highlight w:val="white"/>
        </w:rPr>
      </w:pPr>
      <w:r w:rsidDel="00000000" w:rsidR="00000000" w:rsidRPr="00000000">
        <w:rPr>
          <w:color w:val="222222"/>
          <w:highlight w:val="white"/>
        </w:rPr>
        <w:drawing>
          <wp:inline distB="0" distT="0" distL="0" distR="0">
            <wp:extent cx="5731510" cy="3221990"/>
            <wp:effectExtent b="0" l="0" r="0" t="0"/>
            <wp:docPr id="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731510" cy="3221990"/>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spacing w:line="480" w:lineRule="auto"/>
        <w:ind w:left="284" w:hanging="284"/>
        <w:rPr>
          <w:color w:val="222222"/>
          <w:highlight w:val="white"/>
        </w:rPr>
      </w:pPr>
      <w:r w:rsidDel="00000000" w:rsidR="00000000" w:rsidRPr="00000000">
        <w:rPr>
          <w:color w:val="222222"/>
          <w:highlight w:val="white"/>
        </w:rPr>
        <w:drawing>
          <wp:inline distB="0" distT="0" distL="0" distR="0">
            <wp:extent cx="5731510" cy="3227070"/>
            <wp:effectExtent b="0" l="0" r="0" t="0"/>
            <wp:docPr descr="A question marks on a white surface&#10;&#10;Description automatically generated" id="4" name="image4.png"/>
            <a:graphic>
              <a:graphicData uri="http://schemas.openxmlformats.org/drawingml/2006/picture">
                <pic:pic>
                  <pic:nvPicPr>
                    <pic:cNvPr descr="A question marks on a white surface&#10;&#10;Description automatically generated" id="0" name="image4.png"/>
                    <pic:cNvPicPr preferRelativeResize="0"/>
                  </pic:nvPicPr>
                  <pic:blipFill>
                    <a:blip r:embed="rId10"/>
                    <a:srcRect b="0" l="0" r="0" t="0"/>
                    <a:stretch>
                      <a:fillRect/>
                    </a:stretch>
                  </pic:blipFill>
                  <pic:spPr>
                    <a:xfrm>
                      <a:off x="0" y="0"/>
                      <a:ext cx="5731510" cy="3227070"/>
                    </a:xfrm>
                    <a:prstGeom prst="rect"/>
                    <a:ln/>
                  </pic:spPr>
                </pic:pic>
              </a:graphicData>
            </a:graphic>
          </wp:inline>
        </w:drawing>
      </w:r>
      <w:r w:rsidDel="00000000" w:rsidR="00000000" w:rsidRPr="00000000">
        <w:rPr>
          <w:rtl w:val="0"/>
        </w:rPr>
      </w:r>
    </w:p>
    <w:p w:rsidR="00000000" w:rsidDel="00000000" w:rsidP="00000000" w:rsidRDefault="00000000" w:rsidRPr="00000000" w14:paraId="00000074">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75">
      <w:pPr>
        <w:spacing w:line="480" w:lineRule="auto"/>
        <w:ind w:left="284" w:hanging="284"/>
        <w:rPr>
          <w:color w:val="222222"/>
          <w:highlight w:val="white"/>
        </w:rPr>
      </w:pPr>
      <w:r w:rsidDel="00000000" w:rsidR="00000000" w:rsidRPr="00000000">
        <w:rPr>
          <w:color w:val="222222"/>
          <w:highlight w:val="white"/>
        </w:rPr>
        <w:drawing>
          <wp:inline distB="0" distT="0" distL="0" distR="0">
            <wp:extent cx="5731510" cy="3114040"/>
            <wp:effectExtent b="0" l="0" r="0" t="0"/>
            <wp:docPr descr="A yellow and white paper with text&#10;&#10;Description automatically generated" id="7" name="image7.png"/>
            <a:graphic>
              <a:graphicData uri="http://schemas.openxmlformats.org/drawingml/2006/picture">
                <pic:pic>
                  <pic:nvPicPr>
                    <pic:cNvPr descr="A yellow and white paper with text&#10;&#10;Description automatically generated" id="0" name="image7.png"/>
                    <pic:cNvPicPr preferRelativeResize="0"/>
                  </pic:nvPicPr>
                  <pic:blipFill>
                    <a:blip r:embed="rId11"/>
                    <a:srcRect b="0" l="0" r="0" t="0"/>
                    <a:stretch>
                      <a:fillRect/>
                    </a:stretch>
                  </pic:blipFill>
                  <pic:spPr>
                    <a:xfrm>
                      <a:off x="0" y="0"/>
                      <a:ext cx="5731510" cy="3114040"/>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77">
      <w:pPr>
        <w:spacing w:line="480" w:lineRule="auto"/>
        <w:ind w:left="284" w:hanging="284"/>
        <w:rPr>
          <w:color w:val="222222"/>
          <w:highlight w:val="white"/>
        </w:rPr>
      </w:pPr>
      <w:r w:rsidDel="00000000" w:rsidR="00000000" w:rsidRPr="00000000">
        <w:rPr>
          <w:color w:val="222222"/>
          <w:highlight w:val="white"/>
        </w:rPr>
        <w:drawing>
          <wp:inline distB="0" distT="0" distL="0" distR="0">
            <wp:extent cx="5731510" cy="3389630"/>
            <wp:effectExtent b="0" l="0" r="0" t="0"/>
            <wp:docPr descr="A close-up of wooden figures&#10;&#10;Description automatically generated" id="6" name="image6.png"/>
            <a:graphic>
              <a:graphicData uri="http://schemas.openxmlformats.org/drawingml/2006/picture">
                <pic:pic>
                  <pic:nvPicPr>
                    <pic:cNvPr descr="A close-up of wooden figures&#10;&#10;Description automatically generated" id="0" name="image6.png"/>
                    <pic:cNvPicPr preferRelativeResize="0"/>
                  </pic:nvPicPr>
                  <pic:blipFill>
                    <a:blip r:embed="rId12"/>
                    <a:srcRect b="0" l="0" r="0" t="0"/>
                    <a:stretch>
                      <a:fillRect/>
                    </a:stretch>
                  </pic:blipFill>
                  <pic:spPr>
                    <a:xfrm>
                      <a:off x="0" y="0"/>
                      <a:ext cx="5731510" cy="3389630"/>
                    </a:xfrm>
                    <a:prstGeom prst="rect"/>
                    <a:ln/>
                  </pic:spPr>
                </pic:pic>
              </a:graphicData>
            </a:graphic>
          </wp:inline>
        </w:drawing>
      </w:r>
      <w:r w:rsidDel="00000000" w:rsidR="00000000" w:rsidRPr="00000000">
        <w:rPr>
          <w:rtl w:val="0"/>
        </w:rPr>
      </w:r>
    </w:p>
    <w:p w:rsidR="00000000" w:rsidDel="00000000" w:rsidP="00000000" w:rsidRDefault="00000000" w:rsidRPr="00000000" w14:paraId="00000078">
      <w:pPr>
        <w:spacing w:line="480" w:lineRule="auto"/>
        <w:ind w:left="284" w:hanging="284"/>
        <w:rPr>
          <w:color w:val="222222"/>
          <w:highlight w:val="white"/>
        </w:rPr>
      </w:pPr>
      <w:r w:rsidDel="00000000" w:rsidR="00000000" w:rsidRPr="00000000">
        <w:rPr>
          <w:color w:val="222222"/>
          <w:highlight w:val="white"/>
        </w:rPr>
        <w:drawing>
          <wp:inline distB="0" distT="0" distL="0" distR="0">
            <wp:extent cx="5731510" cy="3115945"/>
            <wp:effectExtent b="0" l="0" r="0" t="0"/>
            <wp:docPr descr="A white paper with black text&#10;&#10;Description automatically generated" id="9" name="image9.png"/>
            <a:graphic>
              <a:graphicData uri="http://schemas.openxmlformats.org/drawingml/2006/picture">
                <pic:pic>
                  <pic:nvPicPr>
                    <pic:cNvPr descr="A white paper with black text&#10;&#10;Description automatically generated" id="0" name="image9.png"/>
                    <pic:cNvPicPr preferRelativeResize="0"/>
                  </pic:nvPicPr>
                  <pic:blipFill>
                    <a:blip r:embed="rId13"/>
                    <a:srcRect b="0" l="0" r="0" t="0"/>
                    <a:stretch>
                      <a:fillRect/>
                    </a:stretch>
                  </pic:blipFill>
                  <pic:spPr>
                    <a:xfrm>
                      <a:off x="0" y="0"/>
                      <a:ext cx="5731510" cy="3115945"/>
                    </a:xfrm>
                    <a:prstGeom prst="rect"/>
                    <a:ln/>
                  </pic:spPr>
                </pic:pic>
              </a:graphicData>
            </a:graphic>
          </wp:inline>
        </w:drawing>
      </w:r>
      <w:r w:rsidDel="00000000" w:rsidR="00000000" w:rsidRPr="00000000">
        <w:rPr>
          <w:rtl w:val="0"/>
        </w:rPr>
      </w:r>
    </w:p>
    <w:p w:rsidR="00000000" w:rsidDel="00000000" w:rsidP="00000000" w:rsidRDefault="00000000" w:rsidRPr="00000000" w14:paraId="00000079">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7A">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7B">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7C">
      <w:pPr>
        <w:spacing w:line="480" w:lineRule="auto"/>
        <w:ind w:left="284" w:hanging="284"/>
        <w:rPr>
          <w:color w:val="222222"/>
          <w:highlight w:val="white"/>
        </w:rPr>
      </w:pPr>
      <w:r w:rsidDel="00000000" w:rsidR="00000000" w:rsidRPr="00000000">
        <w:rPr>
          <w:color w:val="222222"/>
          <w:highlight w:val="white"/>
        </w:rPr>
        <w:drawing>
          <wp:inline distB="0" distT="0" distL="0" distR="0">
            <wp:extent cx="5731510" cy="2856230"/>
            <wp:effectExtent b="0" l="0" r="0" t="0"/>
            <wp:docPr descr="A yellow and white page with black text&#10;&#10;Description automatically generated" id="8" name="image8.png"/>
            <a:graphic>
              <a:graphicData uri="http://schemas.openxmlformats.org/drawingml/2006/picture">
                <pic:pic>
                  <pic:nvPicPr>
                    <pic:cNvPr descr="A yellow and white page with black text&#10;&#10;Description automatically generated" id="0" name="image8.png"/>
                    <pic:cNvPicPr preferRelativeResize="0"/>
                  </pic:nvPicPr>
                  <pic:blipFill>
                    <a:blip r:embed="rId14"/>
                    <a:srcRect b="0" l="0" r="0" t="0"/>
                    <a:stretch>
                      <a:fillRect/>
                    </a:stretch>
                  </pic:blipFill>
                  <pic:spPr>
                    <a:xfrm>
                      <a:off x="0" y="0"/>
                      <a:ext cx="5731510" cy="2856230"/>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spacing w:line="480" w:lineRule="auto"/>
        <w:ind w:left="284" w:hanging="284"/>
        <w:rPr>
          <w:color w:val="222222"/>
          <w:highlight w:val="white"/>
        </w:rPr>
      </w:pPr>
      <w:r w:rsidDel="00000000" w:rsidR="00000000" w:rsidRPr="00000000">
        <w:rPr>
          <w:color w:val="222222"/>
          <w:highlight w:val="white"/>
        </w:rPr>
        <w:drawing>
          <wp:inline distB="0" distT="0" distL="0" distR="0">
            <wp:extent cx="5731510" cy="3206750"/>
            <wp:effectExtent b="0" l="0" r="0" t="0"/>
            <wp:docPr descr="A close-up of a paper&#10;&#10;Description automatically generated" id="10" name="image10.png"/>
            <a:graphic>
              <a:graphicData uri="http://schemas.openxmlformats.org/drawingml/2006/picture">
                <pic:pic>
                  <pic:nvPicPr>
                    <pic:cNvPr descr="A close-up of a paper&#10;&#10;Description automatically generated" id="0" name="image10.png"/>
                    <pic:cNvPicPr preferRelativeResize="0"/>
                  </pic:nvPicPr>
                  <pic:blipFill>
                    <a:blip r:embed="rId15"/>
                    <a:srcRect b="0" l="0" r="0" t="0"/>
                    <a:stretch>
                      <a:fillRect/>
                    </a:stretch>
                  </pic:blipFill>
                  <pic:spPr>
                    <a:xfrm>
                      <a:off x="0" y="0"/>
                      <a:ext cx="5731510" cy="3206750"/>
                    </a:xfrm>
                    <a:prstGeom prst="rect"/>
                    <a:ln/>
                  </pic:spPr>
                </pic:pic>
              </a:graphicData>
            </a:graphic>
          </wp:inline>
        </w:drawing>
      </w:r>
      <w:r w:rsidDel="00000000" w:rsidR="00000000" w:rsidRPr="00000000">
        <w:rPr>
          <w:rtl w:val="0"/>
        </w:rPr>
      </w:r>
    </w:p>
    <w:p w:rsidR="00000000" w:rsidDel="00000000" w:rsidP="00000000" w:rsidRDefault="00000000" w:rsidRPr="00000000" w14:paraId="0000007E">
      <w:pPr>
        <w:pStyle w:val="Heading1"/>
        <w:rPr>
          <w:highlight w:val="white"/>
        </w:rPr>
      </w:pPr>
      <w:bookmarkStart w:colFirst="0" w:colLast="0" w:name="_2et92p0" w:id="4"/>
      <w:bookmarkEnd w:id="4"/>
      <w:r w:rsidDel="00000000" w:rsidR="00000000" w:rsidRPr="00000000">
        <w:rPr>
          <w:highlight w:val="white"/>
          <w:rtl w:val="0"/>
        </w:rPr>
        <w:t xml:space="preserve">REFERENCES:</w:t>
      </w:r>
    </w:p>
    <w:p w:rsidR="00000000" w:rsidDel="00000000" w:rsidP="00000000" w:rsidRDefault="00000000" w:rsidRPr="00000000" w14:paraId="0000007F">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80">
      <w:pPr>
        <w:spacing w:line="480" w:lineRule="auto"/>
        <w:ind w:left="284" w:hanging="284"/>
        <w:rPr>
          <w:color w:val="222222"/>
          <w:highlight w:val="white"/>
        </w:rPr>
      </w:pPr>
      <w:r w:rsidDel="00000000" w:rsidR="00000000" w:rsidRPr="00000000">
        <w:rPr>
          <w:color w:val="222222"/>
          <w:highlight w:val="white"/>
          <w:rtl w:val="0"/>
        </w:rPr>
        <w:t xml:space="preserve">Abramson, N.R. and Moran, R. (2018) </w:t>
      </w:r>
      <w:r w:rsidDel="00000000" w:rsidR="00000000" w:rsidRPr="00000000">
        <w:rPr>
          <w:i w:val="1"/>
          <w:color w:val="222222"/>
          <w:highlight w:val="white"/>
          <w:rtl w:val="0"/>
        </w:rPr>
        <w:t xml:space="preserve">Managing Cultural Differences: Global Leadership for the 21st Century</w:t>
      </w:r>
      <w:r w:rsidDel="00000000" w:rsidR="00000000" w:rsidRPr="00000000">
        <w:rPr>
          <w:color w:val="222222"/>
          <w:highlight w:val="white"/>
          <w:rtl w:val="0"/>
        </w:rPr>
        <w:t xml:space="preserve">. 10th ed. Abingdon: Routledge.</w:t>
      </w:r>
    </w:p>
    <w:p w:rsidR="00000000" w:rsidDel="00000000" w:rsidP="00000000" w:rsidRDefault="00000000" w:rsidRPr="00000000" w14:paraId="00000081">
      <w:pPr>
        <w:spacing w:line="480" w:lineRule="auto"/>
        <w:ind w:left="284" w:hanging="284"/>
        <w:rPr>
          <w:color w:val="222222"/>
          <w:highlight w:val="white"/>
        </w:rPr>
      </w:pPr>
      <w:r w:rsidDel="00000000" w:rsidR="00000000" w:rsidRPr="00000000">
        <w:rPr>
          <w:color w:val="222222"/>
          <w:highlight w:val="white"/>
          <w:rtl w:val="0"/>
        </w:rPr>
        <w:t xml:space="preserve">Christiansen, B., Branch, J.D. and Karmowska, J. (2020) </w:t>
      </w:r>
      <w:r w:rsidDel="00000000" w:rsidR="00000000" w:rsidRPr="00000000">
        <w:rPr>
          <w:i w:val="1"/>
          <w:color w:val="222222"/>
          <w:highlight w:val="white"/>
          <w:rtl w:val="0"/>
        </w:rPr>
        <w:t xml:space="preserve">Cultural Factors and Performance in 21st Century Businesses</w:t>
      </w:r>
      <w:r w:rsidDel="00000000" w:rsidR="00000000" w:rsidRPr="00000000">
        <w:rPr>
          <w:color w:val="222222"/>
          <w:highlight w:val="white"/>
          <w:rtl w:val="0"/>
        </w:rPr>
        <w:t xml:space="preserve">. Hershey: IGI Global.</w:t>
      </w:r>
    </w:p>
    <w:p w:rsidR="00000000" w:rsidDel="00000000" w:rsidP="00000000" w:rsidRDefault="00000000" w:rsidRPr="00000000" w14:paraId="00000082">
      <w:pPr>
        <w:spacing w:line="480" w:lineRule="auto"/>
        <w:ind w:left="284" w:hanging="284"/>
        <w:rPr>
          <w:color w:val="222222"/>
          <w:highlight w:val="white"/>
        </w:rPr>
      </w:pPr>
      <w:r w:rsidDel="00000000" w:rsidR="00000000" w:rsidRPr="00000000">
        <w:rPr>
          <w:color w:val="222222"/>
          <w:highlight w:val="white"/>
          <w:rtl w:val="0"/>
        </w:rPr>
        <w:t xml:space="preserve">Deresky, H. (2017) </w:t>
      </w:r>
      <w:r w:rsidDel="00000000" w:rsidR="00000000" w:rsidRPr="00000000">
        <w:rPr>
          <w:i w:val="1"/>
          <w:color w:val="222222"/>
          <w:highlight w:val="white"/>
          <w:rtl w:val="0"/>
        </w:rPr>
        <w:t xml:space="preserve">International Management: Managing Across Borders and Cultures: Text and Cases</w:t>
      </w:r>
      <w:r w:rsidDel="00000000" w:rsidR="00000000" w:rsidRPr="00000000">
        <w:rPr>
          <w:color w:val="222222"/>
          <w:highlight w:val="white"/>
          <w:rtl w:val="0"/>
        </w:rPr>
        <w:t xml:space="preserve">. 9th ed. Harlow: Pearson Education Ltd.</w:t>
      </w:r>
    </w:p>
    <w:p w:rsidR="00000000" w:rsidDel="00000000" w:rsidP="00000000" w:rsidRDefault="00000000" w:rsidRPr="00000000" w14:paraId="00000083">
      <w:pPr>
        <w:spacing w:line="480" w:lineRule="auto"/>
        <w:ind w:left="284" w:hanging="284"/>
        <w:rPr>
          <w:color w:val="222222"/>
          <w:highlight w:val="white"/>
        </w:rPr>
      </w:pPr>
      <w:r w:rsidDel="00000000" w:rsidR="00000000" w:rsidRPr="00000000">
        <w:rPr>
          <w:color w:val="222222"/>
          <w:highlight w:val="white"/>
          <w:rtl w:val="0"/>
        </w:rPr>
        <w:t xml:space="preserve">Hampden-Turner, C. and Trompenaars, F. (2020) </w:t>
      </w:r>
      <w:r w:rsidDel="00000000" w:rsidR="00000000" w:rsidRPr="00000000">
        <w:rPr>
          <w:i w:val="1"/>
          <w:color w:val="222222"/>
          <w:highlight w:val="white"/>
          <w:rtl w:val="0"/>
        </w:rPr>
        <w:t xml:space="preserve">Riding the Waves of Culture</w:t>
      </w:r>
      <w:r w:rsidDel="00000000" w:rsidR="00000000" w:rsidRPr="00000000">
        <w:rPr>
          <w:color w:val="222222"/>
          <w:highlight w:val="white"/>
          <w:rtl w:val="0"/>
        </w:rPr>
        <w:t xml:space="preserve">. 4th ed. London: John Murray Press.</w:t>
      </w:r>
    </w:p>
    <w:p w:rsidR="00000000" w:rsidDel="00000000" w:rsidP="00000000" w:rsidRDefault="00000000" w:rsidRPr="00000000" w14:paraId="00000084">
      <w:pPr>
        <w:spacing w:line="480" w:lineRule="auto"/>
        <w:ind w:left="284" w:hanging="284"/>
        <w:rPr>
          <w:color w:val="222222"/>
          <w:highlight w:val="white"/>
        </w:rPr>
      </w:pPr>
      <w:r w:rsidDel="00000000" w:rsidR="00000000" w:rsidRPr="00000000">
        <w:rPr>
          <w:color w:val="222222"/>
          <w:highlight w:val="white"/>
          <w:rtl w:val="0"/>
        </w:rPr>
        <w:t xml:space="preserve">Hofstede, G., Hofstede, G.J. and Minkov, M. (2010) </w:t>
      </w:r>
      <w:r w:rsidDel="00000000" w:rsidR="00000000" w:rsidRPr="00000000">
        <w:rPr>
          <w:i w:val="1"/>
          <w:color w:val="222222"/>
          <w:highlight w:val="white"/>
          <w:rtl w:val="0"/>
        </w:rPr>
        <w:t xml:space="preserve">Cultures and Organizations: Software of the Mind</w:t>
      </w:r>
      <w:r w:rsidDel="00000000" w:rsidR="00000000" w:rsidRPr="00000000">
        <w:rPr>
          <w:color w:val="222222"/>
          <w:highlight w:val="white"/>
          <w:rtl w:val="0"/>
        </w:rPr>
        <w:t xml:space="preserve">. 3rd ed. New York: McGraw-Hill.</w:t>
      </w:r>
    </w:p>
    <w:p w:rsidR="00000000" w:rsidDel="00000000" w:rsidP="00000000" w:rsidRDefault="00000000" w:rsidRPr="00000000" w14:paraId="00000085">
      <w:pPr>
        <w:spacing w:line="480" w:lineRule="auto"/>
        <w:ind w:left="284" w:hanging="284"/>
        <w:rPr>
          <w:color w:val="222222"/>
          <w:highlight w:val="white"/>
        </w:rPr>
      </w:pPr>
      <w:r w:rsidDel="00000000" w:rsidR="00000000" w:rsidRPr="00000000">
        <w:rPr>
          <w:color w:val="222222"/>
          <w:highlight w:val="white"/>
          <w:rtl w:val="0"/>
        </w:rPr>
        <w:t xml:space="preserve">Hoff, H. E. (2014) 'A critical discussion of Byram’s model of intercultural communicative competence in the light of Bildung theories', </w:t>
      </w:r>
      <w:r w:rsidDel="00000000" w:rsidR="00000000" w:rsidRPr="00000000">
        <w:rPr>
          <w:i w:val="1"/>
          <w:color w:val="222222"/>
          <w:highlight w:val="white"/>
          <w:rtl w:val="0"/>
        </w:rPr>
        <w:t xml:space="preserve">Intercultural Education</w:t>
      </w:r>
      <w:r w:rsidDel="00000000" w:rsidR="00000000" w:rsidRPr="00000000">
        <w:rPr>
          <w:color w:val="222222"/>
          <w:highlight w:val="white"/>
          <w:rtl w:val="0"/>
        </w:rPr>
        <w:t xml:space="preserve">, 25(6). doi:10.1080/14675986.2014.992112.</w:t>
      </w:r>
    </w:p>
    <w:p w:rsidR="00000000" w:rsidDel="00000000" w:rsidP="00000000" w:rsidRDefault="00000000" w:rsidRPr="00000000" w14:paraId="00000086">
      <w:pPr>
        <w:spacing w:line="480" w:lineRule="auto"/>
        <w:ind w:left="284" w:hanging="284"/>
        <w:rPr>
          <w:color w:val="222222"/>
          <w:highlight w:val="white"/>
        </w:rPr>
      </w:pPr>
      <w:r w:rsidDel="00000000" w:rsidR="00000000" w:rsidRPr="00000000">
        <w:rPr>
          <w:color w:val="222222"/>
          <w:highlight w:val="white"/>
          <w:rtl w:val="0"/>
        </w:rPr>
        <w:t xml:space="preserve">Hoff, H. E. (2016) 'From intercultural speaker to ‘intercultural reader’: A proposal to reconceptualise intercultural communicative competence through a focus on literary reading', in Dervin, F. and Gross, Z. (eds.) </w:t>
      </w:r>
      <w:r w:rsidDel="00000000" w:rsidR="00000000" w:rsidRPr="00000000">
        <w:rPr>
          <w:i w:val="1"/>
          <w:color w:val="222222"/>
          <w:highlight w:val="white"/>
          <w:rtl w:val="0"/>
        </w:rPr>
        <w:t xml:space="preserve">Intercultural Competence in Education: Alternative Approaches for Different Times</w:t>
      </w:r>
      <w:r w:rsidDel="00000000" w:rsidR="00000000" w:rsidRPr="00000000">
        <w:rPr>
          <w:color w:val="222222"/>
          <w:highlight w:val="white"/>
          <w:rtl w:val="0"/>
        </w:rPr>
        <w:t xml:space="preserve">. UK: Palgrave Macmillan.</w:t>
      </w:r>
    </w:p>
    <w:p w:rsidR="00000000" w:rsidDel="00000000" w:rsidP="00000000" w:rsidRDefault="00000000" w:rsidRPr="00000000" w14:paraId="00000087">
      <w:pPr>
        <w:spacing w:line="480" w:lineRule="auto"/>
        <w:ind w:left="284" w:hanging="284"/>
        <w:rPr>
          <w:color w:val="222222"/>
          <w:highlight w:val="white"/>
        </w:rPr>
      </w:pPr>
      <w:r w:rsidDel="00000000" w:rsidR="00000000" w:rsidRPr="00000000">
        <w:rPr>
          <w:color w:val="222222"/>
          <w:highlight w:val="white"/>
          <w:rtl w:val="0"/>
        </w:rPr>
        <w:t xml:space="preserve">Hymes, D. H. (1972) 'On communicative competence', in Pride, J. B. and Holmes, J. (eds.) </w:t>
      </w:r>
      <w:r w:rsidDel="00000000" w:rsidR="00000000" w:rsidRPr="00000000">
        <w:rPr>
          <w:i w:val="1"/>
          <w:color w:val="222222"/>
          <w:highlight w:val="white"/>
          <w:rtl w:val="0"/>
        </w:rPr>
        <w:t xml:space="preserve">Sociolinguistics: Selected Readings</w:t>
      </w:r>
      <w:r w:rsidDel="00000000" w:rsidR="00000000" w:rsidRPr="00000000">
        <w:rPr>
          <w:color w:val="222222"/>
          <w:highlight w:val="white"/>
          <w:rtl w:val="0"/>
        </w:rPr>
        <w:t xml:space="preserve">. Harmondsworth: Penguin.</w:t>
      </w:r>
    </w:p>
    <w:p w:rsidR="00000000" w:rsidDel="00000000" w:rsidP="00000000" w:rsidRDefault="00000000" w:rsidRPr="00000000" w14:paraId="00000088">
      <w:pPr>
        <w:spacing w:line="480" w:lineRule="auto"/>
        <w:ind w:left="284" w:hanging="284"/>
        <w:rPr>
          <w:color w:val="222222"/>
          <w:highlight w:val="white"/>
        </w:rPr>
      </w:pPr>
      <w:r w:rsidDel="00000000" w:rsidR="00000000" w:rsidRPr="00000000">
        <w:rPr>
          <w:color w:val="222222"/>
          <w:highlight w:val="white"/>
          <w:rtl w:val="0"/>
        </w:rPr>
        <w:t xml:space="preserve">Hymes, D. H. (1985) 'Toward linguistic competence', </w:t>
      </w:r>
      <w:r w:rsidDel="00000000" w:rsidR="00000000" w:rsidRPr="00000000">
        <w:rPr>
          <w:i w:val="1"/>
          <w:color w:val="222222"/>
          <w:highlight w:val="white"/>
          <w:rtl w:val="0"/>
        </w:rPr>
        <w:t xml:space="preserve">Revue de l‘AILA: AILA Review</w:t>
      </w:r>
      <w:r w:rsidDel="00000000" w:rsidR="00000000" w:rsidRPr="00000000">
        <w:rPr>
          <w:color w:val="222222"/>
          <w:highlight w:val="white"/>
          <w:rtl w:val="0"/>
        </w:rPr>
        <w:t xml:space="preserve">, 2, 9–23.</w:t>
      </w:r>
    </w:p>
    <w:p w:rsidR="00000000" w:rsidDel="00000000" w:rsidP="00000000" w:rsidRDefault="00000000" w:rsidRPr="00000000" w14:paraId="00000089">
      <w:pPr>
        <w:spacing w:line="480" w:lineRule="auto"/>
        <w:ind w:left="284" w:hanging="284"/>
        <w:rPr>
          <w:color w:val="222222"/>
          <w:highlight w:val="white"/>
        </w:rPr>
      </w:pPr>
      <w:r w:rsidDel="00000000" w:rsidR="00000000" w:rsidRPr="00000000">
        <w:rPr>
          <w:color w:val="222222"/>
          <w:highlight w:val="white"/>
          <w:rtl w:val="0"/>
        </w:rPr>
        <w:t xml:space="preserve">Kramsch, C. (1993) </w:t>
      </w:r>
      <w:r w:rsidDel="00000000" w:rsidR="00000000" w:rsidRPr="00000000">
        <w:rPr>
          <w:i w:val="1"/>
          <w:color w:val="222222"/>
          <w:highlight w:val="white"/>
          <w:rtl w:val="0"/>
        </w:rPr>
        <w:t xml:space="preserve">Context and Culture in Language Teaching</w:t>
      </w:r>
      <w:r w:rsidDel="00000000" w:rsidR="00000000" w:rsidRPr="00000000">
        <w:rPr>
          <w:color w:val="222222"/>
          <w:highlight w:val="white"/>
          <w:rtl w:val="0"/>
        </w:rPr>
        <w:t xml:space="preserve">. Oxford: Oxford University Press.</w:t>
      </w:r>
    </w:p>
    <w:p w:rsidR="00000000" w:rsidDel="00000000" w:rsidP="00000000" w:rsidRDefault="00000000" w:rsidRPr="00000000" w14:paraId="0000008A">
      <w:pPr>
        <w:spacing w:line="480" w:lineRule="auto"/>
        <w:ind w:left="284" w:hanging="284"/>
        <w:rPr>
          <w:color w:val="222222"/>
          <w:highlight w:val="white"/>
        </w:rPr>
      </w:pPr>
      <w:r w:rsidDel="00000000" w:rsidR="00000000" w:rsidRPr="00000000">
        <w:rPr>
          <w:color w:val="222222"/>
          <w:highlight w:val="white"/>
          <w:rtl w:val="0"/>
        </w:rPr>
        <w:t xml:space="preserve">Kramsch, C. (2006) 'Culture in language teaching', in Andersen, H. L., Lund, K. and Risager, K. (eds.) </w:t>
      </w:r>
      <w:r w:rsidDel="00000000" w:rsidR="00000000" w:rsidRPr="00000000">
        <w:rPr>
          <w:i w:val="1"/>
          <w:color w:val="222222"/>
          <w:highlight w:val="white"/>
          <w:rtl w:val="0"/>
        </w:rPr>
        <w:t xml:space="preserve">Culture in Language Learning</w:t>
      </w:r>
      <w:r w:rsidDel="00000000" w:rsidR="00000000" w:rsidRPr="00000000">
        <w:rPr>
          <w:color w:val="222222"/>
          <w:highlight w:val="white"/>
          <w:rtl w:val="0"/>
        </w:rPr>
        <w:t xml:space="preserve">. Aarhus: Aarhus University Press.</w:t>
      </w:r>
    </w:p>
    <w:p w:rsidR="00000000" w:rsidDel="00000000" w:rsidP="00000000" w:rsidRDefault="00000000" w:rsidRPr="00000000" w14:paraId="0000008B">
      <w:pPr>
        <w:spacing w:line="480" w:lineRule="auto"/>
        <w:ind w:left="284" w:hanging="284"/>
        <w:rPr>
          <w:color w:val="222222"/>
          <w:highlight w:val="white"/>
        </w:rPr>
      </w:pPr>
      <w:r w:rsidDel="00000000" w:rsidR="00000000" w:rsidRPr="00000000">
        <w:rPr>
          <w:color w:val="222222"/>
          <w:highlight w:val="white"/>
          <w:rtl w:val="0"/>
        </w:rPr>
        <w:t xml:space="preserve">Lazar, I., Huber-Kriegler, M., Lussier, D., Matei, G. S. and Peck, C. (2008) </w:t>
      </w:r>
      <w:r w:rsidDel="00000000" w:rsidR="00000000" w:rsidRPr="00000000">
        <w:rPr>
          <w:i w:val="1"/>
          <w:color w:val="222222"/>
          <w:highlight w:val="white"/>
          <w:rtl w:val="0"/>
        </w:rPr>
        <w:t xml:space="preserve">Developing and Assessing Intercultural Communicative Competence – A Guide for Language Teachers and Teacher Educators</w:t>
      </w:r>
      <w:r w:rsidDel="00000000" w:rsidR="00000000" w:rsidRPr="00000000">
        <w:rPr>
          <w:color w:val="222222"/>
          <w:highlight w:val="white"/>
          <w:rtl w:val="0"/>
        </w:rPr>
        <w:t xml:space="preserve">. Strasbourg: Council of Europe Publishing.</w:t>
      </w:r>
    </w:p>
    <w:p w:rsidR="00000000" w:rsidDel="00000000" w:rsidP="00000000" w:rsidRDefault="00000000" w:rsidRPr="00000000" w14:paraId="0000008C">
      <w:pPr>
        <w:spacing w:line="480" w:lineRule="auto"/>
        <w:ind w:left="284" w:hanging="284"/>
        <w:rPr>
          <w:color w:val="222222"/>
          <w:highlight w:val="white"/>
        </w:rPr>
      </w:pPr>
      <w:r w:rsidDel="00000000" w:rsidR="00000000" w:rsidRPr="00000000">
        <w:rPr>
          <w:color w:val="222222"/>
          <w:highlight w:val="white"/>
          <w:rtl w:val="0"/>
        </w:rPr>
        <w:t xml:space="preserve">Maheshkar, C. and Sharma, V. (2018) </w:t>
      </w:r>
      <w:r w:rsidDel="00000000" w:rsidR="00000000" w:rsidRPr="00000000">
        <w:rPr>
          <w:i w:val="1"/>
          <w:color w:val="222222"/>
          <w:highlight w:val="white"/>
          <w:rtl w:val="0"/>
        </w:rPr>
        <w:t xml:space="preserve">Handbook of Research on Cross-Cultural Business Education</w:t>
      </w:r>
      <w:r w:rsidDel="00000000" w:rsidR="00000000" w:rsidRPr="00000000">
        <w:rPr>
          <w:color w:val="222222"/>
          <w:highlight w:val="white"/>
          <w:rtl w:val="0"/>
        </w:rPr>
        <w:t xml:space="preserve">. Hershey: IGI Global.</w:t>
      </w:r>
    </w:p>
    <w:p w:rsidR="00000000" w:rsidDel="00000000" w:rsidP="00000000" w:rsidRDefault="00000000" w:rsidRPr="00000000" w14:paraId="0000008D">
      <w:pPr>
        <w:spacing w:line="480" w:lineRule="auto"/>
        <w:ind w:left="284" w:hanging="284"/>
        <w:rPr>
          <w:color w:val="222222"/>
          <w:highlight w:val="white"/>
        </w:rPr>
      </w:pPr>
      <w:r w:rsidDel="00000000" w:rsidR="00000000" w:rsidRPr="00000000">
        <w:rPr>
          <w:color w:val="222222"/>
          <w:highlight w:val="white"/>
          <w:rtl w:val="0"/>
        </w:rPr>
        <w:t xml:space="preserve">Nedelko, Z. and Brzozowski, M. (eds) 'Recent advances in the roles of cultural and personal values in organizational behavior', in Ordóñez de Pablo, P. (2020) </w:t>
      </w:r>
      <w:r w:rsidDel="00000000" w:rsidR="00000000" w:rsidRPr="00000000">
        <w:rPr>
          <w:i w:val="1"/>
          <w:color w:val="222222"/>
          <w:highlight w:val="white"/>
          <w:rtl w:val="0"/>
        </w:rPr>
        <w:t xml:space="preserve">Advances in Human Resources Management and Organizational Development Book Series</w:t>
      </w:r>
      <w:r w:rsidDel="00000000" w:rsidR="00000000" w:rsidRPr="00000000">
        <w:rPr>
          <w:color w:val="222222"/>
          <w:highlight w:val="white"/>
          <w:rtl w:val="0"/>
        </w:rPr>
        <w:t xml:space="preserve">. Hershey: IGI Global.</w:t>
      </w:r>
    </w:p>
    <w:p w:rsidR="00000000" w:rsidDel="00000000" w:rsidP="00000000" w:rsidRDefault="00000000" w:rsidRPr="00000000" w14:paraId="0000008E">
      <w:pPr>
        <w:spacing w:line="480" w:lineRule="auto"/>
        <w:ind w:left="284" w:hanging="284"/>
        <w:rPr>
          <w:color w:val="222222"/>
          <w:highlight w:val="white"/>
        </w:rPr>
      </w:pPr>
      <w:r w:rsidDel="00000000" w:rsidR="00000000" w:rsidRPr="00000000">
        <w:rPr>
          <w:color w:val="222222"/>
          <w:highlight w:val="white"/>
          <w:rtl w:val="0"/>
        </w:rPr>
        <w:t xml:space="preserve">Newby, D., Allan, R., Fenner, A., Jones, B., Komorowska, H. and Soghikyan, K. (2007) </w:t>
      </w:r>
      <w:r w:rsidDel="00000000" w:rsidR="00000000" w:rsidRPr="00000000">
        <w:rPr>
          <w:i w:val="1"/>
          <w:color w:val="222222"/>
          <w:highlight w:val="white"/>
          <w:rtl w:val="0"/>
        </w:rPr>
        <w:t xml:space="preserve">European Portfolio for Student Teachers of Languages. A Reflection Tool for Language Teacher Education</w:t>
      </w:r>
      <w:r w:rsidDel="00000000" w:rsidR="00000000" w:rsidRPr="00000000">
        <w:rPr>
          <w:color w:val="222222"/>
          <w:highlight w:val="white"/>
          <w:rtl w:val="0"/>
        </w:rPr>
        <w:t xml:space="preserve">. Strasbourg: Council of Europe Publishing.</w:t>
      </w:r>
    </w:p>
    <w:p w:rsidR="00000000" w:rsidDel="00000000" w:rsidP="00000000" w:rsidRDefault="00000000" w:rsidRPr="00000000" w14:paraId="0000008F">
      <w:pPr>
        <w:spacing w:line="480" w:lineRule="auto"/>
        <w:ind w:left="284" w:hanging="284"/>
        <w:rPr>
          <w:color w:val="222222"/>
          <w:highlight w:val="white"/>
        </w:rPr>
      </w:pPr>
      <w:r w:rsidDel="00000000" w:rsidR="00000000" w:rsidRPr="00000000">
        <w:rPr>
          <w:color w:val="222222"/>
          <w:highlight w:val="white"/>
          <w:rtl w:val="0"/>
        </w:rPr>
        <w:t xml:space="preserve">Ricoeur, P. (1992) </w:t>
      </w:r>
      <w:r w:rsidDel="00000000" w:rsidR="00000000" w:rsidRPr="00000000">
        <w:rPr>
          <w:i w:val="1"/>
          <w:color w:val="222222"/>
          <w:highlight w:val="white"/>
          <w:rtl w:val="0"/>
        </w:rPr>
        <w:t xml:space="preserve">Från text till handling</w:t>
      </w:r>
      <w:r w:rsidDel="00000000" w:rsidR="00000000" w:rsidRPr="00000000">
        <w:rPr>
          <w:color w:val="222222"/>
          <w:highlight w:val="white"/>
          <w:rtl w:val="0"/>
        </w:rPr>
        <w:t xml:space="preserve">. Stockholm/Stehag: Brutus Östlings Bokförlag Symposion.</w:t>
      </w:r>
    </w:p>
    <w:p w:rsidR="00000000" w:rsidDel="00000000" w:rsidP="00000000" w:rsidRDefault="00000000" w:rsidRPr="00000000" w14:paraId="00000090">
      <w:pPr>
        <w:spacing w:line="480" w:lineRule="auto"/>
        <w:ind w:left="284" w:hanging="284"/>
        <w:rPr>
          <w:color w:val="222222"/>
          <w:highlight w:val="white"/>
        </w:rPr>
      </w:pPr>
      <w:r w:rsidDel="00000000" w:rsidR="00000000" w:rsidRPr="00000000">
        <w:rPr>
          <w:color w:val="222222"/>
          <w:highlight w:val="white"/>
          <w:rtl w:val="0"/>
        </w:rPr>
        <w:t xml:space="preserve">Risager, K. (2003) </w:t>
      </w:r>
      <w:r w:rsidDel="00000000" w:rsidR="00000000" w:rsidRPr="00000000">
        <w:rPr>
          <w:i w:val="1"/>
          <w:color w:val="222222"/>
          <w:highlight w:val="white"/>
          <w:rtl w:val="0"/>
        </w:rPr>
        <w:t xml:space="preserve">Det nationale dilemma i sprog- og kulturpædagogikken. Et studie i forholdet mellom sprog og kultur</w:t>
      </w:r>
      <w:r w:rsidDel="00000000" w:rsidR="00000000" w:rsidRPr="00000000">
        <w:rPr>
          <w:color w:val="222222"/>
          <w:highlight w:val="white"/>
          <w:rtl w:val="0"/>
        </w:rPr>
        <w:t xml:space="preserve">. Denmark: Akademisk Forlag.</w:t>
      </w:r>
    </w:p>
    <w:p w:rsidR="00000000" w:rsidDel="00000000" w:rsidP="00000000" w:rsidRDefault="00000000" w:rsidRPr="00000000" w14:paraId="00000091">
      <w:pPr>
        <w:spacing w:line="480" w:lineRule="auto"/>
        <w:ind w:left="284" w:hanging="284"/>
        <w:rPr>
          <w:color w:val="222222"/>
          <w:highlight w:val="white"/>
        </w:rPr>
      </w:pPr>
      <w:r w:rsidDel="00000000" w:rsidR="00000000" w:rsidRPr="00000000">
        <w:rPr>
          <w:color w:val="222222"/>
          <w:highlight w:val="white"/>
          <w:rtl w:val="0"/>
        </w:rPr>
        <w:t xml:space="preserve">Risager, K. (2012) 'Introduction: Intercultural learning: Raising cultural awareness', in Eisenmann, M. and Summer, T. (eds.) </w:t>
      </w:r>
      <w:r w:rsidDel="00000000" w:rsidR="00000000" w:rsidRPr="00000000">
        <w:rPr>
          <w:i w:val="1"/>
          <w:color w:val="222222"/>
          <w:highlight w:val="white"/>
          <w:rtl w:val="0"/>
        </w:rPr>
        <w:t xml:space="preserve">Basic Issues in EFL Teaching and Learning</w:t>
      </w:r>
      <w:r w:rsidDel="00000000" w:rsidR="00000000" w:rsidRPr="00000000">
        <w:rPr>
          <w:color w:val="222222"/>
          <w:highlight w:val="white"/>
          <w:rtl w:val="0"/>
        </w:rPr>
        <w:t xml:space="preserve">. Heidelberg: Universitätsverlag WINTER.</w:t>
      </w:r>
    </w:p>
    <w:p w:rsidR="00000000" w:rsidDel="00000000" w:rsidP="00000000" w:rsidRDefault="00000000" w:rsidRPr="00000000" w14:paraId="00000092">
      <w:pPr>
        <w:spacing w:line="480" w:lineRule="auto"/>
        <w:ind w:left="284" w:hanging="284"/>
        <w:rPr>
          <w:color w:val="222222"/>
          <w:highlight w:val="white"/>
        </w:rPr>
      </w:pPr>
      <w:r w:rsidDel="00000000" w:rsidR="00000000" w:rsidRPr="00000000">
        <w:rPr>
          <w:color w:val="222222"/>
          <w:highlight w:val="white"/>
          <w:rtl w:val="0"/>
        </w:rPr>
        <w:t xml:space="preserve">Spolsky, B. (1989) 'Communicative competence, language proficiency, and beyond', </w:t>
      </w:r>
      <w:r w:rsidDel="00000000" w:rsidR="00000000" w:rsidRPr="00000000">
        <w:rPr>
          <w:i w:val="1"/>
          <w:color w:val="222222"/>
          <w:highlight w:val="white"/>
          <w:rtl w:val="0"/>
        </w:rPr>
        <w:t xml:space="preserve">Applied Linguistics</w:t>
      </w:r>
      <w:r w:rsidDel="00000000" w:rsidR="00000000" w:rsidRPr="00000000">
        <w:rPr>
          <w:color w:val="222222"/>
          <w:highlight w:val="white"/>
          <w:rtl w:val="0"/>
        </w:rPr>
        <w:t xml:space="preserve">, 10(2), 138–156.</w:t>
      </w:r>
    </w:p>
    <w:p w:rsidR="00000000" w:rsidDel="00000000" w:rsidP="00000000" w:rsidRDefault="00000000" w:rsidRPr="00000000" w14:paraId="00000093">
      <w:pPr>
        <w:spacing w:line="480" w:lineRule="auto"/>
        <w:ind w:left="284" w:hanging="284"/>
        <w:rPr>
          <w:color w:val="222222"/>
          <w:highlight w:val="white"/>
        </w:rPr>
      </w:pPr>
      <w:r w:rsidDel="00000000" w:rsidR="00000000" w:rsidRPr="00000000">
        <w:rPr>
          <w:color w:val="222222"/>
          <w:highlight w:val="white"/>
          <w:rtl w:val="0"/>
        </w:rPr>
        <w:t xml:space="preserve">Starkey, H. (2005) 'Citizenship education, identity and intercultural communication: Developing cosmopolitan perspectives', in Čok, L. (ed.) </w:t>
      </w:r>
      <w:r w:rsidDel="00000000" w:rsidR="00000000" w:rsidRPr="00000000">
        <w:rPr>
          <w:i w:val="1"/>
          <w:color w:val="222222"/>
          <w:highlight w:val="white"/>
          <w:rtl w:val="0"/>
        </w:rPr>
        <w:t xml:space="preserve">The Close Otherness</w:t>
      </w:r>
      <w:r w:rsidDel="00000000" w:rsidR="00000000" w:rsidRPr="00000000">
        <w:rPr>
          <w:color w:val="222222"/>
          <w:highlight w:val="white"/>
          <w:rtl w:val="0"/>
        </w:rPr>
        <w:t xml:space="preserve">. Koper: Založba Annales.</w:t>
      </w:r>
    </w:p>
    <w:p w:rsidR="00000000" w:rsidDel="00000000" w:rsidP="00000000" w:rsidRDefault="00000000" w:rsidRPr="00000000" w14:paraId="00000094">
      <w:pPr>
        <w:spacing w:line="480" w:lineRule="auto"/>
        <w:ind w:left="284" w:hanging="284"/>
        <w:rPr>
          <w:color w:val="222222"/>
          <w:highlight w:val="white"/>
        </w:rPr>
      </w:pPr>
      <w:r w:rsidDel="00000000" w:rsidR="00000000" w:rsidRPr="00000000">
        <w:rPr>
          <w:color w:val="222222"/>
          <w:highlight w:val="white"/>
          <w:rtl w:val="0"/>
        </w:rPr>
        <w:t xml:space="preserve">Thyberg, A. (2012) *Ambiguity and Estrangement: Peer-led Deliberative Dialogues on Literature in the EFL Classroom*. Linnaeus University Dissertations No 109/2012.</w:t>
      </w:r>
    </w:p>
    <w:p w:rsidR="00000000" w:rsidDel="00000000" w:rsidP="00000000" w:rsidRDefault="00000000" w:rsidRPr="00000000" w14:paraId="00000095">
      <w:pPr>
        <w:spacing w:line="480" w:lineRule="auto"/>
        <w:ind w:left="284" w:hanging="284"/>
        <w:rPr>
          <w:color w:val="222222"/>
          <w:highlight w:val="white"/>
        </w:rPr>
      </w:pPr>
      <w:r w:rsidDel="00000000" w:rsidR="00000000" w:rsidRPr="00000000">
        <w:rPr>
          <w:color w:val="222222"/>
          <w:highlight w:val="white"/>
          <w:rtl w:val="0"/>
        </w:rPr>
        <w:t xml:space="preserve">van Ek, J. (1986) </w:t>
      </w:r>
      <w:r w:rsidDel="00000000" w:rsidR="00000000" w:rsidRPr="00000000">
        <w:rPr>
          <w:i w:val="1"/>
          <w:color w:val="222222"/>
          <w:highlight w:val="white"/>
          <w:rtl w:val="0"/>
        </w:rPr>
        <w:t xml:space="preserve">Objectives for Foreign Language Learning, Volume 1: Scope</w:t>
      </w:r>
      <w:r w:rsidDel="00000000" w:rsidR="00000000" w:rsidRPr="00000000">
        <w:rPr>
          <w:color w:val="222222"/>
          <w:highlight w:val="white"/>
          <w:rtl w:val="0"/>
        </w:rPr>
        <w:t xml:space="preserve">. Strasbourg: Council of Europe Publishing.</w:t>
      </w:r>
    </w:p>
    <w:p w:rsidR="00000000" w:rsidDel="00000000" w:rsidP="00000000" w:rsidRDefault="00000000" w:rsidRPr="00000000" w14:paraId="00000096">
      <w:pPr>
        <w:spacing w:line="480" w:lineRule="auto"/>
        <w:ind w:left="284" w:hanging="284"/>
        <w:rPr>
          <w:color w:val="222222"/>
          <w:highlight w:val="white"/>
        </w:rPr>
      </w:pPr>
      <w:r w:rsidDel="00000000" w:rsidR="00000000" w:rsidRPr="00000000">
        <w:rPr>
          <w:color w:val="222222"/>
          <w:highlight w:val="white"/>
          <w:rtl w:val="0"/>
        </w:rPr>
        <w:t xml:space="preserve">Vygotsky, L. (1978) </w:t>
      </w:r>
      <w:r w:rsidDel="00000000" w:rsidR="00000000" w:rsidRPr="00000000">
        <w:rPr>
          <w:i w:val="1"/>
          <w:color w:val="222222"/>
          <w:highlight w:val="white"/>
          <w:rtl w:val="0"/>
        </w:rPr>
        <w:t xml:space="preserve">Mind in Society</w:t>
      </w:r>
      <w:r w:rsidDel="00000000" w:rsidR="00000000" w:rsidRPr="00000000">
        <w:rPr>
          <w:color w:val="222222"/>
          <w:highlight w:val="white"/>
          <w:rtl w:val="0"/>
        </w:rPr>
        <w:t xml:space="preserve">. Cambridge, MA: MIT Press.</w:t>
      </w:r>
    </w:p>
    <w:p w:rsidR="00000000" w:rsidDel="00000000" w:rsidP="00000000" w:rsidRDefault="00000000" w:rsidRPr="00000000" w14:paraId="00000097">
      <w:pPr>
        <w:spacing w:line="480" w:lineRule="auto"/>
        <w:ind w:left="284" w:hanging="284"/>
        <w:rPr>
          <w:color w:val="222222"/>
          <w:highlight w:val="white"/>
        </w:rPr>
      </w:pPr>
      <w:r w:rsidDel="00000000" w:rsidR="00000000" w:rsidRPr="00000000">
        <w:rPr>
          <w:color w:val="222222"/>
          <w:highlight w:val="white"/>
          <w:rtl w:val="0"/>
        </w:rPr>
        <w:t xml:space="preserve">Wuthnow, R., Hunter, J. D., Bergesen, A., and Kurzweil, E. (1984) </w:t>
      </w:r>
      <w:r w:rsidDel="00000000" w:rsidR="00000000" w:rsidRPr="00000000">
        <w:rPr>
          <w:i w:val="1"/>
          <w:color w:val="222222"/>
          <w:highlight w:val="white"/>
          <w:rtl w:val="0"/>
        </w:rPr>
        <w:t xml:space="preserve">Cultural Analysis: The Work of Peter L. Berger, Mary Douglas, Michel Foucault, and Jürgen Habermas</w:t>
      </w:r>
      <w:r w:rsidDel="00000000" w:rsidR="00000000" w:rsidRPr="00000000">
        <w:rPr>
          <w:color w:val="222222"/>
          <w:highlight w:val="white"/>
          <w:rtl w:val="0"/>
        </w:rPr>
        <w:t xml:space="preserve">. London/New York: Routledge.</w:t>
      </w:r>
    </w:p>
    <w:p w:rsidR="00000000" w:rsidDel="00000000" w:rsidP="00000000" w:rsidRDefault="00000000" w:rsidRPr="00000000" w14:paraId="00000098">
      <w:pPr>
        <w:spacing w:line="480" w:lineRule="auto"/>
        <w:ind w:left="284" w:hanging="284"/>
        <w:rPr>
          <w:color w:val="222222"/>
          <w:highlight w:val="white"/>
        </w:rPr>
      </w:pPr>
      <w:r w:rsidDel="00000000" w:rsidR="00000000" w:rsidRPr="00000000">
        <w:rPr>
          <w:color w:val="222222"/>
          <w:highlight w:val="white"/>
          <w:rtl w:val="0"/>
        </w:rPr>
        <w:t xml:space="preserve">Zarate, G., Gohard-Radenkovic, A., Lussier, D., and Penz, H. (2004) </w:t>
      </w:r>
      <w:r w:rsidDel="00000000" w:rsidR="00000000" w:rsidRPr="00000000">
        <w:rPr>
          <w:i w:val="1"/>
          <w:color w:val="222222"/>
          <w:highlight w:val="white"/>
          <w:rtl w:val="0"/>
        </w:rPr>
        <w:t xml:space="preserve">Cultural Mediation in Language Learning and Teaching</w:t>
      </w:r>
      <w:r w:rsidDel="00000000" w:rsidR="00000000" w:rsidRPr="00000000">
        <w:rPr>
          <w:color w:val="222222"/>
          <w:highlight w:val="white"/>
          <w:rtl w:val="0"/>
        </w:rPr>
        <w:t xml:space="preserve">. Strasbourg: Council of Europe Publishing.</w:t>
      </w:r>
    </w:p>
    <w:p w:rsidR="00000000" w:rsidDel="00000000" w:rsidP="00000000" w:rsidRDefault="00000000" w:rsidRPr="00000000" w14:paraId="00000099">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9A">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9B">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9C">
      <w:pPr>
        <w:spacing w:line="480" w:lineRule="auto"/>
        <w:ind w:left="284" w:hanging="284"/>
        <w:rPr>
          <w:color w:val="222222"/>
          <w:highlight w:val="white"/>
        </w:rPr>
      </w:pPr>
      <w:r w:rsidDel="00000000" w:rsidR="00000000" w:rsidRPr="00000000">
        <w:rPr>
          <w:rtl w:val="0"/>
        </w:rPr>
      </w:r>
    </w:p>
    <w:p w:rsidR="00000000" w:rsidDel="00000000" w:rsidP="00000000" w:rsidRDefault="00000000" w:rsidRPr="00000000" w14:paraId="0000009D">
      <w:pPr>
        <w:spacing w:line="480" w:lineRule="auto"/>
        <w:ind w:left="284" w:hanging="284"/>
        <w:rPr>
          <w:color w:val="222222"/>
          <w:highlight w:val="white"/>
        </w:rPr>
      </w:pPr>
      <w:r w:rsidDel="00000000" w:rsidR="00000000" w:rsidRPr="00000000">
        <w:rPr>
          <w:rtl w:val="0"/>
        </w:rPr>
      </w:r>
    </w:p>
    <w:sectPr>
      <w:headerReference r:id="rId16"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E">
    <w:pPr>
      <w:spacing w:line="480" w:lineRule="auto"/>
      <w:rPr/>
    </w:pPr>
    <w:r w:rsidDel="00000000" w:rsidR="00000000" w:rsidRPr="00000000">
      <w:rPr>
        <w:rtl w:val="0"/>
      </w:rPr>
      <w:tab/>
      <w:tab/>
      <w:tab/>
      <w:tab/>
      <w:tab/>
      <w:tab/>
      <w:tab/>
      <w:tab/>
      <w:tab/>
      <w:tab/>
      <w:tab/>
      <w:t xml:space="preserve"> </w:t>
    </w:r>
    <w:r w:rsidDel="00000000" w:rsidR="00000000" w:rsidRPr="00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b w:val="1"/>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rPr>
      <w:b w:val="1"/>
      <w:sz w:val="27"/>
      <w:szCs w:val="27"/>
    </w:rPr>
  </w:style>
  <w:style w:type="paragraph" w:styleId="Heading4">
    <w:name w:val="heading 4"/>
    <w:basedOn w:val="Normal"/>
    <w:next w:val="Normal"/>
    <w:pPr>
      <w:keepNext w:val="1"/>
      <w:keepLines w:val="1"/>
      <w:spacing w:before="40" w:lineRule="auto"/>
    </w:pPr>
    <w:rPr>
      <w:rFonts w:ascii="Calibri" w:cs="Calibri" w:eastAsia="Calibri" w:hAnsi="Calibri"/>
      <w:i w:val="1"/>
      <w:color w:val="2f5496"/>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0" Type="http://schemas.openxmlformats.org/officeDocument/2006/relationships/image" Target="media/image4.png"/><Relationship Id="rId13" Type="http://schemas.openxmlformats.org/officeDocument/2006/relationships/image" Target="media/image9.png"/><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image" Target="media/image10.png"/><Relationship Id="rId14" Type="http://schemas.openxmlformats.org/officeDocument/2006/relationships/image" Target="media/image8.png"/><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