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000000" w:themeColor="text1"/>
        </w:rPr>
        <w:id w:val="2089111993"/>
        <w:docPartObj>
          <w:docPartGallery w:val="Cover Pages"/>
          <w:docPartUnique/>
        </w:docPartObj>
      </w:sdtPr>
      <w:sdtEndPr>
        <w:rPr>
          <w:rFonts w:ascii="Times New Roman" w:eastAsiaTheme="minorHAnsi" w:hAnsi="Times New Roman" w:cs="Times New Roman"/>
          <w:b/>
          <w:bCs/>
          <w:color w:val="auto"/>
          <w:kern w:val="2"/>
          <w:sz w:val="24"/>
          <w:szCs w:val="24"/>
          <w:lang w:val="en-GB"/>
          <w14:ligatures w14:val="standardContextual"/>
        </w:rPr>
      </w:sdtEndPr>
      <w:sdtContent>
        <w:p w14:paraId="4203ECE9" w14:textId="3D95FE20" w:rsidR="00A225CB" w:rsidRPr="00A225CB" w:rsidRDefault="00A225CB">
          <w:pPr>
            <w:pStyle w:val="NoSpacing"/>
            <w:spacing w:before="1540" w:after="240"/>
            <w:jc w:val="center"/>
            <w:rPr>
              <w:color w:val="000000" w:themeColor="text1"/>
            </w:rPr>
          </w:pPr>
          <w:r w:rsidRPr="00A225CB">
            <w:rPr>
              <w:noProof/>
              <w:color w:val="000000" w:themeColor="text1"/>
            </w:rPr>
            <w:drawing>
              <wp:inline distT="0" distB="0" distL="0" distR="0" wp14:anchorId="05865850" wp14:editId="0DF69D4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aps/>
              <w:color w:val="000000" w:themeColor="text1"/>
              <w:sz w:val="144"/>
              <w:szCs w:val="144"/>
              <w:u w:val="single"/>
            </w:rPr>
            <w:alias w:val="Title"/>
            <w:tag w:val=""/>
            <w:id w:val="1735040861"/>
            <w:placeholder>
              <w:docPart w:val="D51E2D30E004461B8C302E5511A185FE"/>
            </w:placeholder>
            <w:dataBinding w:prefixMappings="xmlns:ns0='http://purl.org/dc/elements/1.1/' xmlns:ns1='http://schemas.openxmlformats.org/package/2006/metadata/core-properties' " w:xpath="/ns1:coreProperties[1]/ns0:title[1]" w:storeItemID="{6C3C8BC8-F283-45AE-878A-BAB7291924A1}"/>
            <w:text/>
          </w:sdtPr>
          <w:sdtContent>
            <w:p w14:paraId="5ECB3EC6" w14:textId="26C5A02F" w:rsidR="00A225CB" w:rsidRPr="00A225CB" w:rsidRDefault="00A225CB" w:rsidP="00A225CB">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b/>
                  <w:bCs/>
                  <w:caps/>
                  <w:color w:val="000000" w:themeColor="text1"/>
                  <w:sz w:val="144"/>
                  <w:szCs w:val="144"/>
                </w:rPr>
              </w:pPr>
              <w:r w:rsidRPr="00A225CB">
                <w:rPr>
                  <w:rFonts w:ascii="Times New Roman" w:eastAsiaTheme="majorEastAsia" w:hAnsi="Times New Roman" w:cs="Times New Roman"/>
                  <w:b/>
                  <w:bCs/>
                  <w:caps/>
                  <w:color w:val="000000" w:themeColor="text1"/>
                  <w:sz w:val="144"/>
                  <w:szCs w:val="144"/>
                  <w:u w:val="single"/>
                </w:rPr>
                <w:t>FINANCIAL ANALYSIS OF B&amp;M</w:t>
              </w:r>
            </w:p>
          </w:sdtContent>
        </w:sdt>
        <w:p w14:paraId="36340A92" w14:textId="77777777" w:rsidR="00A225CB" w:rsidRDefault="00A225CB">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8FD5B34" wp14:editId="3AA0B7A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00000" w:themeColor="text1"/>
                                    <w:sz w:val="40"/>
                                    <w:szCs w:val="40"/>
                                  </w:rPr>
                                  <w:alias w:val="Date"/>
                                  <w:tag w:val=""/>
                                  <w:id w:val="197127006"/>
                                  <w:dataBinding w:prefixMappings="xmlns:ns0='http://schemas.microsoft.com/office/2006/coverPageProps' " w:xpath="/ns0:CoverPageProperties[1]/ns0:PublishDate[1]" w:storeItemID="{55AF091B-3C7A-41E3-B477-F2FDAA23CFDA}"/>
                                  <w:date w:fullDate="2026-04-22T00:00:00Z">
                                    <w:dateFormat w:val="MMMM d, yyyy"/>
                                    <w:lid w:val="en-US"/>
                                    <w:storeMappedDataAs w:val="dateTime"/>
                                    <w:calendar w:val="gregorian"/>
                                  </w:date>
                                </w:sdtPr>
                                <w:sdtContent>
                                  <w:p w14:paraId="6C405E47" w14:textId="44E7F5E6" w:rsidR="00A225CB" w:rsidRPr="00A225CB" w:rsidRDefault="00A225CB">
                                    <w:pPr>
                                      <w:pStyle w:val="NoSpacing"/>
                                      <w:spacing w:after="40"/>
                                      <w:jc w:val="center"/>
                                      <w:rPr>
                                        <w:rFonts w:ascii="Times New Roman" w:hAnsi="Times New Roman" w:cs="Times New Roman"/>
                                        <w:b/>
                                        <w:bCs/>
                                        <w:caps/>
                                        <w:color w:val="000000" w:themeColor="text1"/>
                                        <w:sz w:val="40"/>
                                        <w:szCs w:val="40"/>
                                      </w:rPr>
                                    </w:pPr>
                                    <w:r w:rsidRPr="00A225CB">
                                      <w:rPr>
                                        <w:rFonts w:ascii="Times New Roman" w:hAnsi="Times New Roman" w:cs="Times New Roman"/>
                                        <w:b/>
                                        <w:bCs/>
                                        <w:caps/>
                                        <w:color w:val="000000" w:themeColor="text1"/>
                                        <w:sz w:val="40"/>
                                        <w:szCs w:val="40"/>
                                      </w:rPr>
                                      <w:t>April 22, 2026</w:t>
                                    </w:r>
                                  </w:p>
                                </w:sdtContent>
                              </w:sdt>
                              <w:p w14:paraId="7C6DC918" w14:textId="3624A58F" w:rsidR="00A225CB" w:rsidRPr="00A225CB" w:rsidRDefault="00A225CB">
                                <w:pPr>
                                  <w:pStyle w:val="NoSpacing"/>
                                  <w:jc w:val="center"/>
                                  <w:rPr>
                                    <w:rFonts w:ascii="Times New Roman" w:hAnsi="Times New Roman" w:cs="Times New Roman"/>
                                    <w:b/>
                                    <w:bCs/>
                                    <w:color w:val="000000" w:themeColor="text1"/>
                                    <w:sz w:val="40"/>
                                    <w:szCs w:val="40"/>
                                  </w:rPr>
                                </w:pPr>
                                <w:sdt>
                                  <w:sdtPr>
                                    <w:rPr>
                                      <w:rFonts w:ascii="Times New Roman" w:hAnsi="Times New Roman" w:cs="Times New Roman"/>
                                      <w:b/>
                                      <w:bCs/>
                                      <w:caps/>
                                      <w:color w:val="000000" w:themeColor="text1"/>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Pr="00A225CB">
                                      <w:rPr>
                                        <w:rFonts w:ascii="Times New Roman" w:hAnsi="Times New Roman" w:cs="Times New Roman"/>
                                        <w:b/>
                                        <w:bCs/>
                                        <w:caps/>
                                        <w:color w:val="000000" w:themeColor="text1"/>
                                        <w:sz w:val="40"/>
                                        <w:szCs w:val="40"/>
                                      </w:rPr>
                                      <w:t>Student name Ana Maria Pascu</w:t>
                                    </w:r>
                                  </w:sdtContent>
                                </w:sdt>
                              </w:p>
                              <w:p w14:paraId="1AC88EF0" w14:textId="4252C913" w:rsidR="00A225CB" w:rsidRPr="00A225CB" w:rsidRDefault="00A225CB">
                                <w:pPr>
                                  <w:pStyle w:val="NoSpacing"/>
                                  <w:jc w:val="center"/>
                                  <w:rPr>
                                    <w:rFonts w:ascii="Times New Roman" w:hAnsi="Times New Roman" w:cs="Times New Roman"/>
                                    <w:b/>
                                    <w:bCs/>
                                    <w:color w:val="000000" w:themeColor="text1"/>
                                    <w:sz w:val="40"/>
                                    <w:szCs w:val="40"/>
                                  </w:rPr>
                                </w:pPr>
                                <w:sdt>
                                  <w:sdtPr>
                                    <w:rPr>
                                      <w:rFonts w:ascii="Times New Roman" w:hAnsi="Times New Roman" w:cs="Times New Roman"/>
                                      <w:b/>
                                      <w:bCs/>
                                      <w:color w:val="000000" w:themeColor="text1"/>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Pr="00A225CB">
                                      <w:rPr>
                                        <w:rFonts w:ascii="Times New Roman" w:hAnsi="Times New Roman" w:cs="Times New Roman"/>
                                        <w:b/>
                                        <w:bCs/>
                                        <w:color w:val="000000" w:themeColor="text1"/>
                                        <w:sz w:val="40"/>
                                        <w:szCs w:val="40"/>
                                      </w:rPr>
                                      <w:t>Module code:</w:t>
                                    </w:r>
                                    <w:r w:rsidRPr="00A225CB">
                                      <w:rPr>
                                        <w:rFonts w:ascii="Times New Roman" w:hAnsi="Times New Roman" w:cs="Times New Roman"/>
                                        <w:b/>
                                        <w:bCs/>
                                        <w:color w:val="000000" w:themeColor="text1"/>
                                        <w:sz w:val="40"/>
                                        <w:szCs w:val="40"/>
                                      </w:rPr>
                                      <w:t xml:space="preserve"> </w:t>
                                    </w:r>
                                    <w:r w:rsidRPr="00A225CB">
                                      <w:rPr>
                                        <w:rFonts w:ascii="Times New Roman" w:hAnsi="Times New Roman" w:cs="Times New Roman"/>
                                        <w:b/>
                                        <w:bCs/>
                                        <w:color w:val="000000" w:themeColor="text1"/>
                                        <w:sz w:val="40"/>
                                        <w:szCs w:val="40"/>
                                      </w:rPr>
                                      <w:t>BMSP4011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8FD5B34"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b/>
                              <w:bCs/>
                              <w:caps/>
                              <w:color w:val="000000" w:themeColor="text1"/>
                              <w:sz w:val="40"/>
                              <w:szCs w:val="40"/>
                            </w:rPr>
                            <w:alias w:val="Date"/>
                            <w:tag w:val=""/>
                            <w:id w:val="197127006"/>
                            <w:dataBinding w:prefixMappings="xmlns:ns0='http://schemas.microsoft.com/office/2006/coverPageProps' " w:xpath="/ns0:CoverPageProperties[1]/ns0:PublishDate[1]" w:storeItemID="{55AF091B-3C7A-41E3-B477-F2FDAA23CFDA}"/>
                            <w:date w:fullDate="2026-04-22T00:00:00Z">
                              <w:dateFormat w:val="MMMM d, yyyy"/>
                              <w:lid w:val="en-US"/>
                              <w:storeMappedDataAs w:val="dateTime"/>
                              <w:calendar w:val="gregorian"/>
                            </w:date>
                          </w:sdtPr>
                          <w:sdtContent>
                            <w:p w14:paraId="6C405E47" w14:textId="44E7F5E6" w:rsidR="00A225CB" w:rsidRPr="00A225CB" w:rsidRDefault="00A225CB">
                              <w:pPr>
                                <w:pStyle w:val="NoSpacing"/>
                                <w:spacing w:after="40"/>
                                <w:jc w:val="center"/>
                                <w:rPr>
                                  <w:rFonts w:ascii="Times New Roman" w:hAnsi="Times New Roman" w:cs="Times New Roman"/>
                                  <w:b/>
                                  <w:bCs/>
                                  <w:caps/>
                                  <w:color w:val="000000" w:themeColor="text1"/>
                                  <w:sz w:val="40"/>
                                  <w:szCs w:val="40"/>
                                </w:rPr>
                              </w:pPr>
                              <w:r w:rsidRPr="00A225CB">
                                <w:rPr>
                                  <w:rFonts w:ascii="Times New Roman" w:hAnsi="Times New Roman" w:cs="Times New Roman"/>
                                  <w:b/>
                                  <w:bCs/>
                                  <w:caps/>
                                  <w:color w:val="000000" w:themeColor="text1"/>
                                  <w:sz w:val="40"/>
                                  <w:szCs w:val="40"/>
                                </w:rPr>
                                <w:t>April 22, 2026</w:t>
                              </w:r>
                            </w:p>
                          </w:sdtContent>
                        </w:sdt>
                        <w:p w14:paraId="7C6DC918" w14:textId="3624A58F" w:rsidR="00A225CB" w:rsidRPr="00A225CB" w:rsidRDefault="00A225CB">
                          <w:pPr>
                            <w:pStyle w:val="NoSpacing"/>
                            <w:jc w:val="center"/>
                            <w:rPr>
                              <w:rFonts w:ascii="Times New Roman" w:hAnsi="Times New Roman" w:cs="Times New Roman"/>
                              <w:b/>
                              <w:bCs/>
                              <w:color w:val="000000" w:themeColor="text1"/>
                              <w:sz w:val="40"/>
                              <w:szCs w:val="40"/>
                            </w:rPr>
                          </w:pPr>
                          <w:sdt>
                            <w:sdtPr>
                              <w:rPr>
                                <w:rFonts w:ascii="Times New Roman" w:hAnsi="Times New Roman" w:cs="Times New Roman"/>
                                <w:b/>
                                <w:bCs/>
                                <w:caps/>
                                <w:color w:val="000000" w:themeColor="text1"/>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Pr="00A225CB">
                                <w:rPr>
                                  <w:rFonts w:ascii="Times New Roman" w:hAnsi="Times New Roman" w:cs="Times New Roman"/>
                                  <w:b/>
                                  <w:bCs/>
                                  <w:caps/>
                                  <w:color w:val="000000" w:themeColor="text1"/>
                                  <w:sz w:val="40"/>
                                  <w:szCs w:val="40"/>
                                </w:rPr>
                                <w:t>Student name Ana Maria Pascu</w:t>
                              </w:r>
                            </w:sdtContent>
                          </w:sdt>
                        </w:p>
                        <w:p w14:paraId="1AC88EF0" w14:textId="4252C913" w:rsidR="00A225CB" w:rsidRPr="00A225CB" w:rsidRDefault="00A225CB">
                          <w:pPr>
                            <w:pStyle w:val="NoSpacing"/>
                            <w:jc w:val="center"/>
                            <w:rPr>
                              <w:rFonts w:ascii="Times New Roman" w:hAnsi="Times New Roman" w:cs="Times New Roman"/>
                              <w:b/>
                              <w:bCs/>
                              <w:color w:val="000000" w:themeColor="text1"/>
                              <w:sz w:val="40"/>
                              <w:szCs w:val="40"/>
                            </w:rPr>
                          </w:pPr>
                          <w:sdt>
                            <w:sdtPr>
                              <w:rPr>
                                <w:rFonts w:ascii="Times New Roman" w:hAnsi="Times New Roman" w:cs="Times New Roman"/>
                                <w:b/>
                                <w:bCs/>
                                <w:color w:val="000000" w:themeColor="text1"/>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Pr="00A225CB">
                                <w:rPr>
                                  <w:rFonts w:ascii="Times New Roman" w:hAnsi="Times New Roman" w:cs="Times New Roman"/>
                                  <w:b/>
                                  <w:bCs/>
                                  <w:color w:val="000000" w:themeColor="text1"/>
                                  <w:sz w:val="40"/>
                                  <w:szCs w:val="40"/>
                                </w:rPr>
                                <w:t>Module code:</w:t>
                              </w:r>
                              <w:r w:rsidRPr="00A225CB">
                                <w:rPr>
                                  <w:rFonts w:ascii="Times New Roman" w:hAnsi="Times New Roman" w:cs="Times New Roman"/>
                                  <w:b/>
                                  <w:bCs/>
                                  <w:color w:val="000000" w:themeColor="text1"/>
                                  <w:sz w:val="40"/>
                                  <w:szCs w:val="40"/>
                                </w:rPr>
                                <w:t xml:space="preserve"> </w:t>
                              </w:r>
                              <w:r w:rsidRPr="00A225CB">
                                <w:rPr>
                                  <w:rFonts w:ascii="Times New Roman" w:hAnsi="Times New Roman" w:cs="Times New Roman"/>
                                  <w:b/>
                                  <w:bCs/>
                                  <w:color w:val="000000" w:themeColor="text1"/>
                                  <w:sz w:val="40"/>
                                  <w:szCs w:val="40"/>
                                </w:rPr>
                                <w:t>BMSP4011</w:t>
                              </w:r>
                            </w:sdtContent>
                          </w:sdt>
                        </w:p>
                      </w:txbxContent>
                    </v:textbox>
                    <w10:wrap anchorx="margin" anchory="page"/>
                  </v:shape>
                </w:pict>
              </mc:Fallback>
            </mc:AlternateContent>
          </w:r>
          <w:r>
            <w:rPr>
              <w:noProof/>
              <w:color w:val="156082" w:themeColor="accent1"/>
            </w:rPr>
            <w:drawing>
              <wp:inline distT="0" distB="0" distL="0" distR="0" wp14:anchorId="42B157E1" wp14:editId="28853C04">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2DDF34" w14:textId="56087406" w:rsidR="00A225CB" w:rsidRDefault="00A225CB">
          <w:pPr>
            <w:rPr>
              <w:rFonts w:ascii="Times New Roman" w:hAnsi="Times New Roman" w:cs="Times New Roman"/>
              <w:b/>
              <w:bCs/>
            </w:rPr>
          </w:pPr>
          <w:r>
            <w:rPr>
              <w:rFonts w:ascii="Times New Roman" w:hAnsi="Times New Roman" w:cs="Times New Roman"/>
              <w:b/>
              <w:bCs/>
            </w:rPr>
            <w:br w:type="page"/>
          </w:r>
        </w:p>
      </w:sdtContent>
    </w:sdt>
    <w:p w14:paraId="59346FFC" w14:textId="3DC498FC" w:rsidR="008F6A02" w:rsidRDefault="008F6A02" w:rsidP="008F6A02">
      <w:pPr>
        <w:spacing w:line="480" w:lineRule="auto"/>
        <w:rPr>
          <w:rFonts w:ascii="Times New Roman" w:hAnsi="Times New Roman" w:cs="Times New Roman"/>
          <w:b/>
          <w:bCs/>
        </w:rPr>
      </w:pPr>
      <w:r>
        <w:rPr>
          <w:rFonts w:ascii="Times New Roman" w:hAnsi="Times New Roman" w:cs="Times New Roman"/>
          <w:b/>
          <w:bCs/>
        </w:rPr>
        <w:lastRenderedPageBreak/>
        <w:t>Ratio Calculation Table</w:t>
      </w:r>
    </w:p>
    <w:tbl>
      <w:tblPr>
        <w:tblStyle w:val="GridTable1Light-Accent5"/>
        <w:tblpPr w:leftFromText="180" w:rightFromText="180" w:vertAnchor="page" w:tblpY="2170"/>
        <w:tblW w:w="0" w:type="auto"/>
        <w:tblLook w:val="04A0" w:firstRow="1" w:lastRow="0" w:firstColumn="1" w:lastColumn="0" w:noHBand="0" w:noVBand="1"/>
      </w:tblPr>
      <w:tblGrid>
        <w:gridCol w:w="2029"/>
        <w:gridCol w:w="3128"/>
        <w:gridCol w:w="1016"/>
        <w:gridCol w:w="1016"/>
        <w:gridCol w:w="1827"/>
      </w:tblGrid>
      <w:tr w:rsidR="008F6A02" w:rsidRPr="008F6A02" w14:paraId="14E82EA4" w14:textId="77777777" w:rsidTr="008F6A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AA4FAC" w14:textId="77777777" w:rsidR="008F6A02" w:rsidRPr="008F6A02" w:rsidRDefault="008F6A02" w:rsidP="008F6A02">
            <w:pPr>
              <w:jc w:val="center"/>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Ratio</w:t>
            </w:r>
          </w:p>
        </w:tc>
        <w:tc>
          <w:tcPr>
            <w:tcW w:w="0" w:type="auto"/>
            <w:hideMark/>
          </w:tcPr>
          <w:p w14:paraId="13BF337B" w14:textId="77777777" w:rsidR="008F6A02" w:rsidRPr="008F6A02" w:rsidRDefault="008F6A02" w:rsidP="008F6A02">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Formula</w:t>
            </w:r>
          </w:p>
        </w:tc>
        <w:tc>
          <w:tcPr>
            <w:tcW w:w="0" w:type="auto"/>
            <w:hideMark/>
          </w:tcPr>
          <w:p w14:paraId="2926BFCA" w14:textId="77777777" w:rsidR="008F6A02" w:rsidRPr="008F6A02" w:rsidRDefault="008F6A02" w:rsidP="008F6A02">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FY2024</w:t>
            </w:r>
          </w:p>
        </w:tc>
        <w:tc>
          <w:tcPr>
            <w:tcW w:w="0" w:type="auto"/>
            <w:hideMark/>
          </w:tcPr>
          <w:p w14:paraId="4E987482" w14:textId="77777777" w:rsidR="008F6A02" w:rsidRPr="008F6A02" w:rsidRDefault="008F6A02" w:rsidP="008F6A02">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FY2025</w:t>
            </w:r>
          </w:p>
        </w:tc>
        <w:tc>
          <w:tcPr>
            <w:tcW w:w="0" w:type="auto"/>
            <w:hideMark/>
          </w:tcPr>
          <w:p w14:paraId="49BA8E0C" w14:textId="77777777" w:rsidR="008F6A02" w:rsidRPr="008F6A02" w:rsidRDefault="008F6A02" w:rsidP="008F6A02">
            <w:pPr>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Movement</w:t>
            </w:r>
          </w:p>
        </w:tc>
      </w:tr>
      <w:tr w:rsidR="008F6A02" w:rsidRPr="008F6A02" w14:paraId="4C3D7D45" w14:textId="77777777" w:rsidTr="008F6A02">
        <w:tc>
          <w:tcPr>
            <w:cnfStyle w:val="001000000000" w:firstRow="0" w:lastRow="0" w:firstColumn="1" w:lastColumn="0" w:oddVBand="0" w:evenVBand="0" w:oddHBand="0" w:evenHBand="0" w:firstRowFirstColumn="0" w:firstRowLastColumn="0" w:lastRowFirstColumn="0" w:lastRowLastColumn="0"/>
            <w:tcW w:w="0" w:type="auto"/>
            <w:hideMark/>
          </w:tcPr>
          <w:p w14:paraId="2A51F99C" w14:textId="77777777" w:rsidR="008F6A02" w:rsidRPr="008F6A02" w:rsidRDefault="008F6A02" w:rsidP="008F6A02">
            <w:pPr>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Gross profit margin</w:t>
            </w:r>
          </w:p>
        </w:tc>
        <w:tc>
          <w:tcPr>
            <w:tcW w:w="0" w:type="auto"/>
            <w:hideMark/>
          </w:tcPr>
          <w:p w14:paraId="25E199B5" w14:textId="77777777" w:rsidR="008F6A02" w:rsidRPr="008F6A02" w:rsidRDefault="008F6A02" w:rsidP="008F6A0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Gross profit / Revenue × 100</w:t>
            </w:r>
          </w:p>
        </w:tc>
        <w:tc>
          <w:tcPr>
            <w:tcW w:w="0" w:type="auto"/>
            <w:hideMark/>
          </w:tcPr>
          <w:p w14:paraId="5AD28BE5"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37.1%</w:t>
            </w:r>
          </w:p>
        </w:tc>
        <w:tc>
          <w:tcPr>
            <w:tcW w:w="0" w:type="auto"/>
            <w:hideMark/>
          </w:tcPr>
          <w:p w14:paraId="5A4DB38C"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37.6%</w:t>
            </w:r>
          </w:p>
        </w:tc>
        <w:tc>
          <w:tcPr>
            <w:tcW w:w="0" w:type="auto"/>
            <w:hideMark/>
          </w:tcPr>
          <w:p w14:paraId="71EDD627"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Improved</w:t>
            </w:r>
          </w:p>
        </w:tc>
      </w:tr>
      <w:tr w:rsidR="008F6A02" w:rsidRPr="008F6A02" w14:paraId="71D0142F" w14:textId="77777777" w:rsidTr="008F6A02">
        <w:tc>
          <w:tcPr>
            <w:cnfStyle w:val="001000000000" w:firstRow="0" w:lastRow="0" w:firstColumn="1" w:lastColumn="0" w:oddVBand="0" w:evenVBand="0" w:oddHBand="0" w:evenHBand="0" w:firstRowFirstColumn="0" w:firstRowLastColumn="0" w:lastRowFirstColumn="0" w:lastRowLastColumn="0"/>
            <w:tcW w:w="0" w:type="auto"/>
            <w:hideMark/>
          </w:tcPr>
          <w:p w14:paraId="6DFB9781" w14:textId="77777777" w:rsidR="008F6A02" w:rsidRPr="008F6A02" w:rsidRDefault="008F6A02" w:rsidP="008F6A02">
            <w:pPr>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Operating profit margin</w:t>
            </w:r>
          </w:p>
        </w:tc>
        <w:tc>
          <w:tcPr>
            <w:tcW w:w="0" w:type="auto"/>
            <w:hideMark/>
          </w:tcPr>
          <w:p w14:paraId="67F02F17" w14:textId="77777777" w:rsidR="008F6A02" w:rsidRPr="008F6A02" w:rsidRDefault="008F6A02" w:rsidP="008F6A0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Operating profit / Revenue × 100</w:t>
            </w:r>
          </w:p>
        </w:tc>
        <w:tc>
          <w:tcPr>
            <w:tcW w:w="0" w:type="auto"/>
            <w:hideMark/>
          </w:tcPr>
          <w:p w14:paraId="044B6FAF"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11.1%</w:t>
            </w:r>
          </w:p>
        </w:tc>
        <w:tc>
          <w:tcPr>
            <w:tcW w:w="0" w:type="auto"/>
            <w:hideMark/>
          </w:tcPr>
          <w:p w14:paraId="5D083662"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10.2%</w:t>
            </w:r>
          </w:p>
        </w:tc>
        <w:tc>
          <w:tcPr>
            <w:tcW w:w="0" w:type="auto"/>
            <w:hideMark/>
          </w:tcPr>
          <w:p w14:paraId="1F1B3514"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Declined</w:t>
            </w:r>
          </w:p>
        </w:tc>
      </w:tr>
      <w:tr w:rsidR="008F6A02" w:rsidRPr="008F6A02" w14:paraId="7D9C100C" w14:textId="77777777" w:rsidTr="008F6A02">
        <w:tc>
          <w:tcPr>
            <w:cnfStyle w:val="001000000000" w:firstRow="0" w:lastRow="0" w:firstColumn="1" w:lastColumn="0" w:oddVBand="0" w:evenVBand="0" w:oddHBand="0" w:evenHBand="0" w:firstRowFirstColumn="0" w:firstRowLastColumn="0" w:lastRowFirstColumn="0" w:lastRowLastColumn="0"/>
            <w:tcW w:w="0" w:type="auto"/>
            <w:hideMark/>
          </w:tcPr>
          <w:p w14:paraId="56A339B2" w14:textId="77777777" w:rsidR="008F6A02" w:rsidRPr="008F6A02" w:rsidRDefault="008F6A02" w:rsidP="008F6A02">
            <w:pPr>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Net profit margin</w:t>
            </w:r>
          </w:p>
        </w:tc>
        <w:tc>
          <w:tcPr>
            <w:tcW w:w="0" w:type="auto"/>
            <w:hideMark/>
          </w:tcPr>
          <w:p w14:paraId="4EE94DC9" w14:textId="77777777" w:rsidR="008F6A02" w:rsidRPr="008F6A02" w:rsidRDefault="008F6A02" w:rsidP="008F6A0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Profit for the period / Revenue × 100</w:t>
            </w:r>
          </w:p>
        </w:tc>
        <w:tc>
          <w:tcPr>
            <w:tcW w:w="0" w:type="auto"/>
            <w:hideMark/>
          </w:tcPr>
          <w:p w14:paraId="6759F5FA"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6.7%</w:t>
            </w:r>
          </w:p>
        </w:tc>
        <w:tc>
          <w:tcPr>
            <w:tcW w:w="0" w:type="auto"/>
            <w:hideMark/>
          </w:tcPr>
          <w:p w14:paraId="013E6F7C"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5.7%</w:t>
            </w:r>
          </w:p>
        </w:tc>
        <w:tc>
          <w:tcPr>
            <w:tcW w:w="0" w:type="auto"/>
            <w:hideMark/>
          </w:tcPr>
          <w:p w14:paraId="53479E98"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Declined</w:t>
            </w:r>
          </w:p>
        </w:tc>
      </w:tr>
      <w:tr w:rsidR="008F6A02" w:rsidRPr="008F6A02" w14:paraId="520FCF4D" w14:textId="77777777" w:rsidTr="008F6A02">
        <w:tc>
          <w:tcPr>
            <w:cnfStyle w:val="001000000000" w:firstRow="0" w:lastRow="0" w:firstColumn="1" w:lastColumn="0" w:oddVBand="0" w:evenVBand="0" w:oddHBand="0" w:evenHBand="0" w:firstRowFirstColumn="0" w:firstRowLastColumn="0" w:lastRowFirstColumn="0" w:lastRowLastColumn="0"/>
            <w:tcW w:w="0" w:type="auto"/>
            <w:hideMark/>
          </w:tcPr>
          <w:p w14:paraId="67209810" w14:textId="77777777" w:rsidR="008F6A02" w:rsidRPr="008F6A02" w:rsidRDefault="008F6A02" w:rsidP="008F6A02">
            <w:pPr>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Current ratio</w:t>
            </w:r>
          </w:p>
        </w:tc>
        <w:tc>
          <w:tcPr>
            <w:tcW w:w="0" w:type="auto"/>
            <w:hideMark/>
          </w:tcPr>
          <w:p w14:paraId="687699D1" w14:textId="77777777" w:rsidR="008F6A02" w:rsidRPr="008F6A02" w:rsidRDefault="008F6A02" w:rsidP="008F6A0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Current assets / Current liabilities</w:t>
            </w:r>
          </w:p>
        </w:tc>
        <w:tc>
          <w:tcPr>
            <w:tcW w:w="0" w:type="auto"/>
            <w:hideMark/>
          </w:tcPr>
          <w:p w14:paraId="28F7D85E"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1.32:1</w:t>
            </w:r>
          </w:p>
        </w:tc>
        <w:tc>
          <w:tcPr>
            <w:tcW w:w="0" w:type="auto"/>
            <w:hideMark/>
          </w:tcPr>
          <w:p w14:paraId="47346823"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1.35:1</w:t>
            </w:r>
          </w:p>
        </w:tc>
        <w:tc>
          <w:tcPr>
            <w:tcW w:w="0" w:type="auto"/>
            <w:hideMark/>
          </w:tcPr>
          <w:p w14:paraId="408BE653"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Slight improvement</w:t>
            </w:r>
          </w:p>
        </w:tc>
      </w:tr>
      <w:tr w:rsidR="008F6A02" w:rsidRPr="008F6A02" w14:paraId="686C6E22" w14:textId="77777777" w:rsidTr="008F6A02">
        <w:tc>
          <w:tcPr>
            <w:cnfStyle w:val="001000000000" w:firstRow="0" w:lastRow="0" w:firstColumn="1" w:lastColumn="0" w:oddVBand="0" w:evenVBand="0" w:oddHBand="0" w:evenHBand="0" w:firstRowFirstColumn="0" w:firstRowLastColumn="0" w:lastRowFirstColumn="0" w:lastRowLastColumn="0"/>
            <w:tcW w:w="0" w:type="auto"/>
            <w:hideMark/>
          </w:tcPr>
          <w:p w14:paraId="43908BF2" w14:textId="77777777" w:rsidR="008F6A02" w:rsidRPr="008F6A02" w:rsidRDefault="008F6A02" w:rsidP="008F6A02">
            <w:pPr>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Quick ratio</w:t>
            </w:r>
          </w:p>
        </w:tc>
        <w:tc>
          <w:tcPr>
            <w:tcW w:w="0" w:type="auto"/>
            <w:hideMark/>
          </w:tcPr>
          <w:p w14:paraId="1B55ADFD" w14:textId="77777777" w:rsidR="008F6A02" w:rsidRPr="008F6A02" w:rsidRDefault="008F6A02" w:rsidP="008F6A0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(Current assets − Inventory) / Current liabilities</w:t>
            </w:r>
          </w:p>
        </w:tc>
        <w:tc>
          <w:tcPr>
            <w:tcW w:w="0" w:type="auto"/>
            <w:hideMark/>
          </w:tcPr>
          <w:p w14:paraId="41008C0A"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0.34:1</w:t>
            </w:r>
          </w:p>
        </w:tc>
        <w:tc>
          <w:tcPr>
            <w:tcW w:w="0" w:type="auto"/>
            <w:hideMark/>
          </w:tcPr>
          <w:p w14:paraId="4D094043"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0.46:1</w:t>
            </w:r>
          </w:p>
        </w:tc>
        <w:tc>
          <w:tcPr>
            <w:tcW w:w="0" w:type="auto"/>
            <w:hideMark/>
          </w:tcPr>
          <w:p w14:paraId="76F32201"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Improved</w:t>
            </w:r>
          </w:p>
        </w:tc>
      </w:tr>
      <w:tr w:rsidR="008F6A02" w:rsidRPr="008F6A02" w14:paraId="60AC0350" w14:textId="77777777" w:rsidTr="008F6A02">
        <w:tc>
          <w:tcPr>
            <w:cnfStyle w:val="001000000000" w:firstRow="0" w:lastRow="0" w:firstColumn="1" w:lastColumn="0" w:oddVBand="0" w:evenVBand="0" w:oddHBand="0" w:evenHBand="0" w:firstRowFirstColumn="0" w:firstRowLastColumn="0" w:lastRowFirstColumn="0" w:lastRowLastColumn="0"/>
            <w:tcW w:w="0" w:type="auto"/>
            <w:hideMark/>
          </w:tcPr>
          <w:p w14:paraId="22C9EC3D" w14:textId="77777777" w:rsidR="008F6A02" w:rsidRPr="008F6A02" w:rsidRDefault="008F6A02" w:rsidP="008F6A02">
            <w:pPr>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Return on assets (ROA)</w:t>
            </w:r>
          </w:p>
        </w:tc>
        <w:tc>
          <w:tcPr>
            <w:tcW w:w="0" w:type="auto"/>
            <w:hideMark/>
          </w:tcPr>
          <w:p w14:paraId="3778AA7D" w14:textId="77777777" w:rsidR="008F6A02" w:rsidRPr="008F6A02" w:rsidRDefault="008F6A02" w:rsidP="008F6A0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Profit for the period / Total assets × 100</w:t>
            </w:r>
          </w:p>
        </w:tc>
        <w:tc>
          <w:tcPr>
            <w:tcW w:w="0" w:type="auto"/>
            <w:hideMark/>
          </w:tcPr>
          <w:p w14:paraId="2B315E72"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10.1%</w:t>
            </w:r>
          </w:p>
        </w:tc>
        <w:tc>
          <w:tcPr>
            <w:tcW w:w="0" w:type="auto"/>
            <w:hideMark/>
          </w:tcPr>
          <w:p w14:paraId="2000F782"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8.0%</w:t>
            </w:r>
          </w:p>
        </w:tc>
        <w:tc>
          <w:tcPr>
            <w:tcW w:w="0" w:type="auto"/>
            <w:hideMark/>
          </w:tcPr>
          <w:p w14:paraId="602403A0"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Declined</w:t>
            </w:r>
          </w:p>
        </w:tc>
      </w:tr>
      <w:tr w:rsidR="008F6A02" w:rsidRPr="008F6A02" w14:paraId="73309C90" w14:textId="77777777" w:rsidTr="008F6A02">
        <w:tc>
          <w:tcPr>
            <w:cnfStyle w:val="001000000000" w:firstRow="0" w:lastRow="0" w:firstColumn="1" w:lastColumn="0" w:oddVBand="0" w:evenVBand="0" w:oddHBand="0" w:evenHBand="0" w:firstRowFirstColumn="0" w:firstRowLastColumn="0" w:lastRowFirstColumn="0" w:lastRowLastColumn="0"/>
            <w:tcW w:w="0" w:type="auto"/>
            <w:hideMark/>
          </w:tcPr>
          <w:p w14:paraId="42080D5F" w14:textId="77777777" w:rsidR="008F6A02" w:rsidRPr="008F6A02" w:rsidRDefault="008F6A02" w:rsidP="008F6A02">
            <w:pPr>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Return on equity (ROE)</w:t>
            </w:r>
          </w:p>
        </w:tc>
        <w:tc>
          <w:tcPr>
            <w:tcW w:w="0" w:type="auto"/>
            <w:hideMark/>
          </w:tcPr>
          <w:p w14:paraId="49F5D246" w14:textId="77777777" w:rsidR="008F6A02" w:rsidRPr="008F6A02" w:rsidRDefault="008F6A02" w:rsidP="008F6A0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Profit for the period / Equity × 100</w:t>
            </w:r>
          </w:p>
        </w:tc>
        <w:tc>
          <w:tcPr>
            <w:tcW w:w="0" w:type="auto"/>
            <w:hideMark/>
          </w:tcPr>
          <w:p w14:paraId="76909C52"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50.0%</w:t>
            </w:r>
          </w:p>
        </w:tc>
        <w:tc>
          <w:tcPr>
            <w:tcW w:w="0" w:type="auto"/>
            <w:hideMark/>
          </w:tcPr>
          <w:p w14:paraId="24C9EE47"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42.4%</w:t>
            </w:r>
          </w:p>
        </w:tc>
        <w:tc>
          <w:tcPr>
            <w:tcW w:w="0" w:type="auto"/>
            <w:hideMark/>
          </w:tcPr>
          <w:p w14:paraId="71C6D043"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Declined</w:t>
            </w:r>
          </w:p>
        </w:tc>
      </w:tr>
      <w:tr w:rsidR="008F6A02" w:rsidRPr="008F6A02" w14:paraId="09F7B12D" w14:textId="77777777" w:rsidTr="008F6A02">
        <w:tc>
          <w:tcPr>
            <w:cnfStyle w:val="001000000000" w:firstRow="0" w:lastRow="0" w:firstColumn="1" w:lastColumn="0" w:oddVBand="0" w:evenVBand="0" w:oddHBand="0" w:evenHBand="0" w:firstRowFirstColumn="0" w:firstRowLastColumn="0" w:lastRowFirstColumn="0" w:lastRowLastColumn="0"/>
            <w:tcW w:w="0" w:type="auto"/>
            <w:hideMark/>
          </w:tcPr>
          <w:p w14:paraId="2AF334D4" w14:textId="77777777" w:rsidR="008F6A02" w:rsidRPr="008F6A02" w:rsidRDefault="008F6A02" w:rsidP="008F6A02">
            <w:pPr>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Asset turnover</w:t>
            </w:r>
          </w:p>
        </w:tc>
        <w:tc>
          <w:tcPr>
            <w:tcW w:w="0" w:type="auto"/>
            <w:hideMark/>
          </w:tcPr>
          <w:p w14:paraId="4F3E6DE0" w14:textId="77777777" w:rsidR="008F6A02" w:rsidRPr="008F6A02" w:rsidRDefault="008F6A02" w:rsidP="008F6A0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Revenue / Total assets</w:t>
            </w:r>
          </w:p>
        </w:tc>
        <w:tc>
          <w:tcPr>
            <w:tcW w:w="0" w:type="auto"/>
            <w:hideMark/>
          </w:tcPr>
          <w:p w14:paraId="290A0172"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1.51x</w:t>
            </w:r>
          </w:p>
        </w:tc>
        <w:tc>
          <w:tcPr>
            <w:tcW w:w="0" w:type="auto"/>
            <w:hideMark/>
          </w:tcPr>
          <w:p w14:paraId="7FE6286F"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1.39x</w:t>
            </w:r>
          </w:p>
        </w:tc>
        <w:tc>
          <w:tcPr>
            <w:tcW w:w="0" w:type="auto"/>
            <w:hideMark/>
          </w:tcPr>
          <w:p w14:paraId="3BAA291A"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Declined</w:t>
            </w:r>
          </w:p>
        </w:tc>
      </w:tr>
      <w:tr w:rsidR="008F6A02" w:rsidRPr="008F6A02" w14:paraId="15A7CE26" w14:textId="77777777" w:rsidTr="008F6A02">
        <w:tc>
          <w:tcPr>
            <w:cnfStyle w:val="001000000000" w:firstRow="0" w:lastRow="0" w:firstColumn="1" w:lastColumn="0" w:oddVBand="0" w:evenVBand="0" w:oddHBand="0" w:evenHBand="0" w:firstRowFirstColumn="0" w:firstRowLastColumn="0" w:lastRowFirstColumn="0" w:lastRowLastColumn="0"/>
            <w:tcW w:w="0" w:type="auto"/>
            <w:hideMark/>
          </w:tcPr>
          <w:p w14:paraId="7E54BFF2" w14:textId="77777777" w:rsidR="008F6A02" w:rsidRPr="008F6A02" w:rsidRDefault="008F6A02" w:rsidP="008F6A02">
            <w:pPr>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Debt-to-equity*</w:t>
            </w:r>
          </w:p>
        </w:tc>
        <w:tc>
          <w:tcPr>
            <w:tcW w:w="0" w:type="auto"/>
            <w:hideMark/>
          </w:tcPr>
          <w:p w14:paraId="14549463" w14:textId="77777777" w:rsidR="008F6A02" w:rsidRPr="008F6A02" w:rsidRDefault="008F6A02" w:rsidP="008F6A0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Interest-bearing borrowings / Equity</w:t>
            </w:r>
          </w:p>
        </w:tc>
        <w:tc>
          <w:tcPr>
            <w:tcW w:w="0" w:type="auto"/>
            <w:hideMark/>
          </w:tcPr>
          <w:p w14:paraId="0BCD5BFB"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1.24x</w:t>
            </w:r>
          </w:p>
        </w:tc>
        <w:tc>
          <w:tcPr>
            <w:tcW w:w="0" w:type="auto"/>
            <w:hideMark/>
          </w:tcPr>
          <w:p w14:paraId="604E60A2"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1.51x</w:t>
            </w:r>
          </w:p>
        </w:tc>
        <w:tc>
          <w:tcPr>
            <w:tcW w:w="0" w:type="auto"/>
            <w:hideMark/>
          </w:tcPr>
          <w:p w14:paraId="39DE0663" w14:textId="77777777" w:rsidR="008F6A02" w:rsidRPr="008F6A02" w:rsidRDefault="008F6A02" w:rsidP="008F6A02">
            <w:pPr>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8F6A02">
              <w:rPr>
                <w:rFonts w:ascii="Times New Roman" w:eastAsia="Times New Roman" w:hAnsi="Times New Roman" w:cs="Times New Roman"/>
                <w:kern w:val="0"/>
                <w:lang w:eastAsia="en-GB"/>
                <w14:ligatures w14:val="none"/>
              </w:rPr>
              <w:t>Increased</w:t>
            </w:r>
          </w:p>
        </w:tc>
      </w:tr>
    </w:tbl>
    <w:p w14:paraId="40985678" w14:textId="28B91CFE" w:rsidR="008F6A02" w:rsidRDefault="00A225CB" w:rsidP="008F6A02">
      <w:pPr>
        <w:spacing w:line="480" w:lineRule="auto"/>
        <w:rPr>
          <w:rFonts w:ascii="Times New Roman" w:hAnsi="Times New Roman" w:cs="Times New Roman"/>
          <w:b/>
          <w:bCs/>
        </w:rPr>
      </w:pPr>
      <w:r>
        <w:rPr>
          <w:rFonts w:ascii="Times New Roman" w:hAnsi="Times New Roman" w:cs="Times New Roman"/>
          <w:b/>
          <w:bCs/>
        </w:rPr>
        <w:t>(for all calculations see Appendix)</w:t>
      </w:r>
    </w:p>
    <w:p w14:paraId="733B0818" w14:textId="619C3489" w:rsidR="008F6A02" w:rsidRPr="008F6A02" w:rsidRDefault="008F6A02" w:rsidP="008F6A02">
      <w:pPr>
        <w:spacing w:line="480" w:lineRule="auto"/>
        <w:rPr>
          <w:rFonts w:ascii="Times New Roman" w:hAnsi="Times New Roman" w:cs="Times New Roman"/>
          <w:b/>
          <w:bCs/>
        </w:rPr>
      </w:pPr>
      <w:r w:rsidRPr="008F6A02">
        <w:rPr>
          <w:rFonts w:ascii="Times New Roman" w:hAnsi="Times New Roman" w:cs="Times New Roman"/>
          <w:b/>
          <w:bCs/>
        </w:rPr>
        <w:t>Introduction to Financial Ratios</w:t>
      </w:r>
    </w:p>
    <w:p w14:paraId="75D789A8" w14:textId="1E6D3175"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Analysing the ratios of a company's financial performance by using financial ratios is an effective way of determining how profitable, liquid, efficient and financially risky a company is over time. Financial ratios allow the conversion of raw accounting data into an easier-to-compare metric, making them useful tools for supporting decision-makers when evaluating performance, as well as for making investment decisions (Olayinka, 2022), and are still one of the most </w:t>
      </w:r>
      <w:r>
        <w:rPr>
          <w:rFonts w:ascii="Times New Roman" w:hAnsi="Times New Roman" w:cs="Times New Roman"/>
        </w:rPr>
        <w:t>widely used</w:t>
      </w:r>
      <w:r w:rsidRPr="008F6A02">
        <w:rPr>
          <w:rFonts w:ascii="Times New Roman" w:hAnsi="Times New Roman" w:cs="Times New Roman"/>
        </w:rPr>
        <w:t xml:space="preserve"> tools for assessing how well a business is performing (Lubis, 2023).</w:t>
      </w:r>
      <w:r>
        <w:rPr>
          <w:rFonts w:ascii="Times New Roman" w:hAnsi="Times New Roman" w:cs="Times New Roman"/>
        </w:rPr>
        <w:t xml:space="preserve"> </w:t>
      </w:r>
      <w:r w:rsidRPr="008F6A02">
        <w:rPr>
          <w:rFonts w:ascii="Times New Roman" w:hAnsi="Times New Roman" w:cs="Times New Roman"/>
        </w:rPr>
        <w:t>B&amp;M European Value Retail S.A. is an ideal company to analyse because they have published audited annual financial statements for several years, and they operate in a highly competitive environment within the value-retail sector. An examination of B&amp;M's most recent two years of data shows that while their sales have been increasing, their profitability and return on investment have both been decreasing.</w:t>
      </w:r>
    </w:p>
    <w:p w14:paraId="600E71C1" w14:textId="77777777" w:rsidR="008F6A02" w:rsidRDefault="008F6A02" w:rsidP="008F6A02">
      <w:pPr>
        <w:spacing w:line="480" w:lineRule="auto"/>
        <w:rPr>
          <w:rFonts w:ascii="Times New Roman" w:hAnsi="Times New Roman" w:cs="Times New Roman"/>
          <w:b/>
          <w:bCs/>
        </w:rPr>
      </w:pPr>
    </w:p>
    <w:p w14:paraId="7D051BF1" w14:textId="2F3A063F" w:rsidR="008F6A02" w:rsidRPr="008F6A02" w:rsidRDefault="008F6A02" w:rsidP="008F6A02">
      <w:pPr>
        <w:spacing w:line="480" w:lineRule="auto"/>
        <w:rPr>
          <w:rFonts w:ascii="Times New Roman" w:hAnsi="Times New Roman" w:cs="Times New Roman"/>
          <w:b/>
          <w:bCs/>
        </w:rPr>
      </w:pPr>
      <w:r w:rsidRPr="008F6A02">
        <w:rPr>
          <w:rFonts w:ascii="Times New Roman" w:hAnsi="Times New Roman" w:cs="Times New Roman"/>
          <w:b/>
          <w:bCs/>
        </w:rPr>
        <w:lastRenderedPageBreak/>
        <w:t>B&amp;M European Value Retail S.A - profitability</w:t>
      </w:r>
    </w:p>
    <w:p w14:paraId="480DE2F0" w14:textId="2749625F"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B&amp;M's gross profit margin increased slightly from 37.1% in FY2024 to 37.6% in FY2025. This indicates that B&amp;M's purchasing decisions continued to be positive, as did their management of product mix, and they maintained pricing discipline despite a difficult market. With regards to the FY2025 report issued by B&amp;M, it stated that "the gross margin was achieved from a robust gross margin despite challenging trading conditions".</w:t>
      </w:r>
    </w:p>
    <w:p w14:paraId="2B84BDBC" w14:textId="1DC5B727"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B&amp;M's gross margin of 37.6% was not enough to offset the decline in their total profit from both an operating profit margin of 11.1% (FY2024) to 10.2%, and their net profit margin of 6.7% (FY2024) to 5.7%. Therefore, while B&amp;M generated more revenue, they were able to retain less as operating and net profit than they did in the previous year. For example, B&amp;M's total operating profit declined from £608 million to £566 million</w:t>
      </w:r>
      <w:r>
        <w:rPr>
          <w:rFonts w:ascii="Times New Roman" w:hAnsi="Times New Roman" w:cs="Times New Roman"/>
        </w:rPr>
        <w:t>,</w:t>
      </w:r>
      <w:r w:rsidRPr="008F6A02">
        <w:rPr>
          <w:rFonts w:ascii="Times New Roman" w:hAnsi="Times New Roman" w:cs="Times New Roman"/>
        </w:rPr>
        <w:t xml:space="preserve"> and the profit attributable to B&amp;M's shareholders declined from £367 million to £319 million during the same </w:t>
      </w:r>
      <w:r w:rsidRPr="008F6A02">
        <w:rPr>
          <w:rFonts w:ascii="Times New Roman" w:hAnsi="Times New Roman" w:cs="Times New Roman"/>
        </w:rPr>
        <w:t>period. Research</w:t>
      </w:r>
      <w:r w:rsidRPr="008F6A02">
        <w:rPr>
          <w:rFonts w:ascii="Times New Roman" w:hAnsi="Times New Roman" w:cs="Times New Roman"/>
        </w:rPr>
        <w:t xml:space="preserve"> on the relationship between profitability and operating performance has confirmed that while profitability measures, like operating and net profitability and margin, are required for evaluating operating performance, they should not be used in isolation (Lee 2023; Saputra 2022). This is evident in B&amp;M's operating performance and demonstrates how gross margin growth indicates good operating performance</w:t>
      </w:r>
      <w:r>
        <w:rPr>
          <w:rFonts w:ascii="Times New Roman" w:hAnsi="Times New Roman" w:cs="Times New Roman"/>
        </w:rPr>
        <w:t>,</w:t>
      </w:r>
      <w:r w:rsidRPr="008F6A02">
        <w:rPr>
          <w:rFonts w:ascii="Times New Roman" w:hAnsi="Times New Roman" w:cs="Times New Roman"/>
        </w:rPr>
        <w:t xml:space="preserve"> and that a decrease in operating and net margin represents cost pressures under gross profit.</w:t>
      </w:r>
    </w:p>
    <w:p w14:paraId="3A4609ED" w14:textId="77777777" w:rsidR="008F6A02" w:rsidRPr="008F6A02" w:rsidRDefault="008F6A02" w:rsidP="008F6A02">
      <w:pPr>
        <w:spacing w:line="480" w:lineRule="auto"/>
        <w:rPr>
          <w:rFonts w:ascii="Times New Roman" w:hAnsi="Times New Roman" w:cs="Times New Roman"/>
          <w:b/>
          <w:bCs/>
        </w:rPr>
      </w:pPr>
      <w:r w:rsidRPr="008F6A02">
        <w:rPr>
          <w:rFonts w:ascii="Times New Roman" w:hAnsi="Times New Roman" w:cs="Times New Roman"/>
          <w:b/>
          <w:bCs/>
        </w:rPr>
        <w:t>Liquidity Analysis</w:t>
      </w:r>
    </w:p>
    <w:p w14:paraId="2BF7A2F0" w14:textId="47221D4B"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Liquidity improves slightly. The current ratio increased from 1.32:1 to 1.35:1, and the quick ratio increased from 0.34:1 to 0.46:1, indicating that B&amp;M was able to pay short-term obligations and has marginally enhanced its short-term liquidity position.</w:t>
      </w:r>
    </w:p>
    <w:p w14:paraId="6F9EAB4F" w14:textId="77777777"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The improvement in liquidity is primarily due to an increase in current assets, particularly cash and cash-equivalent financial assets. B&amp;M had £217 million cash and £153 million </w:t>
      </w:r>
      <w:r w:rsidRPr="008F6A02">
        <w:rPr>
          <w:rFonts w:ascii="Times New Roman" w:hAnsi="Times New Roman" w:cs="Times New Roman"/>
        </w:rPr>
        <w:lastRenderedPageBreak/>
        <w:t>cash-equivalent financial assets in FY2025 compared to £182 million cash and £4 million cash-equivalent financial assets in FY2024.</w:t>
      </w:r>
    </w:p>
    <w:p w14:paraId="7E0EE4A2" w14:textId="77777777"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However, the quick ratio remains below 1; this is typical of retailers with significant amounts of inventory classified as part of their working capital. In addition, as </w:t>
      </w:r>
      <w:proofErr w:type="spellStart"/>
      <w:r w:rsidRPr="008F6A02">
        <w:rPr>
          <w:rFonts w:ascii="Times New Roman" w:hAnsi="Times New Roman" w:cs="Times New Roman"/>
        </w:rPr>
        <w:t>Rahiminezhad</w:t>
      </w:r>
      <w:proofErr w:type="spellEnd"/>
      <w:r w:rsidRPr="008F6A02">
        <w:rPr>
          <w:rFonts w:ascii="Times New Roman" w:hAnsi="Times New Roman" w:cs="Times New Roman"/>
        </w:rPr>
        <w:t xml:space="preserve"> </w:t>
      </w:r>
      <w:proofErr w:type="spellStart"/>
      <w:r w:rsidRPr="008F6A02">
        <w:rPr>
          <w:rFonts w:ascii="Times New Roman" w:hAnsi="Times New Roman" w:cs="Times New Roman"/>
        </w:rPr>
        <w:t>Galankashi</w:t>
      </w:r>
      <w:proofErr w:type="spellEnd"/>
      <w:r w:rsidRPr="008F6A02">
        <w:rPr>
          <w:rFonts w:ascii="Times New Roman" w:hAnsi="Times New Roman" w:cs="Times New Roman"/>
        </w:rPr>
        <w:t xml:space="preserve"> and Mokhatab </w:t>
      </w:r>
      <w:proofErr w:type="spellStart"/>
      <w:r w:rsidRPr="008F6A02">
        <w:rPr>
          <w:rFonts w:ascii="Times New Roman" w:hAnsi="Times New Roman" w:cs="Times New Roman"/>
        </w:rPr>
        <w:t>Rafiei</w:t>
      </w:r>
      <w:proofErr w:type="spellEnd"/>
      <w:r w:rsidRPr="008F6A02">
        <w:rPr>
          <w:rFonts w:ascii="Times New Roman" w:hAnsi="Times New Roman" w:cs="Times New Roman"/>
        </w:rPr>
        <w:t xml:space="preserve"> (2022) state, performance measurement in supply chains must not utilise only one indicator; in the case of retailers, liquidity must be assessed in conjunction with inventory turnover and cash generation. B&amp;M generated positive operating cash; however, cash operating performance decreased from £862 million to £784 million, reflecting a decrease in cash performance even though balance sheet liquidity improved marginally.</w:t>
      </w:r>
    </w:p>
    <w:p w14:paraId="1C660D32" w14:textId="77777777" w:rsidR="008F6A02" w:rsidRPr="008F6A02" w:rsidRDefault="008F6A02" w:rsidP="008F6A02">
      <w:pPr>
        <w:spacing w:line="480" w:lineRule="auto"/>
        <w:rPr>
          <w:rFonts w:ascii="Times New Roman" w:hAnsi="Times New Roman" w:cs="Times New Roman"/>
        </w:rPr>
      </w:pPr>
    </w:p>
    <w:p w14:paraId="4ECEDCDD" w14:textId="77777777" w:rsidR="008F6A02" w:rsidRDefault="008F6A02" w:rsidP="008F6A02">
      <w:pPr>
        <w:spacing w:line="480" w:lineRule="auto"/>
        <w:rPr>
          <w:rFonts w:ascii="Times New Roman" w:hAnsi="Times New Roman" w:cs="Times New Roman"/>
        </w:rPr>
      </w:pPr>
    </w:p>
    <w:p w14:paraId="1214F1D6" w14:textId="1019F4BE" w:rsidR="008F6A02" w:rsidRPr="008F6A02" w:rsidRDefault="008F6A02" w:rsidP="008F6A02">
      <w:pPr>
        <w:spacing w:line="480" w:lineRule="auto"/>
        <w:rPr>
          <w:rFonts w:ascii="Times New Roman" w:hAnsi="Times New Roman" w:cs="Times New Roman"/>
          <w:b/>
          <w:bCs/>
        </w:rPr>
      </w:pPr>
      <w:r w:rsidRPr="008F6A02">
        <w:rPr>
          <w:rFonts w:ascii="Times New Roman" w:hAnsi="Times New Roman" w:cs="Times New Roman"/>
          <w:b/>
          <w:bCs/>
        </w:rPr>
        <w:t>Efficiency &amp; Return Analysis</w:t>
      </w:r>
    </w:p>
    <w:p w14:paraId="488E5AD6" w14:textId="77777777"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B&amp;M's return on assets (ROA) decreased from 10.10% in FY2024 to 8.00% in FY2025, return on equity (ROE) decreased from 50.00% in FY2024 to 42.40% in FY2025, and the asset turnover ratio decreased from 1.51x in FY2024 to 1.39x in FY2025.These alterations show that the company was less efficient at using its assets and the funds from shareholders in FY2025 than it was in FY2024.</w:t>
      </w:r>
    </w:p>
    <w:p w14:paraId="59B00445" w14:textId="77777777"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However, this does not imply that the firm became weaker, but rather that asset expansion outstripped profit expansion. The company’s total assets increased from £3.625 million to £4.007 million, supported by nearly £195 million in higher non-inventory stocks, currently recognised financial assets, and continued expansion of stores (and infrastructure). Research indicates return ratios are particularly meaningful in measuring performance as they relate to </w:t>
      </w:r>
      <w:r w:rsidRPr="008F6A02">
        <w:rPr>
          <w:rFonts w:ascii="Times New Roman" w:hAnsi="Times New Roman" w:cs="Times New Roman"/>
        </w:rPr>
        <w:lastRenderedPageBreak/>
        <w:t>profit generation (Lubis, 2023; Lee, 2023). For B&amp;M, those ratios point toward a decreased level of efficiency in FY2025.</w:t>
      </w:r>
    </w:p>
    <w:p w14:paraId="3CDAB5DA" w14:textId="77777777" w:rsidR="008F6A02" w:rsidRPr="008F6A02" w:rsidRDefault="008F6A02" w:rsidP="008F6A02">
      <w:pPr>
        <w:spacing w:line="480" w:lineRule="auto"/>
        <w:rPr>
          <w:rFonts w:ascii="Times New Roman" w:hAnsi="Times New Roman" w:cs="Times New Roman"/>
          <w:b/>
          <w:bCs/>
        </w:rPr>
      </w:pPr>
      <w:r w:rsidRPr="008F6A02">
        <w:rPr>
          <w:rFonts w:ascii="Times New Roman" w:hAnsi="Times New Roman" w:cs="Times New Roman"/>
          <w:b/>
          <w:bCs/>
        </w:rPr>
        <w:t>Reasons for Better or Worse Performance</w:t>
      </w:r>
    </w:p>
    <w:p w14:paraId="2D7F4117" w14:textId="2E27BEE3"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B&amp;M performed not just on an annualised basis, but also in almost every profitability and return measure during FY2024. This better performance reflected stronger like-for-like sales momentum and effective operating leverage. UK </w:t>
      </w:r>
      <w:r>
        <w:rPr>
          <w:rFonts w:ascii="Times New Roman" w:hAnsi="Times New Roman" w:cs="Times New Roman"/>
        </w:rPr>
        <w:t>like-for-like</w:t>
      </w:r>
      <w:r w:rsidRPr="008F6A02">
        <w:rPr>
          <w:rFonts w:ascii="Times New Roman" w:hAnsi="Times New Roman" w:cs="Times New Roman"/>
        </w:rPr>
        <w:t xml:space="preserve"> sales increased by 3.7% during the period, including the addition of 47 gross new B&amp;M retailers to the UK. France achieved a revenue increase of 19.2%, including the addition of 15.3% new Heron Foods retailers. Additionally, this report discusses volume-driven, strict cost controls and expanding gross margins.</w:t>
      </w:r>
    </w:p>
    <w:p w14:paraId="0506E229" w14:textId="14C8EC19"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Conversely, FY2025 was a more difficult year, which the firm is characterising as “challenging” due to a tougher macroeconomic climate and rising prices for its customers. While total sales continued to grow due to new stores, UK like-for-like sales fell by 3.1%. The report comments that free cash flow was reduced due in part to increased stock levels and financing costs.</w:t>
      </w:r>
      <w:r>
        <w:rPr>
          <w:rFonts w:ascii="Times New Roman" w:hAnsi="Times New Roman" w:cs="Times New Roman"/>
        </w:rPr>
        <w:t xml:space="preserve"> </w:t>
      </w:r>
      <w:r w:rsidRPr="008F6A02">
        <w:rPr>
          <w:rFonts w:ascii="Times New Roman" w:hAnsi="Times New Roman" w:cs="Times New Roman"/>
        </w:rPr>
        <w:t>Th</w:t>
      </w:r>
      <w:r>
        <w:rPr>
          <w:rFonts w:ascii="Times New Roman" w:hAnsi="Times New Roman" w:cs="Times New Roman"/>
        </w:rPr>
        <w:t>e</w:t>
      </w:r>
      <w:r w:rsidRPr="008F6A02">
        <w:rPr>
          <w:rFonts w:ascii="Times New Roman" w:hAnsi="Times New Roman" w:cs="Times New Roman"/>
        </w:rPr>
        <w:t xml:space="preserve"> following are reasons why the ratios changed:</w:t>
      </w:r>
    </w:p>
    <w:p w14:paraId="1FC04ED4" w14:textId="77777777" w:rsidR="008F6A02" w:rsidRPr="008F6A02" w:rsidRDefault="008F6A02" w:rsidP="008F6A02">
      <w:pPr>
        <w:pStyle w:val="ListParagraph"/>
        <w:numPr>
          <w:ilvl w:val="0"/>
          <w:numId w:val="1"/>
        </w:numPr>
        <w:spacing w:line="480" w:lineRule="auto"/>
        <w:rPr>
          <w:rFonts w:ascii="Times New Roman" w:hAnsi="Times New Roman" w:cs="Times New Roman"/>
        </w:rPr>
      </w:pPr>
      <w:r w:rsidRPr="008F6A02">
        <w:rPr>
          <w:rFonts w:ascii="Times New Roman" w:hAnsi="Times New Roman" w:cs="Times New Roman"/>
        </w:rPr>
        <w:t xml:space="preserve">Increase in revenue was not sufficient to offset the decline in </w:t>
      </w:r>
      <w:r w:rsidRPr="008F6A02">
        <w:rPr>
          <w:rFonts w:ascii="Times New Roman" w:hAnsi="Times New Roman" w:cs="Times New Roman"/>
        </w:rPr>
        <w:t>same-store</w:t>
      </w:r>
      <w:r w:rsidRPr="008F6A02">
        <w:rPr>
          <w:rFonts w:ascii="Times New Roman" w:hAnsi="Times New Roman" w:cs="Times New Roman"/>
        </w:rPr>
        <w:t xml:space="preserve"> sales.</w:t>
      </w:r>
    </w:p>
    <w:p w14:paraId="1443973C" w14:textId="77777777" w:rsidR="008F6A02" w:rsidRPr="008F6A02" w:rsidRDefault="008F6A02" w:rsidP="008F6A02">
      <w:pPr>
        <w:pStyle w:val="ListParagraph"/>
        <w:numPr>
          <w:ilvl w:val="0"/>
          <w:numId w:val="1"/>
        </w:numPr>
        <w:spacing w:line="480" w:lineRule="auto"/>
        <w:rPr>
          <w:rFonts w:ascii="Times New Roman" w:hAnsi="Times New Roman" w:cs="Times New Roman"/>
        </w:rPr>
      </w:pPr>
      <w:r w:rsidRPr="008F6A02">
        <w:rPr>
          <w:rFonts w:ascii="Times New Roman" w:hAnsi="Times New Roman" w:cs="Times New Roman"/>
        </w:rPr>
        <w:t>Gross margin remained stable</w:t>
      </w:r>
      <w:r w:rsidRPr="008F6A02">
        <w:rPr>
          <w:rFonts w:ascii="Times New Roman" w:hAnsi="Times New Roman" w:cs="Times New Roman"/>
        </w:rPr>
        <w:t>,</w:t>
      </w:r>
      <w:r w:rsidRPr="008F6A02">
        <w:rPr>
          <w:rFonts w:ascii="Times New Roman" w:hAnsi="Times New Roman" w:cs="Times New Roman"/>
        </w:rPr>
        <w:t xml:space="preserve"> indicating strong purchasing and pricing.</w:t>
      </w:r>
    </w:p>
    <w:p w14:paraId="61CDCD3E" w14:textId="77777777" w:rsidR="008F6A02" w:rsidRPr="008F6A02" w:rsidRDefault="008F6A02" w:rsidP="008F6A02">
      <w:pPr>
        <w:pStyle w:val="ListParagraph"/>
        <w:numPr>
          <w:ilvl w:val="0"/>
          <w:numId w:val="1"/>
        </w:numPr>
        <w:spacing w:line="480" w:lineRule="auto"/>
        <w:rPr>
          <w:rFonts w:ascii="Times New Roman" w:hAnsi="Times New Roman" w:cs="Times New Roman"/>
        </w:rPr>
      </w:pPr>
      <w:r w:rsidRPr="008F6A02">
        <w:rPr>
          <w:rFonts w:ascii="Times New Roman" w:hAnsi="Times New Roman" w:cs="Times New Roman"/>
        </w:rPr>
        <w:t>An increase</w:t>
      </w:r>
      <w:r w:rsidRPr="008F6A02">
        <w:rPr>
          <w:rFonts w:ascii="Times New Roman" w:hAnsi="Times New Roman" w:cs="Times New Roman"/>
        </w:rPr>
        <w:t xml:space="preserve"> in operating and finance costs reduced profit margins.</w:t>
      </w:r>
    </w:p>
    <w:p w14:paraId="70F79ADE" w14:textId="77777777" w:rsidR="008F6A02" w:rsidRPr="008F6A02" w:rsidRDefault="008F6A02" w:rsidP="008F6A02">
      <w:pPr>
        <w:pStyle w:val="ListParagraph"/>
        <w:numPr>
          <w:ilvl w:val="0"/>
          <w:numId w:val="1"/>
        </w:numPr>
        <w:spacing w:line="480" w:lineRule="auto"/>
        <w:rPr>
          <w:rFonts w:ascii="Times New Roman" w:hAnsi="Times New Roman" w:cs="Times New Roman"/>
        </w:rPr>
      </w:pPr>
      <w:r w:rsidRPr="008F6A02">
        <w:rPr>
          <w:rFonts w:ascii="Times New Roman" w:hAnsi="Times New Roman" w:cs="Times New Roman"/>
        </w:rPr>
        <w:t>An increase</w:t>
      </w:r>
      <w:r w:rsidRPr="008F6A02">
        <w:rPr>
          <w:rFonts w:ascii="Times New Roman" w:hAnsi="Times New Roman" w:cs="Times New Roman"/>
        </w:rPr>
        <w:t xml:space="preserve"> in inventory caused an increase in cash and reduced cash generation.</w:t>
      </w:r>
    </w:p>
    <w:p w14:paraId="2CB652D3" w14:textId="36A23E90" w:rsidR="008F6A02" w:rsidRPr="008F6A02" w:rsidRDefault="008F6A02" w:rsidP="008F6A02">
      <w:pPr>
        <w:pStyle w:val="ListParagraph"/>
        <w:numPr>
          <w:ilvl w:val="0"/>
          <w:numId w:val="1"/>
        </w:numPr>
        <w:spacing w:line="480" w:lineRule="auto"/>
        <w:rPr>
          <w:rFonts w:ascii="Times New Roman" w:hAnsi="Times New Roman" w:cs="Times New Roman"/>
        </w:rPr>
      </w:pPr>
      <w:r w:rsidRPr="008F6A02">
        <w:rPr>
          <w:rFonts w:ascii="Times New Roman" w:hAnsi="Times New Roman" w:cs="Times New Roman"/>
        </w:rPr>
        <w:t>An increase</w:t>
      </w:r>
      <w:r w:rsidRPr="008F6A02">
        <w:rPr>
          <w:rFonts w:ascii="Times New Roman" w:hAnsi="Times New Roman" w:cs="Times New Roman"/>
        </w:rPr>
        <w:t xml:space="preserve"> in borrowings resulted in greater financial leverage as evidenced by an increase in the </w:t>
      </w:r>
      <w:r w:rsidRPr="008F6A02">
        <w:rPr>
          <w:rFonts w:ascii="Times New Roman" w:hAnsi="Times New Roman" w:cs="Times New Roman"/>
        </w:rPr>
        <w:t>debt-to-equity</w:t>
      </w:r>
      <w:r w:rsidRPr="008F6A02">
        <w:rPr>
          <w:rFonts w:ascii="Times New Roman" w:hAnsi="Times New Roman" w:cs="Times New Roman"/>
        </w:rPr>
        <w:t xml:space="preserve"> ratio from 1.24 to 1.51.</w:t>
      </w:r>
    </w:p>
    <w:p w14:paraId="7413181F" w14:textId="77777777"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The findings of the ratio analysis suggest that leverage can enhance or detract from the success of a business based on history and capital structure (Ali et al., 2022; </w:t>
      </w:r>
      <w:proofErr w:type="spellStart"/>
      <w:r w:rsidRPr="008F6A02">
        <w:rPr>
          <w:rFonts w:ascii="Times New Roman" w:hAnsi="Times New Roman" w:cs="Times New Roman"/>
        </w:rPr>
        <w:t>Sinebe</w:t>
      </w:r>
      <w:proofErr w:type="spellEnd"/>
      <w:r w:rsidRPr="008F6A02">
        <w:rPr>
          <w:rFonts w:ascii="Times New Roman" w:hAnsi="Times New Roman" w:cs="Times New Roman"/>
        </w:rPr>
        <w:t xml:space="preserve"> et al., 2025). Additionally, companies that operate under uncertain conditions require the flexibility </w:t>
      </w:r>
      <w:r w:rsidRPr="008F6A02">
        <w:rPr>
          <w:rFonts w:ascii="Times New Roman" w:hAnsi="Times New Roman" w:cs="Times New Roman"/>
        </w:rPr>
        <w:lastRenderedPageBreak/>
        <w:t xml:space="preserve">to absorb unexpected events and to continue to invest in their business efficiently (Wu et al., 2024). </w:t>
      </w:r>
    </w:p>
    <w:p w14:paraId="2F7F9539" w14:textId="77777777" w:rsidR="008F6A02" w:rsidRPr="008F6A02" w:rsidRDefault="008F6A02" w:rsidP="008F6A02">
      <w:pPr>
        <w:spacing w:line="480" w:lineRule="auto"/>
        <w:rPr>
          <w:rFonts w:ascii="Times New Roman" w:hAnsi="Times New Roman" w:cs="Times New Roman"/>
          <w:b/>
          <w:bCs/>
        </w:rPr>
      </w:pPr>
      <w:r w:rsidRPr="008F6A02">
        <w:rPr>
          <w:rFonts w:ascii="Times New Roman" w:hAnsi="Times New Roman" w:cs="Times New Roman"/>
          <w:b/>
          <w:bCs/>
        </w:rPr>
        <w:t>Recommendation for Improvement and Sustainability</w:t>
      </w:r>
    </w:p>
    <w:p w14:paraId="468A366B" w14:textId="486542B5"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The first area B&amp;M must improve is increasing </w:t>
      </w:r>
      <w:r>
        <w:rPr>
          <w:rFonts w:ascii="Times New Roman" w:hAnsi="Times New Roman" w:cs="Times New Roman"/>
        </w:rPr>
        <w:t>same-store</w:t>
      </w:r>
      <w:r w:rsidRPr="008F6A02">
        <w:rPr>
          <w:rFonts w:ascii="Times New Roman" w:hAnsi="Times New Roman" w:cs="Times New Roman"/>
        </w:rPr>
        <w:t xml:space="preserve"> sales in the current UK market. The 2025 report has referenced the improvement of space, merchandising, and distribution, all of which should remain a priority moving forward</w:t>
      </w:r>
      <w:r>
        <w:rPr>
          <w:rFonts w:ascii="Times New Roman" w:hAnsi="Times New Roman" w:cs="Times New Roman"/>
        </w:rPr>
        <w:t>,</w:t>
      </w:r>
      <w:r w:rsidRPr="008F6A02">
        <w:rPr>
          <w:rFonts w:ascii="Times New Roman" w:hAnsi="Times New Roman" w:cs="Times New Roman"/>
        </w:rPr>
        <w:t xml:space="preserve"> since increasing existing store sales will increase profit without a corresponding investment in new capital.</w:t>
      </w:r>
    </w:p>
    <w:p w14:paraId="19468892" w14:textId="77777777" w:rsidR="008F6A02" w:rsidRDefault="008F6A02" w:rsidP="008F6A02">
      <w:pPr>
        <w:spacing w:line="480" w:lineRule="auto"/>
        <w:rPr>
          <w:rFonts w:ascii="Times New Roman" w:hAnsi="Times New Roman" w:cs="Times New Roman"/>
        </w:rPr>
      </w:pPr>
      <w:r w:rsidRPr="008F6A02">
        <w:rPr>
          <w:rFonts w:ascii="Times New Roman" w:hAnsi="Times New Roman" w:cs="Times New Roman"/>
        </w:rPr>
        <w:t>Secondly, B&amp;M should improve inventory management. The inventory increased from £776 million to £883 million</w:t>
      </w:r>
      <w:r>
        <w:rPr>
          <w:rFonts w:ascii="Times New Roman" w:hAnsi="Times New Roman" w:cs="Times New Roman"/>
        </w:rPr>
        <w:t>,</w:t>
      </w:r>
      <w:r w:rsidRPr="008F6A02">
        <w:rPr>
          <w:rFonts w:ascii="Times New Roman" w:hAnsi="Times New Roman" w:cs="Times New Roman"/>
        </w:rPr>
        <w:t xml:space="preserve"> resulting in a decrease in free cash flow. Improved forecasting, replenishment, and analytics would assist in reducing excess inventory without impacting the availability of stock. Evidence suggests that companies leveraging business intelligence and A.I. to enhance financial </w:t>
      </w:r>
      <w:r>
        <w:rPr>
          <w:rFonts w:ascii="Times New Roman" w:hAnsi="Times New Roman" w:cs="Times New Roman"/>
        </w:rPr>
        <w:t>decision-making</w:t>
      </w:r>
      <w:r w:rsidRPr="008F6A02">
        <w:rPr>
          <w:rFonts w:ascii="Times New Roman" w:hAnsi="Times New Roman" w:cs="Times New Roman"/>
        </w:rPr>
        <w:t xml:space="preserve"> and forecasting quality will perform better (Renaldo, 2022; </w:t>
      </w:r>
      <w:proofErr w:type="spellStart"/>
      <w:r w:rsidRPr="008F6A02">
        <w:rPr>
          <w:rFonts w:ascii="Times New Roman" w:hAnsi="Times New Roman" w:cs="Times New Roman"/>
        </w:rPr>
        <w:t>Kureljusic</w:t>
      </w:r>
      <w:proofErr w:type="spellEnd"/>
      <w:r w:rsidRPr="008F6A02">
        <w:rPr>
          <w:rFonts w:ascii="Times New Roman" w:hAnsi="Times New Roman" w:cs="Times New Roman"/>
        </w:rPr>
        <w:t xml:space="preserve"> &amp; Karger, 2024; Cao et al., 2024).</w:t>
      </w:r>
    </w:p>
    <w:p w14:paraId="79BDD023" w14:textId="77777777" w:rsidR="008F6A02" w:rsidRDefault="008F6A02" w:rsidP="008F6A02">
      <w:pPr>
        <w:spacing w:line="480" w:lineRule="auto"/>
        <w:rPr>
          <w:rFonts w:ascii="Times New Roman" w:hAnsi="Times New Roman" w:cs="Times New Roman"/>
        </w:rPr>
      </w:pPr>
      <w:r w:rsidRPr="008F6A02">
        <w:rPr>
          <w:rFonts w:ascii="Times New Roman" w:hAnsi="Times New Roman" w:cs="Times New Roman"/>
        </w:rPr>
        <w:t>Third, B&amp;M must manage financing pressures and maintain flexibility. As financing costs and borrowings continue to increase, B&amp;M should focus on allocating capital as efficiently as possible, timing the expansion phases appropriately, and preserving cash flow generation. Financial flexibility plays a critical role when companies face investors with varying opinions of the current trading environment (Wu et al., 2024).</w:t>
      </w:r>
    </w:p>
    <w:p w14:paraId="2D985072" w14:textId="098A69CD"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Fourth, B&amp;M should consider developing their sustainability strategy. Improvements in energy efficiency, decreasing packaging, increasing distribution efficiency, and disclosing their supply chain will lead to a decrease in </w:t>
      </w:r>
      <w:r>
        <w:rPr>
          <w:rFonts w:ascii="Times New Roman" w:hAnsi="Times New Roman" w:cs="Times New Roman"/>
        </w:rPr>
        <w:t>long-run</w:t>
      </w:r>
      <w:r w:rsidRPr="008F6A02">
        <w:rPr>
          <w:rFonts w:ascii="Times New Roman" w:hAnsi="Times New Roman" w:cs="Times New Roman"/>
        </w:rPr>
        <w:t xml:space="preserve"> costs and increased resiliency. A growing body of research has linked </w:t>
      </w:r>
      <w:r>
        <w:rPr>
          <w:rFonts w:ascii="Times New Roman" w:hAnsi="Times New Roman" w:cs="Times New Roman"/>
        </w:rPr>
        <w:t xml:space="preserve">the </w:t>
      </w:r>
      <w:r w:rsidRPr="008F6A02">
        <w:rPr>
          <w:rFonts w:ascii="Times New Roman" w:hAnsi="Times New Roman" w:cs="Times New Roman"/>
        </w:rPr>
        <w:t xml:space="preserve">performance of businesses to sustainability reporting and the </w:t>
      </w:r>
      <w:r>
        <w:rPr>
          <w:rFonts w:ascii="Times New Roman" w:hAnsi="Times New Roman" w:cs="Times New Roman"/>
        </w:rPr>
        <w:t>utilisation</w:t>
      </w:r>
      <w:r w:rsidRPr="008F6A02">
        <w:rPr>
          <w:rFonts w:ascii="Times New Roman" w:hAnsi="Times New Roman" w:cs="Times New Roman"/>
        </w:rPr>
        <w:t xml:space="preserve"> of green accounting techniques (Khan &amp; Gupta, 2024; </w:t>
      </w:r>
      <w:r w:rsidRPr="008F6A02">
        <w:rPr>
          <w:rFonts w:ascii="Times New Roman" w:hAnsi="Times New Roman" w:cs="Times New Roman"/>
        </w:rPr>
        <w:t>Nicolo</w:t>
      </w:r>
      <w:r w:rsidRPr="008F6A02">
        <w:rPr>
          <w:rFonts w:ascii="Times New Roman" w:hAnsi="Times New Roman" w:cs="Times New Roman"/>
        </w:rPr>
        <w:t xml:space="preserve"> et al., 2025; </w:t>
      </w:r>
      <w:r w:rsidRPr="008F6A02">
        <w:rPr>
          <w:rFonts w:ascii="Times New Roman" w:hAnsi="Times New Roman" w:cs="Times New Roman"/>
        </w:rPr>
        <w:lastRenderedPageBreak/>
        <w:t xml:space="preserve">Rashid &amp; </w:t>
      </w:r>
      <w:proofErr w:type="spellStart"/>
      <w:r w:rsidRPr="008F6A02">
        <w:rPr>
          <w:rFonts w:ascii="Times New Roman" w:hAnsi="Times New Roman" w:cs="Times New Roman"/>
        </w:rPr>
        <w:t>Jaf</w:t>
      </w:r>
      <w:proofErr w:type="spellEnd"/>
      <w:r w:rsidRPr="008F6A02">
        <w:rPr>
          <w:rFonts w:ascii="Times New Roman" w:hAnsi="Times New Roman" w:cs="Times New Roman"/>
        </w:rPr>
        <w:t xml:space="preserve">, 2023). Additionally, investing in human capital, systems and intellectual resources will help support the future performance of B&amp;M (Bataineh et al., 2022). </w:t>
      </w:r>
    </w:p>
    <w:p w14:paraId="518546EC" w14:textId="77777777" w:rsidR="008F6A02" w:rsidRPr="008F6A02" w:rsidRDefault="008F6A02" w:rsidP="008F6A02">
      <w:pPr>
        <w:spacing w:line="480" w:lineRule="auto"/>
        <w:rPr>
          <w:rFonts w:ascii="Times New Roman" w:hAnsi="Times New Roman" w:cs="Times New Roman"/>
          <w:b/>
          <w:bCs/>
        </w:rPr>
      </w:pPr>
      <w:r w:rsidRPr="008F6A02">
        <w:rPr>
          <w:rFonts w:ascii="Times New Roman" w:hAnsi="Times New Roman" w:cs="Times New Roman"/>
          <w:b/>
          <w:bCs/>
        </w:rPr>
        <w:t>Conclusion</w:t>
      </w:r>
    </w:p>
    <w:p w14:paraId="42767D58" w14:textId="1C9975B1"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Overall, the above ratio analysis demonstrates that B&amp;M is still a large, profitable, and liquid retailer at </w:t>
      </w:r>
      <w:r>
        <w:rPr>
          <w:rFonts w:ascii="Times New Roman" w:hAnsi="Times New Roman" w:cs="Times New Roman"/>
        </w:rPr>
        <w:t>the year-end</w:t>
      </w:r>
      <w:r w:rsidRPr="008F6A02">
        <w:rPr>
          <w:rFonts w:ascii="Times New Roman" w:hAnsi="Times New Roman" w:cs="Times New Roman"/>
        </w:rPr>
        <w:t xml:space="preserve"> of FY2025, but </w:t>
      </w:r>
      <w:r>
        <w:rPr>
          <w:rFonts w:ascii="Times New Roman" w:hAnsi="Times New Roman" w:cs="Times New Roman"/>
        </w:rPr>
        <w:t>it</w:t>
      </w:r>
      <w:r w:rsidRPr="008F6A02">
        <w:rPr>
          <w:rFonts w:ascii="Times New Roman" w:hAnsi="Times New Roman" w:cs="Times New Roman"/>
        </w:rPr>
        <w:t xml:space="preserve"> underperformed in FY2024. Improvements in revenue and gross margin </w:t>
      </w:r>
      <w:r>
        <w:rPr>
          <w:rFonts w:ascii="Times New Roman" w:hAnsi="Times New Roman" w:cs="Times New Roman"/>
        </w:rPr>
        <w:t>do</w:t>
      </w:r>
      <w:r w:rsidRPr="008F6A02">
        <w:rPr>
          <w:rFonts w:ascii="Times New Roman" w:hAnsi="Times New Roman" w:cs="Times New Roman"/>
        </w:rPr>
        <w:t xml:space="preserve"> not offset declines in operating margin, net margin, return on assets, return on equity, and asset turnover. The primary factors appear to be lower </w:t>
      </w:r>
      <w:r>
        <w:rPr>
          <w:rFonts w:ascii="Times New Roman" w:hAnsi="Times New Roman" w:cs="Times New Roman"/>
        </w:rPr>
        <w:t>same-store</w:t>
      </w:r>
      <w:r w:rsidRPr="008F6A02">
        <w:rPr>
          <w:rFonts w:ascii="Times New Roman" w:hAnsi="Times New Roman" w:cs="Times New Roman"/>
        </w:rPr>
        <w:t xml:space="preserve"> sales, increased inventory, higher financing, and a more rigorous cost environment, although new store openings continued to support nominal revenue growth.</w:t>
      </w:r>
    </w:p>
    <w:p w14:paraId="0F262C86" w14:textId="45A254F1" w:rsid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Overall, the ratio analysis provides a clearer picture of the financial position of B&amp;M. In conclusion, the ratio analysis confirms that B&amp;M's core business continues to remain resilient as well as highlighting the areas of pressure developing on profit conversion, efficiency, and leverage. The primary conclusion of the ratio analysis is that while B&amp;M maintains a solid financial position, </w:t>
      </w:r>
      <w:r>
        <w:rPr>
          <w:rFonts w:ascii="Times New Roman" w:hAnsi="Times New Roman" w:cs="Times New Roman"/>
        </w:rPr>
        <w:t>its</w:t>
      </w:r>
      <w:r w:rsidRPr="008F6A02">
        <w:rPr>
          <w:rFonts w:ascii="Times New Roman" w:hAnsi="Times New Roman" w:cs="Times New Roman"/>
        </w:rPr>
        <w:t xml:space="preserve"> future improvement will be dependent on increasing </w:t>
      </w:r>
      <w:r>
        <w:rPr>
          <w:rFonts w:ascii="Times New Roman" w:hAnsi="Times New Roman" w:cs="Times New Roman"/>
        </w:rPr>
        <w:t>same-store</w:t>
      </w:r>
      <w:r w:rsidRPr="008F6A02">
        <w:rPr>
          <w:rFonts w:ascii="Times New Roman" w:hAnsi="Times New Roman" w:cs="Times New Roman"/>
        </w:rPr>
        <w:t xml:space="preserve"> sales, controlling working capital, disciplined financing and implementing more sustainable practices.</w:t>
      </w:r>
    </w:p>
    <w:p w14:paraId="35424B27" w14:textId="77777777" w:rsidR="008F6A02" w:rsidRDefault="008F6A02" w:rsidP="008F6A02">
      <w:pPr>
        <w:spacing w:line="480" w:lineRule="auto"/>
        <w:rPr>
          <w:rFonts w:ascii="Times New Roman" w:hAnsi="Times New Roman" w:cs="Times New Roman"/>
        </w:rPr>
      </w:pPr>
    </w:p>
    <w:p w14:paraId="6BA78E50" w14:textId="77777777" w:rsidR="008F6A02" w:rsidRDefault="008F6A02" w:rsidP="008F6A02">
      <w:pPr>
        <w:spacing w:line="480" w:lineRule="auto"/>
        <w:rPr>
          <w:rFonts w:ascii="Times New Roman" w:hAnsi="Times New Roman" w:cs="Times New Roman"/>
        </w:rPr>
      </w:pPr>
    </w:p>
    <w:p w14:paraId="5511E9F7" w14:textId="77777777" w:rsidR="008F6A02" w:rsidRDefault="008F6A02" w:rsidP="008F6A02">
      <w:pPr>
        <w:spacing w:line="480" w:lineRule="auto"/>
        <w:rPr>
          <w:rFonts w:ascii="Times New Roman" w:hAnsi="Times New Roman" w:cs="Times New Roman"/>
        </w:rPr>
      </w:pPr>
    </w:p>
    <w:p w14:paraId="41956502" w14:textId="77777777" w:rsidR="008F6A02" w:rsidRDefault="008F6A02" w:rsidP="008F6A02">
      <w:pPr>
        <w:spacing w:line="480" w:lineRule="auto"/>
        <w:rPr>
          <w:rFonts w:ascii="Times New Roman" w:hAnsi="Times New Roman" w:cs="Times New Roman"/>
        </w:rPr>
      </w:pPr>
    </w:p>
    <w:p w14:paraId="077906B4" w14:textId="77777777" w:rsidR="008F6A02" w:rsidRDefault="008F6A02" w:rsidP="008F6A02">
      <w:pPr>
        <w:spacing w:line="480" w:lineRule="auto"/>
        <w:rPr>
          <w:rFonts w:ascii="Times New Roman" w:hAnsi="Times New Roman" w:cs="Times New Roman"/>
        </w:rPr>
      </w:pPr>
    </w:p>
    <w:p w14:paraId="6572A66C" w14:textId="77777777" w:rsidR="008165F3" w:rsidRDefault="008165F3" w:rsidP="008F6A02">
      <w:pPr>
        <w:spacing w:line="480" w:lineRule="auto"/>
        <w:rPr>
          <w:rFonts w:ascii="Times New Roman" w:hAnsi="Times New Roman" w:cs="Times New Roman"/>
        </w:rPr>
      </w:pPr>
    </w:p>
    <w:p w14:paraId="4C79DA4F" w14:textId="0DD5FDB4" w:rsidR="008F6A02" w:rsidRPr="008165F3" w:rsidRDefault="008F6A02" w:rsidP="008F6A02">
      <w:pPr>
        <w:spacing w:line="480" w:lineRule="auto"/>
        <w:rPr>
          <w:rFonts w:ascii="Times New Roman" w:hAnsi="Times New Roman" w:cs="Times New Roman"/>
          <w:b/>
          <w:bCs/>
        </w:rPr>
      </w:pPr>
      <w:r w:rsidRPr="008165F3">
        <w:rPr>
          <w:rFonts w:ascii="Times New Roman" w:hAnsi="Times New Roman" w:cs="Times New Roman"/>
          <w:b/>
          <w:bCs/>
        </w:rPr>
        <w:lastRenderedPageBreak/>
        <w:t xml:space="preserve">References </w:t>
      </w:r>
    </w:p>
    <w:p w14:paraId="7D9D5EF5" w14:textId="77777777"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Ali, J., Tahira, Y., Amir, M., Ullah, F., Tahir, M., Shah, W., &amp; Tariq, S. (2022). Leverage, ownership structure and firm performance. </w:t>
      </w:r>
      <w:r w:rsidRPr="008165F3">
        <w:rPr>
          <w:rFonts w:ascii="Times New Roman" w:hAnsi="Times New Roman" w:cs="Times New Roman"/>
          <w:i/>
          <w:iCs/>
        </w:rPr>
        <w:t>Journal of Financial Risk Management, 11</w:t>
      </w:r>
      <w:r w:rsidRPr="008F6A02">
        <w:rPr>
          <w:rFonts w:ascii="Times New Roman" w:hAnsi="Times New Roman" w:cs="Times New Roman"/>
        </w:rPr>
        <w:t>(1), 41–65.</w:t>
      </w:r>
    </w:p>
    <w:p w14:paraId="4C57820A" w14:textId="77777777"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Bataineh, H., Abbadi, S. S., </w:t>
      </w:r>
      <w:proofErr w:type="spellStart"/>
      <w:r w:rsidRPr="008F6A02">
        <w:rPr>
          <w:rFonts w:ascii="Times New Roman" w:hAnsi="Times New Roman" w:cs="Times New Roman"/>
        </w:rPr>
        <w:t>Alabood</w:t>
      </w:r>
      <w:proofErr w:type="spellEnd"/>
      <w:r w:rsidRPr="008F6A02">
        <w:rPr>
          <w:rFonts w:ascii="Times New Roman" w:hAnsi="Times New Roman" w:cs="Times New Roman"/>
        </w:rPr>
        <w:t xml:space="preserve">, E., &amp; Alkurdi, A. (2022). The effect of intellectual capital on firm performance: The mediating role of family management. </w:t>
      </w:r>
      <w:r w:rsidRPr="008165F3">
        <w:rPr>
          <w:rFonts w:ascii="Times New Roman" w:hAnsi="Times New Roman" w:cs="Times New Roman"/>
          <w:i/>
          <w:iCs/>
        </w:rPr>
        <w:t>Journal of Islamic Accounting and Business Research, 13</w:t>
      </w:r>
      <w:r w:rsidRPr="008F6A02">
        <w:rPr>
          <w:rFonts w:ascii="Times New Roman" w:hAnsi="Times New Roman" w:cs="Times New Roman"/>
        </w:rPr>
        <w:t>(5), 845–863.</w:t>
      </w:r>
    </w:p>
    <w:p w14:paraId="1C4862F7" w14:textId="77777777"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Cao, S. S., Jiang, W., &amp; Lei, L. G. (2024). Applied AI for finance and accounting: Alternative data and opportunities. </w:t>
      </w:r>
      <w:r w:rsidRPr="008165F3">
        <w:rPr>
          <w:rFonts w:ascii="Times New Roman" w:hAnsi="Times New Roman" w:cs="Times New Roman"/>
          <w:i/>
          <w:iCs/>
        </w:rPr>
        <w:t>Pacific-Basin Finance Journal, 84</w:t>
      </w:r>
      <w:r w:rsidRPr="008F6A02">
        <w:rPr>
          <w:rFonts w:ascii="Times New Roman" w:hAnsi="Times New Roman" w:cs="Times New Roman"/>
        </w:rPr>
        <w:t>, 102307.</w:t>
      </w:r>
    </w:p>
    <w:p w14:paraId="2262FA12" w14:textId="77777777"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Khan, S., &amp; Gupta, S. (2024). The interplay of sustainability, corporate green accounting and firm financial performance: A meta-analytical investigation. </w:t>
      </w:r>
      <w:r w:rsidRPr="008165F3">
        <w:rPr>
          <w:rFonts w:ascii="Times New Roman" w:hAnsi="Times New Roman" w:cs="Times New Roman"/>
          <w:i/>
          <w:iCs/>
        </w:rPr>
        <w:t>Sustainability Accounting, Management and Policy Journal, 15</w:t>
      </w:r>
      <w:r w:rsidRPr="008F6A02">
        <w:rPr>
          <w:rFonts w:ascii="Times New Roman" w:hAnsi="Times New Roman" w:cs="Times New Roman"/>
        </w:rPr>
        <w:t>(5), 1038–1066.</w:t>
      </w:r>
    </w:p>
    <w:p w14:paraId="55DD2BE7" w14:textId="77777777" w:rsidR="008F6A02" w:rsidRPr="008F6A02" w:rsidRDefault="008F6A02" w:rsidP="008F6A02">
      <w:pPr>
        <w:spacing w:line="480" w:lineRule="auto"/>
        <w:rPr>
          <w:rFonts w:ascii="Times New Roman" w:hAnsi="Times New Roman" w:cs="Times New Roman"/>
        </w:rPr>
      </w:pPr>
      <w:proofErr w:type="spellStart"/>
      <w:r w:rsidRPr="008F6A02">
        <w:rPr>
          <w:rFonts w:ascii="Times New Roman" w:hAnsi="Times New Roman" w:cs="Times New Roman"/>
        </w:rPr>
        <w:t>Kureljusic</w:t>
      </w:r>
      <w:proofErr w:type="spellEnd"/>
      <w:r w:rsidRPr="008F6A02">
        <w:rPr>
          <w:rFonts w:ascii="Times New Roman" w:hAnsi="Times New Roman" w:cs="Times New Roman"/>
        </w:rPr>
        <w:t>, M., &amp; Karger, E. (2024). Forecasting in financial accounting with artificial intelligence: A systematic literature review and future research agenda</w:t>
      </w:r>
      <w:r w:rsidRPr="008165F3">
        <w:rPr>
          <w:rFonts w:ascii="Times New Roman" w:hAnsi="Times New Roman" w:cs="Times New Roman"/>
          <w:i/>
          <w:iCs/>
        </w:rPr>
        <w:t>. Journal of Applied Accounting Research, 25</w:t>
      </w:r>
      <w:r w:rsidRPr="008F6A02">
        <w:rPr>
          <w:rFonts w:ascii="Times New Roman" w:hAnsi="Times New Roman" w:cs="Times New Roman"/>
        </w:rPr>
        <w:t>(1), 81–104.</w:t>
      </w:r>
    </w:p>
    <w:p w14:paraId="50273A42" w14:textId="77777777"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Lee, C. C. (2023). Analyses of the operating performance of information service companies based on indicators of financial statements. </w:t>
      </w:r>
      <w:r w:rsidRPr="008165F3">
        <w:rPr>
          <w:rFonts w:ascii="Times New Roman" w:hAnsi="Times New Roman" w:cs="Times New Roman"/>
          <w:i/>
          <w:iCs/>
        </w:rPr>
        <w:t>Asia Pacific Management Review, 28</w:t>
      </w:r>
      <w:r w:rsidRPr="008F6A02">
        <w:rPr>
          <w:rFonts w:ascii="Times New Roman" w:hAnsi="Times New Roman" w:cs="Times New Roman"/>
        </w:rPr>
        <w:t>(4), 410–419.</w:t>
      </w:r>
    </w:p>
    <w:p w14:paraId="7F9C59C1" w14:textId="77777777"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Lubis, S. S. (2023). Identify financial ratios to measure the company’s financial performance. </w:t>
      </w:r>
      <w:r w:rsidRPr="008165F3">
        <w:rPr>
          <w:rFonts w:ascii="Times New Roman" w:hAnsi="Times New Roman" w:cs="Times New Roman"/>
          <w:i/>
          <w:iCs/>
        </w:rPr>
        <w:t>Journal of Economics Business Industry, 1</w:t>
      </w:r>
      <w:r w:rsidRPr="008F6A02">
        <w:rPr>
          <w:rFonts w:ascii="Times New Roman" w:hAnsi="Times New Roman" w:cs="Times New Roman"/>
        </w:rPr>
        <w:t>(1), 1–9.</w:t>
      </w:r>
    </w:p>
    <w:p w14:paraId="063B3182" w14:textId="77777777" w:rsidR="008165F3" w:rsidRDefault="008165F3" w:rsidP="008F6A02">
      <w:pPr>
        <w:spacing w:line="480" w:lineRule="auto"/>
        <w:rPr>
          <w:rFonts w:ascii="Times New Roman" w:hAnsi="Times New Roman" w:cs="Times New Roman"/>
        </w:rPr>
      </w:pPr>
      <w:r w:rsidRPr="008F6A02">
        <w:rPr>
          <w:rFonts w:ascii="Times New Roman" w:hAnsi="Times New Roman" w:cs="Times New Roman"/>
        </w:rPr>
        <w:t>Nicolo</w:t>
      </w:r>
      <w:r w:rsidR="008F6A02" w:rsidRPr="008F6A02">
        <w:rPr>
          <w:rFonts w:ascii="Times New Roman" w:hAnsi="Times New Roman" w:cs="Times New Roman"/>
        </w:rPr>
        <w:t xml:space="preserve">, G., Zampone, G., Sannino, G., &amp; </w:t>
      </w:r>
      <w:proofErr w:type="spellStart"/>
      <w:r w:rsidR="008F6A02" w:rsidRPr="008F6A02">
        <w:rPr>
          <w:rFonts w:ascii="Times New Roman" w:hAnsi="Times New Roman" w:cs="Times New Roman"/>
        </w:rPr>
        <w:t>Polcini</w:t>
      </w:r>
      <w:proofErr w:type="spellEnd"/>
      <w:r w:rsidR="008F6A02" w:rsidRPr="008F6A02">
        <w:rPr>
          <w:rFonts w:ascii="Times New Roman" w:hAnsi="Times New Roman" w:cs="Times New Roman"/>
        </w:rPr>
        <w:t xml:space="preserve">, P. T. (2025). Sustainable development goals disclosure and analyst forecast quality. </w:t>
      </w:r>
      <w:r w:rsidR="008F6A02" w:rsidRPr="008165F3">
        <w:rPr>
          <w:rFonts w:ascii="Times New Roman" w:hAnsi="Times New Roman" w:cs="Times New Roman"/>
          <w:i/>
          <w:iCs/>
        </w:rPr>
        <w:t>Journal of Applied Accounting Research, 26</w:t>
      </w:r>
      <w:r w:rsidR="008F6A02" w:rsidRPr="008F6A02">
        <w:rPr>
          <w:rFonts w:ascii="Times New Roman" w:hAnsi="Times New Roman" w:cs="Times New Roman"/>
        </w:rPr>
        <w:t>(6), 1–25.</w:t>
      </w:r>
    </w:p>
    <w:p w14:paraId="1FE61DA2" w14:textId="40CCA74E"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lastRenderedPageBreak/>
        <w:t xml:space="preserve">Olayinka, A. A. (2022). Financial statement analysis as a tool for investment decisions and assessment of companies’ performance. </w:t>
      </w:r>
      <w:r w:rsidRPr="008165F3">
        <w:rPr>
          <w:rFonts w:ascii="Times New Roman" w:hAnsi="Times New Roman" w:cs="Times New Roman"/>
          <w:i/>
          <w:iCs/>
        </w:rPr>
        <w:t>International Journal of Financial, Accounting, and Management, 4</w:t>
      </w:r>
      <w:r w:rsidRPr="008F6A02">
        <w:rPr>
          <w:rFonts w:ascii="Times New Roman" w:hAnsi="Times New Roman" w:cs="Times New Roman"/>
        </w:rPr>
        <w:t>(1), 49–66.</w:t>
      </w:r>
    </w:p>
    <w:p w14:paraId="07245A68" w14:textId="77777777" w:rsidR="008F6A02" w:rsidRPr="008F6A02" w:rsidRDefault="008F6A02" w:rsidP="008F6A02">
      <w:pPr>
        <w:spacing w:line="480" w:lineRule="auto"/>
        <w:rPr>
          <w:rFonts w:ascii="Times New Roman" w:hAnsi="Times New Roman" w:cs="Times New Roman"/>
        </w:rPr>
      </w:pPr>
      <w:proofErr w:type="spellStart"/>
      <w:r w:rsidRPr="008F6A02">
        <w:rPr>
          <w:rFonts w:ascii="Times New Roman" w:hAnsi="Times New Roman" w:cs="Times New Roman"/>
        </w:rPr>
        <w:t>Rahiminezhad</w:t>
      </w:r>
      <w:proofErr w:type="spellEnd"/>
      <w:r w:rsidRPr="008F6A02">
        <w:rPr>
          <w:rFonts w:ascii="Times New Roman" w:hAnsi="Times New Roman" w:cs="Times New Roman"/>
        </w:rPr>
        <w:t xml:space="preserve"> Galankashi, M., &amp; Mokhatab </w:t>
      </w:r>
      <w:proofErr w:type="spellStart"/>
      <w:r w:rsidRPr="008F6A02">
        <w:rPr>
          <w:rFonts w:ascii="Times New Roman" w:hAnsi="Times New Roman" w:cs="Times New Roman"/>
        </w:rPr>
        <w:t>Rafiei</w:t>
      </w:r>
      <w:proofErr w:type="spellEnd"/>
      <w:r w:rsidRPr="008F6A02">
        <w:rPr>
          <w:rFonts w:ascii="Times New Roman" w:hAnsi="Times New Roman" w:cs="Times New Roman"/>
        </w:rPr>
        <w:t xml:space="preserve">, F. (2022). Financial performance measurement of supply chains: A review. </w:t>
      </w:r>
      <w:r w:rsidRPr="008165F3">
        <w:rPr>
          <w:rFonts w:ascii="Times New Roman" w:hAnsi="Times New Roman" w:cs="Times New Roman"/>
          <w:i/>
          <w:iCs/>
        </w:rPr>
        <w:t>International Journal of Productivity and Performance Management, 71</w:t>
      </w:r>
      <w:r w:rsidRPr="008F6A02">
        <w:rPr>
          <w:rFonts w:ascii="Times New Roman" w:hAnsi="Times New Roman" w:cs="Times New Roman"/>
        </w:rPr>
        <w:t>(5), 1674–1707.</w:t>
      </w:r>
    </w:p>
    <w:p w14:paraId="3F4403BE" w14:textId="77777777"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Rashid, C. A., &amp; </w:t>
      </w:r>
      <w:proofErr w:type="spellStart"/>
      <w:r w:rsidRPr="008F6A02">
        <w:rPr>
          <w:rFonts w:ascii="Times New Roman" w:hAnsi="Times New Roman" w:cs="Times New Roman"/>
        </w:rPr>
        <w:t>Jaf</w:t>
      </w:r>
      <w:proofErr w:type="spellEnd"/>
      <w:r w:rsidRPr="008F6A02">
        <w:rPr>
          <w:rFonts w:ascii="Times New Roman" w:hAnsi="Times New Roman" w:cs="Times New Roman"/>
        </w:rPr>
        <w:t xml:space="preserve">, R. A. S. (2023). The role of accounting measurement and disclosure of social capital in improving financial performance. </w:t>
      </w:r>
      <w:r w:rsidRPr="008165F3">
        <w:rPr>
          <w:rFonts w:ascii="Times New Roman" w:hAnsi="Times New Roman" w:cs="Times New Roman"/>
          <w:i/>
          <w:iCs/>
        </w:rPr>
        <w:t>Academic Journal of Nawroz University (AJNU), 12</w:t>
      </w:r>
      <w:r w:rsidRPr="008F6A02">
        <w:rPr>
          <w:rFonts w:ascii="Times New Roman" w:hAnsi="Times New Roman" w:cs="Times New Roman"/>
        </w:rPr>
        <w:t>(4).</w:t>
      </w:r>
    </w:p>
    <w:p w14:paraId="3C55E54F" w14:textId="682DF3D7"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Renaldo, N. (2022). </w:t>
      </w:r>
      <w:r w:rsidR="008165F3">
        <w:rPr>
          <w:rFonts w:ascii="Times New Roman" w:hAnsi="Times New Roman" w:cs="Times New Roman"/>
        </w:rPr>
        <w:t>Optimising</w:t>
      </w:r>
      <w:r w:rsidRPr="008F6A02">
        <w:rPr>
          <w:rFonts w:ascii="Times New Roman" w:hAnsi="Times New Roman" w:cs="Times New Roman"/>
        </w:rPr>
        <w:t xml:space="preserve"> company finances using business intelligence in accounting. </w:t>
      </w:r>
      <w:r w:rsidRPr="008165F3">
        <w:rPr>
          <w:rFonts w:ascii="Times New Roman" w:hAnsi="Times New Roman" w:cs="Times New Roman"/>
          <w:i/>
          <w:iCs/>
        </w:rPr>
        <w:t>Journal of Applied Business and Technology, 3</w:t>
      </w:r>
      <w:r w:rsidRPr="008F6A02">
        <w:rPr>
          <w:rFonts w:ascii="Times New Roman" w:hAnsi="Times New Roman" w:cs="Times New Roman"/>
        </w:rPr>
        <w:t>(2), 209–213.</w:t>
      </w:r>
    </w:p>
    <w:p w14:paraId="41ACDD74" w14:textId="1604B8E5"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Renaldo, N., Rozalia, D. K., Musa, S., &amp; Wahid, N. (2023). Current ratio, firm size, and return on equity on price earnings ratio with dividend payout ratio as a </w:t>
      </w:r>
      <w:r w:rsidR="008165F3">
        <w:rPr>
          <w:rFonts w:ascii="Times New Roman" w:hAnsi="Times New Roman" w:cs="Times New Roman"/>
        </w:rPr>
        <w:t>moderator</w:t>
      </w:r>
      <w:r w:rsidRPr="008F6A02">
        <w:rPr>
          <w:rFonts w:ascii="Times New Roman" w:hAnsi="Times New Roman" w:cs="Times New Roman"/>
        </w:rPr>
        <w:t xml:space="preserve"> and firm characteristic as </w:t>
      </w:r>
      <w:r w:rsidR="008165F3">
        <w:rPr>
          <w:rFonts w:ascii="Times New Roman" w:hAnsi="Times New Roman" w:cs="Times New Roman"/>
        </w:rPr>
        <w:t xml:space="preserve">a </w:t>
      </w:r>
      <w:r w:rsidRPr="008F6A02">
        <w:rPr>
          <w:rFonts w:ascii="Times New Roman" w:hAnsi="Times New Roman" w:cs="Times New Roman"/>
        </w:rPr>
        <w:t xml:space="preserve">control variable on the MNC 36 Index period 2017–2021. </w:t>
      </w:r>
      <w:r w:rsidRPr="008165F3">
        <w:rPr>
          <w:rFonts w:ascii="Times New Roman" w:hAnsi="Times New Roman" w:cs="Times New Roman"/>
          <w:i/>
          <w:iCs/>
        </w:rPr>
        <w:t>Journal of Applied Business and Technology, 4</w:t>
      </w:r>
      <w:r w:rsidRPr="008F6A02">
        <w:rPr>
          <w:rFonts w:ascii="Times New Roman" w:hAnsi="Times New Roman" w:cs="Times New Roman"/>
        </w:rPr>
        <w:t>(3), 214–226.</w:t>
      </w:r>
    </w:p>
    <w:p w14:paraId="0217E249" w14:textId="3A7E1194"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Saputra, F. (2022). Analysis </w:t>
      </w:r>
      <w:r w:rsidR="008165F3">
        <w:rPr>
          <w:rFonts w:ascii="Times New Roman" w:hAnsi="Times New Roman" w:cs="Times New Roman"/>
        </w:rPr>
        <w:t xml:space="preserve">of the </w:t>
      </w:r>
      <w:r w:rsidRPr="008F6A02">
        <w:rPr>
          <w:rFonts w:ascii="Times New Roman" w:hAnsi="Times New Roman" w:cs="Times New Roman"/>
        </w:rPr>
        <w:t xml:space="preserve">effect </w:t>
      </w:r>
      <w:r w:rsidR="008165F3">
        <w:rPr>
          <w:rFonts w:ascii="Times New Roman" w:hAnsi="Times New Roman" w:cs="Times New Roman"/>
        </w:rPr>
        <w:t xml:space="preserve">of </w:t>
      </w:r>
      <w:r w:rsidRPr="008F6A02">
        <w:rPr>
          <w:rFonts w:ascii="Times New Roman" w:hAnsi="Times New Roman" w:cs="Times New Roman"/>
        </w:rPr>
        <w:t xml:space="preserve">return on assets (ROA), return on equity (ROE) and </w:t>
      </w:r>
      <w:r w:rsidR="008165F3">
        <w:rPr>
          <w:rFonts w:ascii="Times New Roman" w:hAnsi="Times New Roman" w:cs="Times New Roman"/>
        </w:rPr>
        <w:t>price-earnings</w:t>
      </w:r>
      <w:r w:rsidRPr="008F6A02">
        <w:rPr>
          <w:rFonts w:ascii="Times New Roman" w:hAnsi="Times New Roman" w:cs="Times New Roman"/>
        </w:rPr>
        <w:t xml:space="preserve"> ratio (PER) on stock prices of coal companies in the Indonesia Stock Exchange (IDX) period 2018–2021. </w:t>
      </w:r>
      <w:r w:rsidRPr="00A225CB">
        <w:rPr>
          <w:rFonts w:ascii="Times New Roman" w:hAnsi="Times New Roman" w:cs="Times New Roman"/>
          <w:i/>
          <w:iCs/>
        </w:rPr>
        <w:t>Dinasti International Journal of Economics, Finance and Accounting, 3</w:t>
      </w:r>
      <w:r w:rsidRPr="008F6A02">
        <w:rPr>
          <w:rFonts w:ascii="Times New Roman" w:hAnsi="Times New Roman" w:cs="Times New Roman"/>
        </w:rPr>
        <w:t>(1), 82–94.</w:t>
      </w:r>
    </w:p>
    <w:p w14:paraId="0E2A100E" w14:textId="77777777" w:rsidR="00A225CB" w:rsidRDefault="008F6A02" w:rsidP="008F6A02">
      <w:pPr>
        <w:spacing w:line="480" w:lineRule="auto"/>
        <w:rPr>
          <w:rFonts w:ascii="Times New Roman" w:hAnsi="Times New Roman" w:cs="Times New Roman"/>
        </w:rPr>
      </w:pPr>
      <w:proofErr w:type="spellStart"/>
      <w:r w:rsidRPr="008F6A02">
        <w:rPr>
          <w:rFonts w:ascii="Times New Roman" w:hAnsi="Times New Roman" w:cs="Times New Roman"/>
        </w:rPr>
        <w:t>Sinebe</w:t>
      </w:r>
      <w:proofErr w:type="spellEnd"/>
      <w:r w:rsidRPr="008F6A02">
        <w:rPr>
          <w:rFonts w:ascii="Times New Roman" w:hAnsi="Times New Roman" w:cs="Times New Roman"/>
        </w:rPr>
        <w:t xml:space="preserve">, M. T., </w:t>
      </w:r>
      <w:proofErr w:type="spellStart"/>
      <w:r w:rsidRPr="008F6A02">
        <w:rPr>
          <w:rFonts w:ascii="Times New Roman" w:hAnsi="Times New Roman" w:cs="Times New Roman"/>
        </w:rPr>
        <w:t>Jeroh</w:t>
      </w:r>
      <w:proofErr w:type="spellEnd"/>
      <w:r w:rsidRPr="008F6A02">
        <w:rPr>
          <w:rFonts w:ascii="Times New Roman" w:hAnsi="Times New Roman" w:cs="Times New Roman"/>
        </w:rPr>
        <w:t xml:space="preserve">, E., &amp; </w:t>
      </w:r>
      <w:proofErr w:type="spellStart"/>
      <w:r w:rsidRPr="008F6A02">
        <w:rPr>
          <w:rFonts w:ascii="Times New Roman" w:hAnsi="Times New Roman" w:cs="Times New Roman"/>
        </w:rPr>
        <w:t>Ebiaghan</w:t>
      </w:r>
      <w:proofErr w:type="spellEnd"/>
      <w:r w:rsidRPr="008F6A02">
        <w:rPr>
          <w:rFonts w:ascii="Times New Roman" w:hAnsi="Times New Roman" w:cs="Times New Roman"/>
        </w:rPr>
        <w:t xml:space="preserve">, F. O. (2025). Moderating role of leverage on the relationship between business models and value relevance of accounting information. </w:t>
      </w:r>
      <w:r w:rsidRPr="00A225CB">
        <w:rPr>
          <w:rFonts w:ascii="Times New Roman" w:hAnsi="Times New Roman" w:cs="Times New Roman"/>
          <w:i/>
          <w:iCs/>
        </w:rPr>
        <w:t>GPH-International Journal of Business Management, 8</w:t>
      </w:r>
      <w:r w:rsidRPr="008F6A02">
        <w:rPr>
          <w:rFonts w:ascii="Times New Roman" w:hAnsi="Times New Roman" w:cs="Times New Roman"/>
        </w:rPr>
        <w:t>(03), 17–31.</w:t>
      </w:r>
    </w:p>
    <w:p w14:paraId="24D25B69" w14:textId="2A65603F" w:rsidR="008F6A02" w:rsidRPr="008F6A02" w:rsidRDefault="008F6A02" w:rsidP="008F6A02">
      <w:pPr>
        <w:spacing w:line="480" w:lineRule="auto"/>
        <w:rPr>
          <w:rFonts w:ascii="Times New Roman" w:hAnsi="Times New Roman" w:cs="Times New Roman"/>
        </w:rPr>
      </w:pPr>
      <w:r w:rsidRPr="008F6A02">
        <w:rPr>
          <w:rFonts w:ascii="Times New Roman" w:hAnsi="Times New Roman" w:cs="Times New Roman"/>
        </w:rPr>
        <w:lastRenderedPageBreak/>
        <w:t>Usman, M., Mulchandani, K., Mulchandani, K., &amp; Salem, R. (2025). Governance in action: How board characteristics mitigate cash flows classification shifting? The moderating role of financial constraints</w:t>
      </w:r>
      <w:r w:rsidRPr="00A225CB">
        <w:rPr>
          <w:rFonts w:ascii="Times New Roman" w:hAnsi="Times New Roman" w:cs="Times New Roman"/>
          <w:i/>
          <w:iCs/>
        </w:rPr>
        <w:t>. Journal of Accounting Literature,</w:t>
      </w:r>
      <w:r w:rsidRPr="008F6A02">
        <w:rPr>
          <w:rFonts w:ascii="Times New Roman" w:hAnsi="Times New Roman" w:cs="Times New Roman"/>
        </w:rPr>
        <w:t xml:space="preserve"> 1–35.</w:t>
      </w:r>
    </w:p>
    <w:p w14:paraId="2CE1C20E" w14:textId="4A3F94EE" w:rsidR="008F6A02" w:rsidRDefault="008F6A02" w:rsidP="008F6A02">
      <w:pPr>
        <w:spacing w:line="480" w:lineRule="auto"/>
        <w:rPr>
          <w:rFonts w:ascii="Times New Roman" w:hAnsi="Times New Roman" w:cs="Times New Roman"/>
        </w:rPr>
      </w:pPr>
      <w:r w:rsidRPr="008F6A02">
        <w:rPr>
          <w:rFonts w:ascii="Times New Roman" w:hAnsi="Times New Roman" w:cs="Times New Roman"/>
        </w:rPr>
        <w:t xml:space="preserve">Wu, W., Le, C., Shi, Y., &amp; </w:t>
      </w:r>
      <w:proofErr w:type="spellStart"/>
      <w:r w:rsidRPr="008F6A02">
        <w:rPr>
          <w:rFonts w:ascii="Times New Roman" w:hAnsi="Times New Roman" w:cs="Times New Roman"/>
        </w:rPr>
        <w:t>Alkaraan</w:t>
      </w:r>
      <w:proofErr w:type="spellEnd"/>
      <w:r w:rsidRPr="008F6A02">
        <w:rPr>
          <w:rFonts w:ascii="Times New Roman" w:hAnsi="Times New Roman" w:cs="Times New Roman"/>
        </w:rPr>
        <w:t xml:space="preserve">, F. (2024). The influence of financial flexibility on firm performance: The moderating effects of investment efficiency and investment scale. </w:t>
      </w:r>
      <w:r w:rsidRPr="00A225CB">
        <w:rPr>
          <w:rFonts w:ascii="Times New Roman" w:hAnsi="Times New Roman" w:cs="Times New Roman"/>
          <w:i/>
          <w:iCs/>
        </w:rPr>
        <w:t>Journal of Applied Accounting Research, 25</w:t>
      </w:r>
      <w:r w:rsidRPr="008F6A02">
        <w:rPr>
          <w:rFonts w:ascii="Times New Roman" w:hAnsi="Times New Roman" w:cs="Times New Roman"/>
        </w:rPr>
        <w:t>(5), 1183–1202.</w:t>
      </w:r>
    </w:p>
    <w:p w14:paraId="75C627EC" w14:textId="77777777" w:rsidR="008165F3" w:rsidRDefault="008165F3" w:rsidP="008F6A02">
      <w:pPr>
        <w:spacing w:line="480" w:lineRule="auto"/>
        <w:rPr>
          <w:rFonts w:ascii="Times New Roman" w:hAnsi="Times New Roman" w:cs="Times New Roman"/>
        </w:rPr>
      </w:pPr>
    </w:p>
    <w:p w14:paraId="051B7A82" w14:textId="77777777" w:rsidR="008165F3" w:rsidRDefault="008165F3" w:rsidP="008F6A02">
      <w:pPr>
        <w:spacing w:line="480" w:lineRule="auto"/>
        <w:rPr>
          <w:rFonts w:ascii="Times New Roman" w:hAnsi="Times New Roman" w:cs="Times New Roman"/>
        </w:rPr>
      </w:pPr>
    </w:p>
    <w:p w14:paraId="0F00A32D" w14:textId="77777777" w:rsidR="008165F3" w:rsidRDefault="008165F3" w:rsidP="008F6A02">
      <w:pPr>
        <w:spacing w:line="480" w:lineRule="auto"/>
        <w:rPr>
          <w:rFonts w:ascii="Times New Roman" w:hAnsi="Times New Roman" w:cs="Times New Roman"/>
        </w:rPr>
      </w:pPr>
    </w:p>
    <w:p w14:paraId="335A7B7C" w14:textId="77777777" w:rsidR="008165F3" w:rsidRDefault="008165F3" w:rsidP="008F6A02">
      <w:pPr>
        <w:spacing w:line="480" w:lineRule="auto"/>
        <w:rPr>
          <w:rFonts w:ascii="Times New Roman" w:hAnsi="Times New Roman" w:cs="Times New Roman"/>
        </w:rPr>
      </w:pPr>
    </w:p>
    <w:p w14:paraId="03F83CF1" w14:textId="77777777" w:rsidR="008165F3" w:rsidRDefault="008165F3" w:rsidP="008F6A02">
      <w:pPr>
        <w:spacing w:line="480" w:lineRule="auto"/>
        <w:rPr>
          <w:rFonts w:ascii="Times New Roman" w:hAnsi="Times New Roman" w:cs="Times New Roman"/>
        </w:rPr>
      </w:pPr>
    </w:p>
    <w:p w14:paraId="61F17C7B" w14:textId="77777777" w:rsidR="008165F3" w:rsidRDefault="008165F3" w:rsidP="008F6A02">
      <w:pPr>
        <w:spacing w:line="480" w:lineRule="auto"/>
        <w:rPr>
          <w:rFonts w:ascii="Times New Roman" w:hAnsi="Times New Roman" w:cs="Times New Roman"/>
        </w:rPr>
      </w:pPr>
    </w:p>
    <w:p w14:paraId="4DBEC591" w14:textId="77777777" w:rsidR="008165F3" w:rsidRDefault="008165F3" w:rsidP="008F6A02">
      <w:pPr>
        <w:spacing w:line="480" w:lineRule="auto"/>
        <w:rPr>
          <w:rFonts w:ascii="Times New Roman" w:hAnsi="Times New Roman" w:cs="Times New Roman"/>
        </w:rPr>
      </w:pPr>
    </w:p>
    <w:p w14:paraId="678ADC2F" w14:textId="77777777" w:rsidR="00A225CB" w:rsidRDefault="00A225CB" w:rsidP="008F6A02">
      <w:pPr>
        <w:spacing w:line="480" w:lineRule="auto"/>
        <w:rPr>
          <w:rFonts w:ascii="Times New Roman" w:hAnsi="Times New Roman" w:cs="Times New Roman"/>
          <w:b/>
          <w:bCs/>
        </w:rPr>
      </w:pPr>
    </w:p>
    <w:p w14:paraId="5CE7ADD2" w14:textId="77777777" w:rsidR="00A225CB" w:rsidRDefault="00A225CB" w:rsidP="008F6A02">
      <w:pPr>
        <w:spacing w:line="480" w:lineRule="auto"/>
        <w:rPr>
          <w:rFonts w:ascii="Times New Roman" w:hAnsi="Times New Roman" w:cs="Times New Roman"/>
          <w:b/>
          <w:bCs/>
        </w:rPr>
      </w:pPr>
    </w:p>
    <w:p w14:paraId="201C69F6" w14:textId="77777777" w:rsidR="00A225CB" w:rsidRDefault="00A225CB" w:rsidP="008F6A02">
      <w:pPr>
        <w:spacing w:line="480" w:lineRule="auto"/>
        <w:rPr>
          <w:rFonts w:ascii="Times New Roman" w:hAnsi="Times New Roman" w:cs="Times New Roman"/>
          <w:b/>
          <w:bCs/>
        </w:rPr>
      </w:pPr>
    </w:p>
    <w:p w14:paraId="6116B1F9" w14:textId="77777777" w:rsidR="00A225CB" w:rsidRDefault="00A225CB" w:rsidP="008F6A02">
      <w:pPr>
        <w:spacing w:line="480" w:lineRule="auto"/>
        <w:rPr>
          <w:rFonts w:ascii="Times New Roman" w:hAnsi="Times New Roman" w:cs="Times New Roman"/>
          <w:b/>
          <w:bCs/>
        </w:rPr>
      </w:pPr>
    </w:p>
    <w:p w14:paraId="79A0E98E" w14:textId="77777777" w:rsidR="00A225CB" w:rsidRDefault="00A225CB" w:rsidP="008F6A02">
      <w:pPr>
        <w:spacing w:line="480" w:lineRule="auto"/>
        <w:rPr>
          <w:rFonts w:ascii="Times New Roman" w:hAnsi="Times New Roman" w:cs="Times New Roman"/>
          <w:b/>
          <w:bCs/>
        </w:rPr>
      </w:pPr>
    </w:p>
    <w:p w14:paraId="2C153AB4" w14:textId="77777777" w:rsidR="00A225CB" w:rsidRDefault="00A225CB" w:rsidP="008F6A02">
      <w:pPr>
        <w:spacing w:line="480" w:lineRule="auto"/>
        <w:rPr>
          <w:rFonts w:ascii="Times New Roman" w:hAnsi="Times New Roman" w:cs="Times New Roman"/>
          <w:b/>
          <w:bCs/>
        </w:rPr>
      </w:pPr>
    </w:p>
    <w:p w14:paraId="70983763" w14:textId="77777777" w:rsidR="00A225CB" w:rsidRDefault="00A225CB" w:rsidP="008F6A02">
      <w:pPr>
        <w:spacing w:line="480" w:lineRule="auto"/>
        <w:rPr>
          <w:rFonts w:ascii="Times New Roman" w:hAnsi="Times New Roman" w:cs="Times New Roman"/>
          <w:b/>
          <w:bCs/>
        </w:rPr>
      </w:pPr>
    </w:p>
    <w:p w14:paraId="4996D171" w14:textId="77777777" w:rsidR="00A225CB" w:rsidRDefault="00A225CB" w:rsidP="008F6A02">
      <w:pPr>
        <w:spacing w:line="480" w:lineRule="auto"/>
        <w:rPr>
          <w:rFonts w:ascii="Times New Roman" w:hAnsi="Times New Roman" w:cs="Times New Roman"/>
          <w:b/>
          <w:bCs/>
        </w:rPr>
      </w:pPr>
    </w:p>
    <w:p w14:paraId="75F629B7" w14:textId="3C2A9B5B" w:rsidR="008165F3" w:rsidRPr="008165F3" w:rsidRDefault="008165F3" w:rsidP="008F6A02">
      <w:pPr>
        <w:spacing w:line="480" w:lineRule="auto"/>
        <w:rPr>
          <w:rFonts w:ascii="Times New Roman" w:hAnsi="Times New Roman" w:cs="Times New Roman"/>
          <w:b/>
          <w:bCs/>
        </w:rPr>
      </w:pPr>
      <w:r w:rsidRPr="008165F3">
        <w:rPr>
          <w:rFonts w:ascii="Times New Roman" w:hAnsi="Times New Roman" w:cs="Times New Roman"/>
          <w:b/>
          <w:bCs/>
        </w:rPr>
        <w:lastRenderedPageBreak/>
        <w:t xml:space="preserve">Appendix </w:t>
      </w:r>
    </w:p>
    <w:p w14:paraId="7E6A8E2A" w14:textId="61A72C4E" w:rsidR="008165F3" w:rsidRPr="008165F3" w:rsidRDefault="008165F3" w:rsidP="008165F3">
      <w:pPr>
        <w:pStyle w:val="ListParagraph"/>
        <w:numPr>
          <w:ilvl w:val="0"/>
          <w:numId w:val="2"/>
        </w:numPr>
        <w:spacing w:line="480" w:lineRule="auto"/>
        <w:rPr>
          <w:rFonts w:ascii="Times New Roman" w:hAnsi="Times New Roman" w:cs="Times New Roman"/>
          <w:b/>
          <w:bCs/>
        </w:rPr>
      </w:pPr>
      <w:r w:rsidRPr="008165F3">
        <w:rPr>
          <w:rFonts w:ascii="Times New Roman" w:hAnsi="Times New Roman" w:cs="Times New Roman"/>
          <w:b/>
          <w:bCs/>
        </w:rPr>
        <w:t>Profitability Ratios</w:t>
      </w:r>
    </w:p>
    <w:p w14:paraId="58DCE248" w14:textId="77777777"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Gross Profit Margin</w:t>
      </w:r>
    </w:p>
    <w:p w14:paraId="7FB818EA" w14:textId="36CE7B8E"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Formula:</w:t>
      </w:r>
      <w:r w:rsidRPr="008165F3">
        <w:rPr>
          <w:rFonts w:ascii="Times New Roman" w:hAnsi="Times New Roman" w:cs="Times New Roman"/>
          <w:b/>
          <w:bCs/>
        </w:rPr>
        <w:t xml:space="preserve"> </w:t>
      </w:r>
      <w:r w:rsidRPr="008165F3">
        <w:rPr>
          <w:rFonts w:ascii="Times New Roman" w:hAnsi="Times New Roman" w:cs="Times New Roman"/>
          <w:b/>
          <w:bCs/>
        </w:rPr>
        <w:t>Gross Profit ÷ Revenue × 100</w:t>
      </w:r>
    </w:p>
    <w:p w14:paraId="100ABEA5" w14:textId="5DBC464D"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FY2024</w:t>
      </w:r>
      <w:r>
        <w:rPr>
          <w:rFonts w:ascii="Times New Roman" w:hAnsi="Times New Roman" w:cs="Times New Roman"/>
          <w:b/>
          <w:bCs/>
        </w:rPr>
        <w:t xml:space="preserve"> </w:t>
      </w:r>
      <w:r w:rsidRPr="008165F3">
        <w:rPr>
          <w:rFonts w:ascii="Times New Roman" w:hAnsi="Times New Roman" w:cs="Times New Roman"/>
        </w:rPr>
        <w:t>= 2,035 ÷ 5,484 × 100</w:t>
      </w:r>
      <w:r>
        <w:rPr>
          <w:rFonts w:ascii="Times New Roman" w:hAnsi="Times New Roman" w:cs="Times New Roman"/>
        </w:rPr>
        <w:t xml:space="preserve"> </w:t>
      </w:r>
      <w:r w:rsidRPr="008165F3">
        <w:rPr>
          <w:rFonts w:ascii="Times New Roman" w:hAnsi="Times New Roman" w:cs="Times New Roman"/>
        </w:rPr>
        <w:t>= 37.1%</w:t>
      </w:r>
    </w:p>
    <w:p w14:paraId="6BB63550" w14:textId="12097DC8"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FY2025</w:t>
      </w:r>
      <w:r>
        <w:rPr>
          <w:rFonts w:ascii="Times New Roman" w:hAnsi="Times New Roman" w:cs="Times New Roman"/>
          <w:b/>
          <w:bCs/>
        </w:rPr>
        <w:t xml:space="preserve"> </w:t>
      </w:r>
      <w:r w:rsidRPr="008165F3">
        <w:rPr>
          <w:rFonts w:ascii="Times New Roman" w:hAnsi="Times New Roman" w:cs="Times New Roman"/>
        </w:rPr>
        <w:t>= 2,092 ÷ 5,571 × 100</w:t>
      </w:r>
      <w:r>
        <w:rPr>
          <w:rFonts w:ascii="Times New Roman" w:hAnsi="Times New Roman" w:cs="Times New Roman"/>
        </w:rPr>
        <w:t xml:space="preserve"> </w:t>
      </w:r>
      <w:r w:rsidRPr="008165F3">
        <w:rPr>
          <w:rFonts w:ascii="Times New Roman" w:hAnsi="Times New Roman" w:cs="Times New Roman"/>
        </w:rPr>
        <w:t>= 37.6%</w:t>
      </w:r>
    </w:p>
    <w:p w14:paraId="482828FC" w14:textId="77777777"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Operating Profit Margin</w:t>
      </w:r>
    </w:p>
    <w:p w14:paraId="7745033B" w14:textId="4C53B617"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Formula:</w:t>
      </w:r>
      <w:r w:rsidRPr="008165F3">
        <w:rPr>
          <w:rFonts w:ascii="Times New Roman" w:hAnsi="Times New Roman" w:cs="Times New Roman"/>
          <w:b/>
          <w:bCs/>
        </w:rPr>
        <w:t xml:space="preserve"> </w:t>
      </w:r>
      <w:r w:rsidRPr="008165F3">
        <w:rPr>
          <w:rFonts w:ascii="Times New Roman" w:hAnsi="Times New Roman" w:cs="Times New Roman"/>
          <w:b/>
          <w:bCs/>
        </w:rPr>
        <w:t>Operating Profit ÷ Revenue × 100</w:t>
      </w:r>
    </w:p>
    <w:p w14:paraId="6C252EFA" w14:textId="45A56022"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FY2024</w:t>
      </w:r>
      <w:r>
        <w:rPr>
          <w:rFonts w:ascii="Times New Roman" w:hAnsi="Times New Roman" w:cs="Times New Roman"/>
          <w:b/>
          <w:bCs/>
        </w:rPr>
        <w:t xml:space="preserve"> </w:t>
      </w:r>
      <w:r w:rsidRPr="008165F3">
        <w:rPr>
          <w:rFonts w:ascii="Times New Roman" w:hAnsi="Times New Roman" w:cs="Times New Roman"/>
        </w:rPr>
        <w:t>= 608 ÷ 5,484 × 100</w:t>
      </w:r>
      <w:r>
        <w:rPr>
          <w:rFonts w:ascii="Times New Roman" w:hAnsi="Times New Roman" w:cs="Times New Roman"/>
        </w:rPr>
        <w:t xml:space="preserve"> </w:t>
      </w:r>
      <w:r w:rsidRPr="008165F3">
        <w:rPr>
          <w:rFonts w:ascii="Times New Roman" w:hAnsi="Times New Roman" w:cs="Times New Roman"/>
        </w:rPr>
        <w:t>= 11.1%</w:t>
      </w:r>
    </w:p>
    <w:p w14:paraId="63846F75" w14:textId="46013BD5"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FY2025</w:t>
      </w:r>
      <w:r>
        <w:rPr>
          <w:rFonts w:ascii="Times New Roman" w:hAnsi="Times New Roman" w:cs="Times New Roman"/>
          <w:b/>
          <w:bCs/>
        </w:rPr>
        <w:t xml:space="preserve"> </w:t>
      </w:r>
      <w:r w:rsidRPr="008165F3">
        <w:rPr>
          <w:rFonts w:ascii="Times New Roman" w:hAnsi="Times New Roman" w:cs="Times New Roman"/>
        </w:rPr>
        <w:t>= 566 ÷ 5,571 × 100</w:t>
      </w:r>
      <w:r>
        <w:rPr>
          <w:rFonts w:ascii="Times New Roman" w:hAnsi="Times New Roman" w:cs="Times New Roman"/>
        </w:rPr>
        <w:t xml:space="preserve"> </w:t>
      </w:r>
      <w:r w:rsidRPr="008165F3">
        <w:rPr>
          <w:rFonts w:ascii="Times New Roman" w:hAnsi="Times New Roman" w:cs="Times New Roman"/>
        </w:rPr>
        <w:t>= 10.2%</w:t>
      </w:r>
    </w:p>
    <w:p w14:paraId="6AB4C214" w14:textId="77777777"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Net Profit Margin</w:t>
      </w:r>
    </w:p>
    <w:p w14:paraId="6196C8CA" w14:textId="3D72C32A"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Formula:</w:t>
      </w:r>
      <w:r w:rsidRPr="008165F3">
        <w:rPr>
          <w:rFonts w:ascii="Times New Roman" w:hAnsi="Times New Roman" w:cs="Times New Roman"/>
          <w:b/>
          <w:bCs/>
        </w:rPr>
        <w:t xml:space="preserve"> </w:t>
      </w:r>
      <w:r w:rsidRPr="008165F3">
        <w:rPr>
          <w:rFonts w:ascii="Times New Roman" w:hAnsi="Times New Roman" w:cs="Times New Roman"/>
          <w:b/>
          <w:bCs/>
        </w:rPr>
        <w:t>Profit for the year ÷ Revenue × 100</w:t>
      </w:r>
    </w:p>
    <w:p w14:paraId="7B220A8D" w14:textId="4917687E"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FY2024</w:t>
      </w:r>
      <w:r>
        <w:rPr>
          <w:rFonts w:ascii="Times New Roman" w:hAnsi="Times New Roman" w:cs="Times New Roman"/>
          <w:b/>
          <w:bCs/>
        </w:rPr>
        <w:t xml:space="preserve"> </w:t>
      </w:r>
      <w:r w:rsidRPr="008165F3">
        <w:rPr>
          <w:rFonts w:ascii="Times New Roman" w:hAnsi="Times New Roman" w:cs="Times New Roman"/>
        </w:rPr>
        <w:t>= 367 ÷ 5,484 × 100</w:t>
      </w:r>
      <w:r>
        <w:rPr>
          <w:rFonts w:ascii="Times New Roman" w:hAnsi="Times New Roman" w:cs="Times New Roman"/>
        </w:rPr>
        <w:t xml:space="preserve"> </w:t>
      </w:r>
      <w:r w:rsidRPr="008165F3">
        <w:rPr>
          <w:rFonts w:ascii="Times New Roman" w:hAnsi="Times New Roman" w:cs="Times New Roman"/>
        </w:rPr>
        <w:t>= 6.7%</w:t>
      </w:r>
    </w:p>
    <w:p w14:paraId="7EF944B3" w14:textId="035A6C0F"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FY2025</w:t>
      </w:r>
      <w:r>
        <w:rPr>
          <w:rFonts w:ascii="Times New Roman" w:hAnsi="Times New Roman" w:cs="Times New Roman"/>
          <w:b/>
          <w:bCs/>
        </w:rPr>
        <w:t xml:space="preserve"> </w:t>
      </w:r>
      <w:r w:rsidRPr="008165F3">
        <w:rPr>
          <w:rFonts w:ascii="Times New Roman" w:hAnsi="Times New Roman" w:cs="Times New Roman"/>
        </w:rPr>
        <w:t>= 319 ÷ 5,571 × 100</w:t>
      </w:r>
      <w:r>
        <w:rPr>
          <w:rFonts w:ascii="Times New Roman" w:hAnsi="Times New Roman" w:cs="Times New Roman"/>
        </w:rPr>
        <w:t xml:space="preserve"> </w:t>
      </w:r>
      <w:r w:rsidRPr="008165F3">
        <w:rPr>
          <w:rFonts w:ascii="Times New Roman" w:hAnsi="Times New Roman" w:cs="Times New Roman"/>
        </w:rPr>
        <w:t>= 5.7%</w:t>
      </w:r>
    </w:p>
    <w:p w14:paraId="50EA9B4D" w14:textId="74B05CD0" w:rsidR="008165F3" w:rsidRPr="008165F3" w:rsidRDefault="008165F3" w:rsidP="008165F3">
      <w:pPr>
        <w:pStyle w:val="ListParagraph"/>
        <w:numPr>
          <w:ilvl w:val="0"/>
          <w:numId w:val="2"/>
        </w:numPr>
        <w:spacing w:line="480" w:lineRule="auto"/>
        <w:rPr>
          <w:rFonts w:ascii="Times New Roman" w:hAnsi="Times New Roman" w:cs="Times New Roman"/>
          <w:b/>
          <w:bCs/>
        </w:rPr>
      </w:pPr>
      <w:r w:rsidRPr="008165F3">
        <w:rPr>
          <w:rFonts w:ascii="Times New Roman" w:hAnsi="Times New Roman" w:cs="Times New Roman"/>
          <w:b/>
          <w:bCs/>
        </w:rPr>
        <w:t>Liquidity Ratios</w:t>
      </w:r>
    </w:p>
    <w:p w14:paraId="5354B762" w14:textId="77777777"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Current Ratio</w:t>
      </w:r>
    </w:p>
    <w:p w14:paraId="0D26562F" w14:textId="4A265C6E"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Formula:</w:t>
      </w:r>
      <w:r w:rsidRPr="008165F3">
        <w:rPr>
          <w:rFonts w:ascii="Times New Roman" w:hAnsi="Times New Roman" w:cs="Times New Roman"/>
          <w:b/>
          <w:bCs/>
        </w:rPr>
        <w:t xml:space="preserve"> </w:t>
      </w:r>
      <w:r w:rsidRPr="008165F3">
        <w:rPr>
          <w:rFonts w:ascii="Times New Roman" w:hAnsi="Times New Roman" w:cs="Times New Roman"/>
          <w:b/>
          <w:bCs/>
        </w:rPr>
        <w:t>Current Assets ÷ Current Liabilities</w:t>
      </w:r>
    </w:p>
    <w:p w14:paraId="7B0EEB83" w14:textId="2A0E2169"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FY2024</w:t>
      </w:r>
      <w:r>
        <w:rPr>
          <w:rFonts w:ascii="Times New Roman" w:hAnsi="Times New Roman" w:cs="Times New Roman"/>
          <w:b/>
          <w:bCs/>
        </w:rPr>
        <w:t xml:space="preserve"> </w:t>
      </w:r>
      <w:r w:rsidRPr="008165F3">
        <w:rPr>
          <w:rFonts w:ascii="Times New Roman" w:hAnsi="Times New Roman" w:cs="Times New Roman"/>
        </w:rPr>
        <w:t>= 1,046 ÷ 794</w:t>
      </w:r>
      <w:r>
        <w:rPr>
          <w:rFonts w:ascii="Times New Roman" w:hAnsi="Times New Roman" w:cs="Times New Roman"/>
        </w:rPr>
        <w:t xml:space="preserve"> </w:t>
      </w:r>
      <w:r w:rsidRPr="008165F3">
        <w:rPr>
          <w:rFonts w:ascii="Times New Roman" w:hAnsi="Times New Roman" w:cs="Times New Roman"/>
        </w:rPr>
        <w:t>= 1.32: 1</w:t>
      </w:r>
    </w:p>
    <w:p w14:paraId="38FD611D" w14:textId="5C258B22"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FY2025</w:t>
      </w:r>
      <w:r>
        <w:rPr>
          <w:rFonts w:ascii="Times New Roman" w:hAnsi="Times New Roman" w:cs="Times New Roman"/>
          <w:b/>
          <w:bCs/>
        </w:rPr>
        <w:t xml:space="preserve"> </w:t>
      </w:r>
      <w:r w:rsidRPr="008165F3">
        <w:rPr>
          <w:rFonts w:ascii="Times New Roman" w:hAnsi="Times New Roman" w:cs="Times New Roman"/>
        </w:rPr>
        <w:t>= 1,343 ÷ 997</w:t>
      </w:r>
      <w:r>
        <w:rPr>
          <w:rFonts w:ascii="Times New Roman" w:hAnsi="Times New Roman" w:cs="Times New Roman"/>
        </w:rPr>
        <w:t xml:space="preserve"> </w:t>
      </w:r>
      <w:r w:rsidRPr="008165F3">
        <w:rPr>
          <w:rFonts w:ascii="Times New Roman" w:hAnsi="Times New Roman" w:cs="Times New Roman"/>
        </w:rPr>
        <w:t>= 1.35: 1</w:t>
      </w:r>
    </w:p>
    <w:p w14:paraId="684E5B49" w14:textId="77777777" w:rsidR="008165F3" w:rsidRDefault="008165F3" w:rsidP="008165F3">
      <w:pPr>
        <w:spacing w:line="480" w:lineRule="auto"/>
        <w:rPr>
          <w:rFonts w:ascii="Times New Roman" w:hAnsi="Times New Roman" w:cs="Times New Roman"/>
          <w:b/>
          <w:bCs/>
        </w:rPr>
      </w:pPr>
    </w:p>
    <w:p w14:paraId="6B835B24" w14:textId="1AE1ED03"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lastRenderedPageBreak/>
        <w:t>Quick Ratio (Acid Test)</w:t>
      </w:r>
    </w:p>
    <w:p w14:paraId="7064D1BA" w14:textId="78E11367"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Formula:</w:t>
      </w:r>
      <w:r w:rsidRPr="008165F3">
        <w:rPr>
          <w:rFonts w:ascii="Times New Roman" w:hAnsi="Times New Roman" w:cs="Times New Roman"/>
          <w:b/>
          <w:bCs/>
        </w:rPr>
        <w:t xml:space="preserve"> </w:t>
      </w:r>
      <w:r w:rsidRPr="008165F3">
        <w:rPr>
          <w:rFonts w:ascii="Times New Roman" w:hAnsi="Times New Roman" w:cs="Times New Roman"/>
          <w:b/>
          <w:bCs/>
        </w:rPr>
        <w:t>(Current Assets − Inventory) ÷ Current Liabilities</w:t>
      </w:r>
    </w:p>
    <w:p w14:paraId="28A07154" w14:textId="4686229C"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FY2024</w:t>
      </w:r>
      <w:r>
        <w:rPr>
          <w:rFonts w:ascii="Times New Roman" w:hAnsi="Times New Roman" w:cs="Times New Roman"/>
          <w:b/>
          <w:bCs/>
        </w:rPr>
        <w:t xml:space="preserve"> </w:t>
      </w:r>
      <w:r w:rsidRPr="008165F3">
        <w:rPr>
          <w:rFonts w:ascii="Times New Roman" w:hAnsi="Times New Roman" w:cs="Times New Roman"/>
        </w:rPr>
        <w:t>= (1,046 − 776) ÷ 794</w:t>
      </w:r>
      <w:r>
        <w:rPr>
          <w:rFonts w:ascii="Times New Roman" w:hAnsi="Times New Roman" w:cs="Times New Roman"/>
        </w:rPr>
        <w:t xml:space="preserve"> </w:t>
      </w:r>
      <w:r w:rsidRPr="008165F3">
        <w:rPr>
          <w:rFonts w:ascii="Times New Roman" w:hAnsi="Times New Roman" w:cs="Times New Roman"/>
        </w:rPr>
        <w:t>= 270 ÷ 794</w:t>
      </w:r>
      <w:r>
        <w:rPr>
          <w:rFonts w:ascii="Times New Roman" w:hAnsi="Times New Roman" w:cs="Times New Roman"/>
        </w:rPr>
        <w:t xml:space="preserve"> </w:t>
      </w:r>
      <w:r w:rsidRPr="008165F3">
        <w:rPr>
          <w:rFonts w:ascii="Times New Roman" w:hAnsi="Times New Roman" w:cs="Times New Roman"/>
        </w:rPr>
        <w:t>= 0.34: 1</w:t>
      </w:r>
    </w:p>
    <w:p w14:paraId="5D5C95B6" w14:textId="1F1F038E"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FY2025</w:t>
      </w:r>
      <w:r>
        <w:rPr>
          <w:rFonts w:ascii="Times New Roman" w:hAnsi="Times New Roman" w:cs="Times New Roman"/>
          <w:b/>
          <w:bCs/>
        </w:rPr>
        <w:t xml:space="preserve"> </w:t>
      </w:r>
      <w:r w:rsidRPr="008165F3">
        <w:rPr>
          <w:rFonts w:ascii="Times New Roman" w:hAnsi="Times New Roman" w:cs="Times New Roman"/>
        </w:rPr>
        <w:t>= (1,343 − 883) ÷ 997</w:t>
      </w:r>
      <w:r>
        <w:rPr>
          <w:rFonts w:ascii="Times New Roman" w:hAnsi="Times New Roman" w:cs="Times New Roman"/>
        </w:rPr>
        <w:t xml:space="preserve"> </w:t>
      </w:r>
      <w:r w:rsidRPr="008165F3">
        <w:rPr>
          <w:rFonts w:ascii="Times New Roman" w:hAnsi="Times New Roman" w:cs="Times New Roman"/>
        </w:rPr>
        <w:t>= 460 ÷ 997</w:t>
      </w:r>
      <w:r>
        <w:rPr>
          <w:rFonts w:ascii="Times New Roman" w:hAnsi="Times New Roman" w:cs="Times New Roman"/>
        </w:rPr>
        <w:t xml:space="preserve"> </w:t>
      </w:r>
      <w:r w:rsidRPr="008165F3">
        <w:rPr>
          <w:rFonts w:ascii="Times New Roman" w:hAnsi="Times New Roman" w:cs="Times New Roman"/>
        </w:rPr>
        <w:t>= 0.46: 1</w:t>
      </w:r>
    </w:p>
    <w:p w14:paraId="43E85A6F" w14:textId="416D5961" w:rsidR="008165F3" w:rsidRPr="008165F3" w:rsidRDefault="008165F3" w:rsidP="008165F3">
      <w:pPr>
        <w:pStyle w:val="ListParagraph"/>
        <w:numPr>
          <w:ilvl w:val="0"/>
          <w:numId w:val="2"/>
        </w:numPr>
        <w:spacing w:line="480" w:lineRule="auto"/>
        <w:rPr>
          <w:rFonts w:ascii="Times New Roman" w:hAnsi="Times New Roman" w:cs="Times New Roman"/>
          <w:b/>
          <w:bCs/>
        </w:rPr>
      </w:pPr>
      <w:r w:rsidRPr="008165F3">
        <w:rPr>
          <w:rFonts w:ascii="Times New Roman" w:hAnsi="Times New Roman" w:cs="Times New Roman"/>
          <w:b/>
          <w:bCs/>
        </w:rPr>
        <w:t>Efficiency Ratios</w:t>
      </w:r>
    </w:p>
    <w:p w14:paraId="43E21CB4" w14:textId="77777777"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Asset Turnover</w:t>
      </w:r>
    </w:p>
    <w:p w14:paraId="61D1F32D" w14:textId="503E70FA"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Formula:</w:t>
      </w:r>
      <w:r w:rsidRPr="008165F3">
        <w:rPr>
          <w:rFonts w:ascii="Times New Roman" w:hAnsi="Times New Roman" w:cs="Times New Roman"/>
          <w:b/>
          <w:bCs/>
        </w:rPr>
        <w:t xml:space="preserve"> </w:t>
      </w:r>
      <w:r w:rsidRPr="008165F3">
        <w:rPr>
          <w:rFonts w:ascii="Times New Roman" w:hAnsi="Times New Roman" w:cs="Times New Roman"/>
          <w:b/>
          <w:bCs/>
        </w:rPr>
        <w:t>Revenue ÷ Total Assets</w:t>
      </w:r>
    </w:p>
    <w:p w14:paraId="357889C5" w14:textId="49A6FA72"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FY2024</w:t>
      </w:r>
      <w:r>
        <w:rPr>
          <w:rFonts w:ascii="Times New Roman" w:hAnsi="Times New Roman" w:cs="Times New Roman"/>
          <w:b/>
          <w:bCs/>
        </w:rPr>
        <w:t xml:space="preserve"> </w:t>
      </w:r>
      <w:r w:rsidRPr="008165F3">
        <w:rPr>
          <w:rFonts w:ascii="Times New Roman" w:hAnsi="Times New Roman" w:cs="Times New Roman"/>
        </w:rPr>
        <w:t>= 5,484 ÷ 3,625</w:t>
      </w:r>
      <w:r>
        <w:rPr>
          <w:rFonts w:ascii="Times New Roman" w:hAnsi="Times New Roman" w:cs="Times New Roman"/>
        </w:rPr>
        <w:t xml:space="preserve"> </w:t>
      </w:r>
      <w:r w:rsidRPr="008165F3">
        <w:rPr>
          <w:rFonts w:ascii="Times New Roman" w:hAnsi="Times New Roman" w:cs="Times New Roman"/>
        </w:rPr>
        <w:t>= 1.51 times</w:t>
      </w:r>
    </w:p>
    <w:p w14:paraId="546FDD2A" w14:textId="22EA890D" w:rsidR="008165F3" w:rsidRPr="008165F3" w:rsidRDefault="008165F3" w:rsidP="008165F3">
      <w:pPr>
        <w:spacing w:line="480" w:lineRule="auto"/>
        <w:rPr>
          <w:rFonts w:ascii="Times New Roman" w:hAnsi="Times New Roman" w:cs="Times New Roman"/>
        </w:rPr>
      </w:pPr>
      <w:r w:rsidRPr="008165F3">
        <w:rPr>
          <w:rFonts w:ascii="Times New Roman" w:hAnsi="Times New Roman" w:cs="Times New Roman"/>
          <w:b/>
          <w:bCs/>
        </w:rPr>
        <w:t>FY2025</w:t>
      </w:r>
      <w:r>
        <w:rPr>
          <w:rFonts w:ascii="Times New Roman" w:hAnsi="Times New Roman" w:cs="Times New Roman"/>
          <w:b/>
          <w:bCs/>
        </w:rPr>
        <w:t xml:space="preserve"> </w:t>
      </w:r>
      <w:r w:rsidRPr="008165F3">
        <w:rPr>
          <w:rFonts w:ascii="Times New Roman" w:hAnsi="Times New Roman" w:cs="Times New Roman"/>
        </w:rPr>
        <w:t>= 5,571 ÷ 4,007</w:t>
      </w:r>
      <w:r>
        <w:rPr>
          <w:rFonts w:ascii="Times New Roman" w:hAnsi="Times New Roman" w:cs="Times New Roman"/>
        </w:rPr>
        <w:t xml:space="preserve"> </w:t>
      </w:r>
      <w:r w:rsidRPr="008165F3">
        <w:rPr>
          <w:rFonts w:ascii="Times New Roman" w:hAnsi="Times New Roman" w:cs="Times New Roman"/>
        </w:rPr>
        <w:t>= 1.39 times</w:t>
      </w:r>
    </w:p>
    <w:p w14:paraId="7A130572" w14:textId="73F500DC" w:rsidR="008165F3" w:rsidRPr="008165F3" w:rsidRDefault="008165F3" w:rsidP="008165F3">
      <w:pPr>
        <w:pStyle w:val="ListParagraph"/>
        <w:numPr>
          <w:ilvl w:val="0"/>
          <w:numId w:val="2"/>
        </w:numPr>
        <w:spacing w:line="480" w:lineRule="auto"/>
        <w:rPr>
          <w:rFonts w:ascii="Times New Roman" w:hAnsi="Times New Roman" w:cs="Times New Roman"/>
          <w:b/>
          <w:bCs/>
        </w:rPr>
      </w:pPr>
      <w:r w:rsidRPr="008165F3">
        <w:rPr>
          <w:rFonts w:ascii="Times New Roman" w:hAnsi="Times New Roman" w:cs="Times New Roman"/>
          <w:b/>
          <w:bCs/>
        </w:rPr>
        <w:t>Profitability (Return Ratios)</w:t>
      </w:r>
    </w:p>
    <w:p w14:paraId="46C4F215" w14:textId="77777777"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Return on Assets (ROA)</w:t>
      </w:r>
    </w:p>
    <w:p w14:paraId="01071BB7" w14:textId="790C4C3B"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Formula:</w:t>
      </w:r>
      <w:r w:rsidRPr="008165F3">
        <w:rPr>
          <w:rFonts w:ascii="Times New Roman" w:hAnsi="Times New Roman" w:cs="Times New Roman"/>
          <w:b/>
          <w:bCs/>
        </w:rPr>
        <w:t xml:space="preserve"> </w:t>
      </w:r>
      <w:r w:rsidRPr="008165F3">
        <w:rPr>
          <w:rFonts w:ascii="Times New Roman" w:hAnsi="Times New Roman" w:cs="Times New Roman"/>
          <w:b/>
          <w:bCs/>
        </w:rPr>
        <w:t>Profit ÷ Total Assets × 100</w:t>
      </w:r>
    </w:p>
    <w:p w14:paraId="66596FC0" w14:textId="5C28A69B"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FY2024</w:t>
      </w:r>
      <w:r>
        <w:rPr>
          <w:rFonts w:ascii="Times New Roman" w:hAnsi="Times New Roman" w:cs="Times New Roman"/>
          <w:b/>
          <w:bCs/>
        </w:rPr>
        <w:t xml:space="preserve"> </w:t>
      </w:r>
      <w:r w:rsidRPr="008165F3">
        <w:rPr>
          <w:rFonts w:ascii="Times New Roman" w:hAnsi="Times New Roman" w:cs="Times New Roman"/>
        </w:rPr>
        <w:t>= 367 ÷ 3,625 × 100</w:t>
      </w:r>
      <w:r>
        <w:rPr>
          <w:rFonts w:ascii="Times New Roman" w:hAnsi="Times New Roman" w:cs="Times New Roman"/>
        </w:rPr>
        <w:t xml:space="preserve"> </w:t>
      </w:r>
      <w:r w:rsidRPr="008165F3">
        <w:rPr>
          <w:rFonts w:ascii="Times New Roman" w:hAnsi="Times New Roman" w:cs="Times New Roman"/>
        </w:rPr>
        <w:t>= 10.1%</w:t>
      </w:r>
    </w:p>
    <w:p w14:paraId="486265AB" w14:textId="31E02DD8"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FY2025</w:t>
      </w:r>
      <w:r>
        <w:rPr>
          <w:rFonts w:ascii="Times New Roman" w:hAnsi="Times New Roman" w:cs="Times New Roman"/>
          <w:b/>
          <w:bCs/>
        </w:rPr>
        <w:t xml:space="preserve"> </w:t>
      </w:r>
      <w:r w:rsidRPr="008165F3">
        <w:rPr>
          <w:rFonts w:ascii="Times New Roman" w:hAnsi="Times New Roman" w:cs="Times New Roman"/>
        </w:rPr>
        <w:t>= 319 ÷ 4,007 × 100</w:t>
      </w:r>
      <w:r>
        <w:rPr>
          <w:rFonts w:ascii="Times New Roman" w:hAnsi="Times New Roman" w:cs="Times New Roman"/>
        </w:rPr>
        <w:t xml:space="preserve"> </w:t>
      </w:r>
      <w:r w:rsidRPr="008165F3">
        <w:rPr>
          <w:rFonts w:ascii="Times New Roman" w:hAnsi="Times New Roman" w:cs="Times New Roman"/>
        </w:rPr>
        <w:t>= 8.0%</w:t>
      </w:r>
    </w:p>
    <w:p w14:paraId="01E321F9" w14:textId="77777777"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Return on Equity (ROE)</w:t>
      </w:r>
    </w:p>
    <w:p w14:paraId="3E29C112" w14:textId="45410BBF"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Formula:</w:t>
      </w:r>
      <w:r w:rsidRPr="008165F3">
        <w:rPr>
          <w:rFonts w:ascii="Times New Roman" w:hAnsi="Times New Roman" w:cs="Times New Roman"/>
          <w:b/>
          <w:bCs/>
        </w:rPr>
        <w:t xml:space="preserve"> </w:t>
      </w:r>
      <w:r w:rsidRPr="008165F3">
        <w:rPr>
          <w:rFonts w:ascii="Times New Roman" w:hAnsi="Times New Roman" w:cs="Times New Roman"/>
          <w:b/>
          <w:bCs/>
        </w:rPr>
        <w:t>Profit ÷ Shareholders’ Equity × 100</w:t>
      </w:r>
    </w:p>
    <w:p w14:paraId="5436966A" w14:textId="372B01D6"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FY2024</w:t>
      </w:r>
      <w:r>
        <w:rPr>
          <w:rFonts w:ascii="Times New Roman" w:hAnsi="Times New Roman" w:cs="Times New Roman"/>
          <w:b/>
          <w:bCs/>
        </w:rPr>
        <w:t xml:space="preserve"> </w:t>
      </w:r>
      <w:r w:rsidRPr="008165F3">
        <w:rPr>
          <w:rFonts w:ascii="Times New Roman" w:hAnsi="Times New Roman" w:cs="Times New Roman"/>
        </w:rPr>
        <w:t>= 367 ÷ 734 × 100</w:t>
      </w:r>
      <w:r>
        <w:rPr>
          <w:rFonts w:ascii="Times New Roman" w:hAnsi="Times New Roman" w:cs="Times New Roman"/>
        </w:rPr>
        <w:t xml:space="preserve"> </w:t>
      </w:r>
      <w:r w:rsidRPr="008165F3">
        <w:rPr>
          <w:rFonts w:ascii="Times New Roman" w:hAnsi="Times New Roman" w:cs="Times New Roman"/>
        </w:rPr>
        <w:t>= 50.0%</w:t>
      </w:r>
    </w:p>
    <w:p w14:paraId="446BF114" w14:textId="4F266104" w:rsidR="008165F3" w:rsidRDefault="008165F3" w:rsidP="008165F3">
      <w:pPr>
        <w:spacing w:line="480" w:lineRule="auto"/>
        <w:rPr>
          <w:rFonts w:ascii="Times New Roman" w:hAnsi="Times New Roman" w:cs="Times New Roman"/>
        </w:rPr>
      </w:pPr>
      <w:r w:rsidRPr="008165F3">
        <w:rPr>
          <w:rFonts w:ascii="Times New Roman" w:hAnsi="Times New Roman" w:cs="Times New Roman"/>
          <w:b/>
          <w:bCs/>
        </w:rPr>
        <w:t>FY2025</w:t>
      </w:r>
      <w:r>
        <w:rPr>
          <w:rFonts w:ascii="Times New Roman" w:hAnsi="Times New Roman" w:cs="Times New Roman"/>
          <w:b/>
          <w:bCs/>
        </w:rPr>
        <w:t xml:space="preserve"> </w:t>
      </w:r>
      <w:r w:rsidRPr="008165F3">
        <w:rPr>
          <w:rFonts w:ascii="Times New Roman" w:hAnsi="Times New Roman" w:cs="Times New Roman"/>
        </w:rPr>
        <w:t>= 319 ÷ 752 × 100</w:t>
      </w:r>
      <w:r>
        <w:rPr>
          <w:rFonts w:ascii="Times New Roman" w:hAnsi="Times New Roman" w:cs="Times New Roman"/>
        </w:rPr>
        <w:t xml:space="preserve"> </w:t>
      </w:r>
      <w:r w:rsidRPr="008165F3">
        <w:rPr>
          <w:rFonts w:ascii="Times New Roman" w:hAnsi="Times New Roman" w:cs="Times New Roman"/>
        </w:rPr>
        <w:t>= 42.4%</w:t>
      </w:r>
    </w:p>
    <w:p w14:paraId="24268E45" w14:textId="77777777" w:rsidR="008165F3" w:rsidRDefault="008165F3" w:rsidP="008165F3">
      <w:pPr>
        <w:spacing w:line="480" w:lineRule="auto"/>
        <w:rPr>
          <w:rFonts w:ascii="Times New Roman" w:hAnsi="Times New Roman" w:cs="Times New Roman"/>
        </w:rPr>
      </w:pPr>
    </w:p>
    <w:p w14:paraId="2AE0D19B" w14:textId="77777777" w:rsidR="008165F3" w:rsidRPr="008165F3" w:rsidRDefault="008165F3" w:rsidP="008165F3">
      <w:pPr>
        <w:spacing w:line="480" w:lineRule="auto"/>
        <w:rPr>
          <w:rFonts w:ascii="Times New Roman" w:hAnsi="Times New Roman" w:cs="Times New Roman"/>
          <w:b/>
          <w:bCs/>
        </w:rPr>
      </w:pPr>
    </w:p>
    <w:p w14:paraId="7C0C72C4" w14:textId="5315BEA7" w:rsidR="008165F3" w:rsidRPr="008165F3" w:rsidRDefault="008165F3" w:rsidP="008165F3">
      <w:pPr>
        <w:pStyle w:val="ListParagraph"/>
        <w:numPr>
          <w:ilvl w:val="0"/>
          <w:numId w:val="2"/>
        </w:numPr>
        <w:spacing w:line="480" w:lineRule="auto"/>
        <w:rPr>
          <w:rFonts w:ascii="Times New Roman" w:hAnsi="Times New Roman" w:cs="Times New Roman"/>
          <w:b/>
          <w:bCs/>
        </w:rPr>
      </w:pPr>
      <w:r w:rsidRPr="008165F3">
        <w:rPr>
          <w:rFonts w:ascii="Times New Roman" w:hAnsi="Times New Roman" w:cs="Times New Roman"/>
          <w:b/>
          <w:bCs/>
        </w:rPr>
        <w:lastRenderedPageBreak/>
        <w:t>Gearing Ratio</w:t>
      </w:r>
    </w:p>
    <w:p w14:paraId="049BB5A1" w14:textId="77777777"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Debt-to-Equity Ratio</w:t>
      </w:r>
    </w:p>
    <w:p w14:paraId="0ADD1EFF" w14:textId="396EF3A2"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Formula:</w:t>
      </w:r>
      <w:r w:rsidRPr="008165F3">
        <w:rPr>
          <w:rFonts w:ascii="Times New Roman" w:hAnsi="Times New Roman" w:cs="Times New Roman"/>
          <w:b/>
          <w:bCs/>
        </w:rPr>
        <w:t xml:space="preserve"> </w:t>
      </w:r>
      <w:r w:rsidRPr="008165F3">
        <w:rPr>
          <w:rFonts w:ascii="Times New Roman" w:hAnsi="Times New Roman" w:cs="Times New Roman"/>
          <w:b/>
          <w:bCs/>
        </w:rPr>
        <w:t>Borrowings ÷ Equity</w:t>
      </w:r>
    </w:p>
    <w:p w14:paraId="3CC93765" w14:textId="0AB45C82"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FY2024</w:t>
      </w:r>
      <w:r>
        <w:rPr>
          <w:rFonts w:ascii="Times New Roman" w:hAnsi="Times New Roman" w:cs="Times New Roman"/>
          <w:b/>
          <w:bCs/>
        </w:rPr>
        <w:t xml:space="preserve"> </w:t>
      </w:r>
      <w:r w:rsidRPr="008165F3">
        <w:rPr>
          <w:rFonts w:ascii="Times New Roman" w:hAnsi="Times New Roman" w:cs="Times New Roman"/>
        </w:rPr>
        <w:t>= 911 ÷ 734</w:t>
      </w:r>
      <w:r>
        <w:rPr>
          <w:rFonts w:ascii="Times New Roman" w:hAnsi="Times New Roman" w:cs="Times New Roman"/>
          <w:b/>
          <w:bCs/>
        </w:rPr>
        <w:t xml:space="preserve"> </w:t>
      </w:r>
      <w:r w:rsidRPr="008165F3">
        <w:rPr>
          <w:rFonts w:ascii="Times New Roman" w:hAnsi="Times New Roman" w:cs="Times New Roman"/>
        </w:rPr>
        <w:t>= 1.24 times</w:t>
      </w:r>
    </w:p>
    <w:p w14:paraId="4A50F6F8" w14:textId="08EA4C7C" w:rsidR="008165F3" w:rsidRPr="008165F3" w:rsidRDefault="008165F3" w:rsidP="008165F3">
      <w:pPr>
        <w:spacing w:line="480" w:lineRule="auto"/>
        <w:rPr>
          <w:rFonts w:ascii="Times New Roman" w:hAnsi="Times New Roman" w:cs="Times New Roman"/>
          <w:b/>
          <w:bCs/>
        </w:rPr>
      </w:pPr>
      <w:r w:rsidRPr="008165F3">
        <w:rPr>
          <w:rFonts w:ascii="Times New Roman" w:hAnsi="Times New Roman" w:cs="Times New Roman"/>
          <w:b/>
          <w:bCs/>
        </w:rPr>
        <w:t>FY2025</w:t>
      </w:r>
      <w:r>
        <w:rPr>
          <w:rFonts w:ascii="Times New Roman" w:hAnsi="Times New Roman" w:cs="Times New Roman"/>
          <w:b/>
          <w:bCs/>
        </w:rPr>
        <w:t xml:space="preserve"> </w:t>
      </w:r>
      <w:r w:rsidRPr="008165F3">
        <w:rPr>
          <w:rFonts w:ascii="Times New Roman" w:hAnsi="Times New Roman" w:cs="Times New Roman"/>
        </w:rPr>
        <w:t>= 1,135 ÷ 752</w:t>
      </w:r>
      <w:r>
        <w:rPr>
          <w:rFonts w:ascii="Times New Roman" w:hAnsi="Times New Roman" w:cs="Times New Roman"/>
          <w:b/>
          <w:bCs/>
        </w:rPr>
        <w:t xml:space="preserve"> </w:t>
      </w:r>
      <w:r w:rsidRPr="008165F3">
        <w:rPr>
          <w:rFonts w:ascii="Times New Roman" w:hAnsi="Times New Roman" w:cs="Times New Roman"/>
        </w:rPr>
        <w:t>= 1.51 times</w:t>
      </w:r>
    </w:p>
    <w:sectPr w:rsidR="008165F3" w:rsidRPr="008165F3" w:rsidSect="00A225CB">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EFA8E9" w14:textId="77777777" w:rsidR="00720CD0" w:rsidRDefault="00720CD0" w:rsidP="00A225CB">
      <w:pPr>
        <w:spacing w:after="0" w:line="240" w:lineRule="auto"/>
      </w:pPr>
      <w:r>
        <w:separator/>
      </w:r>
    </w:p>
  </w:endnote>
  <w:endnote w:type="continuationSeparator" w:id="0">
    <w:p w14:paraId="1FFD5218" w14:textId="77777777" w:rsidR="00720CD0" w:rsidRDefault="00720CD0" w:rsidP="00A225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4CA686" w14:textId="70747241" w:rsidR="00A225CB" w:rsidRDefault="00A225CB">
    <w:pPr>
      <w:pStyle w:val="Footer"/>
    </w:pPr>
    <w:r>
      <w:rPr>
        <w:noProof/>
        <w:color w:val="156082" w:themeColor="accent1"/>
      </w:rPr>
      <mc:AlternateContent>
        <mc:Choice Requires="wps">
          <w:drawing>
            <wp:anchor distT="0" distB="0" distL="114300" distR="114300" simplePos="0" relativeHeight="251659264" behindDoc="0" locked="0" layoutInCell="1" allowOverlap="1" wp14:anchorId="3E5029EA" wp14:editId="2464CB0E">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A7E7A1B"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04FB24" w14:textId="77777777" w:rsidR="00720CD0" w:rsidRDefault="00720CD0" w:rsidP="00A225CB">
      <w:pPr>
        <w:spacing w:after="0" w:line="240" w:lineRule="auto"/>
      </w:pPr>
      <w:r>
        <w:separator/>
      </w:r>
    </w:p>
  </w:footnote>
  <w:footnote w:type="continuationSeparator" w:id="0">
    <w:p w14:paraId="59AD6B0A" w14:textId="77777777" w:rsidR="00720CD0" w:rsidRDefault="00720CD0" w:rsidP="00A225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AA3298"/>
    <w:multiLevelType w:val="hybridMultilevel"/>
    <w:tmpl w:val="67CA3E9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3A0375"/>
    <w:multiLevelType w:val="hybridMultilevel"/>
    <w:tmpl w:val="111A5B8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6347288">
    <w:abstractNumId w:val="0"/>
  </w:num>
  <w:num w:numId="2" w16cid:durableId="11670137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A02"/>
    <w:rsid w:val="00720CD0"/>
    <w:rsid w:val="008165F3"/>
    <w:rsid w:val="008F6A02"/>
    <w:rsid w:val="00972E8F"/>
    <w:rsid w:val="00A22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DE3E2"/>
  <w15:chartTrackingRefBased/>
  <w15:docId w15:val="{DB8FF9BB-671A-41BE-9173-B2D8DE020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6A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6A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6A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6A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6A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6A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6A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6A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6A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A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6A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6A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6A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6A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6A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6A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6A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6A02"/>
    <w:rPr>
      <w:rFonts w:eastAsiaTheme="majorEastAsia" w:cstheme="majorBidi"/>
      <w:color w:val="272727" w:themeColor="text1" w:themeTint="D8"/>
    </w:rPr>
  </w:style>
  <w:style w:type="paragraph" w:styleId="Title">
    <w:name w:val="Title"/>
    <w:basedOn w:val="Normal"/>
    <w:next w:val="Normal"/>
    <w:link w:val="TitleChar"/>
    <w:uiPriority w:val="10"/>
    <w:qFormat/>
    <w:rsid w:val="008F6A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6A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6A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6A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6A02"/>
    <w:pPr>
      <w:spacing w:before="160"/>
      <w:jc w:val="center"/>
    </w:pPr>
    <w:rPr>
      <w:i/>
      <w:iCs/>
      <w:color w:val="404040" w:themeColor="text1" w:themeTint="BF"/>
    </w:rPr>
  </w:style>
  <w:style w:type="character" w:customStyle="1" w:styleId="QuoteChar">
    <w:name w:val="Quote Char"/>
    <w:basedOn w:val="DefaultParagraphFont"/>
    <w:link w:val="Quote"/>
    <w:uiPriority w:val="29"/>
    <w:rsid w:val="008F6A02"/>
    <w:rPr>
      <w:i/>
      <w:iCs/>
      <w:color w:val="404040" w:themeColor="text1" w:themeTint="BF"/>
    </w:rPr>
  </w:style>
  <w:style w:type="paragraph" w:styleId="ListParagraph">
    <w:name w:val="List Paragraph"/>
    <w:basedOn w:val="Normal"/>
    <w:uiPriority w:val="34"/>
    <w:qFormat/>
    <w:rsid w:val="008F6A02"/>
    <w:pPr>
      <w:ind w:left="720"/>
      <w:contextualSpacing/>
    </w:pPr>
  </w:style>
  <w:style w:type="character" w:styleId="IntenseEmphasis">
    <w:name w:val="Intense Emphasis"/>
    <w:basedOn w:val="DefaultParagraphFont"/>
    <w:uiPriority w:val="21"/>
    <w:qFormat/>
    <w:rsid w:val="008F6A02"/>
    <w:rPr>
      <w:i/>
      <w:iCs/>
      <w:color w:val="0F4761" w:themeColor="accent1" w:themeShade="BF"/>
    </w:rPr>
  </w:style>
  <w:style w:type="paragraph" w:styleId="IntenseQuote">
    <w:name w:val="Intense Quote"/>
    <w:basedOn w:val="Normal"/>
    <w:next w:val="Normal"/>
    <w:link w:val="IntenseQuoteChar"/>
    <w:uiPriority w:val="30"/>
    <w:qFormat/>
    <w:rsid w:val="008F6A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6A02"/>
    <w:rPr>
      <w:i/>
      <w:iCs/>
      <w:color w:val="0F4761" w:themeColor="accent1" w:themeShade="BF"/>
    </w:rPr>
  </w:style>
  <w:style w:type="character" w:styleId="IntenseReference">
    <w:name w:val="Intense Reference"/>
    <w:basedOn w:val="DefaultParagraphFont"/>
    <w:uiPriority w:val="32"/>
    <w:qFormat/>
    <w:rsid w:val="008F6A02"/>
    <w:rPr>
      <w:b/>
      <w:bCs/>
      <w:smallCaps/>
      <w:color w:val="0F4761" w:themeColor="accent1" w:themeShade="BF"/>
      <w:spacing w:val="5"/>
    </w:rPr>
  </w:style>
  <w:style w:type="table" w:styleId="ListTable4-Accent5">
    <w:name w:val="List Table 4 Accent 5"/>
    <w:basedOn w:val="TableNormal"/>
    <w:uiPriority w:val="49"/>
    <w:rsid w:val="008F6A02"/>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tcBorders>
        <w:shd w:val="clear" w:color="auto" w:fill="A02B93" w:themeFill="accent5"/>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3-Accent5">
    <w:name w:val="List Table 3 Accent 5"/>
    <w:basedOn w:val="TableNormal"/>
    <w:uiPriority w:val="48"/>
    <w:rsid w:val="008F6A02"/>
    <w:pPr>
      <w:spacing w:after="0" w:line="240" w:lineRule="auto"/>
    </w:pPr>
    <w:tblPr>
      <w:tblStyleRowBandSize w:val="1"/>
      <w:tblStyleColBandSize w:val="1"/>
      <w:tblBorders>
        <w:top w:val="single" w:sz="4" w:space="0" w:color="A02B93" w:themeColor="accent5"/>
        <w:left w:val="single" w:sz="4" w:space="0" w:color="A02B93" w:themeColor="accent5"/>
        <w:bottom w:val="single" w:sz="4" w:space="0" w:color="A02B93" w:themeColor="accent5"/>
        <w:right w:val="single" w:sz="4" w:space="0" w:color="A02B93" w:themeColor="accent5"/>
      </w:tblBorders>
    </w:tblPr>
    <w:tblStylePr w:type="firstRow">
      <w:rPr>
        <w:b/>
        <w:bCs/>
        <w:color w:val="FFFFFF" w:themeColor="background1"/>
      </w:rPr>
      <w:tblPr/>
      <w:tcPr>
        <w:shd w:val="clear" w:color="auto" w:fill="A02B93" w:themeFill="accent5"/>
      </w:tcPr>
    </w:tblStylePr>
    <w:tblStylePr w:type="lastRow">
      <w:rPr>
        <w:b/>
        <w:bCs/>
      </w:rPr>
      <w:tblPr/>
      <w:tcPr>
        <w:tcBorders>
          <w:top w:val="double" w:sz="4" w:space="0" w:color="A02B9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02B93" w:themeColor="accent5"/>
          <w:right w:val="single" w:sz="4" w:space="0" w:color="A02B93" w:themeColor="accent5"/>
        </w:tcBorders>
      </w:tcPr>
    </w:tblStylePr>
    <w:tblStylePr w:type="band1Horz">
      <w:tblPr/>
      <w:tcPr>
        <w:tcBorders>
          <w:top w:val="single" w:sz="4" w:space="0" w:color="A02B93" w:themeColor="accent5"/>
          <w:bottom w:val="single" w:sz="4" w:space="0" w:color="A02B9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02B93" w:themeColor="accent5"/>
          <w:left w:val="nil"/>
        </w:tcBorders>
      </w:tcPr>
    </w:tblStylePr>
    <w:tblStylePr w:type="swCell">
      <w:tblPr/>
      <w:tcPr>
        <w:tcBorders>
          <w:top w:val="double" w:sz="4" w:space="0" w:color="A02B93" w:themeColor="accent5"/>
          <w:right w:val="nil"/>
        </w:tcBorders>
      </w:tcPr>
    </w:tblStylePr>
  </w:style>
  <w:style w:type="table" w:styleId="GridTable1Light-Accent5">
    <w:name w:val="Grid Table 1 Light Accent 5"/>
    <w:basedOn w:val="TableNormal"/>
    <w:uiPriority w:val="46"/>
    <w:rsid w:val="008F6A02"/>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A225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5CB"/>
  </w:style>
  <w:style w:type="paragraph" w:styleId="Footer">
    <w:name w:val="footer"/>
    <w:basedOn w:val="Normal"/>
    <w:link w:val="FooterChar"/>
    <w:uiPriority w:val="99"/>
    <w:unhideWhenUsed/>
    <w:rsid w:val="00A225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5CB"/>
  </w:style>
  <w:style w:type="paragraph" w:styleId="NoSpacing">
    <w:name w:val="No Spacing"/>
    <w:link w:val="NoSpacingChar"/>
    <w:uiPriority w:val="1"/>
    <w:qFormat/>
    <w:rsid w:val="00A225C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225CB"/>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51E2D30E004461B8C302E5511A185FE"/>
        <w:category>
          <w:name w:val="General"/>
          <w:gallery w:val="placeholder"/>
        </w:category>
        <w:types>
          <w:type w:val="bbPlcHdr"/>
        </w:types>
        <w:behaviors>
          <w:behavior w:val="content"/>
        </w:behaviors>
        <w:guid w:val="{2EDBDD97-8366-4BF8-8B9B-6C717DA75F3E}"/>
      </w:docPartPr>
      <w:docPartBody>
        <w:p w:rsidR="00000000" w:rsidRDefault="00790559" w:rsidP="00790559">
          <w:pPr>
            <w:pStyle w:val="D51E2D30E004461B8C302E5511A185FE"/>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559"/>
    <w:rsid w:val="00790559"/>
    <w:rsid w:val="008875FB"/>
    <w:rsid w:val="00972E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1E2D30E004461B8C302E5511A185FE">
    <w:name w:val="D51E2D30E004461B8C302E5511A185FE"/>
    <w:rsid w:val="00790559"/>
  </w:style>
  <w:style w:type="paragraph" w:customStyle="1" w:styleId="ACB9E4ACC8C1474DA14801A331B99084">
    <w:name w:val="ACB9E4ACC8C1474DA14801A331B99084"/>
    <w:rsid w:val="007905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2026-04-22T00:00:00</PublishDate>
  <Abstract/>
  <CompanyAddress>Module code: BMSP4011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13</Pages>
  <Words>2305</Words>
  <Characters>13144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ANALYSIS OF B&amp;M</dc:title>
  <dc:subject/>
  <cp:keywords/>
  <dc:description/>
  <dcterms:created xsi:type="dcterms:W3CDTF">2026-04-22T16:20:00Z</dcterms:created>
  <dcterms:modified xsi:type="dcterms:W3CDTF">2026-04-22T16:47:00Z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011ac37b-feae-4e3b-9dca-7992c4bf75ad</vt:lpwstr>
  </property>
</Properties>
</file>