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64264" w:rsidRPr="00431F54" w:rsidRDefault="00064264" w:rsidP="00064264">
      <w:pPr>
        <w:pStyle w:val="Title2"/>
      </w:pPr>
      <w:r w:rsidRPr="00431F54">
        <w:t>Emissions legislation</w:t>
      </w:r>
    </w:p>
    <w:p w:rsidR="00064264" w:rsidRPr="00543F36" w:rsidRDefault="00064264" w:rsidP="00064264">
      <w:pPr>
        <w:spacing w:line="360" w:lineRule="auto"/>
        <w:jc w:val="both"/>
        <w:rPr>
          <w:rFonts w:ascii="Garamond" w:hAnsi="Garamond"/>
          <w:color w:val="000000"/>
        </w:rPr>
      </w:pPr>
      <w:r w:rsidRPr="00543F36">
        <w:rPr>
          <w:rFonts w:ascii="Garamond" w:hAnsi="Garamond"/>
          <w:color w:val="000000"/>
        </w:rPr>
        <w:t xml:space="preserve">Emissions data history is fairly recent, since emissions regulations have only been mandatory since 1982, and then were not up-dated until 1992, with the introduction of the ‘Euro’ regulations by the European Union.  The </w:t>
      </w:r>
      <w:smartTag w:uri="urn:schemas-microsoft-com:office:smarttags" w:element="country-region">
        <w:smartTag w:uri="urn:schemas-microsoft-com:office:smarttags" w:element="place">
          <w:r w:rsidRPr="00543F36">
            <w:rPr>
              <w:rFonts w:ascii="Garamond" w:hAnsi="Garamond"/>
              <w:color w:val="000000"/>
            </w:rPr>
            <w:t>U.S.</w:t>
          </w:r>
        </w:smartTag>
      </w:smartTag>
      <w:r w:rsidRPr="00543F36">
        <w:rPr>
          <w:rFonts w:ascii="Garamond" w:hAnsi="Garamond"/>
          <w:color w:val="000000"/>
        </w:rPr>
        <w:t xml:space="preserve"> has a similar ‘Tier’ system based on the European equivalent. </w:t>
      </w:r>
    </w:p>
    <w:p w:rsidR="00064264" w:rsidRPr="00543F36" w:rsidRDefault="00064264" w:rsidP="00064264">
      <w:pPr>
        <w:pStyle w:val="BodyText2"/>
        <w:spacing w:line="360" w:lineRule="auto"/>
        <w:rPr>
          <w:rFonts w:ascii="Garamond" w:hAnsi="Garamond"/>
          <w:color w:val="000000"/>
        </w:rPr>
      </w:pPr>
      <w:r w:rsidRPr="00543F36">
        <w:rPr>
          <w:rFonts w:ascii="Garamond" w:hAnsi="Garamond"/>
          <w:color w:val="000000"/>
        </w:rPr>
        <w:t>Below are two tables, Table</w:t>
      </w:r>
      <w:r>
        <w:rPr>
          <w:rFonts w:ascii="Garamond" w:hAnsi="Garamond"/>
          <w:color w:val="000000"/>
        </w:rPr>
        <w:t>s</w:t>
      </w:r>
      <w:r w:rsidRPr="00543F36">
        <w:rPr>
          <w:rFonts w:ascii="Garamond" w:hAnsi="Garamond"/>
          <w:color w:val="000000"/>
        </w:rPr>
        <w:t xml:space="preserve"> 1 and 2, containing the data for both Petrol and Diesel internal combustion engines emissions fr</w:t>
      </w:r>
      <w:r>
        <w:rPr>
          <w:rFonts w:ascii="Garamond" w:hAnsi="Garamond"/>
          <w:color w:val="000000"/>
        </w:rPr>
        <w:t xml:space="preserve">om 1982 up to the present Euro </w:t>
      </w:r>
      <w:proofErr w:type="gramStart"/>
      <w:r>
        <w:rPr>
          <w:rFonts w:ascii="Garamond" w:hAnsi="Garamond"/>
          <w:color w:val="000000"/>
        </w:rPr>
        <w:t>vi</w:t>
      </w:r>
      <w:proofErr w:type="gramEnd"/>
      <w:r w:rsidRPr="00543F36">
        <w:rPr>
          <w:rFonts w:ascii="Garamond" w:hAnsi="Garamond"/>
          <w:color w:val="000000"/>
        </w:rPr>
        <w:t xml:space="preserve"> standard.</w:t>
      </w:r>
    </w:p>
    <w:p w:rsidR="00064264" w:rsidRPr="00543F36" w:rsidRDefault="00064264" w:rsidP="00064264">
      <w:pPr>
        <w:pStyle w:val="Caption"/>
        <w:keepNext/>
        <w:rPr>
          <w:rFonts w:ascii="Garamond" w:hAnsi="Garamond"/>
          <w:color w:val="000000"/>
        </w:rPr>
      </w:pPr>
    </w:p>
    <w:tbl>
      <w:tblPr>
        <w:tblW w:w="8460" w:type="dxa"/>
        <w:jc w:val="center"/>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733"/>
        <w:gridCol w:w="1698"/>
        <w:gridCol w:w="1699"/>
        <w:gridCol w:w="1699"/>
        <w:gridCol w:w="1631"/>
      </w:tblGrid>
      <w:tr w:rsidR="00064264" w:rsidRPr="00543F36" w:rsidTr="004F02D1">
        <w:trPr>
          <w:jc w:val="center"/>
        </w:trPr>
        <w:tc>
          <w:tcPr>
            <w:tcW w:w="1733" w:type="dxa"/>
          </w:tcPr>
          <w:p w:rsidR="00064264" w:rsidRPr="00543F36" w:rsidRDefault="00064264" w:rsidP="004F02D1">
            <w:pPr>
              <w:pStyle w:val="TOC1"/>
              <w:rPr>
                <w:color w:val="000000"/>
              </w:rPr>
            </w:pPr>
            <w:r w:rsidRPr="00543F36">
              <w:rPr>
                <w:color w:val="000000"/>
              </w:rPr>
              <w:t>Year of Regulation</w:t>
            </w:r>
          </w:p>
        </w:tc>
        <w:tc>
          <w:tcPr>
            <w:tcW w:w="1698" w:type="dxa"/>
          </w:tcPr>
          <w:p w:rsidR="00064264" w:rsidRPr="00543F36" w:rsidRDefault="00064264" w:rsidP="004F02D1">
            <w:pPr>
              <w:rPr>
                <w:rFonts w:ascii="Garamond" w:hAnsi="Garamond"/>
                <w:b/>
                <w:bCs/>
                <w:color w:val="000000"/>
              </w:rPr>
            </w:pPr>
            <w:r w:rsidRPr="00543F36">
              <w:rPr>
                <w:rFonts w:ascii="Garamond" w:hAnsi="Garamond"/>
                <w:b/>
                <w:bCs/>
                <w:color w:val="000000"/>
              </w:rPr>
              <w:t>CO (g/km)</w:t>
            </w:r>
          </w:p>
        </w:tc>
        <w:tc>
          <w:tcPr>
            <w:tcW w:w="1699" w:type="dxa"/>
          </w:tcPr>
          <w:p w:rsidR="00064264" w:rsidRPr="00543F36" w:rsidRDefault="00064264" w:rsidP="004F02D1">
            <w:pPr>
              <w:rPr>
                <w:rFonts w:ascii="Garamond" w:hAnsi="Garamond"/>
                <w:b/>
                <w:bCs/>
                <w:color w:val="000000"/>
              </w:rPr>
            </w:pPr>
            <w:r w:rsidRPr="00543F36">
              <w:rPr>
                <w:rFonts w:ascii="Garamond" w:hAnsi="Garamond"/>
                <w:b/>
                <w:bCs/>
                <w:color w:val="000000"/>
              </w:rPr>
              <w:t xml:space="preserve">HC &amp; </w:t>
            </w:r>
            <w:proofErr w:type="spellStart"/>
            <w:r w:rsidRPr="00543F36">
              <w:rPr>
                <w:rFonts w:ascii="Garamond" w:hAnsi="Garamond"/>
                <w:b/>
                <w:bCs/>
                <w:color w:val="000000"/>
              </w:rPr>
              <w:t>NOx</w:t>
            </w:r>
            <w:proofErr w:type="spellEnd"/>
            <w:r w:rsidRPr="00543F36">
              <w:rPr>
                <w:rFonts w:ascii="Garamond" w:hAnsi="Garamond"/>
                <w:b/>
                <w:bCs/>
                <w:color w:val="000000"/>
              </w:rPr>
              <w:t xml:space="preserve"> (g/km)</w:t>
            </w:r>
          </w:p>
        </w:tc>
        <w:tc>
          <w:tcPr>
            <w:tcW w:w="1699" w:type="dxa"/>
          </w:tcPr>
          <w:p w:rsidR="00064264" w:rsidRPr="00543F36" w:rsidRDefault="00064264" w:rsidP="004F02D1">
            <w:pPr>
              <w:rPr>
                <w:rFonts w:ascii="Garamond" w:hAnsi="Garamond"/>
                <w:b/>
                <w:bCs/>
                <w:color w:val="000000"/>
              </w:rPr>
            </w:pPr>
            <w:r w:rsidRPr="00543F36">
              <w:rPr>
                <w:rFonts w:ascii="Garamond" w:hAnsi="Garamond"/>
                <w:b/>
                <w:bCs/>
                <w:color w:val="000000"/>
              </w:rPr>
              <w:t>HC (g/km)</w:t>
            </w:r>
          </w:p>
        </w:tc>
        <w:tc>
          <w:tcPr>
            <w:tcW w:w="1631" w:type="dxa"/>
          </w:tcPr>
          <w:p w:rsidR="00064264" w:rsidRPr="00543F36" w:rsidRDefault="00064264" w:rsidP="004F02D1">
            <w:pPr>
              <w:rPr>
                <w:rFonts w:ascii="Garamond" w:hAnsi="Garamond"/>
                <w:b/>
                <w:bCs/>
                <w:color w:val="000000"/>
              </w:rPr>
            </w:pPr>
            <w:proofErr w:type="spellStart"/>
            <w:r w:rsidRPr="00543F36">
              <w:rPr>
                <w:rFonts w:ascii="Garamond" w:hAnsi="Garamond"/>
                <w:b/>
                <w:bCs/>
                <w:color w:val="000000"/>
              </w:rPr>
              <w:t>NOx</w:t>
            </w:r>
            <w:proofErr w:type="spellEnd"/>
            <w:r w:rsidRPr="00543F36">
              <w:rPr>
                <w:rFonts w:ascii="Garamond" w:hAnsi="Garamond"/>
                <w:b/>
                <w:bCs/>
                <w:color w:val="000000"/>
              </w:rPr>
              <w:t xml:space="preserve"> (g/km)</w:t>
            </w:r>
          </w:p>
        </w:tc>
      </w:tr>
      <w:tr w:rsidR="00064264" w:rsidRPr="00543F36" w:rsidTr="004F02D1">
        <w:trPr>
          <w:jc w:val="center"/>
        </w:trPr>
        <w:tc>
          <w:tcPr>
            <w:tcW w:w="1733" w:type="dxa"/>
          </w:tcPr>
          <w:p w:rsidR="00064264" w:rsidRPr="00543F36" w:rsidRDefault="00064264" w:rsidP="004F02D1">
            <w:pPr>
              <w:pStyle w:val="TOC1"/>
              <w:rPr>
                <w:color w:val="000000"/>
              </w:rPr>
            </w:pPr>
            <w:r w:rsidRPr="00543F36">
              <w:rPr>
                <w:color w:val="000000"/>
              </w:rPr>
              <w:t>1982</w:t>
            </w:r>
          </w:p>
        </w:tc>
        <w:tc>
          <w:tcPr>
            <w:tcW w:w="169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20.7</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5.8</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c>
          <w:tcPr>
            <w:tcW w:w="1631"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r>
      <w:tr w:rsidR="00064264" w:rsidRPr="00543F36" w:rsidTr="004F02D1">
        <w:trPr>
          <w:jc w:val="center"/>
        </w:trPr>
        <w:tc>
          <w:tcPr>
            <w:tcW w:w="1733"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1992 (Euro 1)</w:t>
            </w:r>
          </w:p>
        </w:tc>
        <w:tc>
          <w:tcPr>
            <w:tcW w:w="169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2.72</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0.97</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c>
          <w:tcPr>
            <w:tcW w:w="1631"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r>
      <w:tr w:rsidR="00064264" w:rsidRPr="00543F36" w:rsidTr="004F02D1">
        <w:trPr>
          <w:jc w:val="center"/>
        </w:trPr>
        <w:tc>
          <w:tcPr>
            <w:tcW w:w="1733"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1996 (Euro 2)</w:t>
            </w:r>
          </w:p>
        </w:tc>
        <w:tc>
          <w:tcPr>
            <w:tcW w:w="169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2.2</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0.5</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c>
          <w:tcPr>
            <w:tcW w:w="1631"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r>
      <w:tr w:rsidR="00064264" w:rsidRPr="00543F36" w:rsidTr="004F02D1">
        <w:trPr>
          <w:jc w:val="center"/>
        </w:trPr>
        <w:tc>
          <w:tcPr>
            <w:tcW w:w="1733"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2000 (Euro 3)</w:t>
            </w:r>
          </w:p>
        </w:tc>
        <w:tc>
          <w:tcPr>
            <w:tcW w:w="169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2.3</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0.35</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0.2</w:t>
            </w:r>
          </w:p>
        </w:tc>
        <w:tc>
          <w:tcPr>
            <w:tcW w:w="1631"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0.15</w:t>
            </w:r>
          </w:p>
        </w:tc>
      </w:tr>
      <w:tr w:rsidR="00064264" w:rsidRPr="00543F36" w:rsidTr="004F02D1">
        <w:trPr>
          <w:jc w:val="center"/>
        </w:trPr>
        <w:tc>
          <w:tcPr>
            <w:tcW w:w="1733"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2005 (Euro 4)</w:t>
            </w:r>
          </w:p>
        </w:tc>
        <w:tc>
          <w:tcPr>
            <w:tcW w:w="169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1.0</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0.18</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0.1</w:t>
            </w:r>
          </w:p>
        </w:tc>
        <w:tc>
          <w:tcPr>
            <w:tcW w:w="1631" w:type="dxa"/>
          </w:tcPr>
          <w:p w:rsidR="00064264" w:rsidRPr="00543F36" w:rsidRDefault="00064264" w:rsidP="004F02D1">
            <w:pPr>
              <w:keepNext/>
              <w:spacing w:line="360" w:lineRule="auto"/>
              <w:rPr>
                <w:rFonts w:ascii="Garamond" w:hAnsi="Garamond"/>
                <w:color w:val="000000"/>
              </w:rPr>
            </w:pPr>
            <w:r w:rsidRPr="00543F36">
              <w:rPr>
                <w:rFonts w:ascii="Garamond" w:hAnsi="Garamond"/>
                <w:color w:val="000000"/>
              </w:rPr>
              <w:t>0.08</w:t>
            </w:r>
          </w:p>
        </w:tc>
      </w:tr>
      <w:tr w:rsidR="00064264" w:rsidRPr="00543F36" w:rsidTr="004F02D1">
        <w:trPr>
          <w:jc w:val="center"/>
        </w:trPr>
        <w:tc>
          <w:tcPr>
            <w:tcW w:w="1733"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2009 (Euro 5)</w:t>
            </w:r>
          </w:p>
        </w:tc>
        <w:tc>
          <w:tcPr>
            <w:tcW w:w="169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1.0</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0.16</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0.1</w:t>
            </w:r>
          </w:p>
        </w:tc>
        <w:tc>
          <w:tcPr>
            <w:tcW w:w="1631" w:type="dxa"/>
          </w:tcPr>
          <w:p w:rsidR="00064264" w:rsidRPr="00543F36" w:rsidRDefault="00064264" w:rsidP="004F02D1">
            <w:pPr>
              <w:keepNext/>
              <w:spacing w:line="360" w:lineRule="auto"/>
              <w:rPr>
                <w:rFonts w:ascii="Garamond" w:hAnsi="Garamond"/>
                <w:color w:val="000000"/>
              </w:rPr>
            </w:pPr>
            <w:r w:rsidRPr="00543F36">
              <w:rPr>
                <w:rFonts w:ascii="Garamond" w:hAnsi="Garamond"/>
                <w:color w:val="000000"/>
              </w:rPr>
              <w:t>0.06</w:t>
            </w:r>
          </w:p>
        </w:tc>
      </w:tr>
      <w:tr w:rsidR="00064264" w:rsidRPr="00543F36" w:rsidTr="004F02D1">
        <w:trPr>
          <w:jc w:val="center"/>
        </w:trPr>
        <w:tc>
          <w:tcPr>
            <w:tcW w:w="1733"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2014 (Euro 6)</w:t>
            </w:r>
          </w:p>
        </w:tc>
        <w:tc>
          <w:tcPr>
            <w:tcW w:w="169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1.0</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0.16</w:t>
            </w:r>
          </w:p>
        </w:tc>
        <w:tc>
          <w:tcPr>
            <w:tcW w:w="16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0.1</w:t>
            </w:r>
          </w:p>
        </w:tc>
        <w:tc>
          <w:tcPr>
            <w:tcW w:w="1631" w:type="dxa"/>
          </w:tcPr>
          <w:p w:rsidR="00064264" w:rsidRPr="00543F36" w:rsidRDefault="00064264" w:rsidP="004F02D1">
            <w:pPr>
              <w:keepNext/>
              <w:spacing w:line="360" w:lineRule="auto"/>
              <w:rPr>
                <w:rFonts w:ascii="Garamond" w:hAnsi="Garamond"/>
                <w:color w:val="000000"/>
              </w:rPr>
            </w:pPr>
            <w:r w:rsidRPr="00543F36">
              <w:rPr>
                <w:rFonts w:ascii="Garamond" w:hAnsi="Garamond"/>
                <w:color w:val="000000"/>
              </w:rPr>
              <w:t>0.06</w:t>
            </w:r>
          </w:p>
        </w:tc>
      </w:tr>
    </w:tbl>
    <w:p w:rsidR="00064264" w:rsidRPr="00543F36" w:rsidRDefault="00064264" w:rsidP="00064264">
      <w:pPr>
        <w:pStyle w:val="Caption"/>
        <w:jc w:val="center"/>
        <w:rPr>
          <w:color w:val="000000"/>
        </w:rPr>
      </w:pPr>
      <w:bookmarkStart w:id="0" w:name="_Toc157078070"/>
      <w:r w:rsidRPr="00543F36">
        <w:rPr>
          <w:color w:val="000000"/>
        </w:rPr>
        <w:t xml:space="preserve">Table </w:t>
      </w:r>
      <w:r w:rsidRPr="00543F36">
        <w:rPr>
          <w:color w:val="000000"/>
        </w:rPr>
        <w:fldChar w:fldCharType="begin"/>
      </w:r>
      <w:r w:rsidRPr="00543F36">
        <w:rPr>
          <w:color w:val="000000"/>
        </w:rPr>
        <w:instrText xml:space="preserve"> SEQ Table \* ARABIC </w:instrText>
      </w:r>
      <w:r w:rsidRPr="00543F36">
        <w:rPr>
          <w:color w:val="000000"/>
        </w:rPr>
        <w:fldChar w:fldCharType="separate"/>
      </w:r>
      <w:r w:rsidR="001439E6">
        <w:rPr>
          <w:noProof/>
          <w:color w:val="000000"/>
        </w:rPr>
        <w:t>1</w:t>
      </w:r>
      <w:r w:rsidRPr="00543F36">
        <w:rPr>
          <w:color w:val="000000"/>
        </w:rPr>
        <w:fldChar w:fldCharType="end"/>
      </w:r>
      <w:r w:rsidRPr="00543F36">
        <w:rPr>
          <w:color w:val="000000"/>
        </w:rPr>
        <w:t>: Petrol</w:t>
      </w:r>
      <w:bookmarkEnd w:id="0"/>
      <w:r>
        <w:rPr>
          <w:color w:val="000000"/>
        </w:rPr>
        <w:t xml:space="preserve"> Emissions</w:t>
      </w:r>
    </w:p>
    <w:p w:rsidR="00064264" w:rsidRDefault="00064264" w:rsidP="00064264">
      <w:pPr>
        <w:rPr>
          <w:color w:val="000000"/>
        </w:rPr>
      </w:pPr>
    </w:p>
    <w:p w:rsidR="00064264" w:rsidRPr="00543F36" w:rsidRDefault="00064264" w:rsidP="00064264">
      <w:pPr>
        <w:spacing w:line="360" w:lineRule="auto"/>
        <w:jc w:val="both"/>
        <w:rPr>
          <w:rFonts w:ascii="Garamond" w:hAnsi="Garamond"/>
          <w:color w:val="000000"/>
        </w:rPr>
      </w:pPr>
      <w:r>
        <w:rPr>
          <w:rFonts w:ascii="Garamond" w:hAnsi="Garamond"/>
          <w:color w:val="000000"/>
        </w:rPr>
        <w:t>Data are</w:t>
      </w:r>
      <w:r w:rsidRPr="00543F36">
        <w:rPr>
          <w:rFonts w:ascii="Garamond" w:hAnsi="Garamond"/>
          <w:color w:val="000000"/>
        </w:rPr>
        <w:t xml:space="preserve"> shown graphically in </w:t>
      </w:r>
      <w:r>
        <w:rPr>
          <w:rFonts w:ascii="Garamond" w:hAnsi="Garamond"/>
          <w:color w:val="000000"/>
        </w:rPr>
        <w:t xml:space="preserve">figure 1 </w:t>
      </w:r>
      <w:r w:rsidRPr="00543F36">
        <w:rPr>
          <w:rFonts w:ascii="Garamond" w:hAnsi="Garamond"/>
          <w:color w:val="000000"/>
        </w:rPr>
        <w:t>and illustrate</w:t>
      </w:r>
      <w:r>
        <w:rPr>
          <w:rFonts w:ascii="Garamond" w:hAnsi="Garamond"/>
          <w:color w:val="000000"/>
        </w:rPr>
        <w:t xml:space="preserve"> the reduction of emissions due to</w:t>
      </w:r>
      <w:r w:rsidRPr="00543F36">
        <w:rPr>
          <w:rFonts w:ascii="Garamond" w:hAnsi="Garamond"/>
          <w:color w:val="000000"/>
        </w:rPr>
        <w:t xml:space="preserve"> developments in legislation.</w:t>
      </w:r>
    </w:p>
    <w:p w:rsidR="00064264" w:rsidRPr="00543F36" w:rsidRDefault="00064264" w:rsidP="00064264">
      <w:pPr>
        <w:spacing w:line="360" w:lineRule="auto"/>
        <w:jc w:val="center"/>
        <w:rPr>
          <w:rFonts w:ascii="Garamond" w:hAnsi="Garamond"/>
          <w:color w:val="000000"/>
        </w:rPr>
      </w:pPr>
    </w:p>
    <w:p w:rsidR="00064264" w:rsidRDefault="00064264" w:rsidP="00064264">
      <w:pPr>
        <w:jc w:val="center"/>
        <w:rPr>
          <w:color w:val="000000"/>
        </w:rPr>
      </w:pPr>
    </w:p>
    <w:p w:rsidR="00064264" w:rsidRDefault="00064264" w:rsidP="00064264">
      <w:pPr>
        <w:pStyle w:val="Caption"/>
        <w:jc w:val="center"/>
        <w:rPr>
          <w:rFonts w:ascii="Garamond" w:hAnsi="Garamond"/>
          <w:color w:val="000000"/>
        </w:rPr>
      </w:pPr>
      <w:bookmarkStart w:id="1" w:name="_Toc215987975"/>
    </w:p>
    <w:p w:rsidR="00064264" w:rsidRDefault="00064264" w:rsidP="00064264">
      <w:pPr>
        <w:pStyle w:val="Caption"/>
        <w:jc w:val="center"/>
        <w:rPr>
          <w:rFonts w:ascii="Garamond" w:hAnsi="Garamond"/>
          <w:color w:val="000000"/>
        </w:rPr>
      </w:pPr>
    </w:p>
    <w:p w:rsidR="00064264" w:rsidRDefault="00064264" w:rsidP="00064264">
      <w:pPr>
        <w:pStyle w:val="Caption"/>
        <w:jc w:val="center"/>
        <w:rPr>
          <w:rFonts w:ascii="Garamond" w:hAnsi="Garamond"/>
          <w:color w:val="000000"/>
        </w:rPr>
      </w:pPr>
      <w:r w:rsidRPr="00F40330">
        <w:rPr>
          <w:rFonts w:ascii="Garamond" w:hAnsi="Garamond"/>
          <w:noProof/>
          <w:color w:val="000000"/>
          <w:lang w:eastAsia="en-GB"/>
        </w:rPr>
        <w:drawing>
          <wp:inline distT="0" distB="0" distL="0" distR="0">
            <wp:extent cx="4375394" cy="2247544"/>
            <wp:effectExtent l="0" t="0" r="0" b="0"/>
            <wp:docPr id="2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064264" w:rsidRDefault="00064264" w:rsidP="00064264">
      <w:pPr>
        <w:pStyle w:val="Caption"/>
        <w:jc w:val="center"/>
        <w:rPr>
          <w:rFonts w:ascii="Garamond" w:hAnsi="Garamond"/>
          <w:color w:val="000000"/>
        </w:rPr>
      </w:pPr>
    </w:p>
    <w:p w:rsidR="00064264" w:rsidRDefault="00064264" w:rsidP="00064264">
      <w:pPr>
        <w:pStyle w:val="Caption"/>
        <w:jc w:val="center"/>
        <w:rPr>
          <w:rFonts w:ascii="Garamond" w:hAnsi="Garamond"/>
          <w:color w:val="000000"/>
        </w:rPr>
      </w:pPr>
    </w:p>
    <w:p w:rsidR="00064264" w:rsidRPr="00543F36" w:rsidRDefault="00064264" w:rsidP="00064264">
      <w:pPr>
        <w:pStyle w:val="Caption"/>
        <w:jc w:val="center"/>
        <w:rPr>
          <w:rFonts w:ascii="Garamond" w:hAnsi="Garamond"/>
          <w:color w:val="000000"/>
        </w:rPr>
      </w:pPr>
      <w:r w:rsidRPr="00543F36">
        <w:rPr>
          <w:rFonts w:ascii="Garamond" w:hAnsi="Garamond"/>
          <w:color w:val="000000"/>
        </w:rPr>
        <w:t xml:space="preserve">Figure </w:t>
      </w:r>
      <w:r w:rsidRPr="00543F36">
        <w:rPr>
          <w:rFonts w:ascii="Garamond" w:hAnsi="Garamond"/>
          <w:color w:val="000000"/>
        </w:rPr>
        <w:fldChar w:fldCharType="begin"/>
      </w:r>
      <w:r w:rsidRPr="00543F36">
        <w:rPr>
          <w:rFonts w:ascii="Garamond" w:hAnsi="Garamond"/>
          <w:color w:val="000000"/>
        </w:rPr>
        <w:instrText xml:space="preserve"> SEQ Figure \* ARABIC </w:instrText>
      </w:r>
      <w:r w:rsidRPr="00543F36">
        <w:rPr>
          <w:rFonts w:ascii="Garamond" w:hAnsi="Garamond"/>
          <w:color w:val="000000"/>
        </w:rPr>
        <w:fldChar w:fldCharType="separate"/>
      </w:r>
      <w:r w:rsidR="001439E6">
        <w:rPr>
          <w:rFonts w:ascii="Garamond" w:hAnsi="Garamond"/>
          <w:noProof/>
          <w:color w:val="000000"/>
        </w:rPr>
        <w:t>1</w:t>
      </w:r>
      <w:r w:rsidRPr="00543F36">
        <w:rPr>
          <w:rFonts w:ascii="Garamond" w:hAnsi="Garamond"/>
          <w:color w:val="000000"/>
        </w:rPr>
        <w:fldChar w:fldCharType="end"/>
      </w:r>
      <w:r w:rsidRPr="00543F36">
        <w:rPr>
          <w:rFonts w:ascii="Garamond" w:hAnsi="Garamond"/>
          <w:color w:val="000000"/>
        </w:rPr>
        <w:t xml:space="preserve">: Petrol Emission Regulations </w:t>
      </w:r>
      <w:proofErr w:type="gramStart"/>
      <w:r w:rsidRPr="00543F36">
        <w:rPr>
          <w:rFonts w:ascii="Garamond" w:hAnsi="Garamond"/>
          <w:color w:val="000000"/>
        </w:rPr>
        <w:t>Over</w:t>
      </w:r>
      <w:proofErr w:type="gramEnd"/>
      <w:r w:rsidRPr="00543F36">
        <w:rPr>
          <w:rFonts w:ascii="Garamond" w:hAnsi="Garamond"/>
          <w:color w:val="000000"/>
        </w:rPr>
        <w:t xml:space="preserve"> Time</w:t>
      </w:r>
      <w:bookmarkEnd w:id="1"/>
    </w:p>
    <w:p w:rsidR="00064264" w:rsidRPr="00543F36" w:rsidRDefault="00064264" w:rsidP="00064264">
      <w:pPr>
        <w:rPr>
          <w:color w:val="000000"/>
        </w:rPr>
      </w:pPr>
    </w:p>
    <w:p w:rsidR="00064264" w:rsidRPr="00543F36" w:rsidRDefault="00064264" w:rsidP="00064264">
      <w:pPr>
        <w:rPr>
          <w:color w:val="000000"/>
        </w:rPr>
      </w:pPr>
    </w:p>
    <w:tbl>
      <w:tblPr>
        <w:tblW w:w="9180" w:type="dxa"/>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1980"/>
        <w:gridCol w:w="1096"/>
        <w:gridCol w:w="1418"/>
        <w:gridCol w:w="1417"/>
        <w:gridCol w:w="1560"/>
        <w:gridCol w:w="1709"/>
      </w:tblGrid>
      <w:tr w:rsidR="00064264" w:rsidRPr="00543F36" w:rsidTr="004F02D1">
        <w:tc>
          <w:tcPr>
            <w:tcW w:w="1980" w:type="dxa"/>
          </w:tcPr>
          <w:p w:rsidR="00064264" w:rsidRPr="00543F36" w:rsidRDefault="00064264" w:rsidP="004F02D1">
            <w:pPr>
              <w:pStyle w:val="TOC1"/>
              <w:rPr>
                <w:color w:val="000000"/>
              </w:rPr>
            </w:pPr>
            <w:r w:rsidRPr="00543F36">
              <w:rPr>
                <w:color w:val="000000"/>
              </w:rPr>
              <w:lastRenderedPageBreak/>
              <w:t>Year of Regulation.</w:t>
            </w:r>
          </w:p>
        </w:tc>
        <w:tc>
          <w:tcPr>
            <w:tcW w:w="1096" w:type="dxa"/>
          </w:tcPr>
          <w:p w:rsidR="00064264" w:rsidRPr="00543F36" w:rsidRDefault="00064264" w:rsidP="004F02D1">
            <w:pPr>
              <w:rPr>
                <w:rFonts w:ascii="Garamond" w:hAnsi="Garamond"/>
                <w:b/>
                <w:bCs/>
                <w:color w:val="000000"/>
              </w:rPr>
            </w:pPr>
            <w:r w:rsidRPr="00543F36">
              <w:rPr>
                <w:rFonts w:ascii="Garamond" w:hAnsi="Garamond"/>
                <w:b/>
                <w:bCs/>
                <w:color w:val="000000"/>
              </w:rPr>
              <w:t>CO (g/km)</w:t>
            </w:r>
          </w:p>
        </w:tc>
        <w:tc>
          <w:tcPr>
            <w:tcW w:w="1418" w:type="dxa"/>
          </w:tcPr>
          <w:p w:rsidR="00064264" w:rsidRPr="00543F36" w:rsidRDefault="00064264" w:rsidP="004F02D1">
            <w:pPr>
              <w:rPr>
                <w:rFonts w:ascii="Garamond" w:hAnsi="Garamond"/>
                <w:b/>
                <w:bCs/>
                <w:color w:val="000000"/>
              </w:rPr>
            </w:pPr>
            <w:r w:rsidRPr="00543F36">
              <w:rPr>
                <w:rFonts w:ascii="Garamond" w:hAnsi="Garamond"/>
                <w:b/>
                <w:bCs/>
                <w:color w:val="000000"/>
              </w:rPr>
              <w:t xml:space="preserve">HC &amp; </w:t>
            </w:r>
            <w:proofErr w:type="spellStart"/>
            <w:r w:rsidRPr="00543F36">
              <w:rPr>
                <w:rFonts w:ascii="Garamond" w:hAnsi="Garamond"/>
                <w:b/>
                <w:bCs/>
                <w:color w:val="000000"/>
              </w:rPr>
              <w:t>NOx</w:t>
            </w:r>
            <w:proofErr w:type="spellEnd"/>
            <w:r w:rsidRPr="00543F36">
              <w:rPr>
                <w:rFonts w:ascii="Garamond" w:hAnsi="Garamond"/>
                <w:b/>
                <w:bCs/>
                <w:color w:val="000000"/>
              </w:rPr>
              <w:t xml:space="preserve"> (g/km)</w:t>
            </w:r>
          </w:p>
        </w:tc>
        <w:tc>
          <w:tcPr>
            <w:tcW w:w="1417" w:type="dxa"/>
          </w:tcPr>
          <w:p w:rsidR="00064264" w:rsidRPr="00543F36" w:rsidRDefault="00064264" w:rsidP="004F02D1">
            <w:pPr>
              <w:rPr>
                <w:rFonts w:ascii="Garamond" w:hAnsi="Garamond"/>
                <w:b/>
                <w:bCs/>
                <w:color w:val="000000"/>
              </w:rPr>
            </w:pPr>
            <w:r w:rsidRPr="00543F36">
              <w:rPr>
                <w:rFonts w:ascii="Garamond" w:hAnsi="Garamond"/>
                <w:b/>
                <w:bCs/>
                <w:color w:val="000000"/>
              </w:rPr>
              <w:t>HC (g/km)</w:t>
            </w:r>
          </w:p>
        </w:tc>
        <w:tc>
          <w:tcPr>
            <w:tcW w:w="1560" w:type="dxa"/>
          </w:tcPr>
          <w:p w:rsidR="00064264" w:rsidRPr="00543F36" w:rsidRDefault="00064264" w:rsidP="004F02D1">
            <w:pPr>
              <w:rPr>
                <w:rFonts w:ascii="Garamond" w:hAnsi="Garamond"/>
                <w:b/>
                <w:bCs/>
                <w:color w:val="000000"/>
              </w:rPr>
            </w:pPr>
            <w:proofErr w:type="spellStart"/>
            <w:r w:rsidRPr="00543F36">
              <w:rPr>
                <w:rFonts w:ascii="Garamond" w:hAnsi="Garamond"/>
                <w:b/>
                <w:bCs/>
                <w:color w:val="000000"/>
              </w:rPr>
              <w:t>NOx</w:t>
            </w:r>
            <w:proofErr w:type="spellEnd"/>
            <w:r w:rsidRPr="00543F36">
              <w:rPr>
                <w:rFonts w:ascii="Garamond" w:hAnsi="Garamond"/>
                <w:b/>
                <w:bCs/>
                <w:color w:val="000000"/>
              </w:rPr>
              <w:t xml:space="preserve"> (g/km)</w:t>
            </w:r>
          </w:p>
        </w:tc>
        <w:tc>
          <w:tcPr>
            <w:tcW w:w="1709" w:type="dxa"/>
          </w:tcPr>
          <w:p w:rsidR="00064264" w:rsidRPr="00543F36" w:rsidRDefault="00064264" w:rsidP="004F02D1">
            <w:pPr>
              <w:rPr>
                <w:rFonts w:ascii="Garamond" w:hAnsi="Garamond"/>
                <w:b/>
                <w:bCs/>
                <w:color w:val="000000"/>
              </w:rPr>
            </w:pPr>
            <w:r w:rsidRPr="00543F36">
              <w:rPr>
                <w:rFonts w:ascii="Garamond" w:hAnsi="Garamond"/>
                <w:b/>
                <w:bCs/>
                <w:color w:val="000000"/>
              </w:rPr>
              <w:t>Particulate Matter (PM) (g/km)</w:t>
            </w:r>
          </w:p>
        </w:tc>
      </w:tr>
      <w:tr w:rsidR="00064264" w:rsidRPr="00543F36" w:rsidTr="004F02D1">
        <w:tc>
          <w:tcPr>
            <w:tcW w:w="1980"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1982</w:t>
            </w:r>
          </w:p>
        </w:tc>
        <w:tc>
          <w:tcPr>
            <w:tcW w:w="1096"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20.7</w:t>
            </w:r>
          </w:p>
        </w:tc>
        <w:tc>
          <w:tcPr>
            <w:tcW w:w="141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5.8</w:t>
            </w:r>
          </w:p>
        </w:tc>
        <w:tc>
          <w:tcPr>
            <w:tcW w:w="1417"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c>
          <w:tcPr>
            <w:tcW w:w="1560"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c>
          <w:tcPr>
            <w:tcW w:w="170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r>
      <w:tr w:rsidR="00064264" w:rsidRPr="00543F36" w:rsidTr="004F02D1">
        <w:tc>
          <w:tcPr>
            <w:tcW w:w="1980"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1992 (Euro 1)</w:t>
            </w:r>
          </w:p>
        </w:tc>
        <w:tc>
          <w:tcPr>
            <w:tcW w:w="1096"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2.72</w:t>
            </w:r>
          </w:p>
        </w:tc>
        <w:tc>
          <w:tcPr>
            <w:tcW w:w="141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0.97</w:t>
            </w:r>
          </w:p>
        </w:tc>
        <w:tc>
          <w:tcPr>
            <w:tcW w:w="1417"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c>
          <w:tcPr>
            <w:tcW w:w="1560" w:type="dxa"/>
          </w:tcPr>
          <w:p w:rsidR="00064264" w:rsidRPr="00543F36" w:rsidRDefault="00064264" w:rsidP="004F02D1">
            <w:pPr>
              <w:spacing w:line="360" w:lineRule="auto"/>
              <w:rPr>
                <w:rFonts w:ascii="Garamond" w:hAnsi="Garamond"/>
                <w:color w:val="000000"/>
              </w:rPr>
            </w:pPr>
            <w:r>
              <w:rPr>
                <w:rFonts w:ascii="Garamond" w:hAnsi="Garamond"/>
                <w:color w:val="000000"/>
              </w:rPr>
              <w:t>-</w:t>
            </w:r>
          </w:p>
        </w:tc>
        <w:tc>
          <w:tcPr>
            <w:tcW w:w="1709" w:type="dxa"/>
          </w:tcPr>
          <w:p w:rsidR="00064264" w:rsidRPr="00543F36" w:rsidRDefault="00064264" w:rsidP="004F02D1">
            <w:pPr>
              <w:spacing w:line="360" w:lineRule="auto"/>
              <w:rPr>
                <w:rFonts w:ascii="Garamond" w:hAnsi="Garamond"/>
                <w:color w:val="000000"/>
              </w:rPr>
            </w:pPr>
            <w:r>
              <w:rPr>
                <w:rFonts w:ascii="Garamond" w:hAnsi="Garamond"/>
                <w:color w:val="000000"/>
              </w:rPr>
              <w:t>0.14</w:t>
            </w:r>
          </w:p>
        </w:tc>
      </w:tr>
      <w:tr w:rsidR="00064264" w:rsidRPr="00543F36" w:rsidTr="004F02D1">
        <w:tc>
          <w:tcPr>
            <w:tcW w:w="1980"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1996 (Euro 2)</w:t>
            </w:r>
          </w:p>
        </w:tc>
        <w:tc>
          <w:tcPr>
            <w:tcW w:w="1096"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1.0</w:t>
            </w:r>
          </w:p>
        </w:tc>
        <w:tc>
          <w:tcPr>
            <w:tcW w:w="141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0.7</w:t>
            </w:r>
          </w:p>
        </w:tc>
        <w:tc>
          <w:tcPr>
            <w:tcW w:w="1417"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c>
          <w:tcPr>
            <w:tcW w:w="1560"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w:t>
            </w:r>
            <w:r>
              <w:rPr>
                <w:rFonts w:ascii="Garamond" w:hAnsi="Garamond"/>
                <w:color w:val="000000"/>
              </w:rPr>
              <w:t>8</w:t>
            </w:r>
          </w:p>
        </w:tc>
        <w:tc>
          <w:tcPr>
            <w:tcW w:w="170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w:t>
            </w:r>
            <w:r>
              <w:rPr>
                <w:rFonts w:ascii="Garamond" w:hAnsi="Garamond"/>
                <w:color w:val="000000"/>
              </w:rPr>
              <w:t>08</w:t>
            </w:r>
          </w:p>
        </w:tc>
      </w:tr>
      <w:tr w:rsidR="00064264" w:rsidRPr="00543F36" w:rsidTr="004F02D1">
        <w:tc>
          <w:tcPr>
            <w:tcW w:w="1980"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2000 (Euro 3)</w:t>
            </w:r>
          </w:p>
        </w:tc>
        <w:tc>
          <w:tcPr>
            <w:tcW w:w="1096"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0.64</w:t>
            </w:r>
          </w:p>
        </w:tc>
        <w:tc>
          <w:tcPr>
            <w:tcW w:w="141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0.56</w:t>
            </w:r>
          </w:p>
        </w:tc>
        <w:tc>
          <w:tcPr>
            <w:tcW w:w="1417"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0.5</w:t>
            </w:r>
          </w:p>
        </w:tc>
        <w:tc>
          <w:tcPr>
            <w:tcW w:w="1560" w:type="dxa"/>
          </w:tcPr>
          <w:p w:rsidR="00064264" w:rsidRPr="00543F36" w:rsidRDefault="00064264" w:rsidP="004F02D1">
            <w:pPr>
              <w:spacing w:line="360" w:lineRule="auto"/>
              <w:rPr>
                <w:rFonts w:ascii="Garamond" w:hAnsi="Garamond"/>
                <w:color w:val="000000"/>
              </w:rPr>
            </w:pPr>
            <w:r>
              <w:rPr>
                <w:rFonts w:ascii="Garamond" w:hAnsi="Garamond"/>
                <w:color w:val="000000"/>
              </w:rPr>
              <w:t>0.</w:t>
            </w:r>
            <w:r w:rsidRPr="00543F36">
              <w:rPr>
                <w:rFonts w:ascii="Garamond" w:hAnsi="Garamond"/>
                <w:color w:val="000000"/>
              </w:rPr>
              <w:t>5</w:t>
            </w:r>
          </w:p>
        </w:tc>
        <w:tc>
          <w:tcPr>
            <w:tcW w:w="1709" w:type="dxa"/>
          </w:tcPr>
          <w:p w:rsidR="00064264" w:rsidRPr="00C66E4F" w:rsidRDefault="00064264" w:rsidP="004F02D1">
            <w:pPr>
              <w:pStyle w:val="TOC1"/>
              <w:rPr>
                <w:b w:val="0"/>
                <w:color w:val="000000"/>
              </w:rPr>
            </w:pPr>
            <w:r w:rsidRPr="00C66E4F">
              <w:rPr>
                <w:b w:val="0"/>
                <w:color w:val="000000"/>
              </w:rPr>
              <w:t>0.05</w:t>
            </w:r>
          </w:p>
        </w:tc>
      </w:tr>
      <w:tr w:rsidR="00064264" w:rsidRPr="00543F36" w:rsidTr="004F02D1">
        <w:tc>
          <w:tcPr>
            <w:tcW w:w="1980"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2005 (Euro 4)</w:t>
            </w:r>
          </w:p>
        </w:tc>
        <w:tc>
          <w:tcPr>
            <w:tcW w:w="1096"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0.5</w:t>
            </w:r>
          </w:p>
        </w:tc>
        <w:tc>
          <w:tcPr>
            <w:tcW w:w="141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0.3</w:t>
            </w:r>
          </w:p>
        </w:tc>
        <w:tc>
          <w:tcPr>
            <w:tcW w:w="1417"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0.25</w:t>
            </w:r>
          </w:p>
        </w:tc>
        <w:tc>
          <w:tcPr>
            <w:tcW w:w="1560" w:type="dxa"/>
          </w:tcPr>
          <w:p w:rsidR="00064264" w:rsidRPr="00543F36" w:rsidRDefault="00064264" w:rsidP="004F02D1">
            <w:pPr>
              <w:spacing w:line="360" w:lineRule="auto"/>
              <w:rPr>
                <w:rFonts w:ascii="Garamond" w:hAnsi="Garamond"/>
                <w:color w:val="000000"/>
              </w:rPr>
            </w:pPr>
            <w:r>
              <w:rPr>
                <w:rFonts w:ascii="Garamond" w:hAnsi="Garamond"/>
                <w:color w:val="000000"/>
              </w:rPr>
              <w:t>0.</w:t>
            </w:r>
            <w:r w:rsidRPr="00543F36">
              <w:rPr>
                <w:rFonts w:ascii="Garamond" w:hAnsi="Garamond"/>
                <w:color w:val="000000"/>
              </w:rPr>
              <w:t>25</w:t>
            </w:r>
          </w:p>
        </w:tc>
        <w:tc>
          <w:tcPr>
            <w:tcW w:w="1709" w:type="dxa"/>
          </w:tcPr>
          <w:p w:rsidR="00064264" w:rsidRPr="00543F36" w:rsidRDefault="00064264" w:rsidP="004F02D1">
            <w:pPr>
              <w:keepNext/>
              <w:spacing w:line="360" w:lineRule="auto"/>
              <w:rPr>
                <w:rFonts w:ascii="Garamond" w:hAnsi="Garamond"/>
                <w:color w:val="000000"/>
              </w:rPr>
            </w:pPr>
            <w:r w:rsidRPr="00543F36">
              <w:rPr>
                <w:rFonts w:ascii="Garamond" w:hAnsi="Garamond"/>
                <w:color w:val="000000"/>
              </w:rPr>
              <w:t>0.0</w:t>
            </w:r>
            <w:r>
              <w:rPr>
                <w:rFonts w:ascii="Garamond" w:hAnsi="Garamond"/>
                <w:color w:val="000000"/>
              </w:rPr>
              <w:t>25</w:t>
            </w:r>
          </w:p>
        </w:tc>
      </w:tr>
      <w:tr w:rsidR="00064264" w:rsidRPr="00543F36" w:rsidTr="004F02D1">
        <w:tc>
          <w:tcPr>
            <w:tcW w:w="1980"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2009 (Euro 5)</w:t>
            </w:r>
          </w:p>
        </w:tc>
        <w:tc>
          <w:tcPr>
            <w:tcW w:w="1096"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0.5</w:t>
            </w:r>
          </w:p>
        </w:tc>
        <w:tc>
          <w:tcPr>
            <w:tcW w:w="141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0.23</w:t>
            </w:r>
          </w:p>
        </w:tc>
        <w:tc>
          <w:tcPr>
            <w:tcW w:w="1417"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c>
          <w:tcPr>
            <w:tcW w:w="1560"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0.18</w:t>
            </w:r>
          </w:p>
        </w:tc>
        <w:tc>
          <w:tcPr>
            <w:tcW w:w="1709" w:type="dxa"/>
          </w:tcPr>
          <w:p w:rsidR="00064264" w:rsidRPr="00543F36" w:rsidRDefault="00064264" w:rsidP="004F02D1">
            <w:pPr>
              <w:keepNext/>
              <w:spacing w:line="360" w:lineRule="auto"/>
              <w:rPr>
                <w:rFonts w:ascii="Garamond" w:hAnsi="Garamond"/>
                <w:color w:val="000000"/>
              </w:rPr>
            </w:pPr>
            <w:r w:rsidRPr="00543F36">
              <w:rPr>
                <w:rFonts w:ascii="Garamond" w:hAnsi="Garamond"/>
                <w:color w:val="000000"/>
              </w:rPr>
              <w:t>0.005</w:t>
            </w:r>
          </w:p>
        </w:tc>
      </w:tr>
      <w:tr w:rsidR="00064264" w:rsidRPr="00543F36" w:rsidTr="004F02D1">
        <w:tc>
          <w:tcPr>
            <w:tcW w:w="1980" w:type="dxa"/>
          </w:tcPr>
          <w:p w:rsidR="00064264" w:rsidRPr="00543F36" w:rsidRDefault="00064264" w:rsidP="004F02D1">
            <w:pPr>
              <w:spacing w:line="360" w:lineRule="auto"/>
              <w:rPr>
                <w:rFonts w:ascii="Garamond" w:hAnsi="Garamond"/>
                <w:b/>
                <w:bCs/>
                <w:color w:val="000000"/>
              </w:rPr>
            </w:pPr>
            <w:r w:rsidRPr="00543F36">
              <w:rPr>
                <w:rFonts w:ascii="Garamond" w:hAnsi="Garamond"/>
                <w:b/>
                <w:bCs/>
                <w:color w:val="000000"/>
              </w:rPr>
              <w:t>2014 (Euro 6)</w:t>
            </w:r>
          </w:p>
        </w:tc>
        <w:tc>
          <w:tcPr>
            <w:tcW w:w="1096"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0.5</w:t>
            </w:r>
          </w:p>
        </w:tc>
        <w:tc>
          <w:tcPr>
            <w:tcW w:w="1418"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0.17</w:t>
            </w:r>
          </w:p>
        </w:tc>
        <w:tc>
          <w:tcPr>
            <w:tcW w:w="1417"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w:t>
            </w:r>
          </w:p>
        </w:tc>
        <w:tc>
          <w:tcPr>
            <w:tcW w:w="1560"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0.08</w:t>
            </w:r>
          </w:p>
        </w:tc>
        <w:tc>
          <w:tcPr>
            <w:tcW w:w="1709" w:type="dxa"/>
          </w:tcPr>
          <w:p w:rsidR="00064264" w:rsidRPr="00543F36" w:rsidRDefault="00064264" w:rsidP="004F02D1">
            <w:pPr>
              <w:keepNext/>
              <w:spacing w:line="360" w:lineRule="auto"/>
              <w:rPr>
                <w:rFonts w:ascii="Garamond" w:hAnsi="Garamond"/>
                <w:color w:val="000000"/>
              </w:rPr>
            </w:pPr>
            <w:r w:rsidRPr="00543F36">
              <w:rPr>
                <w:rFonts w:ascii="Garamond" w:hAnsi="Garamond"/>
                <w:color w:val="000000"/>
              </w:rPr>
              <w:t>0.005</w:t>
            </w:r>
          </w:p>
        </w:tc>
      </w:tr>
    </w:tbl>
    <w:p w:rsidR="00064264" w:rsidRPr="00543F36" w:rsidRDefault="00064264" w:rsidP="00064264">
      <w:pPr>
        <w:pStyle w:val="Caption"/>
        <w:jc w:val="center"/>
        <w:rPr>
          <w:rFonts w:ascii="Garamond" w:hAnsi="Garamond"/>
          <w:color w:val="000000"/>
        </w:rPr>
      </w:pPr>
      <w:bookmarkStart w:id="2" w:name="_Toc157078071"/>
      <w:r w:rsidRPr="00543F36">
        <w:rPr>
          <w:rFonts w:ascii="Garamond" w:hAnsi="Garamond"/>
          <w:color w:val="000000"/>
        </w:rPr>
        <w:t xml:space="preserve">Table </w:t>
      </w:r>
      <w:r w:rsidRPr="00543F36">
        <w:rPr>
          <w:rFonts w:ascii="Garamond" w:hAnsi="Garamond"/>
          <w:color w:val="000000"/>
        </w:rPr>
        <w:fldChar w:fldCharType="begin"/>
      </w:r>
      <w:r w:rsidRPr="00543F36">
        <w:rPr>
          <w:rFonts w:ascii="Garamond" w:hAnsi="Garamond"/>
          <w:color w:val="000000"/>
        </w:rPr>
        <w:instrText xml:space="preserve"> SEQ Table \* ARABIC </w:instrText>
      </w:r>
      <w:r w:rsidRPr="00543F36">
        <w:rPr>
          <w:rFonts w:ascii="Garamond" w:hAnsi="Garamond"/>
          <w:color w:val="000000"/>
        </w:rPr>
        <w:fldChar w:fldCharType="separate"/>
      </w:r>
      <w:r w:rsidR="001439E6">
        <w:rPr>
          <w:rFonts w:ascii="Garamond" w:hAnsi="Garamond"/>
          <w:noProof/>
          <w:color w:val="000000"/>
        </w:rPr>
        <w:t>2</w:t>
      </w:r>
      <w:r w:rsidRPr="00543F36">
        <w:rPr>
          <w:rFonts w:ascii="Garamond" w:hAnsi="Garamond"/>
          <w:color w:val="000000"/>
        </w:rPr>
        <w:fldChar w:fldCharType="end"/>
      </w:r>
      <w:r w:rsidRPr="00543F36">
        <w:rPr>
          <w:rFonts w:ascii="Garamond" w:hAnsi="Garamond"/>
          <w:color w:val="000000"/>
        </w:rPr>
        <w:t>: Diesel</w:t>
      </w:r>
      <w:bookmarkEnd w:id="2"/>
      <w:r>
        <w:rPr>
          <w:rFonts w:ascii="Garamond" w:hAnsi="Garamond"/>
          <w:color w:val="000000"/>
        </w:rPr>
        <w:t xml:space="preserve"> Emissions</w:t>
      </w:r>
    </w:p>
    <w:p w:rsidR="00064264" w:rsidRPr="00543F36" w:rsidRDefault="00064264" w:rsidP="00064264">
      <w:pPr>
        <w:spacing w:line="360" w:lineRule="auto"/>
        <w:jc w:val="right"/>
        <w:rPr>
          <w:rFonts w:ascii="Garamond" w:hAnsi="Garamond"/>
          <w:color w:val="000000"/>
        </w:rPr>
      </w:pPr>
      <w:r w:rsidRPr="00543F36">
        <w:rPr>
          <w:rFonts w:ascii="Garamond" w:hAnsi="Garamond"/>
          <w:color w:val="000000"/>
        </w:rPr>
        <w:t>(</w:t>
      </w:r>
      <w:hyperlink r:id="rId6" w:history="1">
        <w:r w:rsidRPr="00543F36">
          <w:rPr>
            <w:rStyle w:val="Hyperlink"/>
            <w:rFonts w:ascii="Garamond" w:hAnsi="Garamond"/>
            <w:color w:val="000000"/>
          </w:rPr>
          <w:t>www.europa.eu.int</w:t>
        </w:r>
      </w:hyperlink>
      <w:r w:rsidRPr="00543F36">
        <w:rPr>
          <w:rFonts w:ascii="Garamond" w:hAnsi="Garamond"/>
          <w:color w:val="000000"/>
        </w:rPr>
        <w:t>, 2004)</w:t>
      </w:r>
    </w:p>
    <w:p w:rsidR="00064264" w:rsidRPr="00543F36" w:rsidRDefault="00064264" w:rsidP="00064264">
      <w:pPr>
        <w:spacing w:line="360" w:lineRule="auto"/>
        <w:rPr>
          <w:rFonts w:ascii="Garamond" w:hAnsi="Garamond"/>
          <w:color w:val="000000"/>
        </w:rPr>
      </w:pPr>
      <w:r>
        <w:rPr>
          <w:rFonts w:ascii="Garamond" w:hAnsi="Garamond"/>
          <w:color w:val="000000"/>
        </w:rPr>
        <w:t>Data are</w:t>
      </w:r>
      <w:r w:rsidRPr="00543F36">
        <w:rPr>
          <w:rFonts w:ascii="Garamond" w:hAnsi="Garamond"/>
          <w:color w:val="000000"/>
        </w:rPr>
        <w:t xml:space="preserve"> shown graphically in </w:t>
      </w:r>
      <w:r>
        <w:rPr>
          <w:rFonts w:ascii="Garamond" w:hAnsi="Garamond"/>
          <w:color w:val="000000"/>
        </w:rPr>
        <w:t xml:space="preserve">figure </w:t>
      </w:r>
      <w:r w:rsidRPr="00543F36">
        <w:rPr>
          <w:rFonts w:ascii="Garamond" w:hAnsi="Garamond"/>
          <w:color w:val="000000"/>
        </w:rPr>
        <w:t>2</w:t>
      </w:r>
      <w:r>
        <w:rPr>
          <w:rFonts w:ascii="Garamond" w:hAnsi="Garamond"/>
          <w:color w:val="000000"/>
        </w:rPr>
        <w:t>.</w:t>
      </w:r>
    </w:p>
    <w:p w:rsidR="00064264" w:rsidRPr="00543F36" w:rsidRDefault="00064264" w:rsidP="00064264">
      <w:pPr>
        <w:tabs>
          <w:tab w:val="left" w:pos="5641"/>
        </w:tabs>
        <w:spacing w:line="360" w:lineRule="auto"/>
        <w:rPr>
          <w:rFonts w:ascii="Garamond" w:hAnsi="Garamond"/>
          <w:color w:val="000000"/>
        </w:rPr>
      </w:pPr>
    </w:p>
    <w:p w:rsidR="00064264" w:rsidRPr="00543F36" w:rsidRDefault="00064264" w:rsidP="00064264">
      <w:pPr>
        <w:tabs>
          <w:tab w:val="left" w:pos="5641"/>
        </w:tabs>
        <w:spacing w:line="360" w:lineRule="auto"/>
        <w:rPr>
          <w:rFonts w:ascii="Garamond" w:hAnsi="Garamond"/>
          <w:color w:val="000000"/>
        </w:rPr>
      </w:pPr>
    </w:p>
    <w:p w:rsidR="00064264" w:rsidRPr="00543F36" w:rsidRDefault="00064264" w:rsidP="00064264">
      <w:pPr>
        <w:spacing w:line="360" w:lineRule="auto"/>
        <w:jc w:val="center"/>
        <w:rPr>
          <w:rFonts w:ascii="Garamond" w:hAnsi="Garamond"/>
          <w:color w:val="000000"/>
        </w:rPr>
      </w:pPr>
    </w:p>
    <w:p w:rsidR="00064264" w:rsidRPr="00543F36" w:rsidRDefault="00064264" w:rsidP="00064264">
      <w:pPr>
        <w:keepNext/>
        <w:spacing w:line="360" w:lineRule="auto"/>
        <w:jc w:val="center"/>
        <w:rPr>
          <w:rFonts w:ascii="Garamond" w:hAnsi="Garamond"/>
          <w:color w:val="000000"/>
        </w:rPr>
      </w:pPr>
      <w:r w:rsidRPr="00AF57C0">
        <w:rPr>
          <w:rFonts w:ascii="Garamond" w:hAnsi="Garamond"/>
          <w:noProof/>
          <w:color w:val="000000"/>
          <w:lang w:eastAsia="en-GB"/>
        </w:rPr>
        <w:drawing>
          <wp:inline distT="0" distB="0" distL="0" distR="0">
            <wp:extent cx="4262737" cy="2495372"/>
            <wp:effectExtent l="0" t="0" r="0" b="0"/>
            <wp:docPr id="34"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064264" w:rsidRPr="00543F36" w:rsidRDefault="00064264" w:rsidP="00064264">
      <w:pPr>
        <w:pStyle w:val="Caption"/>
        <w:jc w:val="center"/>
        <w:rPr>
          <w:rFonts w:ascii="Garamond" w:hAnsi="Garamond"/>
          <w:color w:val="000000"/>
        </w:rPr>
      </w:pPr>
      <w:bookmarkStart w:id="3" w:name="_Toc215987976"/>
      <w:r w:rsidRPr="00543F36">
        <w:rPr>
          <w:rFonts w:ascii="Garamond" w:hAnsi="Garamond"/>
          <w:color w:val="000000"/>
        </w:rPr>
        <w:t xml:space="preserve">Figure </w:t>
      </w:r>
      <w:r w:rsidRPr="00543F36">
        <w:rPr>
          <w:rFonts w:ascii="Garamond" w:hAnsi="Garamond"/>
          <w:color w:val="000000"/>
        </w:rPr>
        <w:fldChar w:fldCharType="begin"/>
      </w:r>
      <w:r w:rsidRPr="00543F36">
        <w:rPr>
          <w:rFonts w:ascii="Garamond" w:hAnsi="Garamond"/>
          <w:color w:val="000000"/>
        </w:rPr>
        <w:instrText xml:space="preserve"> SEQ Figure \* ARABIC </w:instrText>
      </w:r>
      <w:r w:rsidRPr="00543F36">
        <w:rPr>
          <w:rFonts w:ascii="Garamond" w:hAnsi="Garamond"/>
          <w:color w:val="000000"/>
        </w:rPr>
        <w:fldChar w:fldCharType="separate"/>
      </w:r>
      <w:r w:rsidR="001439E6">
        <w:rPr>
          <w:rFonts w:ascii="Garamond" w:hAnsi="Garamond"/>
          <w:noProof/>
          <w:color w:val="000000"/>
        </w:rPr>
        <w:t>2</w:t>
      </w:r>
      <w:r w:rsidRPr="00543F36">
        <w:rPr>
          <w:rFonts w:ascii="Garamond" w:hAnsi="Garamond"/>
          <w:color w:val="000000"/>
        </w:rPr>
        <w:fldChar w:fldCharType="end"/>
      </w:r>
      <w:r w:rsidRPr="00543F36">
        <w:rPr>
          <w:rFonts w:ascii="Garamond" w:hAnsi="Garamond"/>
          <w:color w:val="000000"/>
        </w:rPr>
        <w:t xml:space="preserve">: Diesel Emission Regulations </w:t>
      </w:r>
      <w:proofErr w:type="gramStart"/>
      <w:r w:rsidRPr="00543F36">
        <w:rPr>
          <w:rFonts w:ascii="Garamond" w:hAnsi="Garamond"/>
          <w:color w:val="000000"/>
        </w:rPr>
        <w:t>Over</w:t>
      </w:r>
      <w:proofErr w:type="gramEnd"/>
      <w:r w:rsidRPr="00543F36">
        <w:rPr>
          <w:rFonts w:ascii="Garamond" w:hAnsi="Garamond"/>
          <w:color w:val="000000"/>
        </w:rPr>
        <w:t xml:space="preserve"> Time</w:t>
      </w:r>
      <w:bookmarkEnd w:id="3"/>
    </w:p>
    <w:p w:rsidR="00064264" w:rsidRPr="00543F36" w:rsidRDefault="00064264" w:rsidP="00064264">
      <w:pPr>
        <w:tabs>
          <w:tab w:val="left" w:pos="2418"/>
        </w:tabs>
        <w:spacing w:line="360" w:lineRule="auto"/>
        <w:rPr>
          <w:rFonts w:ascii="Garamond" w:hAnsi="Garamond"/>
          <w:color w:val="000000"/>
        </w:rPr>
      </w:pPr>
    </w:p>
    <w:p w:rsidR="00064264" w:rsidRPr="00543F36" w:rsidRDefault="00064264" w:rsidP="00064264">
      <w:pPr>
        <w:tabs>
          <w:tab w:val="left" w:pos="2418"/>
        </w:tabs>
        <w:spacing w:line="360" w:lineRule="auto"/>
        <w:jc w:val="both"/>
        <w:rPr>
          <w:rFonts w:ascii="Garamond" w:hAnsi="Garamond"/>
          <w:color w:val="000000"/>
        </w:rPr>
      </w:pPr>
      <w:r w:rsidRPr="00543F36">
        <w:rPr>
          <w:rFonts w:ascii="Garamond" w:hAnsi="Garamond"/>
          <w:color w:val="000000"/>
        </w:rPr>
        <w:t xml:space="preserve">Both Figure 1 and Figure 2 illustrate the reduction of emissions required since the mandatory regulations were introduced.  Each manufacturer has had to conform to the legislation with every vehicle in their range if the car is to be sold in the E.U. If the car is of a higher emission output then the owner pays a percentage of tax based on the vehicle’s emissions (Haymarket Motoring, 2004).  </w:t>
      </w:r>
    </w:p>
    <w:p w:rsidR="00064264" w:rsidRPr="00543F36" w:rsidRDefault="00064264" w:rsidP="00064264">
      <w:pPr>
        <w:tabs>
          <w:tab w:val="left" w:pos="2418"/>
        </w:tabs>
        <w:spacing w:line="360" w:lineRule="auto"/>
        <w:jc w:val="both"/>
        <w:rPr>
          <w:rFonts w:ascii="Garamond" w:hAnsi="Garamond"/>
          <w:color w:val="000000"/>
        </w:rPr>
      </w:pPr>
      <w:r w:rsidRPr="00543F36">
        <w:rPr>
          <w:rFonts w:ascii="Garamond" w:hAnsi="Garamond"/>
          <w:color w:val="000000"/>
        </w:rPr>
        <w:t>If manufacturers outside of the E.U. intend to sell their vehicles in Europe then these also must conform to the</w:t>
      </w:r>
      <w:r>
        <w:rPr>
          <w:rFonts w:ascii="Garamond" w:hAnsi="Garamond"/>
          <w:color w:val="000000"/>
        </w:rPr>
        <w:t xml:space="preserve"> remits of the</w:t>
      </w:r>
      <w:r w:rsidRPr="00543F36">
        <w:rPr>
          <w:rFonts w:ascii="Garamond" w:hAnsi="Garamond"/>
          <w:color w:val="000000"/>
        </w:rPr>
        <w:t xml:space="preserve"> legislation.  In the twenty years since the introduction of the Euro </w:t>
      </w:r>
      <w:r w:rsidRPr="00543F36">
        <w:rPr>
          <w:rFonts w:ascii="Garamond" w:hAnsi="Garamond"/>
          <w:color w:val="000000"/>
        </w:rPr>
        <w:lastRenderedPageBreak/>
        <w:t>regulations and catalytic converters</w:t>
      </w:r>
      <w:r w:rsidR="000266FB">
        <w:rPr>
          <w:rFonts w:ascii="Garamond" w:hAnsi="Garamond"/>
          <w:color w:val="000000"/>
        </w:rPr>
        <w:t xml:space="preserve">, </w:t>
      </w:r>
      <w:r w:rsidRPr="00543F36">
        <w:rPr>
          <w:rFonts w:ascii="Garamond" w:hAnsi="Garamond"/>
          <w:color w:val="000000"/>
        </w:rPr>
        <w:t>tailpipe emissions have been lowered dramatically.</w:t>
      </w:r>
      <w:r>
        <w:rPr>
          <w:rFonts w:ascii="Garamond" w:hAnsi="Garamond"/>
          <w:color w:val="000000"/>
        </w:rPr>
        <w:t xml:space="preserve"> (</w:t>
      </w:r>
      <w:proofErr w:type="spellStart"/>
      <w:r w:rsidRPr="00543F36">
        <w:rPr>
          <w:rFonts w:ascii="Garamond" w:hAnsi="Garamond"/>
          <w:color w:val="000000"/>
        </w:rPr>
        <w:t>Twigg</w:t>
      </w:r>
      <w:proofErr w:type="spellEnd"/>
      <w:r w:rsidRPr="00543F36">
        <w:rPr>
          <w:rFonts w:ascii="Garamond" w:hAnsi="Garamond"/>
          <w:color w:val="000000"/>
        </w:rPr>
        <w:t xml:space="preserve">, 2005) </w:t>
      </w:r>
    </w:p>
    <w:p w:rsidR="00064264" w:rsidRPr="00543F36" w:rsidRDefault="00064264" w:rsidP="00064264">
      <w:pPr>
        <w:tabs>
          <w:tab w:val="left" w:pos="2418"/>
        </w:tabs>
        <w:spacing w:line="360" w:lineRule="auto"/>
        <w:jc w:val="both"/>
        <w:rPr>
          <w:rFonts w:ascii="Garamond" w:hAnsi="Garamond"/>
          <w:color w:val="000000"/>
        </w:rPr>
      </w:pPr>
    </w:p>
    <w:p w:rsidR="00064264" w:rsidRPr="00543F36" w:rsidRDefault="00064264" w:rsidP="00064264">
      <w:pPr>
        <w:tabs>
          <w:tab w:val="left" w:pos="2418"/>
        </w:tabs>
        <w:spacing w:line="360" w:lineRule="auto"/>
        <w:jc w:val="both"/>
        <w:rPr>
          <w:rFonts w:ascii="Garamond" w:hAnsi="Garamond"/>
          <w:color w:val="000000"/>
        </w:rPr>
      </w:pPr>
      <w:r w:rsidRPr="00543F36">
        <w:rPr>
          <w:rFonts w:ascii="Garamond" w:hAnsi="Garamond"/>
          <w:color w:val="000000"/>
        </w:rPr>
        <w:t>Prior to 2003, the</w:t>
      </w:r>
      <w:r>
        <w:rPr>
          <w:rFonts w:ascii="Garamond" w:hAnsi="Garamond"/>
          <w:color w:val="000000"/>
        </w:rPr>
        <w:t xml:space="preserve"> main method for measuring tail</w:t>
      </w:r>
      <w:r w:rsidRPr="00543F36">
        <w:rPr>
          <w:rFonts w:ascii="Garamond" w:hAnsi="Garamond"/>
          <w:color w:val="000000"/>
        </w:rPr>
        <w:t xml:space="preserve">pipe emissions was to take an instantaneous value, this measurement being performed within 40 seconds of the engine being started.  It is </w:t>
      </w:r>
      <w:r>
        <w:rPr>
          <w:rFonts w:ascii="Garamond" w:hAnsi="Garamond"/>
          <w:color w:val="000000"/>
        </w:rPr>
        <w:t>with</w:t>
      </w:r>
      <w:r w:rsidRPr="00543F36">
        <w:rPr>
          <w:rFonts w:ascii="Garamond" w:hAnsi="Garamond"/>
          <w:color w:val="000000"/>
        </w:rPr>
        <w:t>in this period that a vehicle emits the highest volume of unwanted emissions (</w:t>
      </w:r>
      <w:proofErr w:type="spellStart"/>
      <w:r w:rsidRPr="00543F36">
        <w:rPr>
          <w:rFonts w:ascii="Garamond" w:hAnsi="Garamond"/>
          <w:color w:val="000000"/>
        </w:rPr>
        <w:t>Blix</w:t>
      </w:r>
      <w:proofErr w:type="spellEnd"/>
      <w:r w:rsidRPr="00543F36">
        <w:rPr>
          <w:rFonts w:ascii="Garamond" w:hAnsi="Garamond"/>
          <w:color w:val="000000"/>
        </w:rPr>
        <w:t xml:space="preserve"> 2004).  </w:t>
      </w:r>
    </w:p>
    <w:p w:rsidR="00064264" w:rsidRPr="00543F36" w:rsidRDefault="00064264" w:rsidP="00064264">
      <w:pPr>
        <w:tabs>
          <w:tab w:val="left" w:pos="2418"/>
        </w:tabs>
        <w:spacing w:line="360" w:lineRule="auto"/>
        <w:jc w:val="both"/>
        <w:rPr>
          <w:rFonts w:ascii="Garamond" w:hAnsi="Garamond"/>
          <w:color w:val="000000"/>
        </w:rPr>
      </w:pPr>
    </w:p>
    <w:p w:rsidR="00064264" w:rsidRPr="00543F36" w:rsidRDefault="00064264" w:rsidP="00064264">
      <w:pPr>
        <w:tabs>
          <w:tab w:val="left" w:pos="2418"/>
        </w:tabs>
        <w:spacing w:line="360" w:lineRule="auto"/>
        <w:jc w:val="both"/>
        <w:rPr>
          <w:rFonts w:ascii="Garamond" w:hAnsi="Garamond"/>
          <w:color w:val="000000"/>
        </w:rPr>
      </w:pPr>
      <w:r w:rsidRPr="00543F36">
        <w:rPr>
          <w:rFonts w:ascii="Garamond" w:hAnsi="Garamond"/>
          <w:color w:val="000000"/>
        </w:rPr>
        <w:t>Since 2003, test cycles have been devised to synthetically generate a typical driving curve, including an urban traffic cycle and a suburban section.  This idea has been developed and legislated on by the E.U. as the ECE/EC test cycle and is currently required by law in the following countries:</w:t>
      </w:r>
    </w:p>
    <w:tbl>
      <w:tblPr>
        <w:tblW w:w="2758" w:type="dxa"/>
        <w:tblCellSpacing w:w="0" w:type="dxa"/>
        <w:tblCellMar>
          <w:left w:w="0" w:type="dxa"/>
          <w:right w:w="0" w:type="dxa"/>
        </w:tblCellMar>
        <w:tblLook w:val="04A0"/>
      </w:tblPr>
      <w:tblGrid>
        <w:gridCol w:w="2758"/>
      </w:tblGrid>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8" w:history="1">
              <w:r w:rsidRPr="00C84C7F">
                <w:rPr>
                  <w:rStyle w:val="Hyperlink"/>
                  <w:rFonts w:ascii="Garamond" w:hAnsi="Garamond" w:cs="Arial"/>
                  <w:bCs/>
                </w:rPr>
                <w:t>Austria</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9" w:history="1">
              <w:r w:rsidRPr="00C84C7F">
                <w:rPr>
                  <w:rStyle w:val="Hyperlink"/>
                  <w:rFonts w:ascii="Garamond" w:hAnsi="Garamond" w:cs="Arial"/>
                  <w:bCs/>
                </w:rPr>
                <w:t>Belgium</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10" w:history="1">
              <w:r w:rsidRPr="00C84C7F">
                <w:rPr>
                  <w:rStyle w:val="Hyperlink"/>
                  <w:rFonts w:ascii="Garamond" w:hAnsi="Garamond" w:cs="Arial"/>
                  <w:bCs/>
                </w:rPr>
                <w:t>Bulgaria</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11" w:history="1">
              <w:r w:rsidRPr="00C84C7F">
                <w:rPr>
                  <w:rStyle w:val="Hyperlink"/>
                  <w:rFonts w:ascii="Garamond" w:hAnsi="Garamond" w:cs="Arial"/>
                  <w:bCs/>
                </w:rPr>
                <w:t>Cyprus</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12" w:history="1">
              <w:r w:rsidRPr="00C84C7F">
                <w:rPr>
                  <w:rStyle w:val="Hyperlink"/>
                  <w:rFonts w:ascii="Garamond" w:hAnsi="Garamond" w:cs="Arial"/>
                  <w:bCs/>
                </w:rPr>
                <w:t>Czech Republic</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13" w:history="1">
              <w:r w:rsidRPr="00C84C7F">
                <w:rPr>
                  <w:rStyle w:val="Hyperlink"/>
                  <w:rFonts w:ascii="Garamond" w:hAnsi="Garamond" w:cs="Arial"/>
                  <w:bCs/>
                </w:rPr>
                <w:t>Denmark</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14" w:history="1">
              <w:r w:rsidRPr="00C84C7F">
                <w:rPr>
                  <w:rStyle w:val="Hyperlink"/>
                  <w:rFonts w:ascii="Garamond" w:hAnsi="Garamond" w:cs="Arial"/>
                  <w:bCs/>
                </w:rPr>
                <w:t>Estonia</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15" w:history="1">
              <w:r w:rsidRPr="00C84C7F">
                <w:rPr>
                  <w:rStyle w:val="Hyperlink"/>
                  <w:rFonts w:ascii="Garamond" w:hAnsi="Garamond" w:cs="Arial"/>
                  <w:bCs/>
                </w:rPr>
                <w:t>Finland</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16" w:history="1">
              <w:r w:rsidRPr="00C84C7F">
                <w:rPr>
                  <w:rStyle w:val="Hyperlink"/>
                  <w:rFonts w:ascii="Garamond" w:hAnsi="Garamond" w:cs="Arial"/>
                  <w:bCs/>
                </w:rPr>
                <w:t>France</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17" w:history="1">
              <w:r w:rsidRPr="00C84C7F">
                <w:rPr>
                  <w:rStyle w:val="Hyperlink"/>
                  <w:rFonts w:ascii="Garamond" w:hAnsi="Garamond" w:cs="Arial"/>
                  <w:bCs/>
                </w:rPr>
                <w:t>Germany</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18" w:history="1">
              <w:r w:rsidRPr="00C84C7F">
                <w:rPr>
                  <w:rStyle w:val="Hyperlink"/>
                  <w:rFonts w:ascii="Garamond" w:hAnsi="Garamond" w:cs="Arial"/>
                  <w:bCs/>
                </w:rPr>
                <w:t>Greece</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19" w:history="1">
              <w:r w:rsidRPr="00C84C7F">
                <w:rPr>
                  <w:rStyle w:val="Hyperlink"/>
                  <w:rFonts w:ascii="Garamond" w:hAnsi="Garamond" w:cs="Arial"/>
                  <w:bCs/>
                </w:rPr>
                <w:t>Hungary</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20" w:history="1">
              <w:r w:rsidRPr="00C84C7F">
                <w:rPr>
                  <w:rStyle w:val="Hyperlink"/>
                  <w:rFonts w:ascii="Garamond" w:hAnsi="Garamond" w:cs="Arial"/>
                  <w:bCs/>
                </w:rPr>
                <w:t>Ireland</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21" w:history="1">
              <w:r w:rsidRPr="00C84C7F">
                <w:rPr>
                  <w:rStyle w:val="Hyperlink"/>
                  <w:rFonts w:ascii="Garamond" w:hAnsi="Garamond" w:cs="Arial"/>
                  <w:bCs/>
                </w:rPr>
                <w:t>Italy</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22" w:history="1">
              <w:r w:rsidRPr="00C84C7F">
                <w:rPr>
                  <w:rStyle w:val="Hyperlink"/>
                  <w:rFonts w:ascii="Garamond" w:hAnsi="Garamond" w:cs="Arial"/>
                  <w:bCs/>
                </w:rPr>
                <w:t>Latvia</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23" w:history="1">
              <w:r w:rsidRPr="00C84C7F">
                <w:rPr>
                  <w:rStyle w:val="Hyperlink"/>
                  <w:rFonts w:ascii="Garamond" w:hAnsi="Garamond" w:cs="Arial"/>
                  <w:bCs/>
                </w:rPr>
                <w:t>Lithuania</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24" w:history="1">
              <w:r w:rsidRPr="00C84C7F">
                <w:rPr>
                  <w:rStyle w:val="Hyperlink"/>
                  <w:rFonts w:ascii="Garamond" w:hAnsi="Garamond" w:cs="Arial"/>
                  <w:bCs/>
                </w:rPr>
                <w:t>Luxembourg</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25" w:history="1">
              <w:r w:rsidRPr="00C84C7F">
                <w:rPr>
                  <w:rStyle w:val="Hyperlink"/>
                  <w:rFonts w:ascii="Garamond" w:hAnsi="Garamond" w:cs="Arial"/>
                  <w:bCs/>
                </w:rPr>
                <w:t>Malta</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26" w:history="1">
              <w:r w:rsidRPr="00C84C7F">
                <w:rPr>
                  <w:rStyle w:val="Hyperlink"/>
                  <w:rFonts w:ascii="Garamond" w:hAnsi="Garamond" w:cs="Arial"/>
                  <w:bCs/>
                </w:rPr>
                <w:t>Netherlands</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27" w:history="1">
              <w:r w:rsidRPr="00C84C7F">
                <w:rPr>
                  <w:rStyle w:val="Hyperlink"/>
                  <w:rFonts w:ascii="Garamond" w:hAnsi="Garamond" w:cs="Arial"/>
                  <w:bCs/>
                </w:rPr>
                <w:t>Poland</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28" w:history="1">
              <w:r w:rsidRPr="00C84C7F">
                <w:rPr>
                  <w:rStyle w:val="Hyperlink"/>
                  <w:rFonts w:ascii="Garamond" w:hAnsi="Garamond" w:cs="Arial"/>
                  <w:bCs/>
                </w:rPr>
                <w:t>Portugal</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29" w:history="1">
              <w:r w:rsidRPr="00C84C7F">
                <w:rPr>
                  <w:rStyle w:val="Hyperlink"/>
                  <w:rFonts w:ascii="Garamond" w:hAnsi="Garamond" w:cs="Arial"/>
                  <w:bCs/>
                </w:rPr>
                <w:t>Romania</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30" w:history="1">
              <w:r w:rsidRPr="00C84C7F">
                <w:rPr>
                  <w:rStyle w:val="Hyperlink"/>
                  <w:rFonts w:ascii="Garamond" w:hAnsi="Garamond" w:cs="Arial"/>
                  <w:bCs/>
                </w:rPr>
                <w:t>Slovakia</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31" w:history="1">
              <w:r w:rsidRPr="00C84C7F">
                <w:rPr>
                  <w:rStyle w:val="Hyperlink"/>
                  <w:rFonts w:ascii="Garamond" w:hAnsi="Garamond" w:cs="Arial"/>
                  <w:bCs/>
                </w:rPr>
                <w:t>Slovenia</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32" w:history="1">
              <w:r w:rsidRPr="00C84C7F">
                <w:rPr>
                  <w:rStyle w:val="Hyperlink"/>
                  <w:rFonts w:ascii="Garamond" w:hAnsi="Garamond" w:cs="Arial"/>
                  <w:bCs/>
                </w:rPr>
                <w:t>Spain</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33" w:history="1">
              <w:r w:rsidRPr="00C84C7F">
                <w:rPr>
                  <w:rStyle w:val="Hyperlink"/>
                  <w:rFonts w:ascii="Garamond" w:hAnsi="Garamond" w:cs="Arial"/>
                  <w:bCs/>
                </w:rPr>
                <w:t>Sweden</w:t>
              </w:r>
            </w:hyperlink>
          </w:p>
        </w:tc>
      </w:tr>
      <w:tr w:rsidR="00064264" w:rsidTr="004F02D1">
        <w:trPr>
          <w:trHeight w:val="380"/>
          <w:tblCellSpacing w:w="0" w:type="dxa"/>
        </w:trPr>
        <w:tc>
          <w:tcPr>
            <w:tcW w:w="2581" w:type="dxa"/>
            <w:vAlign w:val="center"/>
            <w:hideMark/>
          </w:tcPr>
          <w:p w:rsidR="00064264" w:rsidRPr="00C84C7F" w:rsidRDefault="00064264" w:rsidP="00064264">
            <w:pPr>
              <w:pStyle w:val="ListParagraph"/>
              <w:numPr>
                <w:ilvl w:val="0"/>
                <w:numId w:val="1"/>
              </w:numPr>
              <w:rPr>
                <w:rFonts w:ascii="Garamond" w:hAnsi="Garamond" w:cs="Arial"/>
                <w:bCs/>
              </w:rPr>
            </w:pPr>
            <w:hyperlink r:id="rId34" w:history="1">
              <w:r w:rsidRPr="00C84C7F">
                <w:rPr>
                  <w:rStyle w:val="Hyperlink"/>
                  <w:rFonts w:ascii="Garamond" w:hAnsi="Garamond" w:cs="Arial"/>
                  <w:bCs/>
                </w:rPr>
                <w:t>United Kingdom</w:t>
              </w:r>
            </w:hyperlink>
          </w:p>
        </w:tc>
      </w:tr>
    </w:tbl>
    <w:p w:rsidR="00064264" w:rsidRPr="00543F36" w:rsidRDefault="00064264" w:rsidP="00064264">
      <w:pPr>
        <w:pStyle w:val="BodyText"/>
        <w:tabs>
          <w:tab w:val="left" w:pos="2418"/>
        </w:tabs>
        <w:spacing w:line="360" w:lineRule="auto"/>
        <w:jc w:val="both"/>
        <w:rPr>
          <w:b w:val="0"/>
          <w:bCs w:val="0"/>
          <w:color w:val="000000"/>
          <w:sz w:val="24"/>
          <w:u w:val="none"/>
        </w:rPr>
      </w:pPr>
    </w:p>
    <w:p w:rsidR="00064264" w:rsidRPr="00543F36" w:rsidRDefault="00064264" w:rsidP="00064264">
      <w:pPr>
        <w:pStyle w:val="BodyText"/>
        <w:tabs>
          <w:tab w:val="left" w:pos="2418"/>
        </w:tabs>
        <w:spacing w:line="360" w:lineRule="auto"/>
        <w:jc w:val="both"/>
        <w:rPr>
          <w:b w:val="0"/>
          <w:bCs w:val="0"/>
          <w:color w:val="000000"/>
          <w:sz w:val="24"/>
          <w:u w:val="none"/>
        </w:rPr>
      </w:pPr>
      <w:r w:rsidRPr="00543F36">
        <w:rPr>
          <w:b w:val="0"/>
          <w:bCs w:val="0"/>
          <w:color w:val="000000"/>
          <w:sz w:val="24"/>
          <w:u w:val="none"/>
        </w:rPr>
        <w:t>Figures</w:t>
      </w:r>
      <w:r>
        <w:rPr>
          <w:b w:val="0"/>
          <w:bCs w:val="0"/>
          <w:color w:val="000000"/>
          <w:sz w:val="24"/>
          <w:u w:val="none"/>
        </w:rPr>
        <w:t xml:space="preserve"> 3 and 4</w:t>
      </w:r>
      <w:r w:rsidRPr="00543F36">
        <w:rPr>
          <w:b w:val="0"/>
          <w:bCs w:val="0"/>
          <w:color w:val="000000"/>
          <w:sz w:val="24"/>
          <w:u w:val="none"/>
        </w:rPr>
        <w:t xml:space="preserve"> </w:t>
      </w:r>
      <w:r>
        <w:rPr>
          <w:b w:val="0"/>
          <w:bCs w:val="0"/>
          <w:color w:val="000000"/>
          <w:sz w:val="24"/>
          <w:u w:val="none"/>
        </w:rPr>
        <w:t xml:space="preserve">below </w:t>
      </w:r>
      <w:r w:rsidRPr="00543F36">
        <w:rPr>
          <w:b w:val="0"/>
          <w:bCs w:val="0"/>
          <w:color w:val="000000"/>
          <w:sz w:val="24"/>
          <w:u w:val="none"/>
        </w:rPr>
        <w:t>show</w:t>
      </w:r>
      <w:r>
        <w:rPr>
          <w:b w:val="0"/>
          <w:bCs w:val="0"/>
          <w:color w:val="000000"/>
          <w:sz w:val="24"/>
          <w:u w:val="none"/>
        </w:rPr>
        <w:t xml:space="preserve"> the ECE/EC Euro </w:t>
      </w:r>
      <w:r w:rsidRPr="00543F36">
        <w:rPr>
          <w:b w:val="0"/>
          <w:bCs w:val="0"/>
          <w:color w:val="000000"/>
          <w:sz w:val="24"/>
          <w:u w:val="none"/>
        </w:rPr>
        <w:t>v test cycle</w:t>
      </w:r>
      <w:r>
        <w:rPr>
          <w:b w:val="0"/>
          <w:bCs w:val="0"/>
          <w:color w:val="000000"/>
          <w:sz w:val="24"/>
          <w:u w:val="none"/>
        </w:rPr>
        <w:t>,</w:t>
      </w:r>
      <w:r w:rsidRPr="00543F36">
        <w:rPr>
          <w:b w:val="0"/>
          <w:bCs w:val="0"/>
          <w:color w:val="000000"/>
          <w:sz w:val="24"/>
          <w:u w:val="none"/>
        </w:rPr>
        <w:t xml:space="preserve"> over which emissions measurements are taken. Figure 3 </w:t>
      </w:r>
      <w:r>
        <w:rPr>
          <w:b w:val="0"/>
          <w:bCs w:val="0"/>
          <w:color w:val="000000"/>
          <w:sz w:val="24"/>
          <w:u w:val="none"/>
        </w:rPr>
        <w:t>concerns</w:t>
      </w:r>
      <w:r w:rsidRPr="00543F36">
        <w:rPr>
          <w:b w:val="0"/>
          <w:bCs w:val="0"/>
          <w:color w:val="000000"/>
          <w:sz w:val="24"/>
          <w:u w:val="none"/>
        </w:rPr>
        <w:t xml:space="preserve"> petrol powered passenger cars and light commercial vehicles, whilst Figure 4 </w:t>
      </w:r>
      <w:r>
        <w:rPr>
          <w:b w:val="0"/>
          <w:bCs w:val="0"/>
          <w:color w:val="000000"/>
          <w:sz w:val="24"/>
          <w:u w:val="none"/>
        </w:rPr>
        <w:t>concerns</w:t>
      </w:r>
      <w:r w:rsidRPr="00543F36">
        <w:rPr>
          <w:b w:val="0"/>
          <w:bCs w:val="0"/>
          <w:color w:val="000000"/>
          <w:sz w:val="24"/>
          <w:u w:val="none"/>
        </w:rPr>
        <w:t xml:space="preserve"> diesel engined equivalents and heavier commercial vehicles. These figures also show how the regulations </w:t>
      </w:r>
      <w:r>
        <w:rPr>
          <w:b w:val="0"/>
          <w:bCs w:val="0"/>
          <w:color w:val="000000"/>
          <w:sz w:val="24"/>
          <w:u w:val="none"/>
        </w:rPr>
        <w:t>relate to vehicles of specific weights</w:t>
      </w:r>
      <w:r w:rsidRPr="00543F36">
        <w:rPr>
          <w:b w:val="0"/>
          <w:bCs w:val="0"/>
          <w:color w:val="000000"/>
          <w:sz w:val="24"/>
          <w:u w:val="none"/>
        </w:rPr>
        <w:t xml:space="preserve">.  </w:t>
      </w:r>
    </w:p>
    <w:p w:rsidR="00064264" w:rsidRDefault="00064264" w:rsidP="00064264">
      <w:pPr>
        <w:pStyle w:val="BodyText"/>
        <w:spacing w:line="360" w:lineRule="auto"/>
        <w:jc w:val="both"/>
        <w:rPr>
          <w:b w:val="0"/>
          <w:bCs w:val="0"/>
          <w:color w:val="000000"/>
          <w:sz w:val="24"/>
          <w:u w:val="none"/>
        </w:rPr>
      </w:pPr>
      <w:r w:rsidRPr="00543F36">
        <w:rPr>
          <w:b w:val="0"/>
          <w:bCs w:val="0"/>
          <w:color w:val="000000"/>
          <w:sz w:val="24"/>
          <w:u w:val="none"/>
        </w:rPr>
        <w:t>The petrol cycle is 1220secs (20 minutes) long</w:t>
      </w:r>
      <w:r>
        <w:rPr>
          <w:b w:val="0"/>
          <w:bCs w:val="0"/>
          <w:color w:val="000000"/>
          <w:sz w:val="24"/>
          <w:u w:val="none"/>
        </w:rPr>
        <w:t>; it covers a distance of 11 km;</w:t>
      </w:r>
      <w:r w:rsidRPr="00543F36">
        <w:rPr>
          <w:b w:val="0"/>
          <w:bCs w:val="0"/>
          <w:color w:val="000000"/>
          <w:sz w:val="24"/>
          <w:u w:val="none"/>
        </w:rPr>
        <w:t xml:space="preserve"> averages a speed of 32.5km/h and reaches a top speed of 120km/h. The diesel cycle lasts for 1180secs, and also has an average speed of 32.5km/h and a top speed of 120km/h (Bosch, 2000).</w:t>
      </w:r>
      <w:r>
        <w:rPr>
          <w:b w:val="0"/>
          <w:bCs w:val="0"/>
          <w:color w:val="000000"/>
          <w:sz w:val="24"/>
          <w:u w:val="none"/>
        </w:rPr>
        <w:t xml:space="preserve">  Looking at the first 850 second of the petrol emissions cycle (Figure 3) the chart shows a series of peaks increasing from around 15km/h then 35km/h and finally 50km/h between each peak the vehicle comes back to rest.  This series of peaks is repeated four times.  This part of the drive cycle simulates urban driving, with a ‘start stop’ patter that a driver might experience whilst driving through town, travelling through congestion and traffic management e.g. traffic light systems.  From 850 seconds until the end of the test, the cycle accelerates up to 70km/h maintains this speed for a short period, drops to 50km/h for a short period, and then accelerates up to 120km/h before returning to rest.  This section of the cycle represents a suburban driving pattern, where the driver is now making progress on a more open highway e.g. duel carriageway and experiencing less congestion.  The diesel cycle (Figure 4) mimics the petrol cycle very closely but simulates slightly higher top speeds in the urban driving section of the test.</w:t>
      </w:r>
    </w:p>
    <w:p w:rsidR="00064264" w:rsidRDefault="00064264" w:rsidP="00064264">
      <w:pPr>
        <w:pStyle w:val="BodyText"/>
        <w:spacing w:line="360" w:lineRule="auto"/>
        <w:jc w:val="both"/>
        <w:rPr>
          <w:b w:val="0"/>
          <w:bCs w:val="0"/>
          <w:color w:val="000000"/>
          <w:sz w:val="24"/>
          <w:u w:val="none"/>
        </w:rPr>
      </w:pPr>
    </w:p>
    <w:p w:rsidR="00064264" w:rsidRPr="00543F36" w:rsidRDefault="00064264" w:rsidP="00064264">
      <w:pPr>
        <w:keepNext/>
        <w:tabs>
          <w:tab w:val="left" w:pos="2418"/>
        </w:tabs>
        <w:spacing w:line="360" w:lineRule="auto"/>
        <w:jc w:val="both"/>
        <w:rPr>
          <w:rFonts w:ascii="Garamond" w:hAnsi="Garamond"/>
          <w:color w:val="000000"/>
        </w:rPr>
      </w:pPr>
      <w:r>
        <w:rPr>
          <w:rFonts w:ascii="Garamond" w:hAnsi="Garamond"/>
          <w:noProof/>
          <w:color w:val="000000"/>
          <w:lang w:eastAsia="en-GB"/>
        </w:rPr>
        <w:lastRenderedPageBreak/>
        <w:drawing>
          <wp:inline distT="0" distB="0" distL="0" distR="0">
            <wp:extent cx="5183505" cy="32600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srcRect/>
                    <a:stretch>
                      <a:fillRect/>
                    </a:stretch>
                  </pic:blipFill>
                  <pic:spPr bwMode="auto">
                    <a:xfrm>
                      <a:off x="0" y="0"/>
                      <a:ext cx="5183505" cy="3260090"/>
                    </a:xfrm>
                    <a:prstGeom prst="rect">
                      <a:avLst/>
                    </a:prstGeom>
                    <a:noFill/>
                    <a:ln w="9525">
                      <a:noFill/>
                      <a:miter lim="800000"/>
                      <a:headEnd/>
                      <a:tailEnd/>
                    </a:ln>
                  </pic:spPr>
                </pic:pic>
              </a:graphicData>
            </a:graphic>
          </wp:inline>
        </w:drawing>
      </w:r>
    </w:p>
    <w:p w:rsidR="00064264" w:rsidRPr="00543F36" w:rsidRDefault="00064264" w:rsidP="00064264">
      <w:pPr>
        <w:pStyle w:val="Caption"/>
        <w:jc w:val="center"/>
        <w:rPr>
          <w:rFonts w:ascii="Garamond" w:hAnsi="Garamond"/>
          <w:color w:val="000000"/>
        </w:rPr>
      </w:pPr>
      <w:bookmarkStart w:id="4" w:name="_Toc215987977"/>
      <w:r w:rsidRPr="00543F36">
        <w:rPr>
          <w:rFonts w:ascii="Garamond" w:hAnsi="Garamond"/>
          <w:color w:val="000000"/>
        </w:rPr>
        <w:t xml:space="preserve">Figure </w:t>
      </w:r>
      <w:r w:rsidRPr="00543F36">
        <w:rPr>
          <w:rFonts w:ascii="Garamond" w:hAnsi="Garamond"/>
          <w:color w:val="000000"/>
        </w:rPr>
        <w:fldChar w:fldCharType="begin"/>
      </w:r>
      <w:r w:rsidRPr="00543F36">
        <w:rPr>
          <w:rFonts w:ascii="Garamond" w:hAnsi="Garamond"/>
          <w:color w:val="000000"/>
        </w:rPr>
        <w:instrText xml:space="preserve"> SEQ Figure \* ARABIC </w:instrText>
      </w:r>
      <w:r w:rsidRPr="00543F36">
        <w:rPr>
          <w:rFonts w:ascii="Garamond" w:hAnsi="Garamond"/>
          <w:color w:val="000000"/>
        </w:rPr>
        <w:fldChar w:fldCharType="separate"/>
      </w:r>
      <w:r w:rsidR="001439E6">
        <w:rPr>
          <w:rFonts w:ascii="Garamond" w:hAnsi="Garamond"/>
          <w:noProof/>
          <w:color w:val="000000"/>
        </w:rPr>
        <w:t>3</w:t>
      </w:r>
      <w:r w:rsidRPr="00543F36">
        <w:rPr>
          <w:rFonts w:ascii="Garamond" w:hAnsi="Garamond"/>
          <w:color w:val="000000"/>
        </w:rPr>
        <w:fldChar w:fldCharType="end"/>
      </w:r>
      <w:r w:rsidRPr="00543F36">
        <w:rPr>
          <w:rFonts w:ascii="Garamond" w:hAnsi="Garamond"/>
          <w:color w:val="000000"/>
        </w:rPr>
        <w:t>: Petrol Emissions Test Cycle</w:t>
      </w:r>
      <w:bookmarkEnd w:id="4"/>
    </w:p>
    <w:p w:rsidR="00064264" w:rsidRPr="00543F36" w:rsidRDefault="00064264" w:rsidP="00064264">
      <w:pPr>
        <w:pStyle w:val="Footer"/>
        <w:tabs>
          <w:tab w:val="clear" w:pos="4320"/>
          <w:tab w:val="clear" w:pos="8640"/>
          <w:tab w:val="left" w:pos="2418"/>
        </w:tabs>
        <w:spacing w:line="360" w:lineRule="auto"/>
        <w:rPr>
          <w:color w:val="000000"/>
          <w:sz w:val="24"/>
        </w:rPr>
      </w:pPr>
    </w:p>
    <w:p w:rsidR="00064264" w:rsidRPr="00543F36" w:rsidRDefault="00064264" w:rsidP="00064264">
      <w:pPr>
        <w:keepNext/>
        <w:tabs>
          <w:tab w:val="left" w:pos="2418"/>
        </w:tabs>
        <w:spacing w:line="360" w:lineRule="auto"/>
        <w:rPr>
          <w:rFonts w:ascii="Garamond" w:hAnsi="Garamond"/>
          <w:color w:val="000000"/>
        </w:rPr>
      </w:pPr>
      <w:r>
        <w:rPr>
          <w:rFonts w:ascii="Garamond" w:hAnsi="Garamond"/>
          <w:noProof/>
          <w:color w:val="000000"/>
          <w:lang w:eastAsia="en-GB"/>
        </w:rPr>
        <w:drawing>
          <wp:inline distT="0" distB="0" distL="0" distR="0">
            <wp:extent cx="5183505" cy="32600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cstate="print"/>
                    <a:srcRect/>
                    <a:stretch>
                      <a:fillRect/>
                    </a:stretch>
                  </pic:blipFill>
                  <pic:spPr bwMode="auto">
                    <a:xfrm>
                      <a:off x="0" y="0"/>
                      <a:ext cx="5183505" cy="3260090"/>
                    </a:xfrm>
                    <a:prstGeom prst="rect">
                      <a:avLst/>
                    </a:prstGeom>
                    <a:noFill/>
                    <a:ln w="9525">
                      <a:noFill/>
                      <a:miter lim="800000"/>
                      <a:headEnd/>
                      <a:tailEnd/>
                    </a:ln>
                  </pic:spPr>
                </pic:pic>
              </a:graphicData>
            </a:graphic>
          </wp:inline>
        </w:drawing>
      </w:r>
    </w:p>
    <w:p w:rsidR="00064264" w:rsidRDefault="00064264" w:rsidP="00064264">
      <w:pPr>
        <w:pStyle w:val="Caption"/>
        <w:jc w:val="center"/>
        <w:rPr>
          <w:rFonts w:ascii="Garamond" w:hAnsi="Garamond"/>
          <w:color w:val="000000"/>
        </w:rPr>
      </w:pPr>
      <w:bookmarkStart w:id="5" w:name="_Toc215987978"/>
      <w:r w:rsidRPr="00543F36">
        <w:rPr>
          <w:rFonts w:ascii="Garamond" w:hAnsi="Garamond"/>
          <w:color w:val="000000"/>
        </w:rPr>
        <w:t xml:space="preserve">Figure </w:t>
      </w:r>
      <w:r w:rsidRPr="00543F36">
        <w:rPr>
          <w:rFonts w:ascii="Garamond" w:hAnsi="Garamond"/>
          <w:color w:val="000000"/>
        </w:rPr>
        <w:fldChar w:fldCharType="begin"/>
      </w:r>
      <w:r w:rsidRPr="00543F36">
        <w:rPr>
          <w:rFonts w:ascii="Garamond" w:hAnsi="Garamond"/>
          <w:color w:val="000000"/>
        </w:rPr>
        <w:instrText xml:space="preserve"> SEQ Figure \* ARABIC </w:instrText>
      </w:r>
      <w:r w:rsidRPr="00543F36">
        <w:rPr>
          <w:rFonts w:ascii="Garamond" w:hAnsi="Garamond"/>
          <w:color w:val="000000"/>
        </w:rPr>
        <w:fldChar w:fldCharType="separate"/>
      </w:r>
      <w:r w:rsidR="001439E6">
        <w:rPr>
          <w:rFonts w:ascii="Garamond" w:hAnsi="Garamond"/>
          <w:noProof/>
          <w:color w:val="000000"/>
        </w:rPr>
        <w:t>4</w:t>
      </w:r>
      <w:r w:rsidRPr="00543F36">
        <w:rPr>
          <w:rFonts w:ascii="Garamond" w:hAnsi="Garamond"/>
          <w:color w:val="000000"/>
        </w:rPr>
        <w:fldChar w:fldCharType="end"/>
      </w:r>
      <w:r w:rsidRPr="00543F36">
        <w:rPr>
          <w:rFonts w:ascii="Garamond" w:hAnsi="Garamond"/>
          <w:color w:val="000000"/>
        </w:rPr>
        <w:t>: Diesel Emissions Test Cycle</w:t>
      </w:r>
      <w:bookmarkEnd w:id="5"/>
    </w:p>
    <w:p w:rsidR="00064264" w:rsidRDefault="00064264" w:rsidP="00064264"/>
    <w:p w:rsidR="00064264" w:rsidRPr="00F8472F" w:rsidRDefault="00064264" w:rsidP="0006426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505"/>
        <w:gridCol w:w="1399"/>
        <w:gridCol w:w="1399"/>
        <w:gridCol w:w="1564"/>
        <w:gridCol w:w="1662"/>
      </w:tblGrid>
      <w:tr w:rsidR="00064264" w:rsidRPr="00543F36" w:rsidTr="004F02D1">
        <w:tc>
          <w:tcPr>
            <w:tcW w:w="2505"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Standards</w:t>
            </w:r>
          </w:p>
        </w:tc>
        <w:tc>
          <w:tcPr>
            <w:tcW w:w="1399"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CO (g/km)</w:t>
            </w:r>
          </w:p>
        </w:tc>
        <w:tc>
          <w:tcPr>
            <w:tcW w:w="1399"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HC (g/km)</w:t>
            </w:r>
          </w:p>
        </w:tc>
        <w:tc>
          <w:tcPr>
            <w:tcW w:w="1564" w:type="dxa"/>
          </w:tcPr>
          <w:p w:rsidR="00064264" w:rsidRPr="00543F36" w:rsidRDefault="00064264" w:rsidP="004F02D1">
            <w:pPr>
              <w:tabs>
                <w:tab w:val="left" w:pos="2418"/>
              </w:tabs>
              <w:spacing w:line="360" w:lineRule="auto"/>
              <w:rPr>
                <w:rFonts w:ascii="Garamond" w:hAnsi="Garamond"/>
                <w:b/>
                <w:color w:val="000000"/>
              </w:rPr>
            </w:pPr>
            <w:proofErr w:type="spellStart"/>
            <w:r w:rsidRPr="00543F36">
              <w:rPr>
                <w:rFonts w:ascii="Garamond" w:hAnsi="Garamond"/>
                <w:b/>
                <w:color w:val="000000"/>
              </w:rPr>
              <w:t>NOx</w:t>
            </w:r>
            <w:proofErr w:type="spellEnd"/>
            <w:r w:rsidRPr="00543F36">
              <w:rPr>
                <w:rFonts w:ascii="Garamond" w:hAnsi="Garamond"/>
                <w:b/>
                <w:color w:val="000000"/>
              </w:rPr>
              <w:t xml:space="preserve"> (g/km)</w:t>
            </w:r>
          </w:p>
        </w:tc>
        <w:tc>
          <w:tcPr>
            <w:tcW w:w="1662"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 xml:space="preserve">HC + </w:t>
            </w:r>
            <w:proofErr w:type="spellStart"/>
            <w:r w:rsidRPr="00543F36">
              <w:rPr>
                <w:rFonts w:ascii="Garamond" w:hAnsi="Garamond"/>
                <w:b/>
                <w:color w:val="000000"/>
              </w:rPr>
              <w:t>NOx</w:t>
            </w:r>
            <w:proofErr w:type="spellEnd"/>
            <w:r w:rsidRPr="00543F36">
              <w:rPr>
                <w:rFonts w:ascii="Garamond" w:hAnsi="Garamond"/>
                <w:b/>
                <w:color w:val="000000"/>
              </w:rPr>
              <w:t xml:space="preserve"> (g/km)</w:t>
            </w:r>
          </w:p>
        </w:tc>
      </w:tr>
      <w:tr w:rsidR="00064264" w:rsidRPr="00543F36" w:rsidTr="004F02D1">
        <w:tc>
          <w:tcPr>
            <w:tcW w:w="2505"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 xml:space="preserve">EU Stage </w:t>
            </w:r>
            <w:proofErr w:type="spellStart"/>
            <w:r w:rsidRPr="00543F36">
              <w:rPr>
                <w:rFonts w:ascii="Garamond" w:hAnsi="Garamond"/>
                <w:b/>
                <w:color w:val="000000"/>
              </w:rPr>
              <w:t>i</w:t>
            </w:r>
            <w:proofErr w:type="spellEnd"/>
            <w:r w:rsidRPr="00543F36">
              <w:rPr>
                <w:rFonts w:ascii="Garamond" w:hAnsi="Garamond"/>
                <w:b/>
                <w:color w:val="000000"/>
              </w:rPr>
              <w:t xml:space="preserve"> (Euro 1)</w:t>
            </w:r>
          </w:p>
        </w:tc>
        <w:tc>
          <w:tcPr>
            <w:tcW w:w="1399"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2.72</w:t>
            </w:r>
          </w:p>
        </w:tc>
        <w:tc>
          <w:tcPr>
            <w:tcW w:w="1399"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w:t>
            </w:r>
          </w:p>
        </w:tc>
        <w:tc>
          <w:tcPr>
            <w:tcW w:w="1564"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w:t>
            </w:r>
          </w:p>
        </w:tc>
        <w:tc>
          <w:tcPr>
            <w:tcW w:w="1662"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0.97</w:t>
            </w:r>
          </w:p>
        </w:tc>
      </w:tr>
      <w:tr w:rsidR="00064264" w:rsidRPr="00543F36" w:rsidTr="004F02D1">
        <w:tc>
          <w:tcPr>
            <w:tcW w:w="2505"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EU Stage ii (Euro 2)</w:t>
            </w:r>
          </w:p>
        </w:tc>
        <w:tc>
          <w:tcPr>
            <w:tcW w:w="1399"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2.2</w:t>
            </w:r>
          </w:p>
        </w:tc>
        <w:tc>
          <w:tcPr>
            <w:tcW w:w="1399"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w:t>
            </w:r>
          </w:p>
        </w:tc>
        <w:tc>
          <w:tcPr>
            <w:tcW w:w="1564"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w:t>
            </w:r>
          </w:p>
        </w:tc>
        <w:tc>
          <w:tcPr>
            <w:tcW w:w="1662"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0.5</w:t>
            </w:r>
          </w:p>
        </w:tc>
      </w:tr>
      <w:tr w:rsidR="00064264" w:rsidRPr="00543F36" w:rsidTr="004F02D1">
        <w:tc>
          <w:tcPr>
            <w:tcW w:w="2505"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lastRenderedPageBreak/>
              <w:t>EU Stage iii (Euro 3)</w:t>
            </w:r>
          </w:p>
        </w:tc>
        <w:tc>
          <w:tcPr>
            <w:tcW w:w="1399"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2.3</w:t>
            </w:r>
          </w:p>
        </w:tc>
        <w:tc>
          <w:tcPr>
            <w:tcW w:w="1399"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0.2</w:t>
            </w:r>
          </w:p>
        </w:tc>
        <w:tc>
          <w:tcPr>
            <w:tcW w:w="1564"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0.15</w:t>
            </w:r>
          </w:p>
        </w:tc>
        <w:tc>
          <w:tcPr>
            <w:tcW w:w="1662"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w:t>
            </w:r>
          </w:p>
        </w:tc>
      </w:tr>
      <w:tr w:rsidR="00064264" w:rsidRPr="00543F36" w:rsidTr="004F02D1">
        <w:tc>
          <w:tcPr>
            <w:tcW w:w="2505"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EU Stage iv (Euro 4)</w:t>
            </w:r>
          </w:p>
        </w:tc>
        <w:tc>
          <w:tcPr>
            <w:tcW w:w="1399"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1</w:t>
            </w:r>
          </w:p>
        </w:tc>
        <w:tc>
          <w:tcPr>
            <w:tcW w:w="1399"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0.1</w:t>
            </w:r>
          </w:p>
        </w:tc>
        <w:tc>
          <w:tcPr>
            <w:tcW w:w="1564"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0.08</w:t>
            </w:r>
          </w:p>
        </w:tc>
        <w:tc>
          <w:tcPr>
            <w:tcW w:w="1662" w:type="dxa"/>
          </w:tcPr>
          <w:p w:rsidR="00064264" w:rsidRPr="00543F36" w:rsidRDefault="00064264" w:rsidP="004F02D1">
            <w:pPr>
              <w:keepNext/>
              <w:tabs>
                <w:tab w:val="left" w:pos="2418"/>
              </w:tabs>
              <w:spacing w:line="360" w:lineRule="auto"/>
              <w:rPr>
                <w:rFonts w:ascii="Garamond" w:hAnsi="Garamond"/>
                <w:color w:val="000000"/>
              </w:rPr>
            </w:pPr>
            <w:r w:rsidRPr="00543F36">
              <w:rPr>
                <w:rFonts w:ascii="Garamond" w:hAnsi="Garamond"/>
                <w:color w:val="000000"/>
              </w:rPr>
              <w:t>-</w:t>
            </w:r>
          </w:p>
        </w:tc>
      </w:tr>
      <w:tr w:rsidR="00064264" w:rsidRPr="00543F36" w:rsidTr="004F02D1">
        <w:tc>
          <w:tcPr>
            <w:tcW w:w="2505" w:type="dxa"/>
          </w:tcPr>
          <w:p w:rsidR="00064264" w:rsidRPr="00543F36" w:rsidRDefault="00064264" w:rsidP="004F02D1">
            <w:pPr>
              <w:spacing w:line="360" w:lineRule="auto"/>
              <w:rPr>
                <w:rFonts w:ascii="Garamond" w:hAnsi="Garamond"/>
                <w:b/>
                <w:bCs/>
                <w:color w:val="000000"/>
              </w:rPr>
            </w:pPr>
            <w:r>
              <w:rPr>
                <w:rFonts w:ascii="Garamond" w:hAnsi="Garamond"/>
                <w:b/>
                <w:bCs/>
                <w:color w:val="000000"/>
              </w:rPr>
              <w:t xml:space="preserve">EU Stage v </w:t>
            </w:r>
            <w:r w:rsidRPr="00543F36">
              <w:rPr>
                <w:rFonts w:ascii="Garamond" w:hAnsi="Garamond"/>
                <w:b/>
                <w:bCs/>
                <w:color w:val="000000"/>
              </w:rPr>
              <w:t>(Euro 5)</w:t>
            </w:r>
          </w:p>
        </w:tc>
        <w:tc>
          <w:tcPr>
            <w:tcW w:w="13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1.0</w:t>
            </w:r>
          </w:p>
        </w:tc>
        <w:tc>
          <w:tcPr>
            <w:tcW w:w="1399"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0.1</w:t>
            </w:r>
          </w:p>
        </w:tc>
        <w:tc>
          <w:tcPr>
            <w:tcW w:w="1564" w:type="dxa"/>
          </w:tcPr>
          <w:p w:rsidR="00064264" w:rsidRPr="00543F36" w:rsidRDefault="00064264" w:rsidP="004F02D1">
            <w:pPr>
              <w:spacing w:line="360" w:lineRule="auto"/>
              <w:rPr>
                <w:rFonts w:ascii="Garamond" w:hAnsi="Garamond"/>
                <w:color w:val="000000"/>
              </w:rPr>
            </w:pPr>
            <w:r w:rsidRPr="00543F36">
              <w:rPr>
                <w:rFonts w:ascii="Garamond" w:hAnsi="Garamond"/>
                <w:color w:val="000000"/>
              </w:rPr>
              <w:t>0.</w:t>
            </w:r>
            <w:r>
              <w:rPr>
                <w:rFonts w:ascii="Garamond" w:hAnsi="Garamond"/>
                <w:color w:val="000000"/>
              </w:rPr>
              <w:t>06</w:t>
            </w:r>
          </w:p>
        </w:tc>
        <w:tc>
          <w:tcPr>
            <w:tcW w:w="1662" w:type="dxa"/>
          </w:tcPr>
          <w:p w:rsidR="00064264" w:rsidRPr="00543F36" w:rsidRDefault="00064264" w:rsidP="004F02D1">
            <w:pPr>
              <w:keepNext/>
              <w:spacing w:line="360" w:lineRule="auto"/>
              <w:rPr>
                <w:rFonts w:ascii="Garamond" w:hAnsi="Garamond"/>
                <w:color w:val="000000"/>
              </w:rPr>
            </w:pPr>
            <w:r w:rsidRPr="00543F36">
              <w:rPr>
                <w:rFonts w:ascii="Garamond" w:hAnsi="Garamond"/>
                <w:color w:val="000000"/>
              </w:rPr>
              <w:t>0.</w:t>
            </w:r>
            <w:r>
              <w:rPr>
                <w:rFonts w:ascii="Garamond" w:hAnsi="Garamond"/>
                <w:color w:val="000000"/>
              </w:rPr>
              <w:t>1</w:t>
            </w:r>
            <w:r w:rsidRPr="00543F36">
              <w:rPr>
                <w:rFonts w:ascii="Garamond" w:hAnsi="Garamond"/>
                <w:color w:val="000000"/>
              </w:rPr>
              <w:t>6</w:t>
            </w:r>
          </w:p>
        </w:tc>
      </w:tr>
    </w:tbl>
    <w:p w:rsidR="00064264" w:rsidRPr="00543F36" w:rsidRDefault="00064264" w:rsidP="00064264">
      <w:pPr>
        <w:pStyle w:val="Caption"/>
        <w:jc w:val="center"/>
        <w:rPr>
          <w:rFonts w:ascii="Garamond" w:hAnsi="Garamond"/>
          <w:color w:val="000000"/>
        </w:rPr>
      </w:pPr>
      <w:bookmarkStart w:id="6" w:name="_Toc157078072"/>
      <w:r w:rsidRPr="00543F36">
        <w:rPr>
          <w:rFonts w:ascii="Garamond" w:hAnsi="Garamond"/>
          <w:color w:val="000000"/>
        </w:rPr>
        <w:t xml:space="preserve">Table </w:t>
      </w:r>
      <w:r w:rsidRPr="00543F36">
        <w:rPr>
          <w:rFonts w:ascii="Garamond" w:hAnsi="Garamond"/>
          <w:color w:val="000000"/>
        </w:rPr>
        <w:fldChar w:fldCharType="begin"/>
      </w:r>
      <w:r w:rsidRPr="00543F36">
        <w:rPr>
          <w:rFonts w:ascii="Garamond" w:hAnsi="Garamond"/>
          <w:color w:val="000000"/>
        </w:rPr>
        <w:instrText xml:space="preserve"> SEQ Table \* ARABIC </w:instrText>
      </w:r>
      <w:r w:rsidRPr="00543F36">
        <w:rPr>
          <w:rFonts w:ascii="Garamond" w:hAnsi="Garamond"/>
          <w:color w:val="000000"/>
        </w:rPr>
        <w:fldChar w:fldCharType="separate"/>
      </w:r>
      <w:r w:rsidR="001439E6">
        <w:rPr>
          <w:rFonts w:ascii="Garamond" w:hAnsi="Garamond"/>
          <w:noProof/>
          <w:color w:val="000000"/>
        </w:rPr>
        <w:t>3</w:t>
      </w:r>
      <w:r w:rsidRPr="00543F36">
        <w:rPr>
          <w:rFonts w:ascii="Garamond" w:hAnsi="Garamond"/>
          <w:color w:val="000000"/>
        </w:rPr>
        <w:fldChar w:fldCharType="end"/>
      </w:r>
      <w:r w:rsidRPr="00543F36">
        <w:rPr>
          <w:rFonts w:ascii="Garamond" w:hAnsi="Garamond"/>
          <w:color w:val="000000"/>
        </w:rPr>
        <w:t>: Petrol Limits for the ECE/EC Test Cycle</w:t>
      </w:r>
      <w:bookmarkEnd w:id="6"/>
    </w:p>
    <w:p w:rsidR="00064264" w:rsidRPr="00543F36" w:rsidRDefault="00064264" w:rsidP="00064264">
      <w:pPr>
        <w:tabs>
          <w:tab w:val="left" w:pos="2418"/>
        </w:tabs>
        <w:spacing w:line="360" w:lineRule="auto"/>
        <w:rPr>
          <w:rFonts w:ascii="Garamond" w:hAnsi="Garamond"/>
          <w:color w:val="000000"/>
        </w:rPr>
      </w:pPr>
    </w:p>
    <w:p w:rsidR="00064264" w:rsidRPr="00543F36" w:rsidRDefault="00064264" w:rsidP="00064264">
      <w:pPr>
        <w:tabs>
          <w:tab w:val="left" w:pos="2418"/>
        </w:tabs>
        <w:spacing w:line="360" w:lineRule="auto"/>
        <w:rPr>
          <w:rFonts w:ascii="Garamond" w:hAnsi="Garamond"/>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567"/>
        <w:gridCol w:w="1440"/>
        <w:gridCol w:w="1620"/>
        <w:gridCol w:w="1417"/>
        <w:gridCol w:w="1485"/>
      </w:tblGrid>
      <w:tr w:rsidR="00064264" w:rsidRPr="00543F36" w:rsidTr="004F02D1">
        <w:tc>
          <w:tcPr>
            <w:tcW w:w="2567"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Standards</w:t>
            </w:r>
          </w:p>
        </w:tc>
        <w:tc>
          <w:tcPr>
            <w:tcW w:w="1440"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CO (g/km)</w:t>
            </w:r>
          </w:p>
        </w:tc>
        <w:tc>
          <w:tcPr>
            <w:tcW w:w="1620" w:type="dxa"/>
          </w:tcPr>
          <w:p w:rsidR="00064264" w:rsidRPr="00543F36" w:rsidRDefault="00064264" w:rsidP="004F02D1">
            <w:pPr>
              <w:tabs>
                <w:tab w:val="left" w:pos="2418"/>
              </w:tabs>
              <w:spacing w:line="360" w:lineRule="auto"/>
              <w:rPr>
                <w:rFonts w:ascii="Garamond" w:hAnsi="Garamond"/>
                <w:b/>
                <w:color w:val="000000"/>
              </w:rPr>
            </w:pPr>
            <w:proofErr w:type="spellStart"/>
            <w:r w:rsidRPr="00543F36">
              <w:rPr>
                <w:rFonts w:ascii="Garamond" w:hAnsi="Garamond"/>
                <w:b/>
                <w:color w:val="000000"/>
              </w:rPr>
              <w:t>NOx</w:t>
            </w:r>
            <w:proofErr w:type="spellEnd"/>
            <w:r w:rsidRPr="00543F36">
              <w:rPr>
                <w:rFonts w:ascii="Garamond" w:hAnsi="Garamond"/>
                <w:b/>
                <w:color w:val="000000"/>
              </w:rPr>
              <w:t xml:space="preserve"> (g/km)</w:t>
            </w:r>
          </w:p>
        </w:tc>
        <w:tc>
          <w:tcPr>
            <w:tcW w:w="1417"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PM (g/km)</w:t>
            </w:r>
          </w:p>
        </w:tc>
        <w:tc>
          <w:tcPr>
            <w:tcW w:w="1485"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 xml:space="preserve">HC + </w:t>
            </w:r>
            <w:proofErr w:type="spellStart"/>
            <w:r w:rsidRPr="00543F36">
              <w:rPr>
                <w:rFonts w:ascii="Garamond" w:hAnsi="Garamond"/>
                <w:b/>
                <w:color w:val="000000"/>
              </w:rPr>
              <w:t>NOx</w:t>
            </w:r>
            <w:proofErr w:type="spellEnd"/>
          </w:p>
        </w:tc>
      </w:tr>
      <w:tr w:rsidR="00064264" w:rsidRPr="00543F36" w:rsidTr="004F02D1">
        <w:tc>
          <w:tcPr>
            <w:tcW w:w="2567"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 xml:space="preserve">EU Stage </w:t>
            </w:r>
            <w:proofErr w:type="spellStart"/>
            <w:r w:rsidRPr="00543F36">
              <w:rPr>
                <w:rFonts w:ascii="Garamond" w:hAnsi="Garamond"/>
                <w:b/>
                <w:color w:val="000000"/>
              </w:rPr>
              <w:t>i</w:t>
            </w:r>
            <w:proofErr w:type="spellEnd"/>
            <w:r w:rsidRPr="00543F36">
              <w:rPr>
                <w:rFonts w:ascii="Garamond" w:hAnsi="Garamond"/>
                <w:b/>
                <w:color w:val="000000"/>
              </w:rPr>
              <w:t xml:space="preserve"> (Euro 1)</w:t>
            </w:r>
          </w:p>
        </w:tc>
        <w:tc>
          <w:tcPr>
            <w:tcW w:w="1440"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2.8</w:t>
            </w:r>
          </w:p>
        </w:tc>
        <w:tc>
          <w:tcPr>
            <w:tcW w:w="1620"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w:t>
            </w:r>
          </w:p>
        </w:tc>
        <w:tc>
          <w:tcPr>
            <w:tcW w:w="1417"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0.2</w:t>
            </w:r>
          </w:p>
        </w:tc>
        <w:tc>
          <w:tcPr>
            <w:tcW w:w="1485"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1.6</w:t>
            </w:r>
          </w:p>
        </w:tc>
      </w:tr>
      <w:tr w:rsidR="00064264" w:rsidRPr="00543F36" w:rsidTr="004F02D1">
        <w:tc>
          <w:tcPr>
            <w:tcW w:w="2567"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EU Stage ii (Euro 2)</w:t>
            </w:r>
          </w:p>
        </w:tc>
        <w:tc>
          <w:tcPr>
            <w:tcW w:w="1440"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1</w:t>
            </w:r>
          </w:p>
        </w:tc>
        <w:tc>
          <w:tcPr>
            <w:tcW w:w="1620"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w:t>
            </w:r>
          </w:p>
        </w:tc>
        <w:tc>
          <w:tcPr>
            <w:tcW w:w="1417"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0.15</w:t>
            </w:r>
          </w:p>
        </w:tc>
        <w:tc>
          <w:tcPr>
            <w:tcW w:w="1485"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0.9</w:t>
            </w:r>
          </w:p>
        </w:tc>
      </w:tr>
      <w:tr w:rsidR="00064264" w:rsidRPr="00543F36" w:rsidTr="004F02D1">
        <w:tc>
          <w:tcPr>
            <w:tcW w:w="2567"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EU Stage iii (Euro 3)</w:t>
            </w:r>
          </w:p>
        </w:tc>
        <w:tc>
          <w:tcPr>
            <w:tcW w:w="1440"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0.7</w:t>
            </w:r>
          </w:p>
        </w:tc>
        <w:tc>
          <w:tcPr>
            <w:tcW w:w="1620"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0.5</w:t>
            </w:r>
          </w:p>
        </w:tc>
        <w:tc>
          <w:tcPr>
            <w:tcW w:w="1417"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0.05</w:t>
            </w:r>
          </w:p>
        </w:tc>
        <w:tc>
          <w:tcPr>
            <w:tcW w:w="1485"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0.5</w:t>
            </w:r>
          </w:p>
        </w:tc>
      </w:tr>
      <w:tr w:rsidR="00064264" w:rsidRPr="00543F36" w:rsidTr="004F02D1">
        <w:tc>
          <w:tcPr>
            <w:tcW w:w="2567" w:type="dxa"/>
          </w:tcPr>
          <w:p w:rsidR="00064264" w:rsidRPr="00543F36" w:rsidRDefault="00064264" w:rsidP="004F02D1">
            <w:pPr>
              <w:tabs>
                <w:tab w:val="left" w:pos="2418"/>
              </w:tabs>
              <w:spacing w:line="360" w:lineRule="auto"/>
              <w:rPr>
                <w:rFonts w:ascii="Garamond" w:hAnsi="Garamond"/>
                <w:b/>
                <w:color w:val="000000"/>
              </w:rPr>
            </w:pPr>
            <w:r w:rsidRPr="00543F36">
              <w:rPr>
                <w:rFonts w:ascii="Garamond" w:hAnsi="Garamond"/>
                <w:b/>
                <w:color w:val="000000"/>
              </w:rPr>
              <w:t>EU Stage iv (Euro 4)</w:t>
            </w:r>
          </w:p>
        </w:tc>
        <w:tc>
          <w:tcPr>
            <w:tcW w:w="1440"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0.5</w:t>
            </w:r>
          </w:p>
        </w:tc>
        <w:tc>
          <w:tcPr>
            <w:tcW w:w="1620"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0.25</w:t>
            </w:r>
          </w:p>
        </w:tc>
        <w:tc>
          <w:tcPr>
            <w:tcW w:w="1417"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0.025</w:t>
            </w:r>
          </w:p>
        </w:tc>
        <w:tc>
          <w:tcPr>
            <w:tcW w:w="1485" w:type="dxa"/>
          </w:tcPr>
          <w:p w:rsidR="00064264" w:rsidRPr="00543F36" w:rsidRDefault="00064264" w:rsidP="004F02D1">
            <w:pPr>
              <w:tabs>
                <w:tab w:val="left" w:pos="2418"/>
              </w:tabs>
              <w:spacing w:line="360" w:lineRule="auto"/>
              <w:rPr>
                <w:rFonts w:ascii="Garamond" w:hAnsi="Garamond"/>
                <w:color w:val="000000"/>
              </w:rPr>
            </w:pPr>
            <w:r w:rsidRPr="00543F36">
              <w:rPr>
                <w:rFonts w:ascii="Garamond" w:hAnsi="Garamond"/>
                <w:color w:val="000000"/>
              </w:rPr>
              <w:t>0.25</w:t>
            </w:r>
          </w:p>
        </w:tc>
      </w:tr>
      <w:tr w:rsidR="00064264" w:rsidRPr="00543F36" w:rsidTr="004F02D1">
        <w:tc>
          <w:tcPr>
            <w:tcW w:w="2567" w:type="dxa"/>
          </w:tcPr>
          <w:p w:rsidR="00064264" w:rsidRPr="00543F36" w:rsidRDefault="00064264" w:rsidP="004F02D1">
            <w:pPr>
              <w:tabs>
                <w:tab w:val="left" w:pos="2418"/>
              </w:tabs>
              <w:spacing w:line="360" w:lineRule="auto"/>
              <w:rPr>
                <w:rFonts w:ascii="Garamond" w:hAnsi="Garamond"/>
                <w:b/>
                <w:color w:val="000000"/>
              </w:rPr>
            </w:pPr>
            <w:r>
              <w:rPr>
                <w:rFonts w:ascii="Garamond" w:hAnsi="Garamond"/>
                <w:b/>
                <w:color w:val="000000"/>
              </w:rPr>
              <w:t>EU Stage v (Euro 5)</w:t>
            </w:r>
          </w:p>
        </w:tc>
        <w:tc>
          <w:tcPr>
            <w:tcW w:w="1440" w:type="dxa"/>
          </w:tcPr>
          <w:p w:rsidR="00064264" w:rsidRPr="00543F36" w:rsidRDefault="00064264" w:rsidP="004F02D1">
            <w:pPr>
              <w:tabs>
                <w:tab w:val="left" w:pos="2418"/>
              </w:tabs>
              <w:spacing w:line="360" w:lineRule="auto"/>
              <w:rPr>
                <w:rFonts w:ascii="Garamond" w:hAnsi="Garamond"/>
                <w:color w:val="000000"/>
              </w:rPr>
            </w:pPr>
            <w:r>
              <w:rPr>
                <w:rFonts w:ascii="Garamond" w:hAnsi="Garamond"/>
                <w:color w:val="000000"/>
              </w:rPr>
              <w:t>0.5</w:t>
            </w:r>
          </w:p>
        </w:tc>
        <w:tc>
          <w:tcPr>
            <w:tcW w:w="1620" w:type="dxa"/>
          </w:tcPr>
          <w:p w:rsidR="00064264" w:rsidRPr="00543F36" w:rsidRDefault="00064264" w:rsidP="004F02D1">
            <w:pPr>
              <w:tabs>
                <w:tab w:val="left" w:pos="2418"/>
              </w:tabs>
              <w:spacing w:line="360" w:lineRule="auto"/>
              <w:rPr>
                <w:rFonts w:ascii="Garamond" w:hAnsi="Garamond"/>
                <w:color w:val="000000"/>
              </w:rPr>
            </w:pPr>
            <w:r>
              <w:rPr>
                <w:rFonts w:ascii="Garamond" w:hAnsi="Garamond"/>
                <w:color w:val="000000"/>
              </w:rPr>
              <w:t>0.08</w:t>
            </w:r>
          </w:p>
        </w:tc>
        <w:tc>
          <w:tcPr>
            <w:tcW w:w="1417" w:type="dxa"/>
          </w:tcPr>
          <w:p w:rsidR="00064264" w:rsidRPr="00543F36" w:rsidRDefault="00064264" w:rsidP="004F02D1">
            <w:pPr>
              <w:tabs>
                <w:tab w:val="left" w:pos="2418"/>
              </w:tabs>
              <w:spacing w:line="360" w:lineRule="auto"/>
              <w:rPr>
                <w:rFonts w:ascii="Garamond" w:hAnsi="Garamond"/>
                <w:color w:val="000000"/>
              </w:rPr>
            </w:pPr>
            <w:r>
              <w:rPr>
                <w:rFonts w:ascii="Garamond" w:hAnsi="Garamond"/>
                <w:color w:val="000000"/>
              </w:rPr>
              <w:t>0.005</w:t>
            </w:r>
          </w:p>
        </w:tc>
        <w:tc>
          <w:tcPr>
            <w:tcW w:w="1485" w:type="dxa"/>
          </w:tcPr>
          <w:p w:rsidR="00064264" w:rsidRPr="00543F36" w:rsidRDefault="00064264" w:rsidP="004F02D1">
            <w:pPr>
              <w:tabs>
                <w:tab w:val="left" w:pos="2418"/>
              </w:tabs>
              <w:spacing w:line="360" w:lineRule="auto"/>
              <w:rPr>
                <w:rFonts w:ascii="Garamond" w:hAnsi="Garamond"/>
                <w:color w:val="000000"/>
              </w:rPr>
            </w:pPr>
            <w:r>
              <w:rPr>
                <w:rFonts w:ascii="Garamond" w:hAnsi="Garamond"/>
                <w:color w:val="000000"/>
              </w:rPr>
              <w:t>0.17</w:t>
            </w:r>
          </w:p>
        </w:tc>
      </w:tr>
    </w:tbl>
    <w:p w:rsidR="00064264" w:rsidRPr="00543F36" w:rsidRDefault="00064264" w:rsidP="00064264">
      <w:pPr>
        <w:pStyle w:val="Caption"/>
        <w:jc w:val="center"/>
        <w:rPr>
          <w:rFonts w:ascii="Garamond" w:hAnsi="Garamond"/>
          <w:color w:val="000000"/>
        </w:rPr>
      </w:pPr>
      <w:bookmarkStart w:id="7" w:name="_Toc157078073"/>
      <w:r w:rsidRPr="00543F36">
        <w:rPr>
          <w:rFonts w:ascii="Garamond" w:hAnsi="Garamond"/>
          <w:color w:val="000000"/>
        </w:rPr>
        <w:t xml:space="preserve">Table </w:t>
      </w:r>
      <w:r w:rsidRPr="00543F36">
        <w:rPr>
          <w:rFonts w:ascii="Garamond" w:hAnsi="Garamond"/>
          <w:color w:val="000000"/>
        </w:rPr>
        <w:fldChar w:fldCharType="begin"/>
      </w:r>
      <w:r w:rsidRPr="00543F36">
        <w:rPr>
          <w:rFonts w:ascii="Garamond" w:hAnsi="Garamond"/>
          <w:color w:val="000000"/>
        </w:rPr>
        <w:instrText xml:space="preserve"> SEQ Table \* ARABIC </w:instrText>
      </w:r>
      <w:r w:rsidRPr="00543F36">
        <w:rPr>
          <w:rFonts w:ascii="Garamond" w:hAnsi="Garamond"/>
          <w:color w:val="000000"/>
        </w:rPr>
        <w:fldChar w:fldCharType="separate"/>
      </w:r>
      <w:r w:rsidR="001439E6">
        <w:rPr>
          <w:rFonts w:ascii="Garamond" w:hAnsi="Garamond"/>
          <w:noProof/>
          <w:color w:val="000000"/>
        </w:rPr>
        <w:t>4</w:t>
      </w:r>
      <w:r w:rsidRPr="00543F36">
        <w:rPr>
          <w:rFonts w:ascii="Garamond" w:hAnsi="Garamond"/>
          <w:color w:val="000000"/>
        </w:rPr>
        <w:fldChar w:fldCharType="end"/>
      </w:r>
      <w:r w:rsidRPr="00543F36">
        <w:rPr>
          <w:rFonts w:ascii="Garamond" w:hAnsi="Garamond"/>
          <w:color w:val="000000"/>
        </w:rPr>
        <w:t>: Diesel Limits for the ECE/EC test cycle (Passenger car and light commercial vehicles less than 2500kg)</w:t>
      </w:r>
      <w:bookmarkEnd w:id="7"/>
    </w:p>
    <w:p w:rsidR="00064264" w:rsidRPr="00543F36" w:rsidRDefault="00064264" w:rsidP="00064264">
      <w:pPr>
        <w:rPr>
          <w:color w:val="000000"/>
        </w:rPr>
      </w:pPr>
    </w:p>
    <w:p w:rsidR="00064264" w:rsidRPr="00543F36" w:rsidRDefault="00064264" w:rsidP="00064264">
      <w:pPr>
        <w:spacing w:line="360" w:lineRule="auto"/>
        <w:jc w:val="both"/>
        <w:rPr>
          <w:rFonts w:ascii="Garamond" w:hAnsi="Garamond"/>
          <w:color w:val="000000"/>
        </w:rPr>
      </w:pPr>
      <w:r w:rsidRPr="00543F36">
        <w:rPr>
          <w:rFonts w:ascii="Garamond" w:hAnsi="Garamond"/>
          <w:color w:val="000000"/>
        </w:rPr>
        <w:t>Throughout the emissions cycle test the values recorded for any vehicle from a specific category</w:t>
      </w:r>
      <w:r>
        <w:rPr>
          <w:rFonts w:ascii="Garamond" w:hAnsi="Garamond"/>
          <w:color w:val="000000"/>
        </w:rPr>
        <w:t>,</w:t>
      </w:r>
      <w:r w:rsidRPr="00543F36">
        <w:rPr>
          <w:rFonts w:ascii="Garamond" w:hAnsi="Garamond"/>
          <w:color w:val="000000"/>
        </w:rPr>
        <w:t xml:space="preserve"> e.g. diesel passenger car weighing less than 2500kg</w:t>
      </w:r>
      <w:r>
        <w:rPr>
          <w:rFonts w:ascii="Garamond" w:hAnsi="Garamond"/>
          <w:color w:val="000000"/>
        </w:rPr>
        <w:t>,</w:t>
      </w:r>
      <w:r w:rsidRPr="00543F36">
        <w:rPr>
          <w:rFonts w:ascii="Garamond" w:hAnsi="Garamond"/>
          <w:color w:val="000000"/>
        </w:rPr>
        <w:t xml:space="preserve"> must be within the specified range of the reg</w:t>
      </w:r>
      <w:r>
        <w:rPr>
          <w:rFonts w:ascii="Garamond" w:hAnsi="Garamond"/>
          <w:color w:val="000000"/>
        </w:rPr>
        <w:t>ulations, e.g. for current Euro v</w:t>
      </w:r>
      <w:r w:rsidRPr="00543F36">
        <w:rPr>
          <w:rFonts w:ascii="Garamond" w:hAnsi="Garamond"/>
          <w:color w:val="000000"/>
        </w:rPr>
        <w:t xml:space="preserve"> standards</w:t>
      </w:r>
      <w:r>
        <w:rPr>
          <w:rFonts w:ascii="Garamond" w:hAnsi="Garamond"/>
          <w:color w:val="000000"/>
        </w:rPr>
        <w:t>,</w:t>
      </w:r>
      <w:r w:rsidRPr="00543F36">
        <w:rPr>
          <w:rFonts w:ascii="Garamond" w:hAnsi="Garamond"/>
          <w:color w:val="000000"/>
        </w:rPr>
        <w:t xml:space="preserve"> 0.5 g/km of CO</w:t>
      </w:r>
      <w:r>
        <w:rPr>
          <w:rFonts w:ascii="Garamond" w:hAnsi="Garamond"/>
          <w:color w:val="000000"/>
        </w:rPr>
        <w:t xml:space="preserve"> as seen in figure 3 and 4 for petrol and diesel respectively</w:t>
      </w:r>
      <w:r w:rsidRPr="00543F36">
        <w:rPr>
          <w:rFonts w:ascii="Garamond" w:hAnsi="Garamond"/>
          <w:color w:val="000000"/>
        </w:rPr>
        <w:t>.</w:t>
      </w:r>
      <w:r>
        <w:rPr>
          <w:rFonts w:ascii="Garamond" w:hAnsi="Garamond"/>
          <w:color w:val="000000"/>
        </w:rPr>
        <w:t xml:space="preserve">  As explained earlier these Euro regulations were implemented in 1992 with the </w:t>
      </w:r>
      <w:r w:rsidRPr="00BB63EF">
        <w:rPr>
          <w:rFonts w:ascii="Garamond" w:hAnsi="Garamond"/>
          <w:color w:val="000000"/>
        </w:rPr>
        <w:t xml:space="preserve">EU Stage </w:t>
      </w:r>
      <w:proofErr w:type="spellStart"/>
      <w:r w:rsidRPr="00BB63EF">
        <w:rPr>
          <w:rFonts w:ascii="Garamond" w:hAnsi="Garamond"/>
          <w:color w:val="000000"/>
        </w:rPr>
        <w:t>i</w:t>
      </w:r>
      <w:proofErr w:type="spellEnd"/>
      <w:r w:rsidRPr="00BB63EF">
        <w:rPr>
          <w:rFonts w:ascii="Garamond" w:hAnsi="Garamond"/>
          <w:color w:val="000000"/>
        </w:rPr>
        <w:t xml:space="preserve"> (Euro 1)</w:t>
      </w:r>
      <w:r>
        <w:rPr>
          <w:rFonts w:ascii="Garamond" w:hAnsi="Garamond"/>
          <w:color w:val="000000"/>
        </w:rPr>
        <w:t xml:space="preserve"> and have been consistently up dated becoming increasingly more stringent up to the current EU Stage v (Euro 5) introduced in 2009.</w:t>
      </w:r>
    </w:p>
    <w:p w:rsidR="00064264" w:rsidRPr="00543F36" w:rsidRDefault="00064264" w:rsidP="00064264">
      <w:pPr>
        <w:spacing w:line="360" w:lineRule="auto"/>
        <w:jc w:val="both"/>
        <w:rPr>
          <w:rFonts w:ascii="Garamond" w:hAnsi="Garamond"/>
          <w:color w:val="000000"/>
        </w:rPr>
      </w:pPr>
      <w:r w:rsidRPr="00543F36">
        <w:rPr>
          <w:rFonts w:ascii="Garamond" w:hAnsi="Garamond"/>
          <w:color w:val="000000"/>
        </w:rPr>
        <w:t xml:space="preserve">Figures 1 and 2 </w:t>
      </w:r>
      <w:r>
        <w:rPr>
          <w:rFonts w:ascii="Garamond" w:hAnsi="Garamond"/>
          <w:color w:val="000000"/>
        </w:rPr>
        <w:t>illustrate how</w:t>
      </w:r>
      <w:r w:rsidRPr="00543F36">
        <w:rPr>
          <w:rFonts w:ascii="Garamond" w:hAnsi="Garamond"/>
          <w:color w:val="000000"/>
        </w:rPr>
        <w:t xml:space="preserve"> legislation </w:t>
      </w:r>
      <w:r>
        <w:rPr>
          <w:rFonts w:ascii="Garamond" w:hAnsi="Garamond"/>
          <w:color w:val="000000"/>
        </w:rPr>
        <w:t>becomes</w:t>
      </w:r>
      <w:r w:rsidRPr="00543F36">
        <w:rPr>
          <w:rFonts w:ascii="Garamond" w:hAnsi="Garamond"/>
          <w:color w:val="000000"/>
        </w:rPr>
        <w:t xml:space="preserve"> more string</w:t>
      </w:r>
      <w:r>
        <w:rPr>
          <w:rFonts w:ascii="Garamond" w:hAnsi="Garamond"/>
          <w:color w:val="000000"/>
        </w:rPr>
        <w:t>ent with the rapid decrease in</w:t>
      </w:r>
      <w:r w:rsidRPr="00543F36">
        <w:rPr>
          <w:rFonts w:ascii="Garamond" w:hAnsi="Garamond"/>
          <w:color w:val="000000"/>
        </w:rPr>
        <w:t xml:space="preserve"> permissible </w:t>
      </w:r>
      <w:r>
        <w:rPr>
          <w:rFonts w:ascii="Garamond" w:hAnsi="Garamond"/>
          <w:color w:val="000000"/>
        </w:rPr>
        <w:t xml:space="preserve">levels of </w:t>
      </w:r>
      <w:r w:rsidRPr="00543F36">
        <w:rPr>
          <w:rFonts w:ascii="Garamond" w:hAnsi="Garamond"/>
          <w:color w:val="000000"/>
        </w:rPr>
        <w:t>emissions, particularly in the first 10 years. Following this</w:t>
      </w:r>
      <w:r>
        <w:rPr>
          <w:rFonts w:ascii="Garamond" w:hAnsi="Garamond"/>
          <w:color w:val="000000"/>
        </w:rPr>
        <w:t>,</w:t>
      </w:r>
      <w:r w:rsidRPr="00543F36">
        <w:rPr>
          <w:rFonts w:ascii="Garamond" w:hAnsi="Garamond"/>
          <w:color w:val="000000"/>
        </w:rPr>
        <w:t xml:space="preserve"> the decrease in permissible </w:t>
      </w:r>
      <w:r>
        <w:rPr>
          <w:rFonts w:ascii="Garamond" w:hAnsi="Garamond"/>
          <w:color w:val="000000"/>
        </w:rPr>
        <w:t xml:space="preserve">levels of </w:t>
      </w:r>
      <w:r w:rsidRPr="00543F36">
        <w:rPr>
          <w:rFonts w:ascii="Garamond" w:hAnsi="Garamond"/>
          <w:color w:val="000000"/>
        </w:rPr>
        <w:t>emis</w:t>
      </w:r>
      <w:r>
        <w:rPr>
          <w:rFonts w:ascii="Garamond" w:hAnsi="Garamond"/>
          <w:color w:val="000000"/>
        </w:rPr>
        <w:t>sions continues at a lower rate</w:t>
      </w:r>
      <w:r w:rsidRPr="00543F36">
        <w:rPr>
          <w:rFonts w:ascii="Garamond" w:hAnsi="Garamond"/>
          <w:color w:val="000000"/>
        </w:rPr>
        <w:t xml:space="preserve">.  </w:t>
      </w:r>
    </w:p>
    <w:p w:rsidR="00064264" w:rsidRPr="00543F36" w:rsidRDefault="00064264" w:rsidP="00064264">
      <w:pPr>
        <w:rPr>
          <w:rFonts w:ascii="Garamond" w:hAnsi="Garamond"/>
          <w:color w:val="000000"/>
        </w:rPr>
      </w:pPr>
    </w:p>
    <w:p w:rsidR="006D592C" w:rsidRDefault="006D592C"/>
    <w:sectPr w:rsidR="006D592C" w:rsidSect="006D592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472499"/>
    <w:multiLevelType w:val="hybridMultilevel"/>
    <w:tmpl w:val="6D34F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defaultTabStop w:val="720"/>
  <w:characterSpacingControl w:val="doNotCompress"/>
  <w:compat/>
  <w:rsids>
    <w:rsidRoot w:val="00064264"/>
    <w:rsid w:val="000266FB"/>
    <w:rsid w:val="00064264"/>
    <w:rsid w:val="001439E6"/>
    <w:rsid w:val="006D592C"/>
    <w:rsid w:val="00CC635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ind w:left="334" w:hanging="35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0"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4264"/>
    <w:pPr>
      <w:ind w:left="0" w:firstLine="0"/>
      <w:jc w:val="left"/>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64264"/>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064264"/>
    <w:pPr>
      <w:jc w:val="center"/>
    </w:pPr>
    <w:rPr>
      <w:rFonts w:ascii="Garamond" w:hAnsi="Garamond"/>
      <w:b/>
      <w:bCs/>
      <w:sz w:val="28"/>
      <w:u w:val="single"/>
    </w:rPr>
  </w:style>
  <w:style w:type="character" w:customStyle="1" w:styleId="BodyTextChar">
    <w:name w:val="Body Text Char"/>
    <w:basedOn w:val="DefaultParagraphFont"/>
    <w:link w:val="BodyText"/>
    <w:rsid w:val="00064264"/>
    <w:rPr>
      <w:rFonts w:ascii="Garamond" w:eastAsia="Times New Roman" w:hAnsi="Garamond" w:cs="Times New Roman"/>
      <w:b/>
      <w:bCs/>
      <w:sz w:val="28"/>
      <w:szCs w:val="24"/>
      <w:u w:val="single"/>
    </w:rPr>
  </w:style>
  <w:style w:type="paragraph" w:styleId="BodyText2">
    <w:name w:val="Body Text 2"/>
    <w:basedOn w:val="Normal"/>
    <w:link w:val="BodyText2Char"/>
    <w:rsid w:val="00064264"/>
    <w:pPr>
      <w:jc w:val="both"/>
    </w:pPr>
  </w:style>
  <w:style w:type="character" w:customStyle="1" w:styleId="BodyText2Char">
    <w:name w:val="Body Text 2 Char"/>
    <w:basedOn w:val="DefaultParagraphFont"/>
    <w:link w:val="BodyText2"/>
    <w:rsid w:val="00064264"/>
    <w:rPr>
      <w:rFonts w:ascii="Times New Roman" w:eastAsia="Times New Roman" w:hAnsi="Times New Roman" w:cs="Times New Roman"/>
      <w:sz w:val="24"/>
      <w:szCs w:val="24"/>
    </w:rPr>
  </w:style>
  <w:style w:type="character" w:styleId="Hyperlink">
    <w:name w:val="Hyperlink"/>
    <w:basedOn w:val="DefaultParagraphFont"/>
    <w:uiPriority w:val="99"/>
    <w:rsid w:val="00064264"/>
    <w:rPr>
      <w:color w:val="0000FF"/>
      <w:u w:val="single"/>
    </w:rPr>
  </w:style>
  <w:style w:type="paragraph" w:styleId="Footer">
    <w:name w:val="footer"/>
    <w:basedOn w:val="Normal"/>
    <w:link w:val="FooterChar"/>
    <w:rsid w:val="00064264"/>
    <w:pPr>
      <w:tabs>
        <w:tab w:val="center" w:pos="4320"/>
        <w:tab w:val="right" w:pos="8640"/>
      </w:tabs>
    </w:pPr>
    <w:rPr>
      <w:rFonts w:ascii="Garamond" w:hAnsi="Garamond"/>
      <w:sz w:val="28"/>
    </w:rPr>
  </w:style>
  <w:style w:type="character" w:customStyle="1" w:styleId="FooterChar">
    <w:name w:val="Footer Char"/>
    <w:basedOn w:val="DefaultParagraphFont"/>
    <w:link w:val="Footer"/>
    <w:rsid w:val="00064264"/>
    <w:rPr>
      <w:rFonts w:ascii="Garamond" w:eastAsia="Times New Roman" w:hAnsi="Garamond" w:cs="Times New Roman"/>
      <w:sz w:val="28"/>
      <w:szCs w:val="24"/>
    </w:rPr>
  </w:style>
  <w:style w:type="paragraph" w:styleId="TOC1">
    <w:name w:val="toc 1"/>
    <w:basedOn w:val="Normal"/>
    <w:next w:val="Normal"/>
    <w:autoRedefine/>
    <w:uiPriority w:val="39"/>
    <w:rsid w:val="00064264"/>
    <w:pPr>
      <w:tabs>
        <w:tab w:val="left" w:pos="2418"/>
      </w:tabs>
    </w:pPr>
    <w:rPr>
      <w:rFonts w:ascii="Garamond" w:hAnsi="Garamond"/>
      <w:b/>
      <w:bCs/>
      <w:noProof/>
    </w:rPr>
  </w:style>
  <w:style w:type="paragraph" w:customStyle="1" w:styleId="Title2">
    <w:name w:val="Title2"/>
    <w:basedOn w:val="Heading1"/>
    <w:autoRedefine/>
    <w:rsid w:val="00064264"/>
    <w:pPr>
      <w:keepLines w:val="0"/>
      <w:spacing w:before="0" w:line="360" w:lineRule="auto"/>
      <w:jc w:val="both"/>
      <w:outlineLvl w:val="1"/>
    </w:pPr>
    <w:rPr>
      <w:rFonts w:ascii="Garamond" w:eastAsia="Times New Roman" w:hAnsi="Garamond" w:cs="Times New Roman"/>
      <w:color w:val="auto"/>
    </w:rPr>
  </w:style>
  <w:style w:type="paragraph" w:styleId="Caption">
    <w:name w:val="caption"/>
    <w:basedOn w:val="Normal"/>
    <w:next w:val="Normal"/>
    <w:qFormat/>
    <w:rsid w:val="00064264"/>
    <w:rPr>
      <w:b/>
      <w:bCs/>
      <w:sz w:val="20"/>
      <w:szCs w:val="20"/>
    </w:rPr>
  </w:style>
  <w:style w:type="paragraph" w:styleId="ListParagraph">
    <w:name w:val="List Paragraph"/>
    <w:basedOn w:val="Normal"/>
    <w:uiPriority w:val="34"/>
    <w:qFormat/>
    <w:rsid w:val="00064264"/>
    <w:pPr>
      <w:ind w:left="720"/>
      <w:contextualSpacing/>
    </w:pPr>
  </w:style>
  <w:style w:type="character" w:customStyle="1" w:styleId="Heading1Char">
    <w:name w:val="Heading 1 Char"/>
    <w:basedOn w:val="DefaultParagraphFont"/>
    <w:link w:val="Heading1"/>
    <w:uiPriority w:val="9"/>
    <w:rsid w:val="00064264"/>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064264"/>
    <w:rPr>
      <w:rFonts w:ascii="Tahoma" w:hAnsi="Tahoma" w:cs="Tahoma"/>
      <w:sz w:val="16"/>
      <w:szCs w:val="16"/>
    </w:rPr>
  </w:style>
  <w:style w:type="character" w:customStyle="1" w:styleId="BalloonTextChar">
    <w:name w:val="Balloon Text Char"/>
    <w:basedOn w:val="DefaultParagraphFont"/>
    <w:link w:val="BalloonText"/>
    <w:uiPriority w:val="99"/>
    <w:semiHidden/>
    <w:rsid w:val="00064264"/>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uropa.eu/abc/european_countries/eu_members/austria/index_en.htm" TargetMode="External"/><Relationship Id="rId13" Type="http://schemas.openxmlformats.org/officeDocument/2006/relationships/hyperlink" Target="http://europa.eu/abc/european_countries/eu_members/denmark/index_en.htm" TargetMode="External"/><Relationship Id="rId18" Type="http://schemas.openxmlformats.org/officeDocument/2006/relationships/hyperlink" Target="http://europa.eu/abc/european_countries/eu_members/greece/index_en.htm" TargetMode="External"/><Relationship Id="rId26" Type="http://schemas.openxmlformats.org/officeDocument/2006/relationships/hyperlink" Target="http://europa.eu/abc/european_countries/eu_members/netherlands/index_en.htm" TargetMode="External"/><Relationship Id="rId3" Type="http://schemas.openxmlformats.org/officeDocument/2006/relationships/settings" Target="settings.xml"/><Relationship Id="rId21" Type="http://schemas.openxmlformats.org/officeDocument/2006/relationships/hyperlink" Target="http://europa.eu/abc/european_countries/eu_members/italy/index_en.htm" TargetMode="External"/><Relationship Id="rId34" Type="http://schemas.openxmlformats.org/officeDocument/2006/relationships/hyperlink" Target="http://europa.eu/abc/european_countries/eu_members/unitedkingdom/index_en.htm" TargetMode="External"/><Relationship Id="rId7" Type="http://schemas.openxmlformats.org/officeDocument/2006/relationships/chart" Target="charts/chart2.xml"/><Relationship Id="rId12" Type="http://schemas.openxmlformats.org/officeDocument/2006/relationships/hyperlink" Target="http://europa.eu/abc/european_countries/eu_members/czechrepublic/index_en.htm" TargetMode="External"/><Relationship Id="rId17" Type="http://schemas.openxmlformats.org/officeDocument/2006/relationships/hyperlink" Target="http://europa.eu/abc/european_countries/eu_members/germany/index_en.htm" TargetMode="External"/><Relationship Id="rId25" Type="http://schemas.openxmlformats.org/officeDocument/2006/relationships/hyperlink" Target="http://europa.eu/abc/european_countries/eu_members/malta/index_en.htm" TargetMode="External"/><Relationship Id="rId33" Type="http://schemas.openxmlformats.org/officeDocument/2006/relationships/hyperlink" Target="http://europa.eu/abc/european_countries/eu_members/sweden/index_en.htm"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europa.eu/abc/european_countries/eu_members/france/index_en.htm" TargetMode="External"/><Relationship Id="rId20" Type="http://schemas.openxmlformats.org/officeDocument/2006/relationships/hyperlink" Target="http://europa.eu/abc/european_countries/eu_members/ireland/index_en.htm" TargetMode="External"/><Relationship Id="rId29" Type="http://schemas.openxmlformats.org/officeDocument/2006/relationships/hyperlink" Target="http://europa.eu/abc/european_countries/eu_members/romania/index_en.htm" TargetMode="External"/><Relationship Id="rId1" Type="http://schemas.openxmlformats.org/officeDocument/2006/relationships/numbering" Target="numbering.xml"/><Relationship Id="rId6" Type="http://schemas.openxmlformats.org/officeDocument/2006/relationships/hyperlink" Target="http://www.europa.eu.int" TargetMode="External"/><Relationship Id="rId11" Type="http://schemas.openxmlformats.org/officeDocument/2006/relationships/hyperlink" Target="http://europa.eu/abc/european_countries/eu_members/cyprus/index_en.htm" TargetMode="External"/><Relationship Id="rId24" Type="http://schemas.openxmlformats.org/officeDocument/2006/relationships/hyperlink" Target="http://europa.eu/abc/european_countries/eu_members/luxembourg/index_en.htm" TargetMode="External"/><Relationship Id="rId32" Type="http://schemas.openxmlformats.org/officeDocument/2006/relationships/hyperlink" Target="http://europa.eu/abc/european_countries/eu_members/spain/index_en.htm" TargetMode="External"/><Relationship Id="rId37" Type="http://schemas.openxmlformats.org/officeDocument/2006/relationships/fontTable" Target="fontTable.xml"/><Relationship Id="rId5" Type="http://schemas.openxmlformats.org/officeDocument/2006/relationships/chart" Target="charts/chart1.xml"/><Relationship Id="rId15" Type="http://schemas.openxmlformats.org/officeDocument/2006/relationships/hyperlink" Target="http://europa.eu/abc/european_countries/eu_members/finland/index_en.htm" TargetMode="External"/><Relationship Id="rId23" Type="http://schemas.openxmlformats.org/officeDocument/2006/relationships/hyperlink" Target="http://europa.eu/abc/european_countries/eu_members/lithuania/index_en.htm" TargetMode="External"/><Relationship Id="rId28" Type="http://schemas.openxmlformats.org/officeDocument/2006/relationships/hyperlink" Target="http://europa.eu/abc/european_countries/eu_members/portugal/index_en.htm" TargetMode="External"/><Relationship Id="rId36" Type="http://schemas.openxmlformats.org/officeDocument/2006/relationships/image" Target="media/image2.emf"/><Relationship Id="rId10" Type="http://schemas.openxmlformats.org/officeDocument/2006/relationships/hyperlink" Target="http://europa.eu/abc/european_countries/eu_members/bulgaria/index_en.htm" TargetMode="External"/><Relationship Id="rId19" Type="http://schemas.openxmlformats.org/officeDocument/2006/relationships/hyperlink" Target="http://europa.eu/abc/european_countries/eu_members/hungary/index_en.htm" TargetMode="External"/><Relationship Id="rId31" Type="http://schemas.openxmlformats.org/officeDocument/2006/relationships/hyperlink" Target="http://europa.eu/abc/european_countries/eu_members/slovenia/index_en.htm" TargetMode="External"/><Relationship Id="rId4" Type="http://schemas.openxmlformats.org/officeDocument/2006/relationships/webSettings" Target="webSettings.xml"/><Relationship Id="rId9" Type="http://schemas.openxmlformats.org/officeDocument/2006/relationships/hyperlink" Target="http://europa.eu/abc/european_countries/eu_members/belgium/index_en.htm" TargetMode="External"/><Relationship Id="rId14" Type="http://schemas.openxmlformats.org/officeDocument/2006/relationships/hyperlink" Target="http://europa.eu/abc/european_countries/eu_members/estonia/index_en.htm" TargetMode="External"/><Relationship Id="rId22" Type="http://schemas.openxmlformats.org/officeDocument/2006/relationships/hyperlink" Target="http://europa.eu/abc/european_countries/eu_members/latvia/index_en.htm" TargetMode="External"/><Relationship Id="rId27" Type="http://schemas.openxmlformats.org/officeDocument/2006/relationships/hyperlink" Target="http://europa.eu/abc/european_countries/eu_members/poland/index_en.htm" TargetMode="External"/><Relationship Id="rId30" Type="http://schemas.openxmlformats.org/officeDocument/2006/relationships/hyperlink" Target="http://europa.eu/abc/european_countries/eu_members/slovakia/index_en.htm" TargetMode="External"/><Relationship Id="rId35" Type="http://schemas.openxmlformats.org/officeDocument/2006/relationships/image" Target="media/image1.emf"/></Relationships>
</file>

<file path=word/charts/_rels/chart1.xml.rels><?xml version="1.0" encoding="UTF-8" standalone="yes"?>
<Relationships xmlns="http://schemas.openxmlformats.org/package/2006/relationships"><Relationship Id="rId1" Type="http://schemas.openxmlformats.org/officeDocument/2006/relationships/oleObject" Target="file:///C:\Documents%20and%20Settings\fad-as\My%20Documents\MPhil\Emissions%20regulation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Documents%20and%20Settings\fad-as\My%20Documents\MPhil\Emissions%20regulation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lineChart>
        <c:grouping val="standard"/>
        <c:ser>
          <c:idx val="0"/>
          <c:order val="0"/>
          <c:tx>
            <c:strRef>
              <c:f>Sheet!$B$1</c:f>
              <c:strCache>
                <c:ptCount val="1"/>
                <c:pt idx="0">
                  <c:v>CO</c:v>
                </c:pt>
              </c:strCache>
            </c:strRef>
          </c:tx>
          <c:marker>
            <c:symbol val="none"/>
          </c:marker>
          <c:cat>
            <c:numRef>
              <c:f>Sheet!$A$2:$A$8</c:f>
              <c:numCache>
                <c:formatCode>General</c:formatCode>
                <c:ptCount val="7"/>
                <c:pt idx="0">
                  <c:v>1992</c:v>
                </c:pt>
                <c:pt idx="1">
                  <c:v>1996</c:v>
                </c:pt>
                <c:pt idx="2">
                  <c:v>2000</c:v>
                </c:pt>
                <c:pt idx="3">
                  <c:v>2005</c:v>
                </c:pt>
                <c:pt idx="4">
                  <c:v>2009</c:v>
                </c:pt>
                <c:pt idx="5">
                  <c:v>2014</c:v>
                </c:pt>
              </c:numCache>
            </c:numRef>
          </c:cat>
          <c:val>
            <c:numRef>
              <c:f>Sheet!$B$2:$B$8</c:f>
              <c:numCache>
                <c:formatCode>General</c:formatCode>
                <c:ptCount val="7"/>
                <c:pt idx="0">
                  <c:v>2.72</c:v>
                </c:pt>
                <c:pt idx="1">
                  <c:v>2.2000000000000002</c:v>
                </c:pt>
                <c:pt idx="2">
                  <c:v>2.2999999999999998</c:v>
                </c:pt>
                <c:pt idx="3">
                  <c:v>1</c:v>
                </c:pt>
                <c:pt idx="4">
                  <c:v>1</c:v>
                </c:pt>
                <c:pt idx="5">
                  <c:v>1</c:v>
                </c:pt>
              </c:numCache>
            </c:numRef>
          </c:val>
        </c:ser>
        <c:ser>
          <c:idx val="1"/>
          <c:order val="1"/>
          <c:tx>
            <c:strRef>
              <c:f>Sheet!$C$1</c:f>
              <c:strCache>
                <c:ptCount val="1"/>
                <c:pt idx="0">
                  <c:v>HC&amp;Nox</c:v>
                </c:pt>
              </c:strCache>
            </c:strRef>
          </c:tx>
          <c:marker>
            <c:symbol val="none"/>
          </c:marker>
          <c:cat>
            <c:numRef>
              <c:f>Sheet!$A$2:$A$8</c:f>
              <c:numCache>
                <c:formatCode>General</c:formatCode>
                <c:ptCount val="7"/>
                <c:pt idx="0">
                  <c:v>1992</c:v>
                </c:pt>
                <c:pt idx="1">
                  <c:v>1996</c:v>
                </c:pt>
                <c:pt idx="2">
                  <c:v>2000</c:v>
                </c:pt>
                <c:pt idx="3">
                  <c:v>2005</c:v>
                </c:pt>
                <c:pt idx="4">
                  <c:v>2009</c:v>
                </c:pt>
                <c:pt idx="5">
                  <c:v>2014</c:v>
                </c:pt>
              </c:numCache>
            </c:numRef>
          </c:cat>
          <c:val>
            <c:numRef>
              <c:f>Sheet!$C$2:$C$8</c:f>
              <c:numCache>
                <c:formatCode>General</c:formatCode>
                <c:ptCount val="7"/>
                <c:pt idx="0">
                  <c:v>0.97000000000000064</c:v>
                </c:pt>
                <c:pt idx="1">
                  <c:v>0.5</c:v>
                </c:pt>
                <c:pt idx="2">
                  <c:v>0.35000000000000031</c:v>
                </c:pt>
                <c:pt idx="3">
                  <c:v>0.18000000000000024</c:v>
                </c:pt>
                <c:pt idx="4">
                  <c:v>0.16000000000000081</c:v>
                </c:pt>
                <c:pt idx="5">
                  <c:v>0.16000000000000081</c:v>
                </c:pt>
              </c:numCache>
            </c:numRef>
          </c:val>
        </c:ser>
        <c:marker val="1"/>
        <c:axId val="61534976"/>
        <c:axId val="61536896"/>
      </c:lineChart>
      <c:catAx>
        <c:axId val="61534976"/>
        <c:scaling>
          <c:orientation val="minMax"/>
        </c:scaling>
        <c:axPos val="b"/>
        <c:title>
          <c:tx>
            <c:rich>
              <a:bodyPr/>
              <a:lstStyle/>
              <a:p>
                <a:pPr>
                  <a:defRPr/>
                </a:pPr>
                <a:r>
                  <a:rPr lang="en-GB" b="0">
                    <a:latin typeface="Garamond" pitchFamily="18" charset="0"/>
                  </a:rPr>
                  <a:t>Year</a:t>
                </a:r>
              </a:p>
            </c:rich>
          </c:tx>
        </c:title>
        <c:numFmt formatCode="General" sourceLinked="1"/>
        <c:majorTickMark val="none"/>
        <c:tickLblPos val="nextTo"/>
        <c:crossAx val="61536896"/>
        <c:crosses val="autoZero"/>
        <c:auto val="1"/>
        <c:lblAlgn val="ctr"/>
        <c:lblOffset val="100"/>
      </c:catAx>
      <c:valAx>
        <c:axId val="61536896"/>
        <c:scaling>
          <c:orientation val="minMax"/>
        </c:scaling>
        <c:axPos val="l"/>
        <c:majorGridlines/>
        <c:title>
          <c:tx>
            <c:rich>
              <a:bodyPr/>
              <a:lstStyle/>
              <a:p>
                <a:pPr>
                  <a:defRPr/>
                </a:pPr>
                <a:r>
                  <a:rPr lang="en-GB" b="0">
                    <a:latin typeface="Garamond" pitchFamily="18" charset="0"/>
                  </a:rPr>
                  <a:t>Emissions (g/km)</a:t>
                </a:r>
              </a:p>
            </c:rich>
          </c:tx>
        </c:title>
        <c:numFmt formatCode="General" sourceLinked="1"/>
        <c:tickLblPos val="nextTo"/>
        <c:crossAx val="61534976"/>
        <c:crosses val="autoZero"/>
        <c:crossBetween val="between"/>
      </c:valAx>
    </c:plotArea>
    <c:legend>
      <c:legendPos val="r"/>
    </c:legend>
    <c:plotVisOnly val="1"/>
  </c:chart>
  <c:spPr>
    <a:ln>
      <a:noFill/>
    </a:ln>
  </c:sp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lineChart>
        <c:grouping val="standard"/>
        <c:ser>
          <c:idx val="0"/>
          <c:order val="0"/>
          <c:tx>
            <c:strRef>
              <c:f>Sheet!$B$9</c:f>
              <c:strCache>
                <c:ptCount val="1"/>
                <c:pt idx="0">
                  <c:v>CO</c:v>
                </c:pt>
              </c:strCache>
            </c:strRef>
          </c:tx>
          <c:marker>
            <c:symbol val="none"/>
          </c:marker>
          <c:cat>
            <c:numRef>
              <c:f>Sheet!$A$10:$A$16</c:f>
              <c:numCache>
                <c:formatCode>General</c:formatCode>
                <c:ptCount val="7"/>
                <c:pt idx="0">
                  <c:v>1992</c:v>
                </c:pt>
                <c:pt idx="1">
                  <c:v>1996</c:v>
                </c:pt>
                <c:pt idx="2">
                  <c:v>2000</c:v>
                </c:pt>
                <c:pt idx="3">
                  <c:v>2005</c:v>
                </c:pt>
                <c:pt idx="4">
                  <c:v>2009</c:v>
                </c:pt>
                <c:pt idx="5">
                  <c:v>2014</c:v>
                </c:pt>
              </c:numCache>
            </c:numRef>
          </c:cat>
          <c:val>
            <c:numRef>
              <c:f>Sheet!$B$10:$B$16</c:f>
              <c:numCache>
                <c:formatCode>General</c:formatCode>
                <c:ptCount val="7"/>
                <c:pt idx="0">
                  <c:v>2.72</c:v>
                </c:pt>
                <c:pt idx="1">
                  <c:v>1</c:v>
                </c:pt>
                <c:pt idx="2">
                  <c:v>0.64000000000000734</c:v>
                </c:pt>
                <c:pt idx="3">
                  <c:v>0.5</c:v>
                </c:pt>
                <c:pt idx="4">
                  <c:v>0.5</c:v>
                </c:pt>
                <c:pt idx="5">
                  <c:v>0.5</c:v>
                </c:pt>
              </c:numCache>
            </c:numRef>
          </c:val>
        </c:ser>
        <c:ser>
          <c:idx val="1"/>
          <c:order val="1"/>
          <c:tx>
            <c:strRef>
              <c:f>Sheet!$C$9</c:f>
              <c:strCache>
                <c:ptCount val="1"/>
                <c:pt idx="0">
                  <c:v>HC&amp;Nox</c:v>
                </c:pt>
              </c:strCache>
            </c:strRef>
          </c:tx>
          <c:marker>
            <c:symbol val="none"/>
          </c:marker>
          <c:cat>
            <c:numRef>
              <c:f>Sheet!$A$10:$A$16</c:f>
              <c:numCache>
                <c:formatCode>General</c:formatCode>
                <c:ptCount val="7"/>
                <c:pt idx="0">
                  <c:v>1992</c:v>
                </c:pt>
                <c:pt idx="1">
                  <c:v>1996</c:v>
                </c:pt>
                <c:pt idx="2">
                  <c:v>2000</c:v>
                </c:pt>
                <c:pt idx="3">
                  <c:v>2005</c:v>
                </c:pt>
                <c:pt idx="4">
                  <c:v>2009</c:v>
                </c:pt>
                <c:pt idx="5">
                  <c:v>2014</c:v>
                </c:pt>
              </c:numCache>
            </c:numRef>
          </c:cat>
          <c:val>
            <c:numRef>
              <c:f>Sheet!$C$10:$C$16</c:f>
              <c:numCache>
                <c:formatCode>General</c:formatCode>
                <c:ptCount val="7"/>
                <c:pt idx="0">
                  <c:v>0.97000000000000064</c:v>
                </c:pt>
                <c:pt idx="1">
                  <c:v>0.70000000000000062</c:v>
                </c:pt>
                <c:pt idx="2">
                  <c:v>0.56000000000000005</c:v>
                </c:pt>
                <c:pt idx="3">
                  <c:v>0.30000000000000032</c:v>
                </c:pt>
                <c:pt idx="4">
                  <c:v>0.23</c:v>
                </c:pt>
                <c:pt idx="5">
                  <c:v>0.17</c:v>
                </c:pt>
              </c:numCache>
            </c:numRef>
          </c:val>
        </c:ser>
        <c:marker val="1"/>
        <c:axId val="62444288"/>
        <c:axId val="62623744"/>
      </c:lineChart>
      <c:catAx>
        <c:axId val="62444288"/>
        <c:scaling>
          <c:orientation val="minMax"/>
        </c:scaling>
        <c:axPos val="b"/>
        <c:title>
          <c:tx>
            <c:rich>
              <a:bodyPr/>
              <a:lstStyle/>
              <a:p>
                <a:pPr>
                  <a:defRPr/>
                </a:pPr>
                <a:r>
                  <a:rPr lang="en-GB" b="0">
                    <a:latin typeface="Garamond" pitchFamily="18" charset="0"/>
                  </a:rPr>
                  <a:t>Year</a:t>
                </a:r>
              </a:p>
            </c:rich>
          </c:tx>
        </c:title>
        <c:numFmt formatCode="General" sourceLinked="1"/>
        <c:majorTickMark val="none"/>
        <c:tickLblPos val="nextTo"/>
        <c:crossAx val="62623744"/>
        <c:crosses val="autoZero"/>
        <c:auto val="1"/>
        <c:lblAlgn val="ctr"/>
        <c:lblOffset val="100"/>
      </c:catAx>
      <c:valAx>
        <c:axId val="62623744"/>
        <c:scaling>
          <c:orientation val="minMax"/>
        </c:scaling>
        <c:axPos val="l"/>
        <c:majorGridlines/>
        <c:title>
          <c:tx>
            <c:rich>
              <a:bodyPr/>
              <a:lstStyle/>
              <a:p>
                <a:pPr>
                  <a:defRPr/>
                </a:pPr>
                <a:r>
                  <a:rPr lang="en-GB" b="0">
                    <a:latin typeface="Garamond" pitchFamily="18" charset="0"/>
                  </a:rPr>
                  <a:t>Emissions (g/km)</a:t>
                </a:r>
              </a:p>
            </c:rich>
          </c:tx>
        </c:title>
        <c:numFmt formatCode="General" sourceLinked="1"/>
        <c:tickLblPos val="nextTo"/>
        <c:crossAx val="62444288"/>
        <c:crosses val="autoZero"/>
        <c:crossBetween val="between"/>
      </c:valAx>
    </c:plotArea>
    <c:legend>
      <c:legendPos val="r"/>
    </c:legend>
    <c:plotVisOnly val="1"/>
  </c:chart>
  <c:spPr>
    <a:ln>
      <a:noFill/>
    </a:ln>
  </c:sp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1304</Words>
  <Characters>7437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8724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Faculty of Applied Design and Engineering</dc:creator>
  <cp:keywords/>
  <dc:description/>
  <cp:lastModifiedBy>Faculty of Applied Design and Engineering</cp:lastModifiedBy>
  <cp:revision>3</cp:revision>
  <cp:lastPrinted>2011-10-13T10:42:00Z</cp:lastPrinted>
  <dcterms:created xsi:type="dcterms:W3CDTF">2011-10-13T10:30:00Z</dcterms:created>
  <dcterms:modified xsi:type="dcterms:W3CDTF">2011-10-13T10:42:00Z</dcterms:modified>
</cp:coreProperties>
</file>