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2B22" w14:textId="77777777" w:rsidR="003E1C3E" w:rsidRDefault="003E1C3E" w:rsidP="003E1C3E">
      <w:pPr>
        <w:spacing w:after="0" w:line="480" w:lineRule="auto"/>
        <w:jc w:val="center"/>
        <w:rPr>
          <w:rFonts w:ascii="Arial" w:hAnsi="Arial" w:cs="Arial"/>
          <w:b/>
          <w:bCs/>
          <w:color w:val="000000"/>
          <w:kern w:val="0"/>
          <w14:ligatures w14:val="none"/>
        </w:rPr>
      </w:pPr>
    </w:p>
    <w:p w14:paraId="45AF097B" w14:textId="77777777" w:rsidR="003E1C3E" w:rsidRDefault="003E1C3E" w:rsidP="003E1C3E">
      <w:pPr>
        <w:spacing w:after="0" w:line="480" w:lineRule="auto"/>
        <w:jc w:val="center"/>
        <w:rPr>
          <w:rFonts w:ascii="Arial" w:hAnsi="Arial" w:cs="Arial"/>
          <w:b/>
          <w:bCs/>
          <w:color w:val="000000"/>
          <w:kern w:val="0"/>
          <w14:ligatures w14:val="none"/>
        </w:rPr>
      </w:pPr>
    </w:p>
    <w:p w14:paraId="37C8F2E7" w14:textId="4972C57D" w:rsidR="003E1C3E" w:rsidRPr="00AB58D5" w:rsidRDefault="003E1C3E" w:rsidP="003E1C3E">
      <w:pPr>
        <w:spacing w:after="0" w:line="480" w:lineRule="auto"/>
        <w:jc w:val="center"/>
        <w:rPr>
          <w:rFonts w:ascii="Arial" w:hAnsi="Arial" w:cs="Arial"/>
          <w:color w:val="000000"/>
          <w:kern w:val="0"/>
          <w14:ligatures w14:val="none"/>
        </w:rPr>
      </w:pPr>
      <w:r w:rsidRPr="00AB58D5">
        <w:rPr>
          <w:rFonts w:ascii="Arial" w:hAnsi="Arial" w:cs="Arial"/>
          <w:b/>
          <w:bCs/>
          <w:color w:val="000000"/>
          <w:kern w:val="0"/>
          <w14:ligatures w14:val="none"/>
        </w:rPr>
        <w:t>BMHP5019</w:t>
      </w:r>
      <w:r w:rsidR="00353DB8">
        <w:rPr>
          <w:rFonts w:ascii="Arial" w:hAnsi="Arial" w:cs="Arial"/>
          <w:b/>
          <w:bCs/>
          <w:color w:val="000000"/>
          <w:kern w:val="0"/>
          <w14:ligatures w14:val="none"/>
        </w:rPr>
        <w:t xml:space="preserve"> - </w:t>
      </w:r>
      <w:r w:rsidRPr="00AB58D5">
        <w:rPr>
          <w:rFonts w:ascii="Arial" w:hAnsi="Arial" w:cs="Arial"/>
          <w:b/>
          <w:bCs/>
          <w:color w:val="000000"/>
          <w:kern w:val="0"/>
          <w14:ligatures w14:val="none"/>
        </w:rPr>
        <w:t>Introduction to Independent Research Skills</w:t>
      </w:r>
    </w:p>
    <w:p w14:paraId="331B655B" w14:textId="4C090C75" w:rsidR="003E1C3E" w:rsidRPr="00AB58D5" w:rsidRDefault="003E1C3E" w:rsidP="003E1C3E">
      <w:pPr>
        <w:spacing w:after="0" w:line="480" w:lineRule="auto"/>
        <w:jc w:val="center"/>
        <w:rPr>
          <w:rFonts w:ascii="Arial" w:hAnsi="Arial" w:cs="Arial"/>
          <w:color w:val="000000"/>
          <w:kern w:val="0"/>
          <w14:ligatures w14:val="none"/>
        </w:rPr>
      </w:pPr>
      <w:r w:rsidRPr="00AB58D5">
        <w:rPr>
          <w:rFonts w:ascii="Arial" w:hAnsi="Arial" w:cs="Arial"/>
          <w:b/>
          <w:bCs/>
          <w:color w:val="000000"/>
          <w:kern w:val="0"/>
          <w14:ligatures w14:val="none"/>
        </w:rPr>
        <w:t xml:space="preserve">Component </w:t>
      </w:r>
      <w:r>
        <w:rPr>
          <w:rFonts w:ascii="Arial" w:hAnsi="Arial" w:cs="Arial"/>
          <w:b/>
          <w:bCs/>
          <w:color w:val="000000"/>
          <w:kern w:val="0"/>
          <w14:ligatures w14:val="none"/>
        </w:rPr>
        <w:t>2</w:t>
      </w:r>
    </w:p>
    <w:p w14:paraId="1088791F" w14:textId="7C3F59D9" w:rsidR="003E1C3E" w:rsidRDefault="003E1C3E" w:rsidP="00261E74">
      <w:pPr>
        <w:spacing w:after="0" w:line="480" w:lineRule="auto"/>
        <w:jc w:val="center"/>
        <w:rPr>
          <w:rFonts w:ascii="Arial" w:hAnsi="Arial" w:cs="Arial"/>
          <w:b/>
          <w:bCs/>
          <w:color w:val="000000"/>
          <w:kern w:val="0"/>
          <w14:ligatures w14:val="none"/>
        </w:rPr>
      </w:pPr>
      <w:r w:rsidRPr="003C0C73">
        <w:rPr>
          <w:rFonts w:ascii="Arial" w:hAnsi="Arial" w:cs="Arial"/>
          <w:b/>
          <w:bCs/>
          <w:sz w:val="22"/>
          <w:szCs w:val="22"/>
        </w:rPr>
        <w:t xml:space="preserve">Written Assignment (Research </w:t>
      </w:r>
      <w:r>
        <w:rPr>
          <w:rFonts w:ascii="Arial" w:hAnsi="Arial" w:cs="Arial"/>
          <w:b/>
          <w:bCs/>
          <w:sz w:val="22"/>
          <w:szCs w:val="22"/>
        </w:rPr>
        <w:t>Report</w:t>
      </w:r>
      <w:r w:rsidRPr="003C0C73">
        <w:rPr>
          <w:rFonts w:ascii="Arial" w:hAnsi="Arial" w:cs="Arial"/>
          <w:b/>
          <w:bCs/>
          <w:sz w:val="22"/>
          <w:szCs w:val="22"/>
        </w:rPr>
        <w:t>)</w:t>
      </w:r>
    </w:p>
    <w:p w14:paraId="5E9B529B" w14:textId="77777777" w:rsidR="003E1C3E" w:rsidRPr="00866199" w:rsidRDefault="003E1C3E" w:rsidP="003E1C3E">
      <w:pPr>
        <w:spacing w:after="0" w:line="480" w:lineRule="auto"/>
        <w:jc w:val="center"/>
        <w:rPr>
          <w:rFonts w:ascii="Arial" w:hAnsi="Arial" w:cs="Arial"/>
          <w:b/>
          <w:bCs/>
          <w:color w:val="000000"/>
          <w:kern w:val="0"/>
          <w14:ligatures w14:val="none"/>
        </w:rPr>
      </w:pPr>
    </w:p>
    <w:p w14:paraId="07BCF4EE" w14:textId="77777777" w:rsidR="003E1C3E" w:rsidRPr="00866199" w:rsidRDefault="003E1C3E" w:rsidP="003E1C3E">
      <w:pPr>
        <w:spacing w:after="0" w:line="240" w:lineRule="auto"/>
        <w:rPr>
          <w:rFonts w:ascii="Arial" w:hAnsi="Arial" w:cs="Arial"/>
          <w:b/>
          <w:bCs/>
          <w:color w:val="000000"/>
          <w:kern w:val="0"/>
          <w14:ligatures w14:val="none"/>
        </w:rPr>
      </w:pPr>
    </w:p>
    <w:p w14:paraId="770D0229" w14:textId="77777777" w:rsidR="003E1C3E" w:rsidRPr="00AB58D5" w:rsidRDefault="003E1C3E" w:rsidP="003E1C3E">
      <w:pPr>
        <w:spacing w:after="0" w:line="480" w:lineRule="auto"/>
        <w:jc w:val="center"/>
        <w:rPr>
          <w:rFonts w:ascii="Arial" w:hAnsi="Arial" w:cs="Arial"/>
          <w:b/>
          <w:bCs/>
          <w:color w:val="000000"/>
          <w:kern w:val="0"/>
          <w14:ligatures w14:val="none"/>
        </w:rPr>
      </w:pPr>
      <w:r w:rsidRPr="00AB58D5">
        <w:rPr>
          <w:rFonts w:ascii="Arial" w:hAnsi="Arial" w:cs="Arial"/>
          <w:b/>
          <w:bCs/>
          <w:color w:val="000000"/>
          <w:kern w:val="0"/>
          <w14:ligatures w14:val="none"/>
        </w:rPr>
        <w:t>Student Name:</w:t>
      </w:r>
      <w:r>
        <w:rPr>
          <w:rFonts w:ascii="Arial" w:hAnsi="Arial" w:cs="Arial"/>
          <w:b/>
          <w:bCs/>
          <w:color w:val="000000"/>
          <w:kern w:val="0"/>
          <w14:ligatures w14:val="none"/>
        </w:rPr>
        <w:t xml:space="preserve"> Olufemi Idowu Afolabi Odubitan</w:t>
      </w:r>
    </w:p>
    <w:p w14:paraId="3F72191D" w14:textId="258C0AA1" w:rsidR="003E1C3E" w:rsidRPr="00261E74" w:rsidRDefault="003E1C3E" w:rsidP="00261E74">
      <w:pPr>
        <w:spacing w:after="0" w:line="480" w:lineRule="auto"/>
        <w:jc w:val="center"/>
        <w:rPr>
          <w:rFonts w:ascii="Arial" w:hAnsi="Arial" w:cs="Arial"/>
          <w:b/>
          <w:bCs/>
          <w:color w:val="000000"/>
          <w:kern w:val="0"/>
          <w14:ligatures w14:val="none"/>
        </w:rPr>
      </w:pPr>
      <w:r w:rsidRPr="00AB58D5">
        <w:rPr>
          <w:rFonts w:ascii="Arial" w:hAnsi="Arial" w:cs="Arial"/>
          <w:b/>
          <w:bCs/>
          <w:color w:val="000000"/>
          <w:kern w:val="0"/>
          <w14:ligatures w14:val="none"/>
        </w:rPr>
        <w:t>Student Number:</w:t>
      </w:r>
      <w:r w:rsidRPr="0008649C">
        <w:rPr>
          <w:rFonts w:ascii="Arial" w:hAnsi="Arial" w:cs="Arial"/>
          <w:b/>
          <w:bCs/>
          <w:color w:val="000000"/>
          <w:kern w:val="0"/>
          <w14:ligatures w14:val="none"/>
        </w:rPr>
        <w:t xml:space="preserve"> 2321211</w:t>
      </w:r>
    </w:p>
    <w:p w14:paraId="173A5085" w14:textId="77777777" w:rsidR="003E1C3E" w:rsidRPr="00866199" w:rsidRDefault="003E1C3E" w:rsidP="003E1C3E">
      <w:pPr>
        <w:spacing w:before="100" w:beforeAutospacing="1" w:after="100" w:afterAutospacing="1" w:line="240" w:lineRule="auto"/>
        <w:outlineLvl w:val="2"/>
        <w:rPr>
          <w:rFonts w:ascii="Arial" w:eastAsia="Times New Roman" w:hAnsi="Arial" w:cs="Arial"/>
          <w:b/>
          <w:bCs/>
          <w:kern w:val="0"/>
          <w14:ligatures w14:val="none"/>
        </w:rPr>
      </w:pPr>
    </w:p>
    <w:p w14:paraId="332FAFC5" w14:textId="77777777" w:rsidR="003E1C3E" w:rsidRPr="00866199" w:rsidRDefault="003E1C3E" w:rsidP="003E1C3E">
      <w:pPr>
        <w:spacing w:before="100" w:beforeAutospacing="1" w:after="100" w:afterAutospacing="1" w:line="240" w:lineRule="auto"/>
        <w:jc w:val="center"/>
        <w:outlineLvl w:val="2"/>
        <w:rPr>
          <w:rFonts w:ascii="Arial" w:eastAsia="Times New Roman" w:hAnsi="Arial" w:cs="Arial"/>
          <w:b/>
          <w:bCs/>
          <w:kern w:val="0"/>
          <w:u w:val="single"/>
          <w14:ligatures w14:val="none"/>
        </w:rPr>
      </w:pPr>
      <w:r w:rsidRPr="00866199">
        <w:rPr>
          <w:rFonts w:ascii="Arial" w:eastAsia="Times New Roman" w:hAnsi="Arial" w:cs="Arial"/>
          <w:b/>
          <w:bCs/>
          <w:kern w:val="0"/>
          <w:u w:val="single"/>
          <w14:ligatures w14:val="none"/>
        </w:rPr>
        <w:t>Title</w:t>
      </w:r>
    </w:p>
    <w:p w14:paraId="4776EDE9" w14:textId="77777777" w:rsidR="003E1C3E" w:rsidRPr="00866199" w:rsidRDefault="003E1C3E" w:rsidP="003E1C3E">
      <w:pPr>
        <w:pStyle w:val="p1"/>
        <w:spacing w:line="480" w:lineRule="auto"/>
        <w:jc w:val="both"/>
        <w:rPr>
          <w:rFonts w:ascii="Arial" w:hAnsi="Arial" w:cs="Arial"/>
        </w:rPr>
      </w:pPr>
      <w:r w:rsidRPr="00866199">
        <w:rPr>
          <w:rStyle w:val="s1"/>
          <w:rFonts w:ascii="Arial" w:hAnsi="Arial" w:cs="Arial"/>
        </w:rPr>
        <w:t>A Scoping Review of Data Privacy Issues in Digital Health Systems: Identifying Themes Using Aveyard’s Simplified Thematic Analysis</w:t>
      </w:r>
    </w:p>
    <w:p w14:paraId="355EB3A9" w14:textId="77777777" w:rsidR="003E1C3E" w:rsidRDefault="003E1C3E"/>
    <w:p w14:paraId="42E7AC57" w14:textId="77777777" w:rsidR="003E1C3E" w:rsidRDefault="003E1C3E"/>
    <w:p w14:paraId="323BBD06" w14:textId="77777777" w:rsidR="003E1C3E" w:rsidRDefault="003E1C3E"/>
    <w:p w14:paraId="08C8CD4F" w14:textId="42692484" w:rsidR="003E1C3E" w:rsidRPr="00BF2AFB" w:rsidRDefault="00353DB8" w:rsidP="00BF2AFB">
      <w:pPr>
        <w:jc w:val="center"/>
        <w:rPr>
          <w:rFonts w:ascii="Arial" w:hAnsi="Arial" w:cs="Arial"/>
          <w:b/>
          <w:bCs/>
          <w:sz w:val="22"/>
          <w:szCs w:val="22"/>
        </w:rPr>
      </w:pPr>
      <w:r w:rsidRPr="00BF2AFB">
        <w:rPr>
          <w:rFonts w:ascii="Arial" w:hAnsi="Arial" w:cs="Arial"/>
          <w:b/>
          <w:bCs/>
          <w:sz w:val="22"/>
          <w:szCs w:val="22"/>
        </w:rPr>
        <w:t>Table of Contents</w:t>
      </w:r>
    </w:p>
    <w:p w14:paraId="34CF02E6" w14:textId="77777777" w:rsidR="00BF2AFB" w:rsidRPr="00A55F2F" w:rsidRDefault="00BF2AFB" w:rsidP="00BF2AFB">
      <w:pPr>
        <w:spacing w:line="240" w:lineRule="auto"/>
        <w:rPr>
          <w:rFonts w:ascii="Arial" w:hAnsi="Arial" w:cs="Arial"/>
          <w:sz w:val="22"/>
          <w:szCs w:val="22"/>
        </w:rPr>
      </w:pPr>
      <w:r w:rsidRPr="00A55F2F">
        <w:rPr>
          <w:rFonts w:ascii="Arial" w:hAnsi="Arial" w:cs="Arial"/>
          <w:sz w:val="22"/>
          <w:szCs w:val="22"/>
        </w:rPr>
        <w:t>Title Page……………………………………………………………………………………</w:t>
      </w:r>
      <w:r>
        <w:rPr>
          <w:rFonts w:ascii="Arial" w:hAnsi="Arial" w:cs="Arial"/>
          <w:sz w:val="22"/>
          <w:szCs w:val="22"/>
        </w:rPr>
        <w:t>…</w:t>
      </w:r>
      <w:r w:rsidRPr="00A55F2F">
        <w:rPr>
          <w:rFonts w:ascii="Arial" w:hAnsi="Arial" w:cs="Arial"/>
          <w:sz w:val="22"/>
          <w:szCs w:val="22"/>
        </w:rPr>
        <w:t>………….1</w:t>
      </w:r>
    </w:p>
    <w:p w14:paraId="04AF05B4" w14:textId="77777777" w:rsidR="00BF2AFB" w:rsidRPr="00A55F2F" w:rsidRDefault="00BF2AFB" w:rsidP="00BF2AFB">
      <w:pPr>
        <w:spacing w:line="240" w:lineRule="auto"/>
        <w:rPr>
          <w:rFonts w:ascii="Arial" w:hAnsi="Arial" w:cs="Arial"/>
          <w:sz w:val="22"/>
          <w:szCs w:val="22"/>
        </w:rPr>
      </w:pPr>
      <w:r w:rsidRPr="00A55F2F">
        <w:rPr>
          <w:rFonts w:ascii="Arial" w:hAnsi="Arial" w:cs="Arial"/>
          <w:sz w:val="22"/>
          <w:szCs w:val="22"/>
        </w:rPr>
        <w:t>Table of Contents……………………………………………………………………</w:t>
      </w:r>
      <w:r>
        <w:rPr>
          <w:rFonts w:ascii="Arial" w:hAnsi="Arial" w:cs="Arial"/>
          <w:sz w:val="22"/>
          <w:szCs w:val="22"/>
        </w:rPr>
        <w:t>…</w:t>
      </w:r>
      <w:r w:rsidRPr="00A55F2F">
        <w:rPr>
          <w:rFonts w:ascii="Arial" w:hAnsi="Arial" w:cs="Arial"/>
          <w:sz w:val="22"/>
          <w:szCs w:val="22"/>
        </w:rPr>
        <w:t>…………………2</w:t>
      </w:r>
    </w:p>
    <w:p w14:paraId="497A7D31" w14:textId="77777777" w:rsidR="00BF2AFB" w:rsidRPr="00A55F2F" w:rsidRDefault="00BF2AFB" w:rsidP="00BF2AFB">
      <w:pPr>
        <w:spacing w:line="240" w:lineRule="auto"/>
        <w:rPr>
          <w:rFonts w:ascii="Arial" w:hAnsi="Arial" w:cs="Arial"/>
          <w:sz w:val="22"/>
          <w:szCs w:val="22"/>
        </w:rPr>
      </w:pPr>
      <w:r w:rsidRPr="00A55F2F">
        <w:rPr>
          <w:rFonts w:ascii="Arial" w:hAnsi="Arial" w:cs="Arial"/>
          <w:sz w:val="22"/>
          <w:szCs w:val="22"/>
        </w:rPr>
        <w:t>Abstract……………………………</w:t>
      </w:r>
      <w:r>
        <w:rPr>
          <w:rFonts w:ascii="Arial" w:hAnsi="Arial" w:cs="Arial"/>
          <w:sz w:val="22"/>
          <w:szCs w:val="22"/>
        </w:rPr>
        <w:t>…</w:t>
      </w:r>
      <w:r w:rsidRPr="00A55F2F">
        <w:rPr>
          <w:rFonts w:ascii="Arial" w:hAnsi="Arial" w:cs="Arial"/>
          <w:sz w:val="22"/>
          <w:szCs w:val="22"/>
        </w:rPr>
        <w:t>…………………………………………………………………….3</w:t>
      </w:r>
    </w:p>
    <w:p w14:paraId="7B21A07B" w14:textId="77777777" w:rsidR="00BF2AFB" w:rsidRPr="00A55F2F" w:rsidRDefault="00BF2AFB" w:rsidP="00BF2AFB">
      <w:pPr>
        <w:pStyle w:val="ListParagraph"/>
        <w:numPr>
          <w:ilvl w:val="0"/>
          <w:numId w:val="16"/>
        </w:numPr>
        <w:spacing w:line="240" w:lineRule="auto"/>
        <w:jc w:val="both"/>
        <w:rPr>
          <w:rFonts w:ascii="Arial" w:hAnsi="Arial" w:cs="Arial"/>
          <w:sz w:val="22"/>
          <w:szCs w:val="22"/>
        </w:rPr>
      </w:pPr>
      <w:r w:rsidRPr="00A55F2F">
        <w:rPr>
          <w:rFonts w:ascii="Arial" w:hAnsi="Arial" w:cs="Arial"/>
          <w:sz w:val="22"/>
          <w:szCs w:val="22"/>
        </w:rPr>
        <w:t>Introduction……………………………………………………………………………………………4</w:t>
      </w:r>
    </w:p>
    <w:p w14:paraId="54168D29"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1.1 Rationale ……………………………………………………………………………………………</w:t>
      </w:r>
      <w:r>
        <w:rPr>
          <w:rFonts w:ascii="Arial" w:hAnsi="Arial" w:cs="Arial"/>
          <w:sz w:val="22"/>
          <w:szCs w:val="22"/>
        </w:rPr>
        <w:t>...</w:t>
      </w:r>
      <w:r w:rsidRPr="00A55F2F">
        <w:rPr>
          <w:rFonts w:ascii="Arial" w:hAnsi="Arial" w:cs="Arial"/>
          <w:sz w:val="22"/>
          <w:szCs w:val="22"/>
        </w:rPr>
        <w:t>5</w:t>
      </w:r>
    </w:p>
    <w:p w14:paraId="00324F1E"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1.2 Review question ……………………………………………………………………………………</w:t>
      </w:r>
      <w:r>
        <w:rPr>
          <w:rFonts w:ascii="Arial" w:hAnsi="Arial" w:cs="Arial"/>
          <w:sz w:val="22"/>
          <w:szCs w:val="22"/>
        </w:rPr>
        <w:t>...</w:t>
      </w:r>
      <w:r w:rsidRPr="00A55F2F">
        <w:rPr>
          <w:rFonts w:ascii="Arial" w:hAnsi="Arial" w:cs="Arial"/>
          <w:sz w:val="22"/>
          <w:szCs w:val="22"/>
        </w:rPr>
        <w:t>5</w:t>
      </w:r>
    </w:p>
    <w:p w14:paraId="2511D09F"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1.3 </w:t>
      </w:r>
      <w:r w:rsidRPr="00627570">
        <w:rPr>
          <w:rFonts w:ascii="Arial" w:hAnsi="Arial" w:cs="Arial"/>
          <w:sz w:val="22"/>
          <w:szCs w:val="22"/>
        </w:rPr>
        <w:t>Objectives</w:t>
      </w:r>
      <w:r w:rsidRPr="00A55F2F">
        <w:rPr>
          <w:rFonts w:ascii="Arial" w:hAnsi="Arial" w:cs="Arial"/>
          <w:sz w:val="22"/>
          <w:szCs w:val="22"/>
        </w:rPr>
        <w:t xml:space="preserve"> ……………………………………………………………………………………………</w:t>
      </w:r>
      <w:r>
        <w:rPr>
          <w:rFonts w:ascii="Arial" w:hAnsi="Arial" w:cs="Arial"/>
          <w:sz w:val="22"/>
          <w:szCs w:val="22"/>
        </w:rPr>
        <w:t>.</w:t>
      </w:r>
      <w:r w:rsidRPr="00A55F2F">
        <w:rPr>
          <w:rFonts w:ascii="Arial" w:hAnsi="Arial" w:cs="Arial"/>
          <w:sz w:val="22"/>
          <w:szCs w:val="22"/>
        </w:rPr>
        <w:t>5</w:t>
      </w:r>
    </w:p>
    <w:p w14:paraId="377D295F"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2. Background…………………………………………………………………………………………</w:t>
      </w:r>
      <w:r>
        <w:rPr>
          <w:rFonts w:ascii="Arial" w:hAnsi="Arial" w:cs="Arial"/>
          <w:sz w:val="22"/>
          <w:szCs w:val="22"/>
        </w:rPr>
        <w:t>.</w:t>
      </w:r>
      <w:r w:rsidRPr="00A55F2F">
        <w:rPr>
          <w:rFonts w:ascii="Arial" w:hAnsi="Arial" w:cs="Arial"/>
          <w:sz w:val="22"/>
          <w:szCs w:val="22"/>
        </w:rPr>
        <w:t xml:space="preserve"> 5-7</w:t>
      </w:r>
    </w:p>
    <w:p w14:paraId="57A8FFEC" w14:textId="77777777" w:rsidR="00BF2AFB" w:rsidRPr="00A55F2F" w:rsidRDefault="00BF2AFB" w:rsidP="00BF2AFB">
      <w:pPr>
        <w:pStyle w:val="ListParagraph"/>
        <w:numPr>
          <w:ilvl w:val="0"/>
          <w:numId w:val="17"/>
        </w:numPr>
        <w:spacing w:line="240" w:lineRule="auto"/>
        <w:jc w:val="both"/>
        <w:rPr>
          <w:rFonts w:ascii="Arial" w:hAnsi="Arial" w:cs="Arial"/>
          <w:sz w:val="22"/>
          <w:szCs w:val="22"/>
        </w:rPr>
      </w:pPr>
      <w:r w:rsidRPr="00A55F2F">
        <w:rPr>
          <w:rFonts w:ascii="Arial" w:hAnsi="Arial" w:cs="Arial"/>
          <w:sz w:val="22"/>
          <w:szCs w:val="22"/>
        </w:rPr>
        <w:t>Methods ……………………………………………………………………………………………</w:t>
      </w:r>
      <w:r>
        <w:rPr>
          <w:rFonts w:ascii="Arial" w:hAnsi="Arial" w:cs="Arial"/>
          <w:sz w:val="22"/>
          <w:szCs w:val="22"/>
        </w:rPr>
        <w:t>….</w:t>
      </w:r>
      <w:r w:rsidRPr="00A55F2F">
        <w:rPr>
          <w:rFonts w:ascii="Arial" w:hAnsi="Arial" w:cs="Arial"/>
          <w:sz w:val="22"/>
          <w:szCs w:val="22"/>
        </w:rPr>
        <w:t>7</w:t>
      </w:r>
    </w:p>
    <w:p w14:paraId="096ED57B"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lastRenderedPageBreak/>
        <w:t>3.1 Scoping Review Framework ………………………………………………………………………</w:t>
      </w:r>
      <w:r>
        <w:rPr>
          <w:rFonts w:ascii="Arial" w:hAnsi="Arial" w:cs="Arial"/>
          <w:sz w:val="22"/>
          <w:szCs w:val="22"/>
        </w:rPr>
        <w:t>...</w:t>
      </w:r>
      <w:r w:rsidRPr="00A55F2F">
        <w:rPr>
          <w:rFonts w:ascii="Arial" w:hAnsi="Arial" w:cs="Arial"/>
          <w:sz w:val="22"/>
          <w:szCs w:val="22"/>
        </w:rPr>
        <w:t xml:space="preserve">7 </w:t>
      </w:r>
    </w:p>
    <w:p w14:paraId="7C0093DD"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3.2 </w:t>
      </w:r>
      <w:r w:rsidRPr="00B4490A">
        <w:rPr>
          <w:rFonts w:ascii="Arial" w:hAnsi="Arial" w:cs="Arial"/>
          <w:sz w:val="22"/>
          <w:szCs w:val="22"/>
        </w:rPr>
        <w:t>Search Strategy</w:t>
      </w:r>
      <w:r w:rsidRPr="00A55F2F">
        <w:rPr>
          <w:rFonts w:ascii="Arial" w:hAnsi="Arial" w:cs="Arial"/>
          <w:sz w:val="22"/>
          <w:szCs w:val="22"/>
        </w:rPr>
        <w:t xml:space="preserve"> ……………………………………………………………………………………7-8</w:t>
      </w:r>
    </w:p>
    <w:p w14:paraId="3D3590BA"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3.3 </w:t>
      </w:r>
      <w:r w:rsidRPr="003F14D5">
        <w:rPr>
          <w:rFonts w:ascii="Arial" w:hAnsi="Arial" w:cs="Arial"/>
          <w:sz w:val="22"/>
          <w:szCs w:val="22"/>
        </w:rPr>
        <w:t>Inclusion and Exclusion Criteria</w:t>
      </w:r>
      <w:r w:rsidRPr="00A55F2F">
        <w:rPr>
          <w:rFonts w:ascii="Arial" w:hAnsi="Arial" w:cs="Arial"/>
          <w:sz w:val="22"/>
          <w:szCs w:val="22"/>
        </w:rPr>
        <w:t xml:space="preserve"> ……………………………………………………………………8 </w:t>
      </w:r>
    </w:p>
    <w:p w14:paraId="4AFE0AC2" w14:textId="77777777" w:rsidR="00BF2AFB" w:rsidRPr="003F14D5"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3.4 </w:t>
      </w:r>
      <w:r w:rsidRPr="003F14D5">
        <w:rPr>
          <w:rFonts w:ascii="Arial" w:hAnsi="Arial" w:cs="Arial"/>
          <w:sz w:val="22"/>
          <w:szCs w:val="22"/>
        </w:rPr>
        <w:t>Data Charting and Analysis</w:t>
      </w:r>
      <w:r w:rsidRPr="00A55F2F">
        <w:rPr>
          <w:rFonts w:ascii="Arial" w:hAnsi="Arial" w:cs="Arial"/>
          <w:sz w:val="22"/>
          <w:szCs w:val="22"/>
        </w:rPr>
        <w:t xml:space="preserve"> …………………………………………………………………………8</w:t>
      </w:r>
    </w:p>
    <w:p w14:paraId="0EEF907E" w14:textId="77777777" w:rsidR="00BF2AFB" w:rsidRPr="00A55F2F" w:rsidRDefault="00BF2AFB" w:rsidP="00BF2AFB">
      <w:pPr>
        <w:pStyle w:val="ListParagraph"/>
        <w:numPr>
          <w:ilvl w:val="1"/>
          <w:numId w:val="17"/>
        </w:numPr>
        <w:spacing w:line="240" w:lineRule="auto"/>
        <w:jc w:val="both"/>
        <w:rPr>
          <w:rFonts w:ascii="Arial" w:hAnsi="Arial" w:cs="Arial"/>
          <w:sz w:val="22"/>
          <w:szCs w:val="22"/>
        </w:rPr>
      </w:pPr>
      <w:r w:rsidRPr="00A55F2F">
        <w:rPr>
          <w:rFonts w:ascii="Arial" w:hAnsi="Arial" w:cs="Arial"/>
          <w:sz w:val="22"/>
          <w:szCs w:val="22"/>
        </w:rPr>
        <w:t>Ethical Considerations ………………………………………………………………………………9</w:t>
      </w:r>
    </w:p>
    <w:p w14:paraId="1786E75A" w14:textId="77777777" w:rsidR="00BF2AFB" w:rsidRPr="00A55F2F" w:rsidRDefault="00BF2AFB" w:rsidP="00BF2AFB">
      <w:pPr>
        <w:pStyle w:val="ListParagraph"/>
        <w:numPr>
          <w:ilvl w:val="0"/>
          <w:numId w:val="17"/>
        </w:numPr>
        <w:spacing w:line="240" w:lineRule="auto"/>
        <w:jc w:val="both"/>
        <w:rPr>
          <w:rFonts w:ascii="Arial" w:hAnsi="Arial" w:cs="Arial"/>
          <w:sz w:val="22"/>
          <w:szCs w:val="22"/>
        </w:rPr>
      </w:pPr>
      <w:r w:rsidRPr="00A55F2F">
        <w:rPr>
          <w:rFonts w:ascii="Arial" w:hAnsi="Arial" w:cs="Arial"/>
          <w:sz w:val="22"/>
          <w:szCs w:val="22"/>
        </w:rPr>
        <w:t>Results …………………………………………………………………………………</w:t>
      </w:r>
      <w:r>
        <w:rPr>
          <w:rFonts w:ascii="Arial" w:hAnsi="Arial" w:cs="Arial"/>
          <w:sz w:val="22"/>
          <w:szCs w:val="22"/>
        </w:rPr>
        <w:t>……………..</w:t>
      </w:r>
      <w:r w:rsidRPr="00A55F2F">
        <w:rPr>
          <w:rFonts w:ascii="Arial" w:hAnsi="Arial" w:cs="Arial"/>
          <w:sz w:val="22"/>
          <w:szCs w:val="22"/>
        </w:rPr>
        <w:t>9</w:t>
      </w:r>
    </w:p>
    <w:p w14:paraId="2D66164D"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4.1 Thematic Analysis ………………………………………………………………………………</w:t>
      </w:r>
      <w:r>
        <w:rPr>
          <w:rFonts w:ascii="Arial" w:hAnsi="Arial" w:cs="Arial"/>
          <w:sz w:val="22"/>
          <w:szCs w:val="22"/>
        </w:rPr>
        <w:t>…..</w:t>
      </w:r>
      <w:r w:rsidRPr="00A55F2F">
        <w:rPr>
          <w:rFonts w:ascii="Arial" w:hAnsi="Arial" w:cs="Arial"/>
          <w:sz w:val="22"/>
          <w:szCs w:val="22"/>
        </w:rPr>
        <w:t>10</w:t>
      </w:r>
    </w:p>
    <w:p w14:paraId="40726110"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4.1.1 </w:t>
      </w:r>
      <w:r w:rsidRPr="005D48C5">
        <w:rPr>
          <w:rFonts w:ascii="Arial" w:hAnsi="Arial" w:cs="Arial"/>
          <w:sz w:val="22"/>
          <w:szCs w:val="22"/>
        </w:rPr>
        <w:t>Fragmented Governance and Limited Transparency</w:t>
      </w:r>
      <w:r w:rsidRPr="00A55F2F">
        <w:rPr>
          <w:rFonts w:ascii="Arial" w:hAnsi="Arial" w:cs="Arial"/>
          <w:sz w:val="22"/>
          <w:szCs w:val="22"/>
        </w:rPr>
        <w:t xml:space="preserve"> ………………………………………</w:t>
      </w:r>
      <w:r>
        <w:rPr>
          <w:rFonts w:ascii="Arial" w:hAnsi="Arial" w:cs="Arial"/>
          <w:sz w:val="22"/>
          <w:szCs w:val="22"/>
        </w:rPr>
        <w:t>…</w:t>
      </w:r>
      <w:r w:rsidRPr="00A55F2F">
        <w:rPr>
          <w:rFonts w:ascii="Arial" w:hAnsi="Arial" w:cs="Arial"/>
          <w:sz w:val="22"/>
          <w:szCs w:val="22"/>
        </w:rPr>
        <w:t>10</w:t>
      </w:r>
    </w:p>
    <w:p w14:paraId="7F027B86"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4.1.2 </w:t>
      </w:r>
      <w:r w:rsidRPr="005D48C5">
        <w:rPr>
          <w:rFonts w:ascii="Arial" w:hAnsi="Arial" w:cs="Arial"/>
          <w:sz w:val="22"/>
          <w:szCs w:val="22"/>
        </w:rPr>
        <w:t>Technical Vulnerabilities and Interoperability Failures</w:t>
      </w:r>
      <w:r w:rsidRPr="00A55F2F">
        <w:rPr>
          <w:rFonts w:ascii="Arial" w:hAnsi="Arial" w:cs="Arial"/>
          <w:sz w:val="22"/>
          <w:szCs w:val="22"/>
        </w:rPr>
        <w:t xml:space="preserve"> ………………………………………</w:t>
      </w:r>
      <w:r>
        <w:rPr>
          <w:rFonts w:ascii="Arial" w:hAnsi="Arial" w:cs="Arial"/>
          <w:sz w:val="22"/>
          <w:szCs w:val="22"/>
        </w:rPr>
        <w:t>.</w:t>
      </w:r>
      <w:r w:rsidRPr="00A55F2F">
        <w:rPr>
          <w:rFonts w:ascii="Arial" w:hAnsi="Arial" w:cs="Arial"/>
          <w:sz w:val="22"/>
          <w:szCs w:val="22"/>
        </w:rPr>
        <w:t>10</w:t>
      </w:r>
    </w:p>
    <w:p w14:paraId="1D49C648" w14:textId="7777777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4.1.3 </w:t>
      </w:r>
      <w:r w:rsidRPr="005D48C5">
        <w:rPr>
          <w:rFonts w:ascii="Arial" w:hAnsi="Arial" w:cs="Arial"/>
          <w:sz w:val="22"/>
          <w:szCs w:val="22"/>
        </w:rPr>
        <w:t>Ethical and Consent Challenges</w:t>
      </w:r>
      <w:r w:rsidRPr="00A55F2F">
        <w:rPr>
          <w:rFonts w:ascii="Arial" w:hAnsi="Arial" w:cs="Arial"/>
          <w:sz w:val="22"/>
          <w:szCs w:val="22"/>
        </w:rPr>
        <w:t xml:space="preserve"> ……………………………………………………………</w:t>
      </w:r>
      <w:r>
        <w:rPr>
          <w:rFonts w:ascii="Arial" w:hAnsi="Arial" w:cs="Arial"/>
          <w:sz w:val="22"/>
          <w:szCs w:val="22"/>
        </w:rPr>
        <w:t>…...</w:t>
      </w:r>
      <w:r w:rsidRPr="00A55F2F">
        <w:rPr>
          <w:rFonts w:ascii="Arial" w:hAnsi="Arial" w:cs="Arial"/>
          <w:sz w:val="22"/>
          <w:szCs w:val="22"/>
        </w:rPr>
        <w:t>11</w:t>
      </w:r>
    </w:p>
    <w:p w14:paraId="324882B6" w14:textId="77777777" w:rsidR="00BF2AFB" w:rsidRPr="00A55F2F" w:rsidRDefault="00BF2AFB" w:rsidP="00BF2AFB">
      <w:pPr>
        <w:pStyle w:val="ListParagraph"/>
        <w:numPr>
          <w:ilvl w:val="2"/>
          <w:numId w:val="18"/>
        </w:numPr>
        <w:spacing w:line="240" w:lineRule="auto"/>
        <w:jc w:val="both"/>
        <w:rPr>
          <w:rFonts w:ascii="Arial" w:hAnsi="Arial" w:cs="Arial"/>
          <w:sz w:val="22"/>
          <w:szCs w:val="22"/>
        </w:rPr>
      </w:pPr>
      <w:r w:rsidRPr="00A55F2F">
        <w:rPr>
          <w:rFonts w:ascii="Arial" w:hAnsi="Arial" w:cs="Arial"/>
          <w:sz w:val="22"/>
          <w:szCs w:val="22"/>
        </w:rPr>
        <w:t>Public Trust and Confidence in Data Use ……………………………………………………11</w:t>
      </w:r>
    </w:p>
    <w:p w14:paraId="22CB4FB1" w14:textId="47580697" w:rsidR="00BF2AFB" w:rsidRPr="00A55F2F" w:rsidRDefault="00BF2AFB" w:rsidP="00BF2AFB">
      <w:pPr>
        <w:pStyle w:val="ListParagraph"/>
        <w:numPr>
          <w:ilvl w:val="0"/>
          <w:numId w:val="17"/>
        </w:numPr>
        <w:spacing w:line="240" w:lineRule="auto"/>
        <w:jc w:val="both"/>
        <w:rPr>
          <w:rFonts w:ascii="Arial" w:hAnsi="Arial" w:cs="Arial"/>
          <w:sz w:val="22"/>
          <w:szCs w:val="22"/>
        </w:rPr>
      </w:pPr>
      <w:r w:rsidRPr="00A55F2F">
        <w:rPr>
          <w:rFonts w:ascii="Arial" w:hAnsi="Arial" w:cs="Arial"/>
          <w:sz w:val="22"/>
          <w:szCs w:val="22"/>
        </w:rPr>
        <w:t>Discussion ……………………………………………………………………………</w:t>
      </w:r>
      <w:r>
        <w:rPr>
          <w:rFonts w:ascii="Arial" w:hAnsi="Arial" w:cs="Arial"/>
          <w:sz w:val="22"/>
          <w:szCs w:val="22"/>
        </w:rPr>
        <w:t>……………..</w:t>
      </w:r>
      <w:r w:rsidRPr="00A55F2F">
        <w:rPr>
          <w:rFonts w:ascii="Arial" w:hAnsi="Arial" w:cs="Arial"/>
          <w:sz w:val="22"/>
          <w:szCs w:val="22"/>
        </w:rPr>
        <w:t>11</w:t>
      </w:r>
    </w:p>
    <w:p w14:paraId="6CBD0F64" w14:textId="5DD45531"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5.1 Governance Fragmentation and Policy Implementation ……………………………………11-12</w:t>
      </w:r>
    </w:p>
    <w:p w14:paraId="2C046438" w14:textId="255455CC"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5.2 </w:t>
      </w:r>
      <w:r w:rsidRPr="005D48C5">
        <w:rPr>
          <w:rFonts w:ascii="Arial" w:hAnsi="Arial" w:cs="Arial"/>
          <w:sz w:val="22"/>
          <w:szCs w:val="22"/>
        </w:rPr>
        <w:t>Technical Vulnerabilities and System Fragmentation</w:t>
      </w:r>
      <w:r w:rsidRPr="00A55F2F">
        <w:rPr>
          <w:rFonts w:ascii="Arial" w:hAnsi="Arial" w:cs="Arial"/>
          <w:sz w:val="22"/>
          <w:szCs w:val="22"/>
        </w:rPr>
        <w:t>…………………………………………</w:t>
      </w:r>
      <w:r>
        <w:rPr>
          <w:rFonts w:ascii="Arial" w:hAnsi="Arial" w:cs="Arial"/>
          <w:sz w:val="22"/>
          <w:szCs w:val="22"/>
        </w:rPr>
        <w:t>…</w:t>
      </w:r>
      <w:r w:rsidRPr="00A55F2F">
        <w:rPr>
          <w:rFonts w:ascii="Arial" w:hAnsi="Arial" w:cs="Arial"/>
          <w:sz w:val="22"/>
          <w:szCs w:val="22"/>
        </w:rPr>
        <w:t>12</w:t>
      </w:r>
    </w:p>
    <w:p w14:paraId="3F85799B" w14:textId="6ED88FD9" w:rsidR="00BF2AFB" w:rsidRPr="005D48C5" w:rsidRDefault="00BF2AFB" w:rsidP="00BF2AFB">
      <w:pPr>
        <w:spacing w:line="240" w:lineRule="auto"/>
        <w:jc w:val="both"/>
        <w:rPr>
          <w:rFonts w:ascii="Arial" w:hAnsi="Arial" w:cs="Arial"/>
          <w:sz w:val="22"/>
          <w:szCs w:val="22"/>
        </w:rPr>
      </w:pPr>
      <w:r w:rsidRPr="00A55F2F">
        <w:rPr>
          <w:rFonts w:ascii="Arial" w:hAnsi="Arial" w:cs="Arial"/>
          <w:sz w:val="22"/>
          <w:szCs w:val="22"/>
        </w:rPr>
        <w:t xml:space="preserve">5.3 </w:t>
      </w:r>
      <w:r w:rsidRPr="005D48C5">
        <w:rPr>
          <w:rFonts w:ascii="Arial" w:hAnsi="Arial" w:cs="Arial"/>
          <w:sz w:val="22"/>
          <w:szCs w:val="22"/>
        </w:rPr>
        <w:t>Ethical and Consent Challenges in Data Use</w:t>
      </w:r>
      <w:r w:rsidRPr="00A55F2F">
        <w:rPr>
          <w:rFonts w:ascii="Arial" w:hAnsi="Arial" w:cs="Arial"/>
          <w:sz w:val="22"/>
          <w:szCs w:val="22"/>
        </w:rPr>
        <w:t xml:space="preserve"> ………………………………………………</w:t>
      </w:r>
      <w:r>
        <w:rPr>
          <w:rFonts w:ascii="Arial" w:hAnsi="Arial" w:cs="Arial"/>
          <w:sz w:val="22"/>
          <w:szCs w:val="22"/>
        </w:rPr>
        <w:t>.</w:t>
      </w:r>
      <w:r w:rsidRPr="00A55F2F">
        <w:rPr>
          <w:rFonts w:ascii="Arial" w:hAnsi="Arial" w:cs="Arial"/>
          <w:sz w:val="22"/>
          <w:szCs w:val="22"/>
        </w:rPr>
        <w:t>12-13</w:t>
      </w:r>
    </w:p>
    <w:p w14:paraId="7E971129" w14:textId="77E2EF0C"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5.4 Public Trust as a Foundation for Privacy ………………………………………………………</w:t>
      </w:r>
      <w:r>
        <w:rPr>
          <w:rFonts w:ascii="Arial" w:hAnsi="Arial" w:cs="Arial"/>
          <w:sz w:val="22"/>
          <w:szCs w:val="22"/>
        </w:rPr>
        <w:t>….</w:t>
      </w:r>
      <w:r w:rsidRPr="00A55F2F">
        <w:rPr>
          <w:rFonts w:ascii="Arial" w:hAnsi="Arial" w:cs="Arial"/>
          <w:sz w:val="22"/>
          <w:szCs w:val="22"/>
        </w:rPr>
        <w:t>13</w:t>
      </w:r>
    </w:p>
    <w:p w14:paraId="047A5AA5" w14:textId="46094BA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6.0 Conclusion and Recommendations ……………………………………………………………</w:t>
      </w:r>
      <w:r>
        <w:rPr>
          <w:rFonts w:ascii="Arial" w:hAnsi="Arial" w:cs="Arial"/>
          <w:sz w:val="22"/>
          <w:szCs w:val="22"/>
        </w:rPr>
        <w:t>…</w:t>
      </w:r>
      <w:r w:rsidRPr="00A55F2F">
        <w:rPr>
          <w:rFonts w:ascii="Arial" w:hAnsi="Arial" w:cs="Arial"/>
          <w:sz w:val="22"/>
          <w:szCs w:val="22"/>
        </w:rPr>
        <w:t>14</w:t>
      </w:r>
    </w:p>
    <w:p w14:paraId="64F40C15" w14:textId="0F5D5152"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References ……………………………………………………………………………</w:t>
      </w:r>
      <w:r>
        <w:rPr>
          <w:rFonts w:ascii="Arial" w:hAnsi="Arial" w:cs="Arial"/>
          <w:sz w:val="22"/>
          <w:szCs w:val="22"/>
        </w:rPr>
        <w:t>……………..</w:t>
      </w:r>
      <w:r w:rsidRPr="00A55F2F">
        <w:rPr>
          <w:rFonts w:ascii="Arial" w:hAnsi="Arial" w:cs="Arial"/>
          <w:sz w:val="22"/>
          <w:szCs w:val="22"/>
        </w:rPr>
        <w:t>15-17</w:t>
      </w:r>
    </w:p>
    <w:p w14:paraId="01807EEA" w14:textId="5FC91297" w:rsidR="00BF2AFB" w:rsidRPr="00A55F2F" w:rsidRDefault="00BF2AFB" w:rsidP="00BF2AFB">
      <w:pPr>
        <w:spacing w:line="240" w:lineRule="auto"/>
        <w:jc w:val="both"/>
        <w:rPr>
          <w:rFonts w:ascii="Arial" w:hAnsi="Arial" w:cs="Arial"/>
          <w:sz w:val="22"/>
          <w:szCs w:val="22"/>
        </w:rPr>
      </w:pPr>
      <w:r w:rsidRPr="00A55F2F">
        <w:rPr>
          <w:rFonts w:ascii="Arial" w:hAnsi="Arial" w:cs="Arial"/>
          <w:sz w:val="22"/>
          <w:szCs w:val="22"/>
        </w:rPr>
        <w:t>Appendix ……………………………………………………………………………</w:t>
      </w:r>
      <w:r>
        <w:rPr>
          <w:rFonts w:ascii="Arial" w:hAnsi="Arial" w:cs="Arial"/>
          <w:sz w:val="22"/>
          <w:szCs w:val="22"/>
        </w:rPr>
        <w:t>………………..</w:t>
      </w:r>
      <w:r w:rsidRPr="00A55F2F">
        <w:rPr>
          <w:rFonts w:ascii="Arial" w:hAnsi="Arial" w:cs="Arial"/>
          <w:sz w:val="22"/>
          <w:szCs w:val="22"/>
        </w:rPr>
        <w:t>18-20</w:t>
      </w:r>
    </w:p>
    <w:p w14:paraId="6B1EC02B" w14:textId="76066030" w:rsidR="00353DB8" w:rsidRPr="00BF2AFB" w:rsidRDefault="00BF2AFB" w:rsidP="00BF2AFB">
      <w:pPr>
        <w:jc w:val="center"/>
        <w:rPr>
          <w:rFonts w:ascii="Arial" w:hAnsi="Arial" w:cs="Arial"/>
          <w:b/>
          <w:bCs/>
          <w:sz w:val="22"/>
          <w:szCs w:val="22"/>
        </w:rPr>
      </w:pPr>
      <w:r>
        <w:rPr>
          <w:rFonts w:ascii="Arial" w:hAnsi="Arial" w:cs="Arial"/>
          <w:b/>
          <w:bCs/>
          <w:sz w:val="22"/>
          <w:szCs w:val="22"/>
        </w:rPr>
        <w:t>List of Tables</w:t>
      </w:r>
    </w:p>
    <w:p w14:paraId="491BAF1A" w14:textId="5C114454" w:rsidR="00BF2AFB" w:rsidRDefault="00BF2AFB" w:rsidP="00BF2AFB">
      <w:pPr>
        <w:spacing w:line="360" w:lineRule="auto"/>
        <w:jc w:val="both"/>
        <w:rPr>
          <w:rFonts w:ascii="Arial" w:hAnsi="Arial" w:cs="Arial"/>
          <w:sz w:val="22"/>
          <w:szCs w:val="22"/>
        </w:rPr>
      </w:pPr>
      <w:r w:rsidRPr="00CB7657">
        <w:rPr>
          <w:rFonts w:ascii="Arial" w:hAnsi="Arial" w:cs="Arial"/>
          <w:sz w:val="22"/>
          <w:szCs w:val="22"/>
        </w:rPr>
        <w:t>Table 1: Inclusion and Exclusion Criteria</w:t>
      </w:r>
      <w:r>
        <w:rPr>
          <w:rFonts w:ascii="Arial" w:hAnsi="Arial" w:cs="Arial"/>
          <w:sz w:val="22"/>
          <w:szCs w:val="22"/>
        </w:rPr>
        <w:t xml:space="preserve"> </w:t>
      </w:r>
      <w:r w:rsidRPr="00A55F2F">
        <w:rPr>
          <w:rFonts w:ascii="Arial" w:hAnsi="Arial" w:cs="Arial"/>
          <w:sz w:val="22"/>
          <w:szCs w:val="22"/>
        </w:rPr>
        <w:t>……………………………………………………………</w:t>
      </w:r>
      <w:r>
        <w:rPr>
          <w:rFonts w:ascii="Arial" w:hAnsi="Arial" w:cs="Arial"/>
          <w:sz w:val="22"/>
          <w:szCs w:val="22"/>
        </w:rPr>
        <w:t>….8</w:t>
      </w:r>
    </w:p>
    <w:p w14:paraId="04CBCDD1" w14:textId="6DA4FF0E" w:rsidR="00353DB8" w:rsidRPr="00BF2AFB" w:rsidRDefault="00BF2AFB" w:rsidP="00BF2AFB">
      <w:pPr>
        <w:spacing w:line="360" w:lineRule="auto"/>
        <w:jc w:val="both"/>
        <w:rPr>
          <w:rFonts w:ascii="Arial" w:hAnsi="Arial" w:cs="Arial"/>
          <w:sz w:val="22"/>
          <w:szCs w:val="22"/>
        </w:rPr>
      </w:pPr>
      <w:r w:rsidRPr="00CA2028">
        <w:rPr>
          <w:rFonts w:ascii="Arial" w:hAnsi="Arial" w:cs="Arial"/>
          <w:sz w:val="22"/>
          <w:szCs w:val="22"/>
        </w:rPr>
        <w:t>Table 2: Summary of Included Studies</w:t>
      </w:r>
      <w:r>
        <w:rPr>
          <w:rFonts w:ascii="Arial" w:hAnsi="Arial" w:cs="Arial"/>
          <w:sz w:val="22"/>
          <w:szCs w:val="22"/>
        </w:rPr>
        <w:t xml:space="preserve"> </w:t>
      </w:r>
      <w:r w:rsidRPr="00A55F2F">
        <w:rPr>
          <w:rFonts w:ascii="Arial" w:hAnsi="Arial" w:cs="Arial"/>
          <w:sz w:val="22"/>
          <w:szCs w:val="22"/>
        </w:rPr>
        <w:t>……………………………………………………………</w:t>
      </w:r>
      <w:r>
        <w:rPr>
          <w:rFonts w:ascii="Arial" w:hAnsi="Arial" w:cs="Arial"/>
          <w:sz w:val="22"/>
          <w:szCs w:val="22"/>
        </w:rPr>
        <w:t>9 – 10</w:t>
      </w:r>
    </w:p>
    <w:p w14:paraId="33F96D03" w14:textId="77777777" w:rsidR="00353DB8" w:rsidRDefault="00353DB8"/>
    <w:p w14:paraId="2B6301A1" w14:textId="77777777" w:rsidR="00261E74" w:rsidRDefault="00261E74" w:rsidP="0030564C">
      <w:pPr>
        <w:jc w:val="center"/>
        <w:rPr>
          <w:rFonts w:ascii="Arial" w:hAnsi="Arial" w:cs="Arial"/>
          <w:b/>
          <w:bCs/>
        </w:rPr>
      </w:pPr>
    </w:p>
    <w:p w14:paraId="58BEA9FC" w14:textId="77777777" w:rsidR="00261E74" w:rsidRDefault="00261E74" w:rsidP="0030564C">
      <w:pPr>
        <w:jc w:val="center"/>
        <w:rPr>
          <w:rFonts w:ascii="Arial" w:hAnsi="Arial" w:cs="Arial"/>
          <w:b/>
          <w:bCs/>
        </w:rPr>
      </w:pPr>
    </w:p>
    <w:p w14:paraId="2B7ADCBA" w14:textId="104240DA" w:rsidR="00353DB8" w:rsidRPr="0030564C" w:rsidRDefault="004B543B" w:rsidP="0030564C">
      <w:pPr>
        <w:jc w:val="center"/>
        <w:rPr>
          <w:rFonts w:ascii="Arial" w:hAnsi="Arial" w:cs="Arial"/>
          <w:b/>
          <w:bCs/>
        </w:rPr>
      </w:pPr>
      <w:r w:rsidRPr="0030564C">
        <w:rPr>
          <w:rFonts w:ascii="Arial" w:hAnsi="Arial" w:cs="Arial"/>
          <w:b/>
          <w:bCs/>
        </w:rPr>
        <w:t>Abstract</w:t>
      </w:r>
    </w:p>
    <w:p w14:paraId="43D51D6A" w14:textId="5A8A911A" w:rsidR="00F700B3" w:rsidRPr="00F700B3" w:rsidRDefault="00F700B3" w:rsidP="00F700B3">
      <w:pPr>
        <w:jc w:val="both"/>
        <w:rPr>
          <w:rFonts w:ascii="Arial" w:hAnsi="Arial" w:cs="Arial"/>
          <w:sz w:val="22"/>
          <w:szCs w:val="22"/>
        </w:rPr>
      </w:pPr>
      <w:r w:rsidRPr="00F700B3">
        <w:rPr>
          <w:rFonts w:ascii="Arial" w:hAnsi="Arial" w:cs="Arial"/>
          <w:sz w:val="22"/>
          <w:szCs w:val="22"/>
        </w:rPr>
        <w:t>This scoping review examined the main risks and challenges associated with data privacy in digital health systems within the United Kingdom. Guided by Arksey and O’Malley’s framework, five peer-reviewed UK studies published between 2019 and 202</w:t>
      </w:r>
      <w:r w:rsidR="00CA2028">
        <w:rPr>
          <w:rFonts w:ascii="Arial" w:hAnsi="Arial" w:cs="Arial"/>
          <w:sz w:val="22"/>
          <w:szCs w:val="22"/>
        </w:rPr>
        <w:t>5</w:t>
      </w:r>
      <w:r w:rsidRPr="00F700B3">
        <w:rPr>
          <w:rFonts w:ascii="Arial" w:hAnsi="Arial" w:cs="Arial"/>
          <w:sz w:val="22"/>
          <w:szCs w:val="22"/>
        </w:rPr>
        <w:t xml:space="preserve"> were reviewed to identify recurring issues in governance, technology, ethics, and trust. Data were charted and </w:t>
      </w:r>
      <w:proofErr w:type="spellStart"/>
      <w:r w:rsidR="006B7D4E">
        <w:rPr>
          <w:rFonts w:ascii="Arial" w:hAnsi="Arial" w:cs="Arial"/>
          <w:sz w:val="22"/>
          <w:szCs w:val="22"/>
        </w:rPr>
        <w:t>analysed</w:t>
      </w:r>
      <w:proofErr w:type="spellEnd"/>
      <w:r w:rsidRPr="00F700B3">
        <w:rPr>
          <w:rFonts w:ascii="Arial" w:hAnsi="Arial" w:cs="Arial"/>
          <w:sz w:val="22"/>
          <w:szCs w:val="22"/>
        </w:rPr>
        <w:t xml:space="preserve"> thematically following Aveyard’s approach.</w:t>
      </w:r>
    </w:p>
    <w:p w14:paraId="61D64C8A" w14:textId="77777777" w:rsidR="00F700B3" w:rsidRPr="00F700B3" w:rsidRDefault="00F700B3" w:rsidP="00F700B3">
      <w:pPr>
        <w:jc w:val="both"/>
        <w:rPr>
          <w:rFonts w:ascii="Arial" w:hAnsi="Arial" w:cs="Arial"/>
          <w:sz w:val="22"/>
          <w:szCs w:val="22"/>
        </w:rPr>
      </w:pPr>
      <w:r w:rsidRPr="00F700B3">
        <w:rPr>
          <w:rFonts w:ascii="Arial" w:hAnsi="Arial" w:cs="Arial"/>
          <w:sz w:val="22"/>
          <w:szCs w:val="22"/>
        </w:rPr>
        <w:t xml:space="preserve">The findings reveal four major themes: fragmented governance and limited transparency, technical vulnerabilities and interoperability failures, ethical and consent challenges, and declining public trust in digital health tools. Despite the presence of comprehensive legal frameworks such as the Data Protection Act (2018) and GDPR, the studies show inconsistent implementation across NHS </w:t>
      </w:r>
      <w:proofErr w:type="spellStart"/>
      <w:r w:rsidRPr="00F700B3">
        <w:rPr>
          <w:rFonts w:ascii="Arial" w:hAnsi="Arial" w:cs="Arial"/>
          <w:sz w:val="22"/>
          <w:szCs w:val="22"/>
        </w:rPr>
        <w:t>organisations</w:t>
      </w:r>
      <w:proofErr w:type="spellEnd"/>
      <w:r w:rsidRPr="00F700B3">
        <w:rPr>
          <w:rFonts w:ascii="Arial" w:hAnsi="Arial" w:cs="Arial"/>
          <w:sz w:val="22"/>
          <w:szCs w:val="22"/>
        </w:rPr>
        <w:t>. Weak coordination between institutions, outdated information systems, and inadequate communication about data use continue to expose patient information to potential misuse.</w:t>
      </w:r>
    </w:p>
    <w:p w14:paraId="6FBF192C" w14:textId="5C25D77C" w:rsidR="00F700B3" w:rsidRPr="00276142" w:rsidRDefault="00F700B3" w:rsidP="00CD5CEE">
      <w:pPr>
        <w:jc w:val="both"/>
        <w:rPr>
          <w:rFonts w:ascii="Arial" w:hAnsi="Arial" w:cs="Arial"/>
          <w:sz w:val="22"/>
          <w:szCs w:val="22"/>
        </w:rPr>
      </w:pPr>
      <w:r w:rsidRPr="00F700B3">
        <w:rPr>
          <w:rFonts w:ascii="Arial" w:hAnsi="Arial" w:cs="Arial"/>
          <w:sz w:val="22"/>
          <w:szCs w:val="22"/>
        </w:rPr>
        <w:t xml:space="preserve">The review concludes that privacy protection in UK digital health systems depends on stronger national oversight, interoperable infrastructure, and transparent data governance. It recommends </w:t>
      </w:r>
      <w:proofErr w:type="spellStart"/>
      <w:r w:rsidRPr="00F700B3">
        <w:rPr>
          <w:rFonts w:ascii="Arial" w:hAnsi="Arial" w:cs="Arial"/>
          <w:sz w:val="22"/>
          <w:szCs w:val="22"/>
        </w:rPr>
        <w:t>standardising</w:t>
      </w:r>
      <w:proofErr w:type="spellEnd"/>
      <w:r w:rsidRPr="00F700B3">
        <w:rPr>
          <w:rFonts w:ascii="Arial" w:hAnsi="Arial" w:cs="Arial"/>
          <w:sz w:val="22"/>
          <w:szCs w:val="22"/>
        </w:rPr>
        <w:t xml:space="preserve"> Secure Data Environments (SDEs), embedding ethical evaluation in data use decisions, and expanding staff training on digital confidentiality. Future research should assess the impact of new governance models on privacy outcomes and public confidence in NHS digital services.</w:t>
      </w:r>
    </w:p>
    <w:p w14:paraId="0FBA4533" w14:textId="2566E055" w:rsidR="004B543B" w:rsidRPr="00261E74" w:rsidRDefault="00CD5CEE" w:rsidP="00261E74">
      <w:pPr>
        <w:jc w:val="both"/>
        <w:rPr>
          <w:rFonts w:ascii="Arial" w:hAnsi="Arial" w:cs="Arial"/>
          <w:i/>
          <w:iCs/>
          <w:sz w:val="22"/>
          <w:szCs w:val="22"/>
        </w:rPr>
      </w:pPr>
      <w:r w:rsidRPr="00276142">
        <w:rPr>
          <w:rFonts w:ascii="Arial" w:hAnsi="Arial" w:cs="Arial"/>
          <w:b/>
          <w:bCs/>
          <w:sz w:val="22"/>
          <w:szCs w:val="22"/>
        </w:rPr>
        <w:t>Keywords:</w:t>
      </w:r>
      <w:r w:rsidRPr="00276142">
        <w:rPr>
          <w:rFonts w:ascii="Arial" w:hAnsi="Arial" w:cs="Arial"/>
          <w:i/>
          <w:iCs/>
          <w:sz w:val="22"/>
          <w:szCs w:val="22"/>
        </w:rPr>
        <w:t xml:space="preserve"> Data Privacy, </w:t>
      </w:r>
      <w:r w:rsidRPr="00CD5CEE">
        <w:rPr>
          <w:rFonts w:ascii="Arial" w:hAnsi="Arial" w:cs="Arial"/>
          <w:i/>
          <w:iCs/>
          <w:sz w:val="22"/>
          <w:szCs w:val="22"/>
        </w:rPr>
        <w:t>Digital Health</w:t>
      </w:r>
      <w:r w:rsidRPr="00276142">
        <w:rPr>
          <w:rFonts w:ascii="Arial" w:hAnsi="Arial" w:cs="Arial"/>
          <w:i/>
          <w:iCs/>
          <w:sz w:val="22"/>
          <w:szCs w:val="22"/>
        </w:rPr>
        <w:t xml:space="preserve">, </w:t>
      </w:r>
      <w:r w:rsidRPr="00CD5CEE">
        <w:rPr>
          <w:rFonts w:ascii="Arial" w:hAnsi="Arial" w:cs="Arial"/>
          <w:i/>
          <w:iCs/>
          <w:sz w:val="22"/>
          <w:szCs w:val="22"/>
        </w:rPr>
        <w:t>Health Information Governance</w:t>
      </w:r>
      <w:r w:rsidRPr="00276142">
        <w:rPr>
          <w:rFonts w:ascii="Arial" w:hAnsi="Arial" w:cs="Arial"/>
          <w:i/>
          <w:iCs/>
          <w:sz w:val="22"/>
          <w:szCs w:val="22"/>
        </w:rPr>
        <w:t xml:space="preserve">, </w:t>
      </w:r>
      <w:r w:rsidRPr="00CD5CEE">
        <w:rPr>
          <w:rFonts w:ascii="Arial" w:hAnsi="Arial" w:cs="Arial"/>
          <w:i/>
          <w:iCs/>
          <w:sz w:val="22"/>
          <w:szCs w:val="22"/>
        </w:rPr>
        <w:t>Public Trust</w:t>
      </w:r>
      <w:r w:rsidRPr="00276142">
        <w:rPr>
          <w:rFonts w:ascii="Arial" w:hAnsi="Arial" w:cs="Arial"/>
          <w:i/>
          <w:iCs/>
          <w:sz w:val="22"/>
          <w:szCs w:val="22"/>
        </w:rPr>
        <w:t>.</w:t>
      </w:r>
    </w:p>
    <w:p w14:paraId="50C978A3" w14:textId="77777777" w:rsidR="00F700B3" w:rsidRDefault="00F700B3" w:rsidP="004B543B">
      <w:pPr>
        <w:jc w:val="center"/>
      </w:pPr>
    </w:p>
    <w:p w14:paraId="54E83DE8" w14:textId="77777777" w:rsidR="00F700B3" w:rsidRDefault="00F700B3" w:rsidP="004B543B">
      <w:pPr>
        <w:jc w:val="center"/>
      </w:pPr>
    </w:p>
    <w:p w14:paraId="334912DC" w14:textId="77777777" w:rsidR="00F700B3" w:rsidRDefault="00F700B3" w:rsidP="004B543B">
      <w:pPr>
        <w:jc w:val="center"/>
      </w:pPr>
    </w:p>
    <w:p w14:paraId="237EC985" w14:textId="77777777" w:rsidR="00276142" w:rsidRDefault="00276142" w:rsidP="001D09C7"/>
    <w:p w14:paraId="584E0F3A" w14:textId="5F3B287B" w:rsidR="00627570" w:rsidRPr="00276142" w:rsidRDefault="004B543B" w:rsidP="001E180F">
      <w:pPr>
        <w:pStyle w:val="ListParagraph"/>
        <w:numPr>
          <w:ilvl w:val="0"/>
          <w:numId w:val="7"/>
        </w:numPr>
        <w:spacing w:line="360" w:lineRule="auto"/>
        <w:jc w:val="both"/>
        <w:rPr>
          <w:rFonts w:ascii="Arial" w:hAnsi="Arial" w:cs="Arial"/>
          <w:b/>
          <w:bCs/>
          <w:sz w:val="22"/>
          <w:szCs w:val="22"/>
        </w:rPr>
      </w:pPr>
      <w:bookmarkStart w:id="0" w:name="_Hlk213911907"/>
      <w:r w:rsidRPr="00276142">
        <w:rPr>
          <w:rFonts w:ascii="Arial" w:hAnsi="Arial" w:cs="Arial"/>
          <w:b/>
          <w:bCs/>
          <w:sz w:val="22"/>
          <w:szCs w:val="22"/>
        </w:rPr>
        <w:t>Introduction</w:t>
      </w:r>
    </w:p>
    <w:bookmarkEnd w:id="0"/>
    <w:p w14:paraId="46BDB7C6" w14:textId="018406EA" w:rsidR="00D50A89" w:rsidRDefault="00D50A89" w:rsidP="00627570">
      <w:pPr>
        <w:spacing w:line="360" w:lineRule="auto"/>
        <w:jc w:val="both"/>
        <w:rPr>
          <w:rFonts w:ascii="Arial" w:hAnsi="Arial" w:cs="Arial"/>
          <w:sz w:val="22"/>
          <w:szCs w:val="22"/>
        </w:rPr>
      </w:pPr>
      <w:r w:rsidRPr="00D50A89">
        <w:rPr>
          <w:rFonts w:ascii="Arial" w:hAnsi="Arial" w:cs="Arial"/>
          <w:sz w:val="22"/>
          <w:szCs w:val="22"/>
        </w:rPr>
        <w:t xml:space="preserve">The United Kingdom is one of the countries relying on digital health systems in the provision of modern healthcare. They include electronic </w:t>
      </w:r>
      <w:r w:rsidR="00EE5E53">
        <w:rPr>
          <w:rFonts w:ascii="Arial" w:hAnsi="Arial" w:cs="Arial"/>
          <w:sz w:val="22"/>
          <w:szCs w:val="22"/>
        </w:rPr>
        <w:t>health</w:t>
      </w:r>
      <w:r w:rsidRPr="00D50A89">
        <w:rPr>
          <w:rFonts w:ascii="Arial" w:hAnsi="Arial" w:cs="Arial"/>
          <w:sz w:val="22"/>
          <w:szCs w:val="22"/>
        </w:rPr>
        <w:t xml:space="preserve"> records, telemedicine, mobile health </w:t>
      </w:r>
      <w:r w:rsidR="00EE5E53">
        <w:rPr>
          <w:rFonts w:ascii="Arial" w:hAnsi="Arial" w:cs="Arial"/>
          <w:sz w:val="22"/>
          <w:szCs w:val="22"/>
        </w:rPr>
        <w:t>applications</w:t>
      </w:r>
      <w:r w:rsidRPr="00D50A89">
        <w:rPr>
          <w:rFonts w:ascii="Arial" w:hAnsi="Arial" w:cs="Arial"/>
          <w:sz w:val="22"/>
          <w:szCs w:val="22"/>
        </w:rPr>
        <w:t xml:space="preserve"> and digital data sharing networks that are deployed by </w:t>
      </w:r>
      <w:r w:rsidR="00EE5E53">
        <w:rPr>
          <w:rFonts w:ascii="Arial" w:hAnsi="Arial" w:cs="Arial"/>
          <w:sz w:val="22"/>
          <w:szCs w:val="22"/>
        </w:rPr>
        <w:t xml:space="preserve">the </w:t>
      </w:r>
      <w:r w:rsidRPr="00D50A89">
        <w:rPr>
          <w:rFonts w:ascii="Arial" w:hAnsi="Arial" w:cs="Arial"/>
          <w:sz w:val="22"/>
          <w:szCs w:val="22"/>
        </w:rPr>
        <w:t xml:space="preserve">National </w:t>
      </w:r>
      <w:r w:rsidR="00EE5E53">
        <w:rPr>
          <w:rFonts w:ascii="Arial" w:hAnsi="Arial" w:cs="Arial"/>
          <w:sz w:val="22"/>
          <w:szCs w:val="22"/>
        </w:rPr>
        <w:t>Health</w:t>
      </w:r>
      <w:r w:rsidRPr="00D50A89">
        <w:rPr>
          <w:rFonts w:ascii="Arial" w:hAnsi="Arial" w:cs="Arial"/>
          <w:sz w:val="22"/>
          <w:szCs w:val="22"/>
        </w:rPr>
        <w:t xml:space="preserve"> Service (NHS) to document, process and share information about the patient (Pope et al, 2024). Such tools are designed to increase efficiency, coordination of care and accessibility of care (Mahadik et al, 2024). But, with healthcare being more data-driven, the problem of security, storage and access of personal information has become more pronounced (</w:t>
      </w:r>
      <w:r w:rsidR="00EE5E53" w:rsidRPr="00D50A89">
        <w:rPr>
          <w:rFonts w:ascii="Arial" w:hAnsi="Arial" w:cs="Arial"/>
          <w:sz w:val="22"/>
          <w:szCs w:val="22"/>
        </w:rPr>
        <w:t>Alma Lawi</w:t>
      </w:r>
      <w:r w:rsidRPr="00D50A89">
        <w:rPr>
          <w:rFonts w:ascii="Arial" w:hAnsi="Arial" w:cs="Arial"/>
          <w:sz w:val="22"/>
          <w:szCs w:val="22"/>
        </w:rPr>
        <w:t xml:space="preserve"> et al, 2023; Tazi et al, 2024).</w:t>
      </w:r>
    </w:p>
    <w:p w14:paraId="0B9A1A5A" w14:textId="2F3DF4B0" w:rsidR="003A1A38" w:rsidRDefault="00D50A89" w:rsidP="00627570">
      <w:pPr>
        <w:spacing w:line="360" w:lineRule="auto"/>
        <w:jc w:val="both"/>
        <w:rPr>
          <w:rFonts w:ascii="Arial" w:hAnsi="Arial" w:cs="Arial"/>
          <w:sz w:val="22"/>
          <w:szCs w:val="22"/>
        </w:rPr>
      </w:pPr>
      <w:r w:rsidRPr="00D50A89">
        <w:rPr>
          <w:rFonts w:ascii="Arial" w:hAnsi="Arial" w:cs="Arial"/>
          <w:sz w:val="22"/>
          <w:szCs w:val="22"/>
        </w:rPr>
        <w:t xml:space="preserve">Data privacy is the right of individuals to control the process of collecting, using and distributing personal information (Jayakumar et al, 2024). In healthcare, this means ensuring that sensitive medical information is not abused, lost or accessed by </w:t>
      </w:r>
      <w:proofErr w:type="spellStart"/>
      <w:r w:rsidR="00EE5E53">
        <w:rPr>
          <w:rFonts w:ascii="Arial" w:hAnsi="Arial" w:cs="Arial"/>
          <w:sz w:val="22"/>
          <w:szCs w:val="22"/>
        </w:rPr>
        <w:t>unauthorised</w:t>
      </w:r>
      <w:proofErr w:type="spellEnd"/>
      <w:r w:rsidRPr="00D50A89">
        <w:rPr>
          <w:rFonts w:ascii="Arial" w:hAnsi="Arial" w:cs="Arial"/>
          <w:sz w:val="22"/>
          <w:szCs w:val="22"/>
        </w:rPr>
        <w:t xml:space="preserve"> people (</w:t>
      </w:r>
      <w:proofErr w:type="spellStart"/>
      <w:r w:rsidRPr="00D50A89">
        <w:rPr>
          <w:rFonts w:ascii="Arial" w:hAnsi="Arial" w:cs="Arial"/>
          <w:sz w:val="22"/>
          <w:szCs w:val="22"/>
        </w:rPr>
        <w:t>Alrashdi</w:t>
      </w:r>
      <w:proofErr w:type="spellEnd"/>
      <w:r w:rsidRPr="00D50A89">
        <w:rPr>
          <w:rFonts w:ascii="Arial" w:hAnsi="Arial" w:cs="Arial"/>
          <w:sz w:val="22"/>
          <w:szCs w:val="22"/>
        </w:rPr>
        <w:t xml:space="preserve"> et al, 2024). </w:t>
      </w:r>
      <w:r w:rsidR="00EE5E53">
        <w:rPr>
          <w:rFonts w:ascii="Arial" w:hAnsi="Arial" w:cs="Arial"/>
          <w:sz w:val="22"/>
          <w:szCs w:val="22"/>
        </w:rPr>
        <w:t xml:space="preserve">The </w:t>
      </w:r>
      <w:r w:rsidRPr="00D50A89">
        <w:rPr>
          <w:rFonts w:ascii="Arial" w:hAnsi="Arial" w:cs="Arial"/>
          <w:sz w:val="22"/>
          <w:szCs w:val="22"/>
        </w:rPr>
        <w:t>UK has implemented effective legal and ethical standards to ensure patient information protection</w:t>
      </w:r>
      <w:r w:rsidR="00EE5E53">
        <w:rPr>
          <w:rFonts w:ascii="Arial" w:hAnsi="Arial" w:cs="Arial"/>
          <w:sz w:val="22"/>
          <w:szCs w:val="22"/>
        </w:rPr>
        <w:t>,</w:t>
      </w:r>
      <w:r w:rsidRPr="00D50A89">
        <w:rPr>
          <w:rFonts w:ascii="Arial" w:hAnsi="Arial" w:cs="Arial"/>
          <w:sz w:val="22"/>
          <w:szCs w:val="22"/>
        </w:rPr>
        <w:t xml:space="preserve"> such as </w:t>
      </w:r>
      <w:r w:rsidR="00EE5E53">
        <w:rPr>
          <w:rFonts w:ascii="Arial" w:hAnsi="Arial" w:cs="Arial"/>
          <w:sz w:val="22"/>
          <w:szCs w:val="22"/>
        </w:rPr>
        <w:t xml:space="preserve">the </w:t>
      </w:r>
      <w:r w:rsidRPr="00D50A89">
        <w:rPr>
          <w:rFonts w:ascii="Arial" w:hAnsi="Arial" w:cs="Arial"/>
          <w:sz w:val="22"/>
          <w:szCs w:val="22"/>
        </w:rPr>
        <w:t xml:space="preserve">Data Protection Act (2018) </w:t>
      </w:r>
      <w:r w:rsidR="00EE5E53">
        <w:rPr>
          <w:rFonts w:ascii="Arial" w:hAnsi="Arial" w:cs="Arial"/>
          <w:sz w:val="22"/>
          <w:szCs w:val="22"/>
        </w:rPr>
        <w:t>ensures</w:t>
      </w:r>
      <w:r w:rsidRPr="00D50A89">
        <w:rPr>
          <w:rFonts w:ascii="Arial" w:hAnsi="Arial" w:cs="Arial"/>
          <w:sz w:val="22"/>
          <w:szCs w:val="22"/>
        </w:rPr>
        <w:t xml:space="preserve"> the principles of fairness, transparency and accountability under </w:t>
      </w:r>
      <w:r w:rsidR="00EE5E53">
        <w:rPr>
          <w:rFonts w:ascii="Arial" w:hAnsi="Arial" w:cs="Arial"/>
          <w:sz w:val="22"/>
          <w:szCs w:val="22"/>
        </w:rPr>
        <w:t xml:space="preserve">the </w:t>
      </w:r>
      <w:r w:rsidRPr="00D50A89">
        <w:rPr>
          <w:rFonts w:ascii="Arial" w:hAnsi="Arial" w:cs="Arial"/>
          <w:sz w:val="22"/>
          <w:szCs w:val="22"/>
        </w:rPr>
        <w:t xml:space="preserve">General Data Protection Regulation (GDPR) (Gov.UK, 2018). Complementary guidance, such as the Caldicott Principles, the recommendations of the National Data Guardian (NDG) </w:t>
      </w:r>
      <w:proofErr w:type="spellStart"/>
      <w:r w:rsidRPr="00D50A89">
        <w:rPr>
          <w:rFonts w:ascii="Arial" w:hAnsi="Arial" w:cs="Arial"/>
          <w:sz w:val="22"/>
          <w:szCs w:val="22"/>
        </w:rPr>
        <w:t>emphasise</w:t>
      </w:r>
      <w:proofErr w:type="spellEnd"/>
      <w:r w:rsidRPr="00D50A89">
        <w:rPr>
          <w:rFonts w:ascii="Arial" w:hAnsi="Arial" w:cs="Arial"/>
          <w:sz w:val="22"/>
          <w:szCs w:val="22"/>
        </w:rPr>
        <w:t xml:space="preserve"> the importance of confidentiality being the mainstay of any health and social care </w:t>
      </w:r>
      <w:proofErr w:type="spellStart"/>
      <w:r w:rsidRPr="00D50A89">
        <w:rPr>
          <w:rFonts w:ascii="Arial" w:hAnsi="Arial" w:cs="Arial"/>
          <w:sz w:val="22"/>
          <w:szCs w:val="22"/>
        </w:rPr>
        <w:t>endeavours</w:t>
      </w:r>
      <w:proofErr w:type="spellEnd"/>
      <w:r w:rsidRPr="00D50A89">
        <w:rPr>
          <w:rFonts w:ascii="Arial" w:hAnsi="Arial" w:cs="Arial"/>
          <w:sz w:val="22"/>
          <w:szCs w:val="22"/>
        </w:rPr>
        <w:t xml:space="preserve"> (Department of Health and Social Care, 2020). </w:t>
      </w:r>
      <w:r w:rsidR="003A1A38" w:rsidRPr="003A1A38">
        <w:rPr>
          <w:rFonts w:ascii="Arial" w:hAnsi="Arial" w:cs="Arial"/>
          <w:sz w:val="22"/>
          <w:szCs w:val="22"/>
        </w:rPr>
        <w:t>Regardless of these safeguards, recent cases have demonstrated that even policy cannot ensure privacy as it remains a challenge due to the vulnerability of the systems, lack of responsibilities, and technology (Zhang et al, 2023; Warren et al, 2019).</w:t>
      </w:r>
    </w:p>
    <w:p w14:paraId="7FCA0963" w14:textId="06B67194" w:rsidR="00170508" w:rsidRDefault="00170508" w:rsidP="00627570">
      <w:pPr>
        <w:spacing w:line="360" w:lineRule="auto"/>
        <w:jc w:val="both"/>
        <w:rPr>
          <w:rFonts w:ascii="Arial" w:hAnsi="Arial" w:cs="Arial"/>
          <w:sz w:val="22"/>
          <w:szCs w:val="22"/>
        </w:rPr>
      </w:pPr>
      <w:r w:rsidRPr="00170508">
        <w:rPr>
          <w:rFonts w:ascii="Arial" w:hAnsi="Arial" w:cs="Arial"/>
          <w:sz w:val="22"/>
          <w:szCs w:val="22"/>
        </w:rPr>
        <w:t>Privacy threats in online health systems are now of high priority</w:t>
      </w:r>
      <w:r w:rsidR="006B7D4E">
        <w:rPr>
          <w:rFonts w:ascii="Arial" w:hAnsi="Arial" w:cs="Arial"/>
          <w:sz w:val="22"/>
          <w:szCs w:val="22"/>
        </w:rPr>
        <w:t>,</w:t>
      </w:r>
      <w:r w:rsidRPr="00170508">
        <w:rPr>
          <w:rFonts w:ascii="Arial" w:hAnsi="Arial" w:cs="Arial"/>
          <w:sz w:val="22"/>
          <w:szCs w:val="22"/>
        </w:rPr>
        <w:t xml:space="preserve"> with various controversies and cyber-attack incidents related to the NHS. </w:t>
      </w:r>
      <w:r w:rsidR="006B7D4E">
        <w:rPr>
          <w:rFonts w:ascii="Arial" w:hAnsi="Arial" w:cs="Arial"/>
          <w:sz w:val="22"/>
          <w:szCs w:val="22"/>
        </w:rPr>
        <w:t xml:space="preserve">The </w:t>
      </w:r>
      <w:r w:rsidRPr="00170508">
        <w:rPr>
          <w:rFonts w:ascii="Arial" w:hAnsi="Arial" w:cs="Arial"/>
          <w:sz w:val="22"/>
          <w:szCs w:val="22"/>
        </w:rPr>
        <w:t>WannaCry ransomware attack that occurred in 2017, as examined by Ghafur et al. (2019), not only affected the services but also revealed the vulnerability of digital infrastructure. It has also been shown that there is unequal confidence among the population. Kerasidou (2023) identified that patients have confidence in the NHS as a service provider, but they feel uncomfortable when their information is distributed to business or research partners</w:t>
      </w:r>
      <w:r w:rsidR="00627570" w:rsidRPr="00627570">
        <w:rPr>
          <w:rFonts w:ascii="Arial" w:hAnsi="Arial" w:cs="Arial"/>
          <w:sz w:val="22"/>
          <w:szCs w:val="22"/>
        </w:rPr>
        <w:t xml:space="preserve">. </w:t>
      </w:r>
      <w:r w:rsidRPr="00170508">
        <w:rPr>
          <w:rFonts w:ascii="Arial" w:hAnsi="Arial" w:cs="Arial"/>
          <w:sz w:val="22"/>
          <w:szCs w:val="22"/>
        </w:rPr>
        <w:t xml:space="preserve">Such developments demonstrate that the threat </w:t>
      </w:r>
      <w:r w:rsidR="006B7D4E">
        <w:rPr>
          <w:rFonts w:ascii="Arial" w:hAnsi="Arial" w:cs="Arial"/>
          <w:sz w:val="22"/>
          <w:szCs w:val="22"/>
        </w:rPr>
        <w:t>to</w:t>
      </w:r>
      <w:r w:rsidRPr="00170508">
        <w:rPr>
          <w:rFonts w:ascii="Arial" w:hAnsi="Arial" w:cs="Arial"/>
          <w:sz w:val="22"/>
          <w:szCs w:val="22"/>
        </w:rPr>
        <w:t xml:space="preserve"> privacy in digital health is not only technical but also ethical, social and </w:t>
      </w:r>
      <w:proofErr w:type="spellStart"/>
      <w:r w:rsidR="006B7D4E">
        <w:rPr>
          <w:rFonts w:ascii="Arial" w:hAnsi="Arial" w:cs="Arial"/>
          <w:sz w:val="22"/>
          <w:szCs w:val="22"/>
        </w:rPr>
        <w:t>organisational</w:t>
      </w:r>
      <w:proofErr w:type="spellEnd"/>
      <w:r w:rsidRPr="00170508">
        <w:rPr>
          <w:rFonts w:ascii="Arial" w:hAnsi="Arial" w:cs="Arial"/>
          <w:sz w:val="22"/>
          <w:szCs w:val="22"/>
        </w:rPr>
        <w:t xml:space="preserve"> in nature</w:t>
      </w:r>
      <w:r w:rsidR="006B7D4E">
        <w:rPr>
          <w:rFonts w:ascii="Arial" w:hAnsi="Arial" w:cs="Arial"/>
          <w:sz w:val="22"/>
          <w:szCs w:val="22"/>
        </w:rPr>
        <w:t>,</w:t>
      </w:r>
      <w:r w:rsidRPr="00170508">
        <w:rPr>
          <w:rFonts w:ascii="Arial" w:hAnsi="Arial" w:cs="Arial"/>
          <w:sz w:val="22"/>
          <w:szCs w:val="22"/>
        </w:rPr>
        <w:t xml:space="preserve"> </w:t>
      </w:r>
      <w:r w:rsidR="006B7D4E">
        <w:rPr>
          <w:rFonts w:ascii="Arial" w:hAnsi="Arial" w:cs="Arial"/>
          <w:sz w:val="22"/>
          <w:szCs w:val="22"/>
        </w:rPr>
        <w:t>which</w:t>
      </w:r>
      <w:r w:rsidRPr="00170508">
        <w:rPr>
          <w:rFonts w:ascii="Arial" w:hAnsi="Arial" w:cs="Arial"/>
          <w:sz w:val="22"/>
          <w:szCs w:val="22"/>
        </w:rPr>
        <w:t xml:space="preserve"> influences the way individuals use healthcare innovation.</w:t>
      </w:r>
    </w:p>
    <w:p w14:paraId="4CC6C085" w14:textId="77777777" w:rsidR="00170508" w:rsidRDefault="00170508" w:rsidP="00627570">
      <w:pPr>
        <w:spacing w:line="360" w:lineRule="auto"/>
        <w:jc w:val="both"/>
        <w:rPr>
          <w:rFonts w:ascii="Arial" w:hAnsi="Arial" w:cs="Arial"/>
          <w:sz w:val="22"/>
          <w:szCs w:val="22"/>
        </w:rPr>
      </w:pPr>
    </w:p>
    <w:p w14:paraId="19750151" w14:textId="77777777" w:rsidR="00170508" w:rsidRDefault="00170508" w:rsidP="00627570">
      <w:pPr>
        <w:spacing w:line="360" w:lineRule="auto"/>
        <w:jc w:val="both"/>
        <w:rPr>
          <w:rFonts w:ascii="Arial" w:hAnsi="Arial" w:cs="Arial"/>
          <w:sz w:val="22"/>
          <w:szCs w:val="22"/>
        </w:rPr>
      </w:pPr>
    </w:p>
    <w:p w14:paraId="1F073723" w14:textId="72DB0816" w:rsidR="00174B4D" w:rsidRPr="00276142" w:rsidRDefault="00627570" w:rsidP="00174B4D">
      <w:pPr>
        <w:pStyle w:val="ListParagraph"/>
        <w:numPr>
          <w:ilvl w:val="1"/>
          <w:numId w:val="7"/>
        </w:numPr>
        <w:spacing w:line="360" w:lineRule="auto"/>
        <w:jc w:val="both"/>
        <w:rPr>
          <w:rFonts w:ascii="Arial" w:hAnsi="Arial" w:cs="Arial"/>
          <w:b/>
          <w:bCs/>
          <w:sz w:val="22"/>
          <w:szCs w:val="22"/>
        </w:rPr>
      </w:pPr>
      <w:bookmarkStart w:id="1" w:name="_Hlk213912116"/>
      <w:r w:rsidRPr="00276142">
        <w:rPr>
          <w:rFonts w:ascii="Arial" w:hAnsi="Arial" w:cs="Arial"/>
          <w:b/>
          <w:bCs/>
          <w:sz w:val="22"/>
          <w:szCs w:val="22"/>
        </w:rPr>
        <w:t>Rationale</w:t>
      </w:r>
    </w:p>
    <w:bookmarkEnd w:id="1"/>
    <w:p w14:paraId="2073A59E" w14:textId="101C00C7" w:rsidR="00627570" w:rsidRPr="00276142" w:rsidRDefault="00627570" w:rsidP="00174B4D">
      <w:pPr>
        <w:spacing w:line="360" w:lineRule="auto"/>
        <w:jc w:val="both"/>
        <w:rPr>
          <w:rFonts w:ascii="Arial" w:hAnsi="Arial" w:cs="Arial"/>
          <w:sz w:val="22"/>
          <w:szCs w:val="22"/>
        </w:rPr>
      </w:pPr>
      <w:r w:rsidRPr="00276142">
        <w:rPr>
          <w:rFonts w:ascii="Arial" w:hAnsi="Arial" w:cs="Arial"/>
          <w:sz w:val="22"/>
          <w:szCs w:val="22"/>
        </w:rPr>
        <w:t>This review is important because the success of digital transformation in the NHS depends on public trust. Without clear evidence of where privacy risks occur and how they can be managed, policy and practice may fail to meet public expectations for confidentiality and accountability.</w:t>
      </w:r>
    </w:p>
    <w:p w14:paraId="4481C108" w14:textId="63DE0C0F" w:rsidR="00627570" w:rsidRPr="00276142" w:rsidRDefault="00174B4D" w:rsidP="00627570">
      <w:pPr>
        <w:spacing w:line="360" w:lineRule="auto"/>
        <w:jc w:val="both"/>
        <w:rPr>
          <w:rFonts w:ascii="Arial" w:hAnsi="Arial" w:cs="Arial"/>
          <w:b/>
          <w:bCs/>
          <w:sz w:val="22"/>
          <w:szCs w:val="22"/>
        </w:rPr>
      </w:pPr>
      <w:bookmarkStart w:id="2" w:name="_Hlk213912135"/>
      <w:r w:rsidRPr="00276142">
        <w:rPr>
          <w:rFonts w:ascii="Arial" w:hAnsi="Arial" w:cs="Arial"/>
          <w:b/>
          <w:bCs/>
          <w:sz w:val="22"/>
          <w:szCs w:val="22"/>
        </w:rPr>
        <w:t xml:space="preserve">1.2 </w:t>
      </w:r>
      <w:r w:rsidR="00627570" w:rsidRPr="00627570">
        <w:rPr>
          <w:rFonts w:ascii="Arial" w:hAnsi="Arial" w:cs="Arial"/>
          <w:b/>
          <w:bCs/>
          <w:sz w:val="22"/>
          <w:szCs w:val="22"/>
        </w:rPr>
        <w:t>Review question</w:t>
      </w:r>
    </w:p>
    <w:bookmarkEnd w:id="2"/>
    <w:p w14:paraId="0FA56B34" w14:textId="40D73044" w:rsidR="00627570" w:rsidRPr="00627570" w:rsidRDefault="00627570" w:rsidP="00627570">
      <w:pPr>
        <w:spacing w:line="360" w:lineRule="auto"/>
        <w:jc w:val="both"/>
        <w:rPr>
          <w:rFonts w:ascii="Arial" w:hAnsi="Arial" w:cs="Arial"/>
          <w:sz w:val="22"/>
          <w:szCs w:val="22"/>
        </w:rPr>
      </w:pPr>
      <w:r w:rsidRPr="00627570">
        <w:rPr>
          <w:rFonts w:ascii="Arial" w:hAnsi="Arial" w:cs="Arial"/>
          <w:i/>
          <w:iCs/>
          <w:sz w:val="22"/>
          <w:szCs w:val="22"/>
        </w:rPr>
        <w:t>What are the main risks and challenges associated with data privacy in digital health systems in the United Kingdom?</w:t>
      </w:r>
    </w:p>
    <w:p w14:paraId="580E6455" w14:textId="484B381A" w:rsidR="00627570" w:rsidRPr="00627570" w:rsidRDefault="00174B4D" w:rsidP="00627570">
      <w:pPr>
        <w:spacing w:line="360" w:lineRule="auto"/>
        <w:jc w:val="both"/>
        <w:rPr>
          <w:rFonts w:ascii="Arial" w:hAnsi="Arial" w:cs="Arial"/>
          <w:sz w:val="22"/>
          <w:szCs w:val="22"/>
        </w:rPr>
      </w:pPr>
      <w:bookmarkStart w:id="3" w:name="_Hlk213912262"/>
      <w:r w:rsidRPr="00276142">
        <w:rPr>
          <w:rFonts w:ascii="Arial" w:hAnsi="Arial" w:cs="Arial"/>
          <w:b/>
          <w:bCs/>
          <w:sz w:val="22"/>
          <w:szCs w:val="22"/>
        </w:rPr>
        <w:t xml:space="preserve">1.3 </w:t>
      </w:r>
      <w:r w:rsidR="00627570" w:rsidRPr="00627570">
        <w:rPr>
          <w:rFonts w:ascii="Arial" w:hAnsi="Arial" w:cs="Arial"/>
          <w:b/>
          <w:bCs/>
          <w:sz w:val="22"/>
          <w:szCs w:val="22"/>
        </w:rPr>
        <w:t>Objectives</w:t>
      </w:r>
    </w:p>
    <w:bookmarkEnd w:id="3"/>
    <w:p w14:paraId="3B2C04CB" w14:textId="77777777" w:rsidR="00627570" w:rsidRPr="00627570" w:rsidRDefault="00627570" w:rsidP="00627570">
      <w:pPr>
        <w:numPr>
          <w:ilvl w:val="0"/>
          <w:numId w:val="9"/>
        </w:numPr>
        <w:spacing w:line="360" w:lineRule="auto"/>
        <w:jc w:val="both"/>
        <w:rPr>
          <w:rFonts w:ascii="Arial" w:hAnsi="Arial" w:cs="Arial"/>
          <w:sz w:val="22"/>
          <w:szCs w:val="22"/>
        </w:rPr>
      </w:pPr>
      <w:r w:rsidRPr="00627570">
        <w:rPr>
          <w:rFonts w:ascii="Arial" w:hAnsi="Arial" w:cs="Arial"/>
          <w:sz w:val="22"/>
          <w:szCs w:val="22"/>
        </w:rPr>
        <w:t>To identify and discuss key risks and challenges that threaten data privacy in UK digital health systems.</w:t>
      </w:r>
    </w:p>
    <w:p w14:paraId="22C0B983" w14:textId="77777777" w:rsidR="00627570" w:rsidRPr="00627570" w:rsidRDefault="00627570" w:rsidP="00627570">
      <w:pPr>
        <w:numPr>
          <w:ilvl w:val="0"/>
          <w:numId w:val="9"/>
        </w:numPr>
        <w:spacing w:line="360" w:lineRule="auto"/>
        <w:jc w:val="both"/>
        <w:rPr>
          <w:rFonts w:ascii="Arial" w:hAnsi="Arial" w:cs="Arial"/>
          <w:sz w:val="22"/>
          <w:szCs w:val="22"/>
        </w:rPr>
      </w:pPr>
      <w:r w:rsidRPr="00627570">
        <w:rPr>
          <w:rFonts w:ascii="Arial" w:hAnsi="Arial" w:cs="Arial"/>
          <w:sz w:val="22"/>
          <w:szCs w:val="22"/>
        </w:rPr>
        <w:t>To examine how governance, technology, and ethics influence data protection practices.</w:t>
      </w:r>
    </w:p>
    <w:p w14:paraId="7E69B813" w14:textId="77CE5F9A" w:rsidR="00627570" w:rsidRPr="00276142" w:rsidRDefault="00627570" w:rsidP="001E180F">
      <w:pPr>
        <w:numPr>
          <w:ilvl w:val="0"/>
          <w:numId w:val="9"/>
        </w:numPr>
        <w:spacing w:line="360" w:lineRule="auto"/>
        <w:jc w:val="both"/>
        <w:rPr>
          <w:rFonts w:ascii="Arial" w:hAnsi="Arial" w:cs="Arial"/>
          <w:sz w:val="22"/>
          <w:szCs w:val="22"/>
        </w:rPr>
      </w:pPr>
      <w:r w:rsidRPr="00627570">
        <w:rPr>
          <w:rFonts w:ascii="Arial" w:hAnsi="Arial" w:cs="Arial"/>
          <w:sz w:val="22"/>
          <w:szCs w:val="22"/>
        </w:rPr>
        <w:t>To suggest practical and evidence-based measures that can strengthen data privacy within UK healthcare.</w:t>
      </w:r>
    </w:p>
    <w:p w14:paraId="34D4A8C3" w14:textId="39BBB79C" w:rsidR="00627570" w:rsidRPr="00276142" w:rsidRDefault="00C70D67" w:rsidP="00276142">
      <w:pPr>
        <w:pStyle w:val="ListParagraph"/>
        <w:numPr>
          <w:ilvl w:val="0"/>
          <w:numId w:val="7"/>
        </w:numPr>
        <w:spacing w:line="360" w:lineRule="auto"/>
        <w:jc w:val="both"/>
        <w:rPr>
          <w:rFonts w:ascii="Arial" w:hAnsi="Arial" w:cs="Arial"/>
          <w:b/>
          <w:bCs/>
          <w:sz w:val="22"/>
          <w:szCs w:val="22"/>
        </w:rPr>
      </w:pPr>
      <w:bookmarkStart w:id="4" w:name="_Hlk213912349"/>
      <w:r w:rsidRPr="00276142">
        <w:rPr>
          <w:rFonts w:ascii="Arial" w:hAnsi="Arial" w:cs="Arial"/>
          <w:b/>
          <w:bCs/>
          <w:sz w:val="22"/>
          <w:szCs w:val="22"/>
        </w:rPr>
        <w:t>Background</w:t>
      </w:r>
    </w:p>
    <w:bookmarkEnd w:id="4"/>
    <w:p w14:paraId="39ACC7F5" w14:textId="237C5685" w:rsidR="00A05172" w:rsidRPr="00C373D6" w:rsidRDefault="00A31EF3" w:rsidP="00AB29CF">
      <w:pPr>
        <w:spacing w:line="360" w:lineRule="auto"/>
        <w:jc w:val="both"/>
        <w:rPr>
          <w:rFonts w:ascii="Arial" w:hAnsi="Arial" w:cs="Arial"/>
          <w:sz w:val="22"/>
          <w:szCs w:val="22"/>
        </w:rPr>
      </w:pPr>
      <w:r w:rsidRPr="00C373D6">
        <w:rPr>
          <w:rFonts w:ascii="Arial" w:hAnsi="Arial" w:cs="Arial"/>
          <w:sz w:val="22"/>
          <w:szCs w:val="22"/>
        </w:rPr>
        <w:t xml:space="preserve">The digital health systems have now become a significant component in healthcare within the United Kingdom. The National Health Service (NHS) also relies on electronic devices to record patient data, to </w:t>
      </w:r>
      <w:proofErr w:type="spellStart"/>
      <w:r w:rsidRPr="00C373D6">
        <w:rPr>
          <w:rFonts w:ascii="Arial" w:hAnsi="Arial" w:cs="Arial"/>
          <w:sz w:val="22"/>
          <w:szCs w:val="22"/>
        </w:rPr>
        <w:t>organise</w:t>
      </w:r>
      <w:proofErr w:type="spellEnd"/>
      <w:r w:rsidRPr="00C373D6">
        <w:rPr>
          <w:rFonts w:ascii="Arial" w:hAnsi="Arial" w:cs="Arial"/>
          <w:sz w:val="22"/>
          <w:szCs w:val="22"/>
        </w:rPr>
        <w:t xml:space="preserve"> medical data, and to deliver care remotely. This shift to digital records helps national priorities to enhance efficiency, connect services, and promote innovation in health and social care (NHS England, 2023). </w:t>
      </w:r>
      <w:r w:rsidR="00A05172" w:rsidRPr="00C373D6">
        <w:rPr>
          <w:rFonts w:ascii="Arial" w:hAnsi="Arial" w:cs="Arial"/>
          <w:sz w:val="22"/>
          <w:szCs w:val="22"/>
        </w:rPr>
        <w:t>The goal of the Department of Health and Social Care (DHSC) as well as the NHS England is to establish a paperless setting where information enhances patient safety, aids research, and planning (Health and Social Care Committee, 2023). The developments have, however, raised new privacy and data security issues.</w:t>
      </w:r>
    </w:p>
    <w:p w14:paraId="6F7F733B" w14:textId="659BE991" w:rsidR="00A05172" w:rsidRPr="00C373D6" w:rsidRDefault="00A05172" w:rsidP="00AB29CF">
      <w:pPr>
        <w:spacing w:line="360" w:lineRule="auto"/>
        <w:jc w:val="both"/>
        <w:rPr>
          <w:rFonts w:ascii="Arial" w:hAnsi="Arial" w:cs="Arial"/>
          <w:sz w:val="22"/>
          <w:szCs w:val="22"/>
        </w:rPr>
      </w:pPr>
      <w:r w:rsidRPr="00C373D6">
        <w:rPr>
          <w:rFonts w:ascii="Arial" w:hAnsi="Arial" w:cs="Arial"/>
          <w:sz w:val="22"/>
          <w:szCs w:val="22"/>
        </w:rPr>
        <w:t xml:space="preserve">The UK provides a robust policy and legal framework to guard patient data. The primary legislation that regulates the way personal information and health information should be managed is the Data Protection Act (2018) (Gov.UK, 2018). It is based on the General Data Protection Regulation (GDPR) </w:t>
      </w:r>
      <w:r w:rsidR="00AB29CF" w:rsidRPr="00AB29CF">
        <w:rPr>
          <w:rFonts w:ascii="Arial" w:hAnsi="Arial" w:cs="Arial"/>
          <w:sz w:val="22"/>
          <w:szCs w:val="22"/>
        </w:rPr>
        <w:t xml:space="preserve">which sets principles of lawfulness, fairness, purpose limitation, and data </w:t>
      </w:r>
      <w:proofErr w:type="spellStart"/>
      <w:r w:rsidR="006B7D4E" w:rsidRPr="00AB29CF">
        <w:rPr>
          <w:rFonts w:ascii="Arial" w:hAnsi="Arial" w:cs="Arial"/>
          <w:sz w:val="22"/>
          <w:szCs w:val="22"/>
        </w:rPr>
        <w:t>minimi</w:t>
      </w:r>
      <w:r w:rsidR="00700F42">
        <w:rPr>
          <w:rFonts w:ascii="Arial" w:hAnsi="Arial" w:cs="Arial"/>
          <w:sz w:val="22"/>
          <w:szCs w:val="22"/>
        </w:rPr>
        <w:t>s</w:t>
      </w:r>
      <w:r w:rsidR="006B7D4E" w:rsidRPr="00AB29CF">
        <w:rPr>
          <w:rFonts w:ascii="Arial" w:hAnsi="Arial" w:cs="Arial"/>
          <w:sz w:val="22"/>
          <w:szCs w:val="22"/>
        </w:rPr>
        <w:t>ation</w:t>
      </w:r>
      <w:proofErr w:type="spellEnd"/>
      <w:r w:rsidR="00AB29CF" w:rsidRPr="00AB29CF">
        <w:rPr>
          <w:rFonts w:ascii="Arial" w:hAnsi="Arial" w:cs="Arial"/>
          <w:sz w:val="22"/>
          <w:szCs w:val="22"/>
        </w:rPr>
        <w:t xml:space="preserve"> (European Union, 2016). </w:t>
      </w:r>
      <w:r w:rsidRPr="00C373D6">
        <w:rPr>
          <w:rFonts w:ascii="Arial" w:hAnsi="Arial" w:cs="Arial"/>
          <w:sz w:val="22"/>
          <w:szCs w:val="22"/>
        </w:rPr>
        <w:t xml:space="preserve">These policies mandate that </w:t>
      </w:r>
      <w:proofErr w:type="spellStart"/>
      <w:r w:rsidRPr="00C373D6">
        <w:rPr>
          <w:rFonts w:ascii="Arial" w:hAnsi="Arial" w:cs="Arial"/>
          <w:sz w:val="22"/>
          <w:szCs w:val="22"/>
        </w:rPr>
        <w:t>organisations</w:t>
      </w:r>
      <w:proofErr w:type="spellEnd"/>
      <w:r w:rsidRPr="00C373D6">
        <w:rPr>
          <w:rFonts w:ascii="Arial" w:hAnsi="Arial" w:cs="Arial"/>
          <w:sz w:val="22"/>
          <w:szCs w:val="22"/>
        </w:rPr>
        <w:t xml:space="preserve"> should only gather the data that they require due to certain purposes and store it correctly, safely and in a confidential manner. As a practical implication, this will require the health providers to </w:t>
      </w:r>
      <w:r w:rsidR="006B7D4E">
        <w:rPr>
          <w:rFonts w:ascii="Arial" w:hAnsi="Arial" w:cs="Arial"/>
          <w:sz w:val="22"/>
          <w:szCs w:val="22"/>
        </w:rPr>
        <w:t>obtain</w:t>
      </w:r>
      <w:r w:rsidRPr="00C373D6">
        <w:rPr>
          <w:rFonts w:ascii="Arial" w:hAnsi="Arial" w:cs="Arial"/>
          <w:sz w:val="22"/>
          <w:szCs w:val="22"/>
        </w:rPr>
        <w:t xml:space="preserve"> consent, restrict access to </w:t>
      </w:r>
      <w:proofErr w:type="spellStart"/>
      <w:r w:rsidRPr="00C373D6">
        <w:rPr>
          <w:rFonts w:ascii="Arial" w:hAnsi="Arial" w:cs="Arial"/>
          <w:sz w:val="22"/>
          <w:szCs w:val="22"/>
        </w:rPr>
        <w:t>authorised</w:t>
      </w:r>
      <w:proofErr w:type="spellEnd"/>
      <w:r w:rsidRPr="00C373D6">
        <w:rPr>
          <w:rFonts w:ascii="Arial" w:hAnsi="Arial" w:cs="Arial"/>
          <w:sz w:val="22"/>
          <w:szCs w:val="22"/>
        </w:rPr>
        <w:t xml:space="preserve"> individuals, and report any breach of data as soon as possible.</w:t>
      </w:r>
    </w:p>
    <w:p w14:paraId="4C939A85" w14:textId="4EDF6687" w:rsidR="004700B1" w:rsidRPr="00C373D6" w:rsidRDefault="004700B1" w:rsidP="00AB29CF">
      <w:pPr>
        <w:spacing w:line="360" w:lineRule="auto"/>
        <w:jc w:val="both"/>
        <w:rPr>
          <w:rFonts w:ascii="Arial" w:hAnsi="Arial" w:cs="Arial"/>
          <w:sz w:val="22"/>
          <w:szCs w:val="22"/>
        </w:rPr>
      </w:pPr>
      <w:r w:rsidRPr="00C373D6">
        <w:rPr>
          <w:rFonts w:ascii="Arial" w:hAnsi="Arial" w:cs="Arial"/>
          <w:sz w:val="22"/>
          <w:szCs w:val="22"/>
        </w:rPr>
        <w:t>There are also rules of ethics that inform the management of information. The Caldicott Principles</w:t>
      </w:r>
      <w:r w:rsidR="006B7D4E">
        <w:rPr>
          <w:rFonts w:ascii="Arial" w:hAnsi="Arial" w:cs="Arial"/>
          <w:sz w:val="22"/>
          <w:szCs w:val="22"/>
        </w:rPr>
        <w:t>,</w:t>
      </w:r>
      <w:r w:rsidRPr="00C373D6">
        <w:rPr>
          <w:rFonts w:ascii="Arial" w:hAnsi="Arial" w:cs="Arial"/>
          <w:sz w:val="22"/>
          <w:szCs w:val="22"/>
        </w:rPr>
        <w:t xml:space="preserve"> originally published in 1997 and revised in 2013 explain that patient information must not be used when it is not needed and shared when it is not evident that the information will benefit the individual person or the population in general (Department of Health and Social Care, 2020). The National Data Guardian (NDG) provides recommendations on the application of these principles in practice. There is also an encouragement of honesty in the use of information by the NDG, as well as the need to build public trust in health </w:t>
      </w:r>
      <w:proofErr w:type="spellStart"/>
      <w:r w:rsidRPr="00C373D6">
        <w:rPr>
          <w:rFonts w:ascii="Arial" w:hAnsi="Arial" w:cs="Arial"/>
          <w:sz w:val="22"/>
          <w:szCs w:val="22"/>
        </w:rPr>
        <w:t>organisations</w:t>
      </w:r>
      <w:proofErr w:type="spellEnd"/>
      <w:r w:rsidRPr="00C373D6">
        <w:rPr>
          <w:rFonts w:ascii="Arial" w:hAnsi="Arial" w:cs="Arial"/>
          <w:sz w:val="22"/>
          <w:szCs w:val="22"/>
        </w:rPr>
        <w:t xml:space="preserve"> by being open and responsible (National Data Guardian, 2024).</w:t>
      </w:r>
    </w:p>
    <w:p w14:paraId="392C00BF" w14:textId="09053CC8" w:rsidR="00D466C4" w:rsidRDefault="00F833F0" w:rsidP="00AB29CF">
      <w:pPr>
        <w:spacing w:line="360" w:lineRule="auto"/>
        <w:jc w:val="both"/>
        <w:rPr>
          <w:rFonts w:ascii="Arial" w:hAnsi="Arial" w:cs="Arial"/>
          <w:sz w:val="22"/>
          <w:szCs w:val="22"/>
        </w:rPr>
      </w:pPr>
      <w:r w:rsidRPr="00AB29CF">
        <w:rPr>
          <w:rFonts w:ascii="Arial" w:hAnsi="Arial" w:cs="Arial"/>
          <w:sz w:val="22"/>
          <w:szCs w:val="22"/>
        </w:rPr>
        <w:t>Many national policies support this system of data governance</w:t>
      </w:r>
      <w:r w:rsidRPr="00C373D6">
        <w:rPr>
          <w:rFonts w:ascii="Arial" w:hAnsi="Arial" w:cs="Arial"/>
          <w:sz w:val="22"/>
          <w:szCs w:val="22"/>
        </w:rPr>
        <w:t xml:space="preserve">. The NHS Data Security and Protection Toolkit assist </w:t>
      </w:r>
      <w:proofErr w:type="spellStart"/>
      <w:r w:rsidRPr="00C373D6">
        <w:rPr>
          <w:rFonts w:ascii="Arial" w:hAnsi="Arial" w:cs="Arial"/>
          <w:sz w:val="22"/>
          <w:szCs w:val="22"/>
        </w:rPr>
        <w:t>organisations</w:t>
      </w:r>
      <w:proofErr w:type="spellEnd"/>
      <w:r w:rsidRPr="00C373D6">
        <w:rPr>
          <w:rFonts w:ascii="Arial" w:hAnsi="Arial" w:cs="Arial"/>
          <w:sz w:val="22"/>
          <w:szCs w:val="22"/>
        </w:rPr>
        <w:t xml:space="preserve"> to verify their data protection standards. Information sharing in direct care is encouraged under the Health and Social Care (Safety and Quality) Act 2015, which however demands that privacy should be upheld. </w:t>
      </w:r>
      <w:r w:rsidR="00D466C4" w:rsidRPr="00D466C4">
        <w:rPr>
          <w:rFonts w:ascii="Arial" w:hAnsi="Arial" w:cs="Arial"/>
          <w:sz w:val="22"/>
          <w:szCs w:val="22"/>
        </w:rPr>
        <w:t>The NHS Long Term Plan (2019) has also focused on changes in digital aspects using electronic records and linked data systems to improve the coordination of care. These policies show an attempt by the government to use information to improve the result of health and security of information.</w:t>
      </w:r>
    </w:p>
    <w:p w14:paraId="12608846" w14:textId="6900BC64" w:rsidR="00BD618F" w:rsidRPr="00C373D6" w:rsidRDefault="002A1781" w:rsidP="00AB29CF">
      <w:pPr>
        <w:spacing w:line="360" w:lineRule="auto"/>
        <w:jc w:val="both"/>
        <w:rPr>
          <w:rFonts w:ascii="Arial" w:hAnsi="Arial" w:cs="Arial"/>
          <w:sz w:val="22"/>
          <w:szCs w:val="22"/>
        </w:rPr>
      </w:pPr>
      <w:r w:rsidRPr="002A1781">
        <w:rPr>
          <w:rFonts w:ascii="Arial" w:hAnsi="Arial" w:cs="Arial"/>
          <w:sz w:val="22"/>
          <w:szCs w:val="22"/>
        </w:rPr>
        <w:t>Despite these efforts, studies suggest that there are policy-practice gaps. The results of Zhang et al. (2023) showed that there were many transfers of data in NHS England, in which there were several middle agents with minimal oversight</w:t>
      </w:r>
      <w:r w:rsidR="00BD618F" w:rsidRPr="00C373D6">
        <w:rPr>
          <w:rFonts w:ascii="Arial" w:hAnsi="Arial" w:cs="Arial"/>
          <w:sz w:val="22"/>
          <w:szCs w:val="22"/>
        </w:rPr>
        <w:t>. This complicates the task of finding responsibility when information is transferred between systems. Edwards et al. (2023) also discovered that there is a variation in the access and security of general practice databases, resulting in unequal protection. These papers indicate that a lack of privacy is usually caused by laxity and not the absence of legislation.</w:t>
      </w:r>
    </w:p>
    <w:p w14:paraId="6EDA3E1F" w14:textId="482FC5F0" w:rsidR="002745D0" w:rsidRPr="00C373D6" w:rsidRDefault="002745D0" w:rsidP="00AB29CF">
      <w:pPr>
        <w:spacing w:line="360" w:lineRule="auto"/>
        <w:jc w:val="both"/>
        <w:rPr>
          <w:rFonts w:ascii="Arial" w:hAnsi="Arial" w:cs="Arial"/>
          <w:sz w:val="22"/>
          <w:szCs w:val="22"/>
        </w:rPr>
      </w:pPr>
      <w:r w:rsidRPr="00C373D6">
        <w:rPr>
          <w:rFonts w:ascii="Arial" w:hAnsi="Arial" w:cs="Arial"/>
          <w:sz w:val="22"/>
          <w:szCs w:val="22"/>
        </w:rPr>
        <w:t xml:space="preserve">Another issue that is persisting is cybersecurity. Ghafur et al. (2019) report that the ransomware attack of 2017, WannaCry, </w:t>
      </w:r>
      <w:r w:rsidR="002C1B5C" w:rsidRPr="00AB29CF">
        <w:rPr>
          <w:rFonts w:ascii="Arial" w:hAnsi="Arial" w:cs="Arial"/>
          <w:sz w:val="22"/>
          <w:szCs w:val="22"/>
        </w:rPr>
        <w:t>stopped hospital operations and delayed treatment in many parts of England</w:t>
      </w:r>
      <w:r w:rsidRPr="00C373D6">
        <w:rPr>
          <w:rFonts w:ascii="Arial" w:hAnsi="Arial" w:cs="Arial"/>
          <w:sz w:val="22"/>
          <w:szCs w:val="22"/>
        </w:rPr>
        <w:t xml:space="preserve">. The intrusion revealed the vulnerability of old computer systems and lack of preparedness on digital threats. New Data Security and Protection Requirements were introduced by the government later, and more robust cyber </w:t>
      </w:r>
      <w:proofErr w:type="spellStart"/>
      <w:r w:rsidRPr="00C373D6">
        <w:rPr>
          <w:rFonts w:ascii="Arial" w:hAnsi="Arial" w:cs="Arial"/>
          <w:sz w:val="22"/>
          <w:szCs w:val="22"/>
        </w:rPr>
        <w:t>defences</w:t>
      </w:r>
      <w:proofErr w:type="spellEnd"/>
      <w:r w:rsidRPr="00C373D6">
        <w:rPr>
          <w:rFonts w:ascii="Arial" w:hAnsi="Arial" w:cs="Arial"/>
          <w:sz w:val="22"/>
          <w:szCs w:val="22"/>
        </w:rPr>
        <w:t xml:space="preserve"> were invested into, though technology keeps changing more rapidly than the mechanisms are enhanced</w:t>
      </w:r>
      <w:r w:rsidR="00B3630F" w:rsidRPr="00C373D6">
        <w:rPr>
          <w:rFonts w:ascii="Arial" w:hAnsi="Arial" w:cs="Arial"/>
          <w:sz w:val="22"/>
          <w:szCs w:val="22"/>
        </w:rPr>
        <w:t xml:space="preserve"> (Bharij, 2025).</w:t>
      </w:r>
    </w:p>
    <w:p w14:paraId="707E271C" w14:textId="5121E3BD" w:rsidR="00381B18" w:rsidRPr="00C373D6" w:rsidRDefault="00381B18" w:rsidP="00AB29CF">
      <w:pPr>
        <w:spacing w:line="360" w:lineRule="auto"/>
        <w:jc w:val="both"/>
        <w:rPr>
          <w:rFonts w:ascii="Arial" w:hAnsi="Arial" w:cs="Arial"/>
          <w:sz w:val="22"/>
          <w:szCs w:val="22"/>
        </w:rPr>
      </w:pPr>
      <w:r w:rsidRPr="00C373D6">
        <w:rPr>
          <w:rFonts w:ascii="Arial" w:hAnsi="Arial" w:cs="Arial"/>
          <w:sz w:val="22"/>
          <w:szCs w:val="22"/>
        </w:rPr>
        <w:t xml:space="preserve">The success of digital health depends on public trust. Kerasidou (2023) discovered that individuals are in </w:t>
      </w:r>
      <w:proofErr w:type="spellStart"/>
      <w:r w:rsidR="00700F42">
        <w:rPr>
          <w:rFonts w:ascii="Arial" w:hAnsi="Arial" w:cs="Arial"/>
          <w:sz w:val="22"/>
          <w:szCs w:val="22"/>
        </w:rPr>
        <w:t>favour</w:t>
      </w:r>
      <w:proofErr w:type="spellEnd"/>
      <w:r w:rsidRPr="00C373D6">
        <w:rPr>
          <w:rFonts w:ascii="Arial" w:hAnsi="Arial" w:cs="Arial"/>
          <w:sz w:val="22"/>
          <w:szCs w:val="22"/>
        </w:rPr>
        <w:t xml:space="preserve"> of data sharing in the NHS, but they do not understand the involvement of private companies. Past issues</w:t>
      </w:r>
      <w:r w:rsidR="00700F42">
        <w:rPr>
          <w:rFonts w:ascii="Arial" w:hAnsi="Arial" w:cs="Arial"/>
          <w:sz w:val="22"/>
          <w:szCs w:val="22"/>
        </w:rPr>
        <w:t>,</w:t>
      </w:r>
      <w:r w:rsidRPr="00C373D6">
        <w:rPr>
          <w:rFonts w:ascii="Arial" w:hAnsi="Arial" w:cs="Arial"/>
          <w:sz w:val="22"/>
          <w:szCs w:val="22"/>
        </w:rPr>
        <w:t xml:space="preserve"> including the </w:t>
      </w:r>
      <w:proofErr w:type="spellStart"/>
      <w:r w:rsidRPr="00C373D6">
        <w:rPr>
          <w:rFonts w:ascii="Arial" w:hAnsi="Arial" w:cs="Arial"/>
          <w:sz w:val="22"/>
          <w:szCs w:val="22"/>
        </w:rPr>
        <w:t>care.data</w:t>
      </w:r>
      <w:proofErr w:type="spellEnd"/>
      <w:r w:rsidRPr="00C373D6">
        <w:rPr>
          <w:rFonts w:ascii="Arial" w:hAnsi="Arial" w:cs="Arial"/>
          <w:sz w:val="22"/>
          <w:szCs w:val="22"/>
        </w:rPr>
        <w:t xml:space="preserve"> project</w:t>
      </w:r>
      <w:r w:rsidR="00700F42">
        <w:rPr>
          <w:rFonts w:ascii="Arial" w:hAnsi="Arial" w:cs="Arial"/>
          <w:sz w:val="22"/>
          <w:szCs w:val="22"/>
        </w:rPr>
        <w:t>,</w:t>
      </w:r>
      <w:r w:rsidRPr="00C373D6">
        <w:rPr>
          <w:rFonts w:ascii="Arial" w:hAnsi="Arial" w:cs="Arial"/>
          <w:sz w:val="22"/>
          <w:szCs w:val="22"/>
        </w:rPr>
        <w:t xml:space="preserve"> have demonstrated that a closed system can demolish trust very fast. Also, Horvath et al. (2022) discovered that less willingness to use digital tools like the NHS COVID-19 app was related to privacy fears.</w:t>
      </w:r>
    </w:p>
    <w:p w14:paraId="700CFD0F" w14:textId="77777777" w:rsidR="00C373D6" w:rsidRPr="00AB29CF" w:rsidRDefault="00C373D6" w:rsidP="00C373D6">
      <w:pPr>
        <w:spacing w:line="360" w:lineRule="auto"/>
        <w:jc w:val="both"/>
        <w:rPr>
          <w:rFonts w:ascii="Arial" w:hAnsi="Arial" w:cs="Arial"/>
          <w:sz w:val="22"/>
          <w:szCs w:val="22"/>
        </w:rPr>
      </w:pPr>
      <w:r w:rsidRPr="00C373D6">
        <w:rPr>
          <w:rFonts w:ascii="Arial" w:hAnsi="Arial" w:cs="Arial"/>
          <w:sz w:val="22"/>
          <w:szCs w:val="22"/>
        </w:rPr>
        <w:t xml:space="preserve">The UK has effective legal and ethical frameworks to safeguard health data, but poor enforcement, old systems and lack of confidence in the systems continue to pose a threat. These persisting problems render it important to </w:t>
      </w:r>
      <w:r w:rsidRPr="00AB29CF">
        <w:rPr>
          <w:rFonts w:ascii="Arial" w:hAnsi="Arial" w:cs="Arial"/>
          <w:sz w:val="22"/>
          <w:szCs w:val="22"/>
        </w:rPr>
        <w:t>review current research to understand how scholars describe and interpret privacy risks in UK digital health systems. The next section explains the method used to select and analyse the studies for this review.</w:t>
      </w:r>
    </w:p>
    <w:p w14:paraId="46CF2CCB" w14:textId="3B570C73" w:rsidR="00D155BD" w:rsidRPr="00635D6D" w:rsidRDefault="00C16F01" w:rsidP="00635D6D">
      <w:pPr>
        <w:pStyle w:val="ListParagraph"/>
        <w:numPr>
          <w:ilvl w:val="0"/>
          <w:numId w:val="7"/>
        </w:numPr>
        <w:spacing w:line="360" w:lineRule="auto"/>
        <w:jc w:val="both"/>
        <w:rPr>
          <w:rFonts w:ascii="Arial" w:hAnsi="Arial" w:cs="Arial"/>
          <w:b/>
          <w:bCs/>
          <w:sz w:val="22"/>
          <w:szCs w:val="22"/>
        </w:rPr>
      </w:pPr>
      <w:bookmarkStart w:id="5" w:name="_Hlk213912403"/>
      <w:r w:rsidRPr="00635D6D">
        <w:rPr>
          <w:rFonts w:ascii="Arial" w:hAnsi="Arial" w:cs="Arial"/>
          <w:b/>
          <w:bCs/>
          <w:sz w:val="22"/>
          <w:szCs w:val="22"/>
        </w:rPr>
        <w:t>Methods</w:t>
      </w:r>
    </w:p>
    <w:bookmarkEnd w:id="5"/>
    <w:p w14:paraId="19097F99" w14:textId="77777777" w:rsidR="002A1781" w:rsidRDefault="00C373D6" w:rsidP="00635D6D">
      <w:pPr>
        <w:spacing w:line="360" w:lineRule="auto"/>
        <w:jc w:val="both"/>
        <w:rPr>
          <w:rFonts w:ascii="Arial" w:hAnsi="Arial" w:cs="Arial"/>
          <w:sz w:val="22"/>
          <w:szCs w:val="22"/>
        </w:rPr>
      </w:pPr>
      <w:r w:rsidRPr="00C373D6">
        <w:rPr>
          <w:rFonts w:ascii="Arial" w:hAnsi="Arial" w:cs="Arial"/>
          <w:sz w:val="22"/>
          <w:szCs w:val="22"/>
        </w:rPr>
        <w:t>The review followed the framework developed by Arksey and O'Malley (2005)</w:t>
      </w:r>
      <w:proofErr w:type="gramStart"/>
      <w:r w:rsidRPr="00C373D6">
        <w:rPr>
          <w:rFonts w:ascii="Arial" w:hAnsi="Arial" w:cs="Arial"/>
          <w:sz w:val="22"/>
          <w:szCs w:val="22"/>
        </w:rPr>
        <w:t xml:space="preserve"> which</w:t>
      </w:r>
      <w:proofErr w:type="gramEnd"/>
      <w:r w:rsidRPr="00C373D6">
        <w:rPr>
          <w:rFonts w:ascii="Arial" w:hAnsi="Arial" w:cs="Arial"/>
          <w:sz w:val="22"/>
          <w:szCs w:val="22"/>
        </w:rPr>
        <w:t xml:space="preserve"> offers systematic approach to map existing literature and summary findings from both empirical and theoretical studies. </w:t>
      </w:r>
      <w:r w:rsidR="002A1781" w:rsidRPr="002A1781">
        <w:rPr>
          <w:rFonts w:ascii="Arial" w:hAnsi="Arial" w:cs="Arial"/>
          <w:sz w:val="22"/>
          <w:szCs w:val="22"/>
        </w:rPr>
        <w:t>This approach was appropriate given the wide range of research on digital health privacy in the UK, which consists of policy analyses, surveys and observational research studies rather than a coherent body of evidence.</w:t>
      </w:r>
    </w:p>
    <w:p w14:paraId="4E7B7FF3" w14:textId="3B71D51D" w:rsidR="00B4490A" w:rsidRPr="00B4490A" w:rsidRDefault="003F14D5" w:rsidP="00635D6D">
      <w:pPr>
        <w:spacing w:line="360" w:lineRule="auto"/>
        <w:jc w:val="both"/>
        <w:rPr>
          <w:rFonts w:ascii="Arial" w:hAnsi="Arial" w:cs="Arial"/>
          <w:b/>
          <w:bCs/>
          <w:sz w:val="22"/>
          <w:szCs w:val="22"/>
        </w:rPr>
      </w:pPr>
      <w:bookmarkStart w:id="6" w:name="_Hlk213912476"/>
      <w:r w:rsidRPr="00635D6D">
        <w:rPr>
          <w:rFonts w:ascii="Arial" w:hAnsi="Arial" w:cs="Arial"/>
          <w:b/>
          <w:bCs/>
          <w:sz w:val="22"/>
          <w:szCs w:val="22"/>
        </w:rPr>
        <w:t xml:space="preserve">3.1 </w:t>
      </w:r>
      <w:r w:rsidR="00B4490A" w:rsidRPr="00B4490A">
        <w:rPr>
          <w:rFonts w:ascii="Arial" w:hAnsi="Arial" w:cs="Arial"/>
          <w:b/>
          <w:bCs/>
          <w:sz w:val="22"/>
          <w:szCs w:val="22"/>
        </w:rPr>
        <w:t>Scoping Review Framework</w:t>
      </w:r>
    </w:p>
    <w:bookmarkEnd w:id="6"/>
    <w:p w14:paraId="6FCD63DE" w14:textId="44F78429" w:rsidR="002A1781" w:rsidRDefault="002A1781" w:rsidP="00635D6D">
      <w:pPr>
        <w:spacing w:line="360" w:lineRule="auto"/>
        <w:jc w:val="both"/>
        <w:rPr>
          <w:rFonts w:ascii="Arial" w:hAnsi="Arial" w:cs="Arial"/>
          <w:sz w:val="22"/>
          <w:szCs w:val="22"/>
        </w:rPr>
      </w:pPr>
      <w:r w:rsidRPr="002A1781">
        <w:rPr>
          <w:rFonts w:ascii="Arial" w:hAnsi="Arial" w:cs="Arial"/>
          <w:sz w:val="22"/>
          <w:szCs w:val="22"/>
        </w:rPr>
        <w:t>Arksey and O'Malley have outlined five key stages that include (1) identifying the research question, (2) identifying relevant studies, (3) selecting studies that meet inclusion criteria, (4) charting the data, and (5) collating and reporting results. This structure ensured that the review was transparent and replicable and was inclusive of different types of studies and sources of data.</w:t>
      </w:r>
    </w:p>
    <w:p w14:paraId="09487C16" w14:textId="77777777" w:rsidR="003F14D5" w:rsidRPr="00635D6D" w:rsidRDefault="00B4490A" w:rsidP="00635D6D">
      <w:pPr>
        <w:spacing w:line="360" w:lineRule="auto"/>
        <w:jc w:val="both"/>
        <w:rPr>
          <w:rFonts w:ascii="Arial" w:hAnsi="Arial" w:cs="Arial"/>
          <w:sz w:val="22"/>
          <w:szCs w:val="22"/>
        </w:rPr>
      </w:pPr>
      <w:r w:rsidRPr="00B4490A">
        <w:rPr>
          <w:rFonts w:ascii="Arial" w:hAnsi="Arial" w:cs="Arial"/>
          <w:sz w:val="22"/>
          <w:szCs w:val="22"/>
        </w:rPr>
        <w:t>The guiding research question was:</w:t>
      </w:r>
    </w:p>
    <w:p w14:paraId="57029001" w14:textId="3CCD1AFB" w:rsidR="00B4490A" w:rsidRPr="00B4490A" w:rsidRDefault="00B4490A" w:rsidP="00635D6D">
      <w:pPr>
        <w:spacing w:line="360" w:lineRule="auto"/>
        <w:jc w:val="both"/>
        <w:rPr>
          <w:rFonts w:ascii="Arial" w:hAnsi="Arial" w:cs="Arial"/>
          <w:sz w:val="22"/>
          <w:szCs w:val="22"/>
        </w:rPr>
      </w:pPr>
      <w:r w:rsidRPr="00B4490A">
        <w:rPr>
          <w:rFonts w:ascii="Arial" w:hAnsi="Arial" w:cs="Arial"/>
          <w:sz w:val="22"/>
          <w:szCs w:val="22"/>
        </w:rPr>
        <w:t>“What are the main risks and challenges associated with data privacy in digital health systems in the United Kingdom?”</w:t>
      </w:r>
    </w:p>
    <w:p w14:paraId="185B4EB5" w14:textId="77777777" w:rsidR="00B4490A" w:rsidRPr="00B4490A" w:rsidRDefault="00B4490A" w:rsidP="00635D6D">
      <w:pPr>
        <w:spacing w:line="360" w:lineRule="auto"/>
        <w:jc w:val="both"/>
        <w:rPr>
          <w:rFonts w:ascii="Arial" w:hAnsi="Arial" w:cs="Arial"/>
          <w:sz w:val="22"/>
          <w:szCs w:val="22"/>
        </w:rPr>
      </w:pPr>
      <w:r w:rsidRPr="00B4490A">
        <w:rPr>
          <w:rFonts w:ascii="Arial" w:hAnsi="Arial" w:cs="Arial"/>
          <w:sz w:val="22"/>
          <w:szCs w:val="22"/>
        </w:rPr>
        <w:t>This question aligned with the review objectives to:</w:t>
      </w:r>
    </w:p>
    <w:p w14:paraId="01E72F27" w14:textId="77777777" w:rsidR="00B4490A" w:rsidRPr="00B4490A" w:rsidRDefault="00B4490A" w:rsidP="00635D6D">
      <w:pPr>
        <w:numPr>
          <w:ilvl w:val="0"/>
          <w:numId w:val="15"/>
        </w:numPr>
        <w:spacing w:line="360" w:lineRule="auto"/>
        <w:jc w:val="both"/>
        <w:rPr>
          <w:rFonts w:ascii="Arial" w:hAnsi="Arial" w:cs="Arial"/>
          <w:sz w:val="22"/>
          <w:szCs w:val="22"/>
        </w:rPr>
      </w:pPr>
      <w:r w:rsidRPr="00B4490A">
        <w:rPr>
          <w:rFonts w:ascii="Arial" w:hAnsi="Arial" w:cs="Arial"/>
          <w:sz w:val="22"/>
          <w:szCs w:val="22"/>
        </w:rPr>
        <w:t>Identify and discuss the key risks threatening data privacy in UK digital health systems.</w:t>
      </w:r>
    </w:p>
    <w:p w14:paraId="1D08A3E4" w14:textId="77777777" w:rsidR="00B4490A" w:rsidRPr="00B4490A" w:rsidRDefault="00B4490A" w:rsidP="00635D6D">
      <w:pPr>
        <w:numPr>
          <w:ilvl w:val="0"/>
          <w:numId w:val="15"/>
        </w:numPr>
        <w:spacing w:line="360" w:lineRule="auto"/>
        <w:jc w:val="both"/>
        <w:rPr>
          <w:rFonts w:ascii="Arial" w:hAnsi="Arial" w:cs="Arial"/>
          <w:sz w:val="22"/>
          <w:szCs w:val="22"/>
        </w:rPr>
      </w:pPr>
      <w:r w:rsidRPr="00B4490A">
        <w:rPr>
          <w:rFonts w:ascii="Arial" w:hAnsi="Arial" w:cs="Arial"/>
          <w:sz w:val="22"/>
          <w:szCs w:val="22"/>
        </w:rPr>
        <w:t>Examine how governance, technology, and ethics influence data protection outcomes.</w:t>
      </w:r>
    </w:p>
    <w:p w14:paraId="37C304F5" w14:textId="43AC6854" w:rsidR="00FC7AB6" w:rsidRPr="00CC69BB" w:rsidRDefault="00B4490A" w:rsidP="00FC7AB6">
      <w:pPr>
        <w:numPr>
          <w:ilvl w:val="0"/>
          <w:numId w:val="15"/>
        </w:numPr>
        <w:spacing w:line="360" w:lineRule="auto"/>
        <w:jc w:val="both"/>
        <w:rPr>
          <w:rFonts w:ascii="Arial" w:hAnsi="Arial" w:cs="Arial"/>
          <w:sz w:val="22"/>
          <w:szCs w:val="22"/>
        </w:rPr>
      </w:pPr>
      <w:r w:rsidRPr="00B4490A">
        <w:rPr>
          <w:rFonts w:ascii="Arial" w:hAnsi="Arial" w:cs="Arial"/>
          <w:sz w:val="22"/>
          <w:szCs w:val="22"/>
        </w:rPr>
        <w:t>Suggest evidence-based measures for improving privacy and public confidence.</w:t>
      </w:r>
    </w:p>
    <w:p w14:paraId="3C14F8C6" w14:textId="5724BF12" w:rsidR="00B4490A" w:rsidRPr="00B4490A" w:rsidRDefault="003F14D5" w:rsidP="00FC7AB6">
      <w:pPr>
        <w:spacing w:line="360" w:lineRule="auto"/>
        <w:jc w:val="both"/>
        <w:rPr>
          <w:rFonts w:ascii="Arial" w:hAnsi="Arial" w:cs="Arial"/>
          <w:b/>
          <w:bCs/>
          <w:sz w:val="22"/>
          <w:szCs w:val="22"/>
        </w:rPr>
      </w:pPr>
      <w:bookmarkStart w:id="7" w:name="_Hlk213912546"/>
      <w:r w:rsidRPr="00FC7AB6">
        <w:rPr>
          <w:rFonts w:ascii="Arial" w:hAnsi="Arial" w:cs="Arial"/>
          <w:b/>
          <w:bCs/>
          <w:sz w:val="22"/>
          <w:szCs w:val="22"/>
        </w:rPr>
        <w:t xml:space="preserve">3.2 </w:t>
      </w:r>
      <w:r w:rsidR="00B4490A" w:rsidRPr="00B4490A">
        <w:rPr>
          <w:rFonts w:ascii="Arial" w:hAnsi="Arial" w:cs="Arial"/>
          <w:b/>
          <w:bCs/>
          <w:sz w:val="22"/>
          <w:szCs w:val="22"/>
        </w:rPr>
        <w:t>Search Strategy</w:t>
      </w:r>
    </w:p>
    <w:bookmarkEnd w:id="7"/>
    <w:p w14:paraId="372BC0B6" w14:textId="30C46187" w:rsidR="003F14D5" w:rsidRDefault="00B4490A" w:rsidP="00FC7AB6">
      <w:pPr>
        <w:spacing w:line="360" w:lineRule="auto"/>
        <w:jc w:val="both"/>
        <w:rPr>
          <w:rFonts w:ascii="Arial" w:hAnsi="Arial" w:cs="Arial"/>
          <w:sz w:val="22"/>
          <w:szCs w:val="22"/>
        </w:rPr>
      </w:pPr>
      <w:r w:rsidRPr="00B4490A">
        <w:rPr>
          <w:rFonts w:ascii="Arial" w:hAnsi="Arial" w:cs="Arial"/>
          <w:sz w:val="22"/>
          <w:szCs w:val="22"/>
        </w:rPr>
        <w:t>A structured search was conducted across PubMed, ScienceDirect, Google Scholar, and Scopus to ensure wide coverage of both clinical and policy-based literature. Search terms combined keywords and Boolean operators, including:</w:t>
      </w:r>
      <w:r w:rsidR="003F14D5" w:rsidRPr="00FC7AB6">
        <w:rPr>
          <w:rFonts w:ascii="Arial" w:hAnsi="Arial" w:cs="Arial"/>
          <w:sz w:val="22"/>
          <w:szCs w:val="22"/>
        </w:rPr>
        <w:t xml:space="preserve"> </w:t>
      </w:r>
      <w:r w:rsidRPr="00B4490A">
        <w:rPr>
          <w:rFonts w:ascii="Arial" w:hAnsi="Arial" w:cs="Arial"/>
          <w:sz w:val="22"/>
          <w:szCs w:val="22"/>
        </w:rPr>
        <w:t>“data privacy” AND “digital health systems”</w:t>
      </w:r>
      <w:r w:rsidR="003F14D5" w:rsidRPr="00FC7AB6">
        <w:rPr>
          <w:rFonts w:ascii="Arial" w:hAnsi="Arial" w:cs="Arial"/>
          <w:sz w:val="22"/>
          <w:szCs w:val="22"/>
        </w:rPr>
        <w:t xml:space="preserve"> </w:t>
      </w:r>
      <w:r w:rsidRPr="00B4490A">
        <w:rPr>
          <w:rFonts w:ascii="Arial" w:hAnsi="Arial" w:cs="Arial"/>
          <w:sz w:val="22"/>
          <w:szCs w:val="22"/>
        </w:rPr>
        <w:t>AND “United Kingdom,”</w:t>
      </w:r>
      <w:r w:rsidR="003F14D5" w:rsidRPr="00FC7AB6">
        <w:rPr>
          <w:rFonts w:ascii="Arial" w:hAnsi="Arial" w:cs="Arial"/>
          <w:sz w:val="22"/>
          <w:szCs w:val="22"/>
        </w:rPr>
        <w:t xml:space="preserve"> </w:t>
      </w:r>
      <w:r w:rsidRPr="00B4490A">
        <w:rPr>
          <w:rFonts w:ascii="Arial" w:hAnsi="Arial" w:cs="Arial"/>
          <w:sz w:val="22"/>
          <w:szCs w:val="22"/>
        </w:rPr>
        <w:t>“data protection” AND “NHS,” and</w:t>
      </w:r>
      <w:r w:rsidR="00FC7AB6">
        <w:rPr>
          <w:rFonts w:ascii="Arial" w:hAnsi="Arial" w:cs="Arial"/>
          <w:sz w:val="22"/>
          <w:szCs w:val="22"/>
        </w:rPr>
        <w:t xml:space="preserve"> </w:t>
      </w:r>
      <w:r w:rsidRPr="00B4490A">
        <w:rPr>
          <w:rFonts w:ascii="Arial" w:hAnsi="Arial" w:cs="Arial"/>
          <w:sz w:val="22"/>
          <w:szCs w:val="22"/>
        </w:rPr>
        <w:t>“cybersecurity” AND “healthcare governance.”</w:t>
      </w:r>
    </w:p>
    <w:p w14:paraId="7A3B7E36" w14:textId="26F94F4A" w:rsidR="00855C41" w:rsidRDefault="00855C41" w:rsidP="00FC7AB6">
      <w:pPr>
        <w:spacing w:line="360" w:lineRule="auto"/>
        <w:jc w:val="both"/>
        <w:rPr>
          <w:rFonts w:ascii="Arial" w:hAnsi="Arial" w:cs="Arial"/>
          <w:sz w:val="22"/>
          <w:szCs w:val="22"/>
        </w:rPr>
      </w:pPr>
      <w:r w:rsidRPr="00855C41">
        <w:rPr>
          <w:rFonts w:ascii="Arial" w:hAnsi="Arial" w:cs="Arial"/>
          <w:sz w:val="22"/>
          <w:szCs w:val="22"/>
        </w:rPr>
        <w:t>The search was limited to peer-reviewed articles that were published between 2019-2025 to represent the most up-to-date developments in the UK following the introduction of the Data Protection Act (2018) and GDPR. Reference lists of selected papers were also searched for additional eligible studies.</w:t>
      </w:r>
    </w:p>
    <w:p w14:paraId="2CD421B6" w14:textId="3D4AA27A" w:rsidR="003F14D5" w:rsidRPr="003F14D5" w:rsidRDefault="003F14D5" w:rsidP="003F14D5">
      <w:pPr>
        <w:spacing w:line="360" w:lineRule="auto"/>
        <w:jc w:val="both"/>
        <w:rPr>
          <w:rFonts w:ascii="Arial" w:hAnsi="Arial" w:cs="Arial"/>
          <w:b/>
          <w:bCs/>
          <w:sz w:val="22"/>
          <w:szCs w:val="22"/>
        </w:rPr>
      </w:pPr>
      <w:bookmarkStart w:id="8" w:name="_Hlk213912577"/>
      <w:r w:rsidRPr="00FC7AB6">
        <w:rPr>
          <w:rFonts w:ascii="Arial" w:hAnsi="Arial" w:cs="Arial"/>
          <w:b/>
          <w:bCs/>
          <w:sz w:val="22"/>
          <w:szCs w:val="22"/>
        </w:rPr>
        <w:t xml:space="preserve">3.3 </w:t>
      </w:r>
      <w:r w:rsidRPr="003F14D5">
        <w:rPr>
          <w:rFonts w:ascii="Arial" w:hAnsi="Arial" w:cs="Arial"/>
          <w:b/>
          <w:bCs/>
          <w:sz w:val="22"/>
          <w:szCs w:val="22"/>
        </w:rPr>
        <w:t>Inclusion and Exclusion Criteria</w:t>
      </w:r>
    </w:p>
    <w:bookmarkEnd w:id="8"/>
    <w:p w14:paraId="611DFF95" w14:textId="77777777" w:rsidR="003F14D5" w:rsidRPr="00FC7AB6" w:rsidRDefault="003F14D5" w:rsidP="003F14D5">
      <w:pPr>
        <w:spacing w:line="360" w:lineRule="auto"/>
        <w:jc w:val="both"/>
        <w:rPr>
          <w:rFonts w:ascii="Arial" w:hAnsi="Arial" w:cs="Arial"/>
          <w:sz w:val="22"/>
          <w:szCs w:val="22"/>
        </w:rPr>
      </w:pPr>
      <w:r w:rsidRPr="003F14D5">
        <w:rPr>
          <w:rFonts w:ascii="Arial" w:hAnsi="Arial" w:cs="Arial"/>
          <w:sz w:val="22"/>
          <w:szCs w:val="22"/>
        </w:rPr>
        <w:t xml:space="preserve">The eligibility criteria are </w:t>
      </w:r>
      <w:proofErr w:type="spellStart"/>
      <w:r w:rsidRPr="003F14D5">
        <w:rPr>
          <w:rFonts w:ascii="Arial" w:hAnsi="Arial" w:cs="Arial"/>
          <w:sz w:val="22"/>
          <w:szCs w:val="22"/>
        </w:rPr>
        <w:t>summarised</w:t>
      </w:r>
      <w:proofErr w:type="spellEnd"/>
      <w:r w:rsidRPr="003F14D5">
        <w:rPr>
          <w:rFonts w:ascii="Arial" w:hAnsi="Arial" w:cs="Arial"/>
          <w:sz w:val="22"/>
          <w:szCs w:val="22"/>
        </w:rPr>
        <w:t xml:space="preserve"> in Table 1 below.</w:t>
      </w:r>
    </w:p>
    <w:p w14:paraId="3D8E093E" w14:textId="25401418" w:rsidR="003F14D5" w:rsidRPr="003F14D5" w:rsidRDefault="003F14D5" w:rsidP="003F14D5">
      <w:pPr>
        <w:spacing w:line="360" w:lineRule="auto"/>
        <w:jc w:val="both"/>
        <w:rPr>
          <w:rFonts w:ascii="Arial" w:hAnsi="Arial" w:cs="Arial"/>
          <w:sz w:val="22"/>
          <w:szCs w:val="22"/>
        </w:rPr>
      </w:pPr>
      <w:bookmarkStart w:id="9" w:name="_Hlk213912613"/>
      <w:r w:rsidRPr="00CB7657">
        <w:rPr>
          <w:rFonts w:ascii="Arial" w:hAnsi="Arial" w:cs="Arial"/>
          <w:sz w:val="22"/>
          <w:szCs w:val="22"/>
        </w:rPr>
        <w:t>Table 1: Inclusion and Exclusion Criteria</w:t>
      </w:r>
    </w:p>
    <w:tbl>
      <w:tblPr>
        <w:tblStyle w:val="TableGrid"/>
        <w:tblW w:w="0" w:type="auto"/>
        <w:tblLook w:val="04A0" w:firstRow="1" w:lastRow="0" w:firstColumn="1" w:lastColumn="0" w:noHBand="0" w:noVBand="1"/>
      </w:tblPr>
      <w:tblGrid>
        <w:gridCol w:w="1336"/>
        <w:gridCol w:w="4851"/>
        <w:gridCol w:w="3163"/>
      </w:tblGrid>
      <w:tr w:rsidR="003F14D5" w:rsidRPr="003F14D5" w14:paraId="257B5B37" w14:textId="77777777" w:rsidTr="003F14D5">
        <w:tc>
          <w:tcPr>
            <w:tcW w:w="0" w:type="auto"/>
            <w:hideMark/>
          </w:tcPr>
          <w:bookmarkEnd w:id="9"/>
          <w:p w14:paraId="7DD9118C" w14:textId="77777777" w:rsidR="003F14D5" w:rsidRPr="003F14D5" w:rsidRDefault="003F14D5" w:rsidP="003F14D5">
            <w:pPr>
              <w:spacing w:after="160" w:line="360" w:lineRule="auto"/>
              <w:jc w:val="center"/>
              <w:rPr>
                <w:rFonts w:ascii="Arial" w:hAnsi="Arial" w:cs="Arial"/>
                <w:b/>
                <w:bCs/>
                <w:sz w:val="22"/>
                <w:szCs w:val="22"/>
              </w:rPr>
            </w:pPr>
            <w:r w:rsidRPr="003F14D5">
              <w:rPr>
                <w:rFonts w:ascii="Arial" w:hAnsi="Arial" w:cs="Arial"/>
                <w:b/>
                <w:bCs/>
                <w:sz w:val="22"/>
                <w:szCs w:val="22"/>
              </w:rPr>
              <w:t>Criteria</w:t>
            </w:r>
          </w:p>
        </w:tc>
        <w:tc>
          <w:tcPr>
            <w:tcW w:w="0" w:type="auto"/>
            <w:hideMark/>
          </w:tcPr>
          <w:p w14:paraId="0B832405" w14:textId="77777777" w:rsidR="003F14D5" w:rsidRPr="003F14D5" w:rsidRDefault="003F14D5" w:rsidP="003F14D5">
            <w:pPr>
              <w:spacing w:after="160" w:line="360" w:lineRule="auto"/>
              <w:jc w:val="center"/>
              <w:rPr>
                <w:rFonts w:ascii="Arial" w:hAnsi="Arial" w:cs="Arial"/>
                <w:b/>
                <w:bCs/>
                <w:sz w:val="22"/>
                <w:szCs w:val="22"/>
              </w:rPr>
            </w:pPr>
            <w:r w:rsidRPr="003F14D5">
              <w:rPr>
                <w:rFonts w:ascii="Arial" w:hAnsi="Arial" w:cs="Arial"/>
                <w:b/>
                <w:bCs/>
                <w:sz w:val="22"/>
                <w:szCs w:val="22"/>
              </w:rPr>
              <w:t>Inclusion</w:t>
            </w:r>
          </w:p>
        </w:tc>
        <w:tc>
          <w:tcPr>
            <w:tcW w:w="0" w:type="auto"/>
            <w:hideMark/>
          </w:tcPr>
          <w:p w14:paraId="4109868B" w14:textId="77777777" w:rsidR="003F14D5" w:rsidRPr="003F14D5" w:rsidRDefault="003F14D5" w:rsidP="003F14D5">
            <w:pPr>
              <w:spacing w:after="160" w:line="360" w:lineRule="auto"/>
              <w:jc w:val="center"/>
              <w:rPr>
                <w:rFonts w:ascii="Arial" w:hAnsi="Arial" w:cs="Arial"/>
                <w:b/>
                <w:bCs/>
                <w:sz w:val="22"/>
                <w:szCs w:val="22"/>
              </w:rPr>
            </w:pPr>
            <w:r w:rsidRPr="003F14D5">
              <w:rPr>
                <w:rFonts w:ascii="Arial" w:hAnsi="Arial" w:cs="Arial"/>
                <w:b/>
                <w:bCs/>
                <w:sz w:val="22"/>
                <w:szCs w:val="22"/>
              </w:rPr>
              <w:t>Exclusion</w:t>
            </w:r>
          </w:p>
        </w:tc>
      </w:tr>
      <w:tr w:rsidR="003F14D5" w:rsidRPr="003F14D5" w14:paraId="3E84AC73" w14:textId="77777777" w:rsidTr="003F14D5">
        <w:tc>
          <w:tcPr>
            <w:tcW w:w="0" w:type="auto"/>
            <w:hideMark/>
          </w:tcPr>
          <w:p w14:paraId="086702DC"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Location</w:t>
            </w:r>
          </w:p>
        </w:tc>
        <w:tc>
          <w:tcPr>
            <w:tcW w:w="0" w:type="auto"/>
            <w:hideMark/>
          </w:tcPr>
          <w:p w14:paraId="72E55609"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Studies focused on the United Kingdom</w:t>
            </w:r>
          </w:p>
        </w:tc>
        <w:tc>
          <w:tcPr>
            <w:tcW w:w="0" w:type="auto"/>
            <w:hideMark/>
          </w:tcPr>
          <w:p w14:paraId="6322863D"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Studies based outside the UK</w:t>
            </w:r>
          </w:p>
        </w:tc>
      </w:tr>
      <w:tr w:rsidR="003F14D5" w:rsidRPr="003F14D5" w14:paraId="339DDDEA" w14:textId="77777777" w:rsidTr="003F14D5">
        <w:tc>
          <w:tcPr>
            <w:tcW w:w="0" w:type="auto"/>
            <w:hideMark/>
          </w:tcPr>
          <w:p w14:paraId="02D88CE6"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Topic</w:t>
            </w:r>
          </w:p>
        </w:tc>
        <w:tc>
          <w:tcPr>
            <w:tcW w:w="0" w:type="auto"/>
            <w:hideMark/>
          </w:tcPr>
          <w:p w14:paraId="48A21438"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Research examining data privacy, protection, or governance in digital health</w:t>
            </w:r>
          </w:p>
        </w:tc>
        <w:tc>
          <w:tcPr>
            <w:tcW w:w="0" w:type="auto"/>
            <w:hideMark/>
          </w:tcPr>
          <w:p w14:paraId="0CEE78D3"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Studies unrelated to health data or privacy</w:t>
            </w:r>
          </w:p>
        </w:tc>
      </w:tr>
      <w:tr w:rsidR="003F14D5" w:rsidRPr="003F14D5" w14:paraId="01AA997F" w14:textId="77777777" w:rsidTr="003F14D5">
        <w:tc>
          <w:tcPr>
            <w:tcW w:w="0" w:type="auto"/>
            <w:hideMark/>
          </w:tcPr>
          <w:p w14:paraId="4A573ABD"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Period</w:t>
            </w:r>
          </w:p>
        </w:tc>
        <w:tc>
          <w:tcPr>
            <w:tcW w:w="0" w:type="auto"/>
            <w:hideMark/>
          </w:tcPr>
          <w:p w14:paraId="0F75519C" w14:textId="096C6D9D"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201</w:t>
            </w:r>
            <w:r w:rsidR="00CA2028">
              <w:rPr>
                <w:rFonts w:ascii="Arial" w:hAnsi="Arial" w:cs="Arial"/>
                <w:sz w:val="22"/>
                <w:szCs w:val="22"/>
              </w:rPr>
              <w:t>9</w:t>
            </w:r>
            <w:r w:rsidRPr="003F14D5">
              <w:rPr>
                <w:rFonts w:ascii="Arial" w:hAnsi="Arial" w:cs="Arial"/>
                <w:sz w:val="22"/>
                <w:szCs w:val="22"/>
              </w:rPr>
              <w:t>–2025</w:t>
            </w:r>
          </w:p>
        </w:tc>
        <w:tc>
          <w:tcPr>
            <w:tcW w:w="0" w:type="auto"/>
            <w:hideMark/>
          </w:tcPr>
          <w:p w14:paraId="22C88532"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Before 2018</w:t>
            </w:r>
          </w:p>
        </w:tc>
      </w:tr>
      <w:tr w:rsidR="003F14D5" w:rsidRPr="003F14D5" w14:paraId="06ABA675" w14:textId="77777777" w:rsidTr="003F14D5">
        <w:tc>
          <w:tcPr>
            <w:tcW w:w="0" w:type="auto"/>
            <w:hideMark/>
          </w:tcPr>
          <w:p w14:paraId="08CF57CF"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Language</w:t>
            </w:r>
          </w:p>
        </w:tc>
        <w:tc>
          <w:tcPr>
            <w:tcW w:w="0" w:type="auto"/>
            <w:hideMark/>
          </w:tcPr>
          <w:p w14:paraId="15685C4C"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English</w:t>
            </w:r>
          </w:p>
        </w:tc>
        <w:tc>
          <w:tcPr>
            <w:tcW w:w="0" w:type="auto"/>
            <w:hideMark/>
          </w:tcPr>
          <w:p w14:paraId="5FA98DA4"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Non-English publications</w:t>
            </w:r>
          </w:p>
        </w:tc>
      </w:tr>
      <w:tr w:rsidR="003F14D5" w:rsidRPr="003F14D5" w14:paraId="6EF693A3" w14:textId="77777777" w:rsidTr="003F14D5">
        <w:tc>
          <w:tcPr>
            <w:tcW w:w="0" w:type="auto"/>
            <w:hideMark/>
          </w:tcPr>
          <w:p w14:paraId="021D9872"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Source Type</w:t>
            </w:r>
          </w:p>
        </w:tc>
        <w:tc>
          <w:tcPr>
            <w:tcW w:w="0" w:type="auto"/>
            <w:hideMark/>
          </w:tcPr>
          <w:p w14:paraId="446DFAE5"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Peer-reviewed journal articles</w:t>
            </w:r>
          </w:p>
        </w:tc>
        <w:tc>
          <w:tcPr>
            <w:tcW w:w="0" w:type="auto"/>
            <w:hideMark/>
          </w:tcPr>
          <w:p w14:paraId="4A3F06D9" w14:textId="77777777" w:rsidR="003F14D5" w:rsidRPr="003F14D5" w:rsidRDefault="003F14D5" w:rsidP="003F14D5">
            <w:pPr>
              <w:spacing w:after="160" w:line="360" w:lineRule="auto"/>
              <w:jc w:val="center"/>
              <w:rPr>
                <w:rFonts w:ascii="Arial" w:hAnsi="Arial" w:cs="Arial"/>
                <w:sz w:val="22"/>
                <w:szCs w:val="22"/>
              </w:rPr>
            </w:pPr>
            <w:r w:rsidRPr="003F14D5">
              <w:rPr>
                <w:rFonts w:ascii="Arial" w:hAnsi="Arial" w:cs="Arial"/>
                <w:sz w:val="22"/>
                <w:szCs w:val="22"/>
              </w:rPr>
              <w:t>Editorials, commentaries, or grey literature</w:t>
            </w:r>
          </w:p>
        </w:tc>
      </w:tr>
    </w:tbl>
    <w:p w14:paraId="2D8D2E34" w14:textId="77777777" w:rsidR="00B4490A" w:rsidRDefault="00B4490A" w:rsidP="00CB7657">
      <w:pPr>
        <w:spacing w:line="360" w:lineRule="auto"/>
        <w:jc w:val="both"/>
        <w:rPr>
          <w:rFonts w:ascii="Arial" w:hAnsi="Arial" w:cs="Arial"/>
        </w:rPr>
      </w:pPr>
    </w:p>
    <w:p w14:paraId="67BBF2D2" w14:textId="77777777" w:rsidR="0028106E" w:rsidRDefault="0028106E" w:rsidP="003F14D5">
      <w:pPr>
        <w:spacing w:line="360" w:lineRule="auto"/>
        <w:jc w:val="both"/>
        <w:rPr>
          <w:rFonts w:ascii="Arial" w:hAnsi="Arial" w:cs="Arial"/>
          <w:sz w:val="22"/>
          <w:szCs w:val="22"/>
        </w:rPr>
      </w:pPr>
      <w:r w:rsidRPr="0028106E">
        <w:rPr>
          <w:rFonts w:ascii="Arial" w:hAnsi="Arial" w:cs="Arial"/>
          <w:sz w:val="22"/>
          <w:szCs w:val="22"/>
        </w:rPr>
        <w:t>Six studies initially satisfied the inclusion criteria; five were finally included after a detailed review of study quality to ensure they are relevant to the UK healthcare system.</w:t>
      </w:r>
    </w:p>
    <w:p w14:paraId="755B1C8A" w14:textId="15A14AB6" w:rsidR="003F14D5" w:rsidRPr="003F14D5" w:rsidRDefault="003F14D5" w:rsidP="003F14D5">
      <w:pPr>
        <w:spacing w:line="360" w:lineRule="auto"/>
        <w:jc w:val="both"/>
        <w:rPr>
          <w:rFonts w:ascii="Arial" w:hAnsi="Arial" w:cs="Arial"/>
          <w:b/>
          <w:bCs/>
          <w:sz w:val="22"/>
          <w:szCs w:val="22"/>
        </w:rPr>
      </w:pPr>
      <w:bookmarkStart w:id="10" w:name="_Hlk213912747"/>
      <w:r w:rsidRPr="00822E39">
        <w:rPr>
          <w:rFonts w:ascii="Arial" w:hAnsi="Arial" w:cs="Arial"/>
          <w:b/>
          <w:bCs/>
          <w:sz w:val="22"/>
          <w:szCs w:val="22"/>
        </w:rPr>
        <w:t xml:space="preserve">3.4 </w:t>
      </w:r>
      <w:r w:rsidRPr="003F14D5">
        <w:rPr>
          <w:rFonts w:ascii="Arial" w:hAnsi="Arial" w:cs="Arial"/>
          <w:b/>
          <w:bCs/>
          <w:sz w:val="22"/>
          <w:szCs w:val="22"/>
        </w:rPr>
        <w:t>Data Charting and Analysis</w:t>
      </w:r>
    </w:p>
    <w:bookmarkEnd w:id="10"/>
    <w:p w14:paraId="2E372E33" w14:textId="65A037CF" w:rsidR="00501B19" w:rsidRDefault="00501B19" w:rsidP="003F14D5">
      <w:pPr>
        <w:spacing w:line="360" w:lineRule="auto"/>
        <w:jc w:val="both"/>
        <w:rPr>
          <w:rFonts w:ascii="Arial" w:hAnsi="Arial" w:cs="Arial"/>
          <w:sz w:val="22"/>
          <w:szCs w:val="22"/>
        </w:rPr>
      </w:pPr>
      <w:r w:rsidRPr="00501B19">
        <w:rPr>
          <w:rFonts w:ascii="Arial" w:hAnsi="Arial" w:cs="Arial"/>
          <w:sz w:val="22"/>
          <w:szCs w:val="22"/>
        </w:rPr>
        <w:t xml:space="preserve">A data charting form was used to record important information about the </w:t>
      </w:r>
      <w:r>
        <w:rPr>
          <w:rFonts w:ascii="Arial" w:hAnsi="Arial" w:cs="Arial"/>
          <w:sz w:val="22"/>
          <w:szCs w:val="22"/>
        </w:rPr>
        <w:t xml:space="preserve">selected </w:t>
      </w:r>
      <w:r w:rsidRPr="00501B19">
        <w:rPr>
          <w:rFonts w:ascii="Arial" w:hAnsi="Arial" w:cs="Arial"/>
          <w:sz w:val="22"/>
          <w:szCs w:val="22"/>
        </w:rPr>
        <w:t xml:space="preserve">studies: author, year, aim, design, sample, main findings and limitations (see Appendix 1). The data was then </w:t>
      </w:r>
      <w:proofErr w:type="spellStart"/>
      <w:r w:rsidRPr="00501B19">
        <w:rPr>
          <w:rFonts w:ascii="Arial" w:hAnsi="Arial" w:cs="Arial"/>
          <w:sz w:val="22"/>
          <w:szCs w:val="22"/>
        </w:rPr>
        <w:t>analysed</w:t>
      </w:r>
      <w:proofErr w:type="spellEnd"/>
      <w:r w:rsidRPr="00501B19">
        <w:rPr>
          <w:rFonts w:ascii="Arial" w:hAnsi="Arial" w:cs="Arial"/>
          <w:sz w:val="22"/>
          <w:szCs w:val="22"/>
        </w:rPr>
        <w:t xml:space="preserve"> thematically following Aveyard's (2014) approach. Codes were created in an inductive manner to identify recurring concepts and were divided into four themes: governance and transparency, technical vulnerabilities, ethical and consent hurdles and public trust. This approach provided a structured, but flexible framework for the synthesis of different forms of evidence.</w:t>
      </w:r>
    </w:p>
    <w:p w14:paraId="3E0F18A7" w14:textId="42C7185C" w:rsidR="003F14D5" w:rsidRPr="003F14D5" w:rsidRDefault="00822E39" w:rsidP="003F14D5">
      <w:pPr>
        <w:spacing w:line="360" w:lineRule="auto"/>
        <w:jc w:val="both"/>
        <w:rPr>
          <w:rFonts w:ascii="Arial" w:hAnsi="Arial" w:cs="Arial"/>
          <w:b/>
          <w:bCs/>
          <w:sz w:val="22"/>
          <w:szCs w:val="22"/>
        </w:rPr>
      </w:pPr>
      <w:bookmarkStart w:id="11" w:name="_Hlk213912783"/>
      <w:r w:rsidRPr="00822E39">
        <w:rPr>
          <w:rFonts w:ascii="Arial" w:hAnsi="Arial" w:cs="Arial"/>
          <w:b/>
          <w:bCs/>
          <w:sz w:val="22"/>
          <w:szCs w:val="22"/>
        </w:rPr>
        <w:t xml:space="preserve">3.5 </w:t>
      </w:r>
      <w:r w:rsidR="003F14D5" w:rsidRPr="003F14D5">
        <w:rPr>
          <w:rFonts w:ascii="Arial" w:hAnsi="Arial" w:cs="Arial"/>
          <w:b/>
          <w:bCs/>
          <w:sz w:val="22"/>
          <w:szCs w:val="22"/>
        </w:rPr>
        <w:t>Ethical Considerations</w:t>
      </w:r>
    </w:p>
    <w:bookmarkEnd w:id="11"/>
    <w:p w14:paraId="47F8C76A" w14:textId="122E4DC7" w:rsidR="00C373D6" w:rsidRDefault="002F0E65" w:rsidP="00C70D67">
      <w:pPr>
        <w:spacing w:line="360" w:lineRule="auto"/>
        <w:jc w:val="both"/>
        <w:rPr>
          <w:rFonts w:ascii="Arial" w:hAnsi="Arial" w:cs="Arial"/>
          <w:sz w:val="22"/>
          <w:szCs w:val="22"/>
        </w:rPr>
      </w:pPr>
      <w:r w:rsidRPr="002F0E65">
        <w:rPr>
          <w:rFonts w:ascii="Arial" w:hAnsi="Arial" w:cs="Arial"/>
          <w:sz w:val="22"/>
          <w:szCs w:val="22"/>
        </w:rPr>
        <w:t>This review only used publicly accessible and peer-reviewed sources. Academic integrity was guaranteed through proper referencing of all sources, no plagiarism, and fair presentation of the results of each study</w:t>
      </w:r>
      <w:r w:rsidR="00C373D6" w:rsidRPr="00C373D6">
        <w:rPr>
          <w:rFonts w:ascii="Arial" w:hAnsi="Arial" w:cs="Arial"/>
          <w:sz w:val="22"/>
          <w:szCs w:val="22"/>
        </w:rPr>
        <w:t>.</w:t>
      </w:r>
    </w:p>
    <w:p w14:paraId="061B3DAE" w14:textId="5C24B416" w:rsidR="00BD7442" w:rsidRDefault="00BD7442" w:rsidP="00CA2028">
      <w:pPr>
        <w:pStyle w:val="ListParagraph"/>
        <w:numPr>
          <w:ilvl w:val="0"/>
          <w:numId w:val="7"/>
        </w:numPr>
        <w:spacing w:line="360" w:lineRule="auto"/>
        <w:jc w:val="both"/>
        <w:rPr>
          <w:rFonts w:ascii="Arial" w:hAnsi="Arial" w:cs="Arial"/>
          <w:b/>
          <w:bCs/>
          <w:sz w:val="22"/>
          <w:szCs w:val="22"/>
        </w:rPr>
      </w:pPr>
      <w:bookmarkStart w:id="12" w:name="_Hlk213912805"/>
      <w:r w:rsidRPr="00CA2028">
        <w:rPr>
          <w:rFonts w:ascii="Arial" w:hAnsi="Arial" w:cs="Arial"/>
          <w:b/>
          <w:bCs/>
          <w:sz w:val="22"/>
          <w:szCs w:val="22"/>
        </w:rPr>
        <w:t>Results</w:t>
      </w:r>
    </w:p>
    <w:p w14:paraId="21A7A2ED" w14:textId="491E1FB7" w:rsidR="005D48C5" w:rsidRPr="00CA2028" w:rsidRDefault="005D48C5" w:rsidP="00CA2028">
      <w:pPr>
        <w:spacing w:line="360" w:lineRule="auto"/>
        <w:jc w:val="both"/>
        <w:rPr>
          <w:rFonts w:ascii="Arial" w:hAnsi="Arial" w:cs="Arial"/>
          <w:sz w:val="22"/>
          <w:szCs w:val="22"/>
        </w:rPr>
      </w:pPr>
      <w:bookmarkStart w:id="13" w:name="_Hlk213912833"/>
      <w:bookmarkEnd w:id="12"/>
      <w:r w:rsidRPr="00CA2028">
        <w:rPr>
          <w:rFonts w:ascii="Arial" w:hAnsi="Arial" w:cs="Arial"/>
          <w:sz w:val="22"/>
          <w:szCs w:val="22"/>
        </w:rPr>
        <w:t>Table 2: Summary of Included Studies</w:t>
      </w:r>
    </w:p>
    <w:tbl>
      <w:tblPr>
        <w:tblStyle w:val="TableGrid"/>
        <w:tblW w:w="10530" w:type="dxa"/>
        <w:tblInd w:w="-455" w:type="dxa"/>
        <w:tblLook w:val="04A0" w:firstRow="1" w:lastRow="0" w:firstColumn="1" w:lastColumn="0" w:noHBand="0" w:noVBand="1"/>
      </w:tblPr>
      <w:tblGrid>
        <w:gridCol w:w="1875"/>
        <w:gridCol w:w="2186"/>
        <w:gridCol w:w="2346"/>
        <w:gridCol w:w="4123"/>
      </w:tblGrid>
      <w:tr w:rsidR="005D48C5" w:rsidRPr="005D48C5" w14:paraId="1DE461BA" w14:textId="77777777" w:rsidTr="002F0E65">
        <w:tc>
          <w:tcPr>
            <w:tcW w:w="1875" w:type="dxa"/>
            <w:hideMark/>
          </w:tcPr>
          <w:bookmarkEnd w:id="13"/>
          <w:p w14:paraId="07B1C4FE" w14:textId="77777777" w:rsidR="005D48C5" w:rsidRPr="005D48C5" w:rsidRDefault="005D48C5" w:rsidP="00CA2028">
            <w:pPr>
              <w:spacing w:after="160" w:line="360" w:lineRule="auto"/>
              <w:jc w:val="center"/>
              <w:rPr>
                <w:rFonts w:ascii="Arial" w:hAnsi="Arial" w:cs="Arial"/>
                <w:b/>
                <w:bCs/>
                <w:sz w:val="22"/>
                <w:szCs w:val="22"/>
              </w:rPr>
            </w:pPr>
            <w:r w:rsidRPr="005D48C5">
              <w:rPr>
                <w:rFonts w:ascii="Arial" w:hAnsi="Arial" w:cs="Arial"/>
                <w:b/>
                <w:bCs/>
                <w:sz w:val="22"/>
                <w:szCs w:val="22"/>
              </w:rPr>
              <w:t>Author (Year)</w:t>
            </w:r>
          </w:p>
        </w:tc>
        <w:tc>
          <w:tcPr>
            <w:tcW w:w="0" w:type="auto"/>
            <w:hideMark/>
          </w:tcPr>
          <w:p w14:paraId="49DEF19B" w14:textId="77777777" w:rsidR="005D48C5" w:rsidRPr="005D48C5" w:rsidRDefault="005D48C5" w:rsidP="00CA2028">
            <w:pPr>
              <w:spacing w:after="160" w:line="360" w:lineRule="auto"/>
              <w:jc w:val="center"/>
              <w:rPr>
                <w:rFonts w:ascii="Arial" w:hAnsi="Arial" w:cs="Arial"/>
                <w:b/>
                <w:bCs/>
                <w:sz w:val="22"/>
                <w:szCs w:val="22"/>
              </w:rPr>
            </w:pPr>
            <w:r w:rsidRPr="005D48C5">
              <w:rPr>
                <w:rFonts w:ascii="Arial" w:hAnsi="Arial" w:cs="Arial"/>
                <w:b/>
                <w:bCs/>
                <w:sz w:val="22"/>
                <w:szCs w:val="22"/>
              </w:rPr>
              <w:t>Study Design / Sample</w:t>
            </w:r>
          </w:p>
        </w:tc>
        <w:tc>
          <w:tcPr>
            <w:tcW w:w="0" w:type="auto"/>
            <w:hideMark/>
          </w:tcPr>
          <w:p w14:paraId="08E79D08" w14:textId="77777777" w:rsidR="005D48C5" w:rsidRPr="005D48C5" w:rsidRDefault="005D48C5" w:rsidP="00CA2028">
            <w:pPr>
              <w:spacing w:after="160" w:line="360" w:lineRule="auto"/>
              <w:jc w:val="center"/>
              <w:rPr>
                <w:rFonts w:ascii="Arial" w:hAnsi="Arial" w:cs="Arial"/>
                <w:b/>
                <w:bCs/>
                <w:sz w:val="22"/>
                <w:szCs w:val="22"/>
              </w:rPr>
            </w:pPr>
            <w:r w:rsidRPr="005D48C5">
              <w:rPr>
                <w:rFonts w:ascii="Arial" w:hAnsi="Arial" w:cs="Arial"/>
                <w:b/>
                <w:bCs/>
                <w:sz w:val="22"/>
                <w:szCs w:val="22"/>
              </w:rPr>
              <w:t>Aim / Focus</w:t>
            </w:r>
          </w:p>
        </w:tc>
        <w:tc>
          <w:tcPr>
            <w:tcW w:w="4123" w:type="dxa"/>
            <w:hideMark/>
          </w:tcPr>
          <w:p w14:paraId="387FE797" w14:textId="77777777" w:rsidR="005D48C5" w:rsidRPr="005D48C5" w:rsidRDefault="005D48C5" w:rsidP="00CA2028">
            <w:pPr>
              <w:spacing w:after="160" w:line="360" w:lineRule="auto"/>
              <w:jc w:val="center"/>
              <w:rPr>
                <w:rFonts w:ascii="Arial" w:hAnsi="Arial" w:cs="Arial"/>
                <w:b/>
                <w:bCs/>
                <w:sz w:val="22"/>
                <w:szCs w:val="22"/>
              </w:rPr>
            </w:pPr>
            <w:r w:rsidRPr="005D48C5">
              <w:rPr>
                <w:rFonts w:ascii="Arial" w:hAnsi="Arial" w:cs="Arial"/>
                <w:b/>
                <w:bCs/>
                <w:sz w:val="22"/>
                <w:szCs w:val="22"/>
              </w:rPr>
              <w:t>Key Findings</w:t>
            </w:r>
          </w:p>
        </w:tc>
      </w:tr>
      <w:tr w:rsidR="005D48C5" w:rsidRPr="005D48C5" w14:paraId="184FD8A0" w14:textId="77777777" w:rsidTr="002F0E65">
        <w:tc>
          <w:tcPr>
            <w:tcW w:w="1875" w:type="dxa"/>
            <w:hideMark/>
          </w:tcPr>
          <w:p w14:paraId="5D85D630" w14:textId="73B6F3B1"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 xml:space="preserve">Horvath et al. (2022) </w:t>
            </w:r>
          </w:p>
        </w:tc>
        <w:tc>
          <w:tcPr>
            <w:tcW w:w="0" w:type="auto"/>
            <w:hideMark/>
          </w:tcPr>
          <w:p w14:paraId="7276E36C"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Three-wave panel survey of 2,500 adults in England</w:t>
            </w:r>
          </w:p>
        </w:tc>
        <w:tc>
          <w:tcPr>
            <w:tcW w:w="0" w:type="auto"/>
            <w:hideMark/>
          </w:tcPr>
          <w:p w14:paraId="55FFAD54"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Examine predictors of adoption and continued use of the NHS COVID-19 contact-tracing app</w:t>
            </w:r>
          </w:p>
        </w:tc>
        <w:tc>
          <w:tcPr>
            <w:tcW w:w="4123" w:type="dxa"/>
            <w:hideMark/>
          </w:tcPr>
          <w:p w14:paraId="4CA95C89"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Privacy concerns, lack of transparency, and low trust in government reduced adoption and retention. Misconceptions about third-party data access discouraged participation.</w:t>
            </w:r>
          </w:p>
        </w:tc>
      </w:tr>
      <w:tr w:rsidR="005D48C5" w:rsidRPr="005D48C5" w14:paraId="68FC49AC" w14:textId="77777777" w:rsidTr="002F0E65">
        <w:tc>
          <w:tcPr>
            <w:tcW w:w="1875" w:type="dxa"/>
            <w:hideMark/>
          </w:tcPr>
          <w:p w14:paraId="4A363855" w14:textId="4CAFCEB4"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 xml:space="preserve">Zhang et al. (2023) </w:t>
            </w:r>
          </w:p>
        </w:tc>
        <w:tc>
          <w:tcPr>
            <w:tcW w:w="0" w:type="auto"/>
            <w:hideMark/>
          </w:tcPr>
          <w:p w14:paraId="1D1BF64A"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National mapping of 93,384 NHS England data flows</w:t>
            </w:r>
          </w:p>
        </w:tc>
        <w:tc>
          <w:tcPr>
            <w:tcW w:w="0" w:type="auto"/>
            <w:hideMark/>
          </w:tcPr>
          <w:p w14:paraId="54C42D74"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Identify transparency gaps and privacy risks in NHS data governance</w:t>
            </w:r>
          </w:p>
        </w:tc>
        <w:tc>
          <w:tcPr>
            <w:tcW w:w="4123" w:type="dxa"/>
            <w:hideMark/>
          </w:tcPr>
          <w:p w14:paraId="05109A4E"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Most data flows involved multiple intermediaries with limited oversight. Only 0.5% of data collected with explicit consent; transparency and public reporting were inconsistent.</w:t>
            </w:r>
          </w:p>
        </w:tc>
      </w:tr>
      <w:tr w:rsidR="005D48C5" w:rsidRPr="005D48C5" w14:paraId="30A5CFBA" w14:textId="77777777" w:rsidTr="002F0E65">
        <w:tc>
          <w:tcPr>
            <w:tcW w:w="1875" w:type="dxa"/>
            <w:hideMark/>
          </w:tcPr>
          <w:p w14:paraId="31A33330" w14:textId="3E877441"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 xml:space="preserve">Kerasidou &amp; Kerasidou (2023) </w:t>
            </w:r>
          </w:p>
        </w:tc>
        <w:tc>
          <w:tcPr>
            <w:tcW w:w="0" w:type="auto"/>
            <w:hideMark/>
          </w:tcPr>
          <w:p w14:paraId="5CEF7AE6"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Normative and empirical literature review</w:t>
            </w:r>
          </w:p>
        </w:tc>
        <w:tc>
          <w:tcPr>
            <w:tcW w:w="0" w:type="auto"/>
            <w:hideMark/>
          </w:tcPr>
          <w:p w14:paraId="6A4AA7D0"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Examine public trust and ethics in NHS data partnerships</w:t>
            </w:r>
          </w:p>
        </w:tc>
        <w:tc>
          <w:tcPr>
            <w:tcW w:w="4123" w:type="dxa"/>
            <w:hideMark/>
          </w:tcPr>
          <w:p w14:paraId="4D14C3BC"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Public trust in the NHS does not automatically extend to commercial data sharing. Perceived conflict between public benefit and profit damages legitimacy.</w:t>
            </w:r>
          </w:p>
        </w:tc>
      </w:tr>
      <w:tr w:rsidR="005D48C5" w:rsidRPr="005D48C5" w14:paraId="46989A27" w14:textId="77777777" w:rsidTr="002F0E65">
        <w:tc>
          <w:tcPr>
            <w:tcW w:w="1875" w:type="dxa"/>
            <w:hideMark/>
          </w:tcPr>
          <w:p w14:paraId="641ED089" w14:textId="09AE2F4D"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 xml:space="preserve">Warren et al. (2019) </w:t>
            </w:r>
          </w:p>
        </w:tc>
        <w:tc>
          <w:tcPr>
            <w:tcW w:w="0" w:type="auto"/>
            <w:hideMark/>
          </w:tcPr>
          <w:p w14:paraId="0D32F9EE"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Retrospective observational study of 152 NHS trusts (21 million patients)</w:t>
            </w:r>
          </w:p>
        </w:tc>
        <w:tc>
          <w:tcPr>
            <w:tcW w:w="0" w:type="auto"/>
            <w:hideMark/>
          </w:tcPr>
          <w:p w14:paraId="77AAD0FC"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Assess EHR distribution and data-sharing between hospitals</w:t>
            </w:r>
          </w:p>
        </w:tc>
        <w:tc>
          <w:tcPr>
            <w:tcW w:w="4123" w:type="dxa"/>
            <w:hideMark/>
          </w:tcPr>
          <w:p w14:paraId="6F205638"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21 EHR vendors identified; poor interoperability caused record fragmentation and privacy risks during inter-hospital transitions of care.</w:t>
            </w:r>
          </w:p>
        </w:tc>
      </w:tr>
      <w:tr w:rsidR="005D48C5" w:rsidRPr="005D48C5" w14:paraId="3114D276" w14:textId="77777777" w:rsidTr="002F0E65">
        <w:tc>
          <w:tcPr>
            <w:tcW w:w="1875" w:type="dxa"/>
            <w:hideMark/>
          </w:tcPr>
          <w:p w14:paraId="675EB517" w14:textId="77F1AC4F"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 xml:space="preserve">Sujan et al. (2023) </w:t>
            </w:r>
          </w:p>
        </w:tc>
        <w:tc>
          <w:tcPr>
            <w:tcW w:w="0" w:type="auto"/>
            <w:hideMark/>
          </w:tcPr>
          <w:p w14:paraId="375614EA"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Mixed-methods analysis in remote primary care settings</w:t>
            </w:r>
          </w:p>
        </w:tc>
        <w:tc>
          <w:tcPr>
            <w:tcW w:w="0" w:type="auto"/>
            <w:hideMark/>
          </w:tcPr>
          <w:p w14:paraId="7C6D1B83"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Investigate safety and governance in remote digital consultations</w:t>
            </w:r>
          </w:p>
        </w:tc>
        <w:tc>
          <w:tcPr>
            <w:tcW w:w="4123" w:type="dxa"/>
            <w:hideMark/>
          </w:tcPr>
          <w:p w14:paraId="00C56DE0" w14:textId="77777777" w:rsidR="005D48C5" w:rsidRPr="005D48C5" w:rsidRDefault="005D48C5" w:rsidP="00CA2028">
            <w:pPr>
              <w:spacing w:after="160" w:line="360" w:lineRule="auto"/>
              <w:jc w:val="both"/>
              <w:rPr>
                <w:rFonts w:ascii="Arial" w:hAnsi="Arial" w:cs="Arial"/>
                <w:sz w:val="22"/>
                <w:szCs w:val="22"/>
              </w:rPr>
            </w:pPr>
            <w:r w:rsidRPr="005D48C5">
              <w:rPr>
                <w:rFonts w:ascii="Arial" w:hAnsi="Arial" w:cs="Arial"/>
                <w:sz w:val="22"/>
                <w:szCs w:val="22"/>
              </w:rPr>
              <w:t>Remote care relied on disconnected systems and unclear governance. Inconsistent consent and lack of data-integration raised privacy and safety risks.</w:t>
            </w:r>
          </w:p>
        </w:tc>
      </w:tr>
    </w:tbl>
    <w:p w14:paraId="2509A853" w14:textId="27F81D50" w:rsidR="00790679" w:rsidRPr="00CC69BB" w:rsidRDefault="00790679" w:rsidP="00CC69BB">
      <w:pPr>
        <w:spacing w:line="360" w:lineRule="auto"/>
        <w:jc w:val="center"/>
        <w:rPr>
          <w:rFonts w:ascii="Arial" w:hAnsi="Arial" w:cs="Arial"/>
          <w:sz w:val="22"/>
          <w:szCs w:val="22"/>
        </w:rPr>
      </w:pPr>
      <w:r>
        <w:rPr>
          <w:rFonts w:ascii="Arial" w:hAnsi="Arial" w:cs="Arial"/>
          <w:sz w:val="22"/>
          <w:szCs w:val="22"/>
        </w:rPr>
        <w:t>Source: Author’s Computation (2025)</w:t>
      </w:r>
    </w:p>
    <w:p w14:paraId="6D62DD45" w14:textId="76B36551" w:rsidR="0091230D" w:rsidRPr="0091230D" w:rsidRDefault="005D48C5" w:rsidP="00CA2028">
      <w:pPr>
        <w:spacing w:line="360" w:lineRule="auto"/>
        <w:jc w:val="both"/>
        <w:rPr>
          <w:rFonts w:ascii="Arial" w:hAnsi="Arial" w:cs="Arial"/>
          <w:b/>
          <w:bCs/>
          <w:sz w:val="22"/>
          <w:szCs w:val="22"/>
        </w:rPr>
      </w:pPr>
      <w:bookmarkStart w:id="14" w:name="_Hlk213912966"/>
      <w:r w:rsidRPr="00CA2028">
        <w:rPr>
          <w:rFonts w:ascii="Arial" w:hAnsi="Arial" w:cs="Arial"/>
          <w:b/>
          <w:bCs/>
          <w:sz w:val="22"/>
          <w:szCs w:val="22"/>
        </w:rPr>
        <w:t xml:space="preserve">4.1 </w:t>
      </w:r>
      <w:r w:rsidRPr="005D48C5">
        <w:rPr>
          <w:rFonts w:ascii="Arial" w:hAnsi="Arial" w:cs="Arial"/>
          <w:b/>
          <w:bCs/>
          <w:sz w:val="22"/>
          <w:szCs w:val="22"/>
        </w:rPr>
        <w:t>Thematic Analysis</w:t>
      </w:r>
    </w:p>
    <w:bookmarkEnd w:id="14"/>
    <w:p w14:paraId="4CEDCCE1" w14:textId="2BB7E77E" w:rsidR="00EF1DD0" w:rsidRDefault="00EF1DD0" w:rsidP="00CA2028">
      <w:pPr>
        <w:spacing w:line="360" w:lineRule="auto"/>
        <w:jc w:val="both"/>
        <w:rPr>
          <w:rFonts w:ascii="Arial" w:hAnsi="Arial" w:cs="Arial"/>
          <w:sz w:val="22"/>
          <w:szCs w:val="22"/>
        </w:rPr>
      </w:pPr>
      <w:r w:rsidRPr="00EF1DD0">
        <w:rPr>
          <w:rFonts w:ascii="Arial" w:hAnsi="Arial" w:cs="Arial"/>
          <w:sz w:val="22"/>
          <w:szCs w:val="22"/>
        </w:rPr>
        <w:t>Based on the thematic approach of Aveyard (2014), four themes were identified in the five</w:t>
      </w:r>
      <w:r w:rsidR="00D52D64">
        <w:rPr>
          <w:rFonts w:ascii="Arial" w:hAnsi="Arial" w:cs="Arial"/>
          <w:sz w:val="22"/>
          <w:szCs w:val="22"/>
        </w:rPr>
        <w:t xml:space="preserve"> articles selected, they are </w:t>
      </w:r>
      <w:r w:rsidRPr="00EF1DD0">
        <w:rPr>
          <w:rFonts w:ascii="Arial" w:hAnsi="Arial" w:cs="Arial"/>
          <w:sz w:val="22"/>
          <w:szCs w:val="22"/>
        </w:rPr>
        <w:t xml:space="preserve">(1) fragmented governance and insufficient transparency, (2) technical vulnerabilities and interoperability failure, (3) ethical and consent concerns, and (4) societal trust and confidence in data </w:t>
      </w:r>
      <w:proofErr w:type="spellStart"/>
      <w:r w:rsidRPr="00EF1DD0">
        <w:rPr>
          <w:rFonts w:ascii="Arial" w:hAnsi="Arial" w:cs="Arial"/>
          <w:sz w:val="22"/>
          <w:szCs w:val="22"/>
        </w:rPr>
        <w:t>utili</w:t>
      </w:r>
      <w:r w:rsidR="00700F42">
        <w:rPr>
          <w:rFonts w:ascii="Arial" w:hAnsi="Arial" w:cs="Arial"/>
          <w:sz w:val="22"/>
          <w:szCs w:val="22"/>
        </w:rPr>
        <w:t>s</w:t>
      </w:r>
      <w:r w:rsidRPr="00EF1DD0">
        <w:rPr>
          <w:rFonts w:ascii="Arial" w:hAnsi="Arial" w:cs="Arial"/>
          <w:sz w:val="22"/>
          <w:szCs w:val="22"/>
        </w:rPr>
        <w:t>ation</w:t>
      </w:r>
      <w:proofErr w:type="spellEnd"/>
      <w:r w:rsidRPr="00EF1DD0">
        <w:rPr>
          <w:rFonts w:ascii="Arial" w:hAnsi="Arial" w:cs="Arial"/>
          <w:sz w:val="22"/>
          <w:szCs w:val="22"/>
        </w:rPr>
        <w:t>.</w:t>
      </w:r>
    </w:p>
    <w:p w14:paraId="2515C95C" w14:textId="0C23392D" w:rsidR="005D48C5" w:rsidRPr="005D48C5" w:rsidRDefault="005D48C5" w:rsidP="00CA2028">
      <w:pPr>
        <w:spacing w:line="360" w:lineRule="auto"/>
        <w:jc w:val="both"/>
        <w:rPr>
          <w:rFonts w:ascii="Arial" w:hAnsi="Arial" w:cs="Arial"/>
          <w:b/>
          <w:bCs/>
          <w:sz w:val="22"/>
          <w:szCs w:val="22"/>
        </w:rPr>
      </w:pPr>
      <w:bookmarkStart w:id="15" w:name="_Hlk213912999"/>
      <w:r w:rsidRPr="00CA2028">
        <w:rPr>
          <w:rFonts w:ascii="Arial" w:hAnsi="Arial" w:cs="Arial"/>
          <w:b/>
          <w:bCs/>
          <w:sz w:val="22"/>
          <w:szCs w:val="22"/>
        </w:rPr>
        <w:t xml:space="preserve">4.1.1 </w:t>
      </w:r>
      <w:r w:rsidRPr="005D48C5">
        <w:rPr>
          <w:rFonts w:ascii="Arial" w:hAnsi="Arial" w:cs="Arial"/>
          <w:b/>
          <w:bCs/>
          <w:sz w:val="22"/>
          <w:szCs w:val="22"/>
        </w:rPr>
        <w:t>Fragmented Governance and Limited Transparency</w:t>
      </w:r>
    </w:p>
    <w:bookmarkEnd w:id="15"/>
    <w:p w14:paraId="0E87D147" w14:textId="16437349" w:rsidR="005D48C5" w:rsidRPr="005D48C5" w:rsidRDefault="00232185" w:rsidP="00727441">
      <w:pPr>
        <w:spacing w:line="360" w:lineRule="auto"/>
        <w:jc w:val="both"/>
        <w:rPr>
          <w:rFonts w:ascii="Arial" w:hAnsi="Arial" w:cs="Arial"/>
          <w:sz w:val="22"/>
          <w:szCs w:val="22"/>
        </w:rPr>
      </w:pPr>
      <w:r w:rsidRPr="00232185">
        <w:rPr>
          <w:rFonts w:ascii="Arial" w:hAnsi="Arial" w:cs="Arial"/>
          <w:sz w:val="22"/>
          <w:szCs w:val="22"/>
        </w:rPr>
        <w:t xml:space="preserve">In the chosen studies, fragmented governance was among the major issues that led to privacy risk. According to Zhang et al. (2023), the transfer of patient information to NHS England is done via thousands of individual data flows, many of which pass through commercial distribution with </w:t>
      </w:r>
      <w:r>
        <w:rPr>
          <w:rFonts w:ascii="Arial" w:hAnsi="Arial" w:cs="Arial"/>
          <w:sz w:val="22"/>
          <w:szCs w:val="22"/>
        </w:rPr>
        <w:t>little</w:t>
      </w:r>
      <w:r w:rsidRPr="00232185">
        <w:rPr>
          <w:rFonts w:ascii="Arial" w:hAnsi="Arial" w:cs="Arial"/>
          <w:sz w:val="22"/>
          <w:szCs w:val="22"/>
        </w:rPr>
        <w:t xml:space="preserve"> transparency.</w:t>
      </w:r>
      <w:r>
        <w:rPr>
          <w:rFonts w:ascii="Arial" w:hAnsi="Arial" w:cs="Arial"/>
          <w:sz w:val="22"/>
          <w:szCs w:val="22"/>
        </w:rPr>
        <w:t xml:space="preserve"> </w:t>
      </w:r>
      <w:r w:rsidR="00727441" w:rsidRPr="00727441">
        <w:rPr>
          <w:rFonts w:ascii="Arial" w:hAnsi="Arial" w:cs="Arial"/>
          <w:sz w:val="22"/>
          <w:szCs w:val="22"/>
        </w:rPr>
        <w:t>Only a fraction of these flows was publicly documented</w:t>
      </w:r>
      <w:r w:rsidR="006B7D4E">
        <w:rPr>
          <w:rFonts w:ascii="Arial" w:hAnsi="Arial" w:cs="Arial"/>
          <w:sz w:val="22"/>
          <w:szCs w:val="22"/>
        </w:rPr>
        <w:t>,</w:t>
      </w:r>
      <w:r w:rsidR="00727441" w:rsidRPr="00727441">
        <w:rPr>
          <w:rFonts w:ascii="Arial" w:hAnsi="Arial" w:cs="Arial"/>
          <w:sz w:val="22"/>
          <w:szCs w:val="22"/>
        </w:rPr>
        <w:t xml:space="preserve"> and most relied on the "public interest" legal basis under </w:t>
      </w:r>
      <w:r w:rsidR="006B7D4E">
        <w:rPr>
          <w:rFonts w:ascii="Arial" w:hAnsi="Arial" w:cs="Arial"/>
          <w:sz w:val="22"/>
          <w:szCs w:val="22"/>
        </w:rPr>
        <w:t xml:space="preserve">the </w:t>
      </w:r>
      <w:r w:rsidR="00727441" w:rsidRPr="00727441">
        <w:rPr>
          <w:rFonts w:ascii="Arial" w:hAnsi="Arial" w:cs="Arial"/>
          <w:sz w:val="22"/>
          <w:szCs w:val="22"/>
        </w:rPr>
        <w:t>Data Protection Act (2018) rather than explicit consent. Similarly, Warren et al. (2019) found that hospitals have different EHR systems, so it is unclear who would be accountable for managing data when patients travel between trusts. These governance gaps mean that there is a higher risk of data becoming exposed and that the NHS is less able to demonstrate that it is complying with data protection principles in the UK.</w:t>
      </w:r>
    </w:p>
    <w:p w14:paraId="0B745AC0" w14:textId="3589437E" w:rsidR="005D48C5" w:rsidRPr="005D48C5" w:rsidRDefault="005D48C5" w:rsidP="00CA2028">
      <w:pPr>
        <w:spacing w:line="360" w:lineRule="auto"/>
        <w:jc w:val="both"/>
        <w:rPr>
          <w:rFonts w:ascii="Arial" w:hAnsi="Arial" w:cs="Arial"/>
          <w:b/>
          <w:bCs/>
          <w:sz w:val="22"/>
          <w:szCs w:val="22"/>
        </w:rPr>
      </w:pPr>
      <w:bookmarkStart w:id="16" w:name="_Hlk213914151"/>
      <w:r w:rsidRPr="00CA2028">
        <w:rPr>
          <w:rFonts w:ascii="Arial" w:hAnsi="Arial" w:cs="Arial"/>
          <w:b/>
          <w:bCs/>
          <w:sz w:val="22"/>
          <w:szCs w:val="22"/>
        </w:rPr>
        <w:t xml:space="preserve">4.1.2 </w:t>
      </w:r>
      <w:r w:rsidRPr="005D48C5">
        <w:rPr>
          <w:rFonts w:ascii="Arial" w:hAnsi="Arial" w:cs="Arial"/>
          <w:b/>
          <w:bCs/>
          <w:sz w:val="22"/>
          <w:szCs w:val="22"/>
        </w:rPr>
        <w:t>Technical Vulnerabilities and Interoperability Failures</w:t>
      </w:r>
    </w:p>
    <w:bookmarkEnd w:id="16"/>
    <w:p w14:paraId="0120D47F" w14:textId="39DFDD18" w:rsidR="00727441" w:rsidRDefault="00727441" w:rsidP="00CA2028">
      <w:pPr>
        <w:spacing w:line="360" w:lineRule="auto"/>
        <w:jc w:val="both"/>
        <w:rPr>
          <w:rFonts w:ascii="Arial" w:hAnsi="Arial" w:cs="Arial"/>
          <w:sz w:val="22"/>
          <w:szCs w:val="22"/>
        </w:rPr>
      </w:pPr>
      <w:r w:rsidRPr="00727441">
        <w:rPr>
          <w:rFonts w:ascii="Arial" w:hAnsi="Arial" w:cs="Arial"/>
          <w:sz w:val="22"/>
          <w:szCs w:val="22"/>
        </w:rPr>
        <w:t>Technical weaknesses make privacy threats even more difficult. Warren et al. (2019) revealed that over one-fifth of NHS trusts are still partly paper-based and that only two out of twenty pairs of hospitals with the highest likelihood of patient sharing did so with the same EHR vendor. Inconsistent systems make secure electronic transfers impossible, requiring staff to use temporary or insecure methods that are prone to breaches. Sujan et al. (2023) have found similar patterns in remote primary care: since remote platforms were not integrated with NHS records, clinicians often used email or manual data entry to transfer patient information. These workarounds put the responsibility of privacy protection on individuals, instead of on the system itself.</w:t>
      </w:r>
    </w:p>
    <w:p w14:paraId="431575C7" w14:textId="040EA843" w:rsidR="005D48C5" w:rsidRPr="005D48C5" w:rsidRDefault="005D48C5" w:rsidP="00CA2028">
      <w:pPr>
        <w:spacing w:line="360" w:lineRule="auto"/>
        <w:jc w:val="both"/>
        <w:rPr>
          <w:rFonts w:ascii="Arial" w:hAnsi="Arial" w:cs="Arial"/>
          <w:b/>
          <w:bCs/>
          <w:sz w:val="22"/>
          <w:szCs w:val="22"/>
        </w:rPr>
      </w:pPr>
      <w:bookmarkStart w:id="17" w:name="_Hlk213914175"/>
      <w:r w:rsidRPr="00CA2028">
        <w:rPr>
          <w:rFonts w:ascii="Arial" w:hAnsi="Arial" w:cs="Arial"/>
          <w:b/>
          <w:bCs/>
          <w:sz w:val="22"/>
          <w:szCs w:val="22"/>
        </w:rPr>
        <w:t xml:space="preserve">4.1.3 </w:t>
      </w:r>
      <w:r w:rsidRPr="005D48C5">
        <w:rPr>
          <w:rFonts w:ascii="Arial" w:hAnsi="Arial" w:cs="Arial"/>
          <w:b/>
          <w:bCs/>
          <w:sz w:val="22"/>
          <w:szCs w:val="22"/>
        </w:rPr>
        <w:t>Ethical and Consent Challenges</w:t>
      </w:r>
    </w:p>
    <w:bookmarkEnd w:id="17"/>
    <w:p w14:paraId="7AADFD26" w14:textId="582ECE8C" w:rsidR="00A57D61" w:rsidRPr="00727441" w:rsidRDefault="00727441" w:rsidP="00A57D61">
      <w:pPr>
        <w:spacing w:line="360" w:lineRule="auto"/>
        <w:jc w:val="both"/>
        <w:rPr>
          <w:rFonts w:ascii="Arial" w:hAnsi="Arial" w:cs="Arial"/>
          <w:sz w:val="22"/>
          <w:szCs w:val="22"/>
        </w:rPr>
      </w:pPr>
      <w:r w:rsidRPr="00727441">
        <w:rPr>
          <w:rFonts w:ascii="Arial" w:hAnsi="Arial" w:cs="Arial"/>
          <w:sz w:val="22"/>
          <w:szCs w:val="22"/>
        </w:rPr>
        <w:t xml:space="preserve">Ethical issues concerning consent and the use of secondary data were discussed in Zhang et al. (2023) and Kerasidou &amp; Kerasidou (2023). Zhang et al (2023) found that most NHS data collections are undertaken without any explicit patient consent, while Kerasidou argued that this practice undermines the social </w:t>
      </w:r>
      <w:proofErr w:type="spellStart"/>
      <w:r w:rsidRPr="00727441">
        <w:rPr>
          <w:rFonts w:ascii="Arial" w:hAnsi="Arial" w:cs="Arial"/>
          <w:sz w:val="22"/>
          <w:szCs w:val="22"/>
        </w:rPr>
        <w:t>licence</w:t>
      </w:r>
      <w:proofErr w:type="spellEnd"/>
      <w:r w:rsidRPr="00727441">
        <w:rPr>
          <w:rFonts w:ascii="Arial" w:hAnsi="Arial" w:cs="Arial"/>
          <w:sz w:val="22"/>
          <w:szCs w:val="22"/>
        </w:rPr>
        <w:t xml:space="preserve"> for data driven research.</w:t>
      </w:r>
      <w:r w:rsidR="00A57D61">
        <w:rPr>
          <w:rFonts w:ascii="Arial" w:hAnsi="Arial" w:cs="Arial"/>
          <w:sz w:val="22"/>
          <w:szCs w:val="22"/>
        </w:rPr>
        <w:t xml:space="preserve"> </w:t>
      </w:r>
      <w:r w:rsidR="00A57D61" w:rsidRPr="00A57D61">
        <w:rPr>
          <w:rFonts w:ascii="Arial" w:hAnsi="Arial" w:cs="Arial"/>
          <w:sz w:val="22"/>
          <w:szCs w:val="22"/>
        </w:rPr>
        <w:t>The public expects to use their data for the improvement of healthcare and not for commercial gain. Ethical tension exists when partnerships with private companies have no apparent value return to the NHS. Sujan et al. (2023) also noted blurred consent processes in remote consultations; patients had no idea how their information was stored and shared.</w:t>
      </w:r>
      <w:r w:rsidR="00A57D61">
        <w:rPr>
          <w:rFonts w:ascii="Arial" w:hAnsi="Arial" w:cs="Arial"/>
          <w:sz w:val="22"/>
          <w:szCs w:val="22"/>
        </w:rPr>
        <w:t xml:space="preserve"> </w:t>
      </w:r>
      <w:r w:rsidR="00A57D61" w:rsidRPr="00A57D61">
        <w:rPr>
          <w:rFonts w:ascii="Arial" w:hAnsi="Arial" w:cs="Arial"/>
          <w:sz w:val="22"/>
          <w:szCs w:val="22"/>
        </w:rPr>
        <w:t>Together, these findings show that existing frameworks for consent are inadequate for complex secondary uses common to modern digital systems.</w:t>
      </w:r>
    </w:p>
    <w:p w14:paraId="71CFF151" w14:textId="531BE1F4" w:rsidR="005D48C5" w:rsidRPr="005D48C5" w:rsidRDefault="005D48C5" w:rsidP="00CA2028">
      <w:pPr>
        <w:spacing w:line="360" w:lineRule="auto"/>
        <w:jc w:val="both"/>
        <w:rPr>
          <w:rFonts w:ascii="Arial" w:hAnsi="Arial" w:cs="Arial"/>
          <w:b/>
          <w:bCs/>
          <w:sz w:val="22"/>
          <w:szCs w:val="22"/>
        </w:rPr>
      </w:pPr>
      <w:bookmarkStart w:id="18" w:name="_Hlk213914192"/>
      <w:r w:rsidRPr="005D48C5">
        <w:rPr>
          <w:rFonts w:ascii="Arial" w:hAnsi="Arial" w:cs="Arial"/>
          <w:b/>
          <w:bCs/>
          <w:sz w:val="22"/>
          <w:szCs w:val="22"/>
        </w:rPr>
        <w:t>4</w:t>
      </w:r>
      <w:r w:rsidRPr="00CA2028">
        <w:rPr>
          <w:rFonts w:ascii="Arial" w:hAnsi="Arial" w:cs="Arial"/>
          <w:b/>
          <w:bCs/>
          <w:sz w:val="22"/>
          <w:szCs w:val="22"/>
        </w:rPr>
        <w:t xml:space="preserve">.1.4 </w:t>
      </w:r>
      <w:r w:rsidRPr="005D48C5">
        <w:rPr>
          <w:rFonts w:ascii="Arial" w:hAnsi="Arial" w:cs="Arial"/>
          <w:b/>
          <w:bCs/>
          <w:sz w:val="22"/>
          <w:szCs w:val="22"/>
        </w:rPr>
        <w:t>Public Trust and Confidence in Data Use</w:t>
      </w:r>
    </w:p>
    <w:bookmarkEnd w:id="18"/>
    <w:p w14:paraId="51610750" w14:textId="31F8F6B8" w:rsidR="0009175D" w:rsidRDefault="00A57D61" w:rsidP="00CA2028">
      <w:pPr>
        <w:spacing w:line="360" w:lineRule="auto"/>
        <w:jc w:val="both"/>
        <w:rPr>
          <w:rFonts w:ascii="Arial" w:hAnsi="Arial" w:cs="Arial"/>
          <w:sz w:val="22"/>
          <w:szCs w:val="22"/>
        </w:rPr>
      </w:pPr>
      <w:r w:rsidRPr="00A57D61">
        <w:rPr>
          <w:rFonts w:ascii="Arial" w:hAnsi="Arial" w:cs="Arial"/>
          <w:sz w:val="22"/>
          <w:szCs w:val="22"/>
        </w:rPr>
        <w:t xml:space="preserve">Public trust became a key issue in determining the outcome of privacy. Horvath et al (2022) demonstrated that low trust in government and uncertainty about access to personal data by third parties decreased engagement with digital health tools such as the NHS covid-19 app. Kerasidou &amp; Kerasidou (2023) further argued that trust needs to be built through openness and dialogue and not just through technical assurances. </w:t>
      </w:r>
      <w:r w:rsidR="00DC3E6A" w:rsidRPr="00DC3E6A">
        <w:rPr>
          <w:rFonts w:ascii="Arial" w:hAnsi="Arial" w:cs="Arial"/>
          <w:sz w:val="22"/>
          <w:szCs w:val="22"/>
        </w:rPr>
        <w:t xml:space="preserve">When people feel that their data is being </w:t>
      </w:r>
      <w:proofErr w:type="spellStart"/>
      <w:r w:rsidR="00DC3E6A" w:rsidRPr="00DC3E6A">
        <w:rPr>
          <w:rFonts w:ascii="Arial" w:hAnsi="Arial" w:cs="Arial"/>
          <w:sz w:val="22"/>
          <w:szCs w:val="22"/>
        </w:rPr>
        <w:t>monetised</w:t>
      </w:r>
      <w:proofErr w:type="spellEnd"/>
      <w:r w:rsidR="00DC3E6A" w:rsidRPr="00DC3E6A">
        <w:rPr>
          <w:rFonts w:ascii="Arial" w:hAnsi="Arial" w:cs="Arial"/>
          <w:sz w:val="22"/>
          <w:szCs w:val="22"/>
        </w:rPr>
        <w:t xml:space="preserve"> or handled in an opaque way, they opt out of being </w:t>
      </w:r>
      <w:r w:rsidR="00434844" w:rsidRPr="00DC3E6A">
        <w:rPr>
          <w:rFonts w:ascii="Arial" w:hAnsi="Arial" w:cs="Arial"/>
          <w:sz w:val="22"/>
          <w:szCs w:val="22"/>
        </w:rPr>
        <w:t>involved,</w:t>
      </w:r>
      <w:r w:rsidR="00DC3E6A" w:rsidRPr="00DC3E6A">
        <w:rPr>
          <w:rFonts w:ascii="Arial" w:hAnsi="Arial" w:cs="Arial"/>
          <w:sz w:val="22"/>
          <w:szCs w:val="22"/>
        </w:rPr>
        <w:t xml:space="preserve"> which </w:t>
      </w:r>
      <w:r w:rsidR="00DC3E6A">
        <w:rPr>
          <w:rFonts w:ascii="Arial" w:hAnsi="Arial" w:cs="Arial"/>
          <w:sz w:val="22"/>
          <w:szCs w:val="22"/>
        </w:rPr>
        <w:t>implies</w:t>
      </w:r>
      <w:r w:rsidR="00DC3E6A" w:rsidRPr="00DC3E6A">
        <w:rPr>
          <w:rFonts w:ascii="Arial" w:hAnsi="Arial" w:cs="Arial"/>
          <w:sz w:val="22"/>
          <w:szCs w:val="22"/>
        </w:rPr>
        <w:t xml:space="preserve"> that digital transformation can fall short of its potential benefits</w:t>
      </w:r>
      <w:r w:rsidR="00434844">
        <w:rPr>
          <w:rFonts w:ascii="Arial" w:hAnsi="Arial" w:cs="Arial"/>
          <w:sz w:val="22"/>
          <w:szCs w:val="22"/>
        </w:rPr>
        <w:t xml:space="preserve"> (</w:t>
      </w:r>
      <w:r w:rsidR="00434844" w:rsidRPr="00A57D61">
        <w:rPr>
          <w:rFonts w:ascii="Arial" w:hAnsi="Arial" w:cs="Arial"/>
          <w:sz w:val="22"/>
          <w:szCs w:val="22"/>
        </w:rPr>
        <w:t>Horvath et al</w:t>
      </w:r>
      <w:r w:rsidR="00434844">
        <w:rPr>
          <w:rFonts w:ascii="Arial" w:hAnsi="Arial" w:cs="Arial"/>
          <w:sz w:val="22"/>
          <w:szCs w:val="22"/>
        </w:rPr>
        <w:t xml:space="preserve"> 2022)</w:t>
      </w:r>
      <w:r w:rsidR="00DC3E6A" w:rsidRPr="00DC3E6A">
        <w:rPr>
          <w:rFonts w:ascii="Arial" w:hAnsi="Arial" w:cs="Arial"/>
          <w:sz w:val="22"/>
          <w:szCs w:val="22"/>
        </w:rPr>
        <w:t>. Transparency, therefore, is not only a matter of ethics but it is a matter of practicality of effective system use.</w:t>
      </w:r>
      <w:r w:rsidR="00DC3E6A">
        <w:rPr>
          <w:rFonts w:ascii="Arial" w:hAnsi="Arial" w:cs="Arial"/>
          <w:sz w:val="22"/>
          <w:szCs w:val="22"/>
        </w:rPr>
        <w:t xml:space="preserve"> </w:t>
      </w:r>
    </w:p>
    <w:p w14:paraId="30F002CA" w14:textId="0F921306" w:rsidR="00D87CD5" w:rsidRPr="00D87CD5" w:rsidRDefault="005D48C5" w:rsidP="00CA2028">
      <w:pPr>
        <w:pStyle w:val="ListParagraph"/>
        <w:numPr>
          <w:ilvl w:val="0"/>
          <w:numId w:val="7"/>
        </w:numPr>
        <w:spacing w:line="360" w:lineRule="auto"/>
        <w:jc w:val="both"/>
        <w:rPr>
          <w:rFonts w:ascii="Arial" w:hAnsi="Arial" w:cs="Arial"/>
          <w:b/>
          <w:bCs/>
          <w:sz w:val="22"/>
          <w:szCs w:val="22"/>
        </w:rPr>
      </w:pPr>
      <w:bookmarkStart w:id="19" w:name="_Hlk213914211"/>
      <w:r w:rsidRPr="00CA2028">
        <w:rPr>
          <w:rFonts w:ascii="Arial" w:hAnsi="Arial" w:cs="Arial"/>
          <w:b/>
          <w:bCs/>
          <w:sz w:val="22"/>
          <w:szCs w:val="22"/>
        </w:rPr>
        <w:t>Discussion</w:t>
      </w:r>
    </w:p>
    <w:p w14:paraId="78560270" w14:textId="60C8B69F" w:rsidR="005D48C5" w:rsidRPr="005D48C5" w:rsidRDefault="00F700B3" w:rsidP="00CA2028">
      <w:pPr>
        <w:spacing w:line="360" w:lineRule="auto"/>
        <w:jc w:val="both"/>
        <w:rPr>
          <w:rFonts w:ascii="Arial" w:hAnsi="Arial" w:cs="Arial"/>
          <w:b/>
          <w:bCs/>
          <w:sz w:val="22"/>
          <w:szCs w:val="22"/>
        </w:rPr>
      </w:pPr>
      <w:bookmarkStart w:id="20" w:name="_Hlk213914245"/>
      <w:bookmarkEnd w:id="19"/>
      <w:r w:rsidRPr="00CA2028">
        <w:rPr>
          <w:rFonts w:ascii="Arial" w:hAnsi="Arial" w:cs="Arial"/>
          <w:b/>
          <w:bCs/>
          <w:sz w:val="22"/>
          <w:szCs w:val="22"/>
        </w:rPr>
        <w:t xml:space="preserve">5.1 </w:t>
      </w:r>
      <w:r w:rsidR="005D48C5" w:rsidRPr="005D48C5">
        <w:rPr>
          <w:rFonts w:ascii="Arial" w:hAnsi="Arial" w:cs="Arial"/>
          <w:b/>
          <w:bCs/>
          <w:sz w:val="22"/>
          <w:szCs w:val="22"/>
        </w:rPr>
        <w:t>Governance Fragmentation and Policy Implementation</w:t>
      </w:r>
    </w:p>
    <w:bookmarkEnd w:id="20"/>
    <w:p w14:paraId="7DD0F2C0" w14:textId="6C47258C" w:rsidR="009F4C9B" w:rsidRDefault="009F4C9B" w:rsidP="00CA2028">
      <w:pPr>
        <w:spacing w:line="360" w:lineRule="auto"/>
        <w:jc w:val="both"/>
        <w:rPr>
          <w:rFonts w:ascii="Arial" w:hAnsi="Arial" w:cs="Arial"/>
          <w:sz w:val="22"/>
          <w:szCs w:val="22"/>
        </w:rPr>
      </w:pPr>
      <w:r w:rsidRPr="009F4C9B">
        <w:rPr>
          <w:rFonts w:ascii="Arial" w:hAnsi="Arial" w:cs="Arial"/>
          <w:sz w:val="22"/>
          <w:szCs w:val="22"/>
        </w:rPr>
        <w:t>Fragmented governance is the biggest hurdle to the assurance of privacy. Zhang et al. (2023) showed the way data moves through multiple intermediaries, which often includes commercial data processors with little oversight or reporting. This fragmentation creates a lack of accountability and makes it hard to see how information is used once it has left its original source in the NHS. Although the UK has set up governance frameworks, including the Caldicott Principles and the NHS Data Security and Protection Toolkit the implementation of these frameworks varies unevenly across trusts (Department of Health and Social Care, 2020). The lack of central enforcement means that huge variation in compliance standards is possible, as show</w:t>
      </w:r>
      <w:r>
        <w:rPr>
          <w:rFonts w:ascii="Arial" w:hAnsi="Arial" w:cs="Arial"/>
          <w:sz w:val="22"/>
          <w:szCs w:val="22"/>
        </w:rPr>
        <w:t>n in</w:t>
      </w:r>
      <w:r w:rsidRPr="009F4C9B">
        <w:rPr>
          <w:rFonts w:ascii="Arial" w:hAnsi="Arial" w:cs="Arial"/>
          <w:sz w:val="22"/>
          <w:szCs w:val="22"/>
        </w:rPr>
        <w:t xml:space="preserve"> Warren et al. (2019) in their national analysis of hospital record systems.</w:t>
      </w:r>
    </w:p>
    <w:p w14:paraId="486A9D55" w14:textId="77777777" w:rsidR="009F4C9B" w:rsidRDefault="009F4C9B" w:rsidP="00CA2028">
      <w:pPr>
        <w:spacing w:line="360" w:lineRule="auto"/>
        <w:jc w:val="both"/>
        <w:rPr>
          <w:rFonts w:ascii="Arial" w:hAnsi="Arial" w:cs="Arial"/>
          <w:sz w:val="22"/>
          <w:szCs w:val="22"/>
        </w:rPr>
      </w:pPr>
    </w:p>
    <w:p w14:paraId="24ECDDDC" w14:textId="02883B1C" w:rsidR="00D50A89" w:rsidRDefault="00D50A89" w:rsidP="00CA2028">
      <w:pPr>
        <w:spacing w:line="360" w:lineRule="auto"/>
        <w:jc w:val="both"/>
        <w:rPr>
          <w:rFonts w:ascii="Arial" w:hAnsi="Arial" w:cs="Arial"/>
          <w:sz w:val="22"/>
          <w:szCs w:val="22"/>
        </w:rPr>
      </w:pPr>
      <w:bookmarkStart w:id="21" w:name="_Hlk213914314"/>
      <w:r w:rsidRPr="00D50A89">
        <w:rPr>
          <w:rFonts w:ascii="Arial" w:hAnsi="Arial" w:cs="Arial"/>
          <w:sz w:val="22"/>
          <w:szCs w:val="22"/>
        </w:rPr>
        <w:t xml:space="preserve">This inconsistency suggests that privacy protection is greatly dependent on local leadership as well as resources available rather than a </w:t>
      </w:r>
      <w:proofErr w:type="spellStart"/>
      <w:r w:rsidRPr="00D50A89">
        <w:rPr>
          <w:rFonts w:ascii="Arial" w:hAnsi="Arial" w:cs="Arial"/>
          <w:sz w:val="22"/>
          <w:szCs w:val="22"/>
        </w:rPr>
        <w:t>standardised</w:t>
      </w:r>
      <w:proofErr w:type="spellEnd"/>
      <w:r w:rsidRPr="00D50A89">
        <w:rPr>
          <w:rFonts w:ascii="Arial" w:hAnsi="Arial" w:cs="Arial"/>
          <w:sz w:val="22"/>
          <w:szCs w:val="22"/>
        </w:rPr>
        <w:t xml:space="preserve"> national approach. The result is a patchwork system in which some trusts have good data management, while others are lagging (Jawad, 2024). Strengthening the national coordination and monitoring mechanisms could therefore support uniformity and reduce exposure to breaches (</w:t>
      </w:r>
      <w:proofErr w:type="spellStart"/>
      <w:r w:rsidRPr="00D50A89">
        <w:rPr>
          <w:rFonts w:ascii="Arial" w:hAnsi="Arial" w:cs="Arial"/>
          <w:sz w:val="22"/>
          <w:szCs w:val="22"/>
        </w:rPr>
        <w:t>Conduah</w:t>
      </w:r>
      <w:proofErr w:type="spellEnd"/>
      <w:r w:rsidRPr="00D50A89">
        <w:rPr>
          <w:rFonts w:ascii="Arial" w:hAnsi="Arial" w:cs="Arial"/>
          <w:sz w:val="22"/>
          <w:szCs w:val="22"/>
        </w:rPr>
        <w:t xml:space="preserve"> et al, 2025). The development of Secure Data Environments (SDEs), as suggested by Zhang et al. (2023) is a promising step towards unification of governance, but these systems need constant investment and accountability to the public for them to be successful.</w:t>
      </w:r>
    </w:p>
    <w:p w14:paraId="5C174942" w14:textId="7BD13BB7" w:rsidR="005D48C5" w:rsidRPr="005D48C5" w:rsidRDefault="00F700B3" w:rsidP="00CA2028">
      <w:pPr>
        <w:spacing w:line="360" w:lineRule="auto"/>
        <w:jc w:val="both"/>
        <w:rPr>
          <w:rFonts w:ascii="Arial" w:hAnsi="Arial" w:cs="Arial"/>
          <w:b/>
          <w:bCs/>
          <w:sz w:val="22"/>
          <w:szCs w:val="22"/>
        </w:rPr>
      </w:pPr>
      <w:r w:rsidRPr="00CA2028">
        <w:rPr>
          <w:rFonts w:ascii="Arial" w:hAnsi="Arial" w:cs="Arial"/>
          <w:b/>
          <w:bCs/>
          <w:sz w:val="22"/>
          <w:szCs w:val="22"/>
        </w:rPr>
        <w:t xml:space="preserve">5.2 </w:t>
      </w:r>
      <w:r w:rsidR="005D48C5" w:rsidRPr="005D48C5">
        <w:rPr>
          <w:rFonts w:ascii="Arial" w:hAnsi="Arial" w:cs="Arial"/>
          <w:b/>
          <w:bCs/>
          <w:sz w:val="22"/>
          <w:szCs w:val="22"/>
        </w:rPr>
        <w:t>Technical Vulnerabilities and System Fragmentation</w:t>
      </w:r>
    </w:p>
    <w:bookmarkEnd w:id="21"/>
    <w:p w14:paraId="26AEDE00" w14:textId="4DF5C833" w:rsidR="00F36C0D" w:rsidRDefault="006D1FDF" w:rsidP="00F36C0D">
      <w:pPr>
        <w:spacing w:line="360" w:lineRule="auto"/>
        <w:jc w:val="both"/>
        <w:rPr>
          <w:rFonts w:ascii="Arial" w:hAnsi="Arial" w:cs="Arial"/>
          <w:sz w:val="22"/>
          <w:szCs w:val="22"/>
        </w:rPr>
      </w:pPr>
      <w:r w:rsidRPr="00F36C0D">
        <w:rPr>
          <w:rFonts w:ascii="Arial" w:hAnsi="Arial" w:cs="Arial"/>
          <w:sz w:val="22"/>
          <w:szCs w:val="22"/>
        </w:rPr>
        <w:t>Technical limitations add to the governance challenges identified</w:t>
      </w:r>
      <w:r w:rsidRPr="006D1FDF">
        <w:rPr>
          <w:rFonts w:ascii="Arial" w:hAnsi="Arial" w:cs="Arial"/>
          <w:sz w:val="22"/>
          <w:szCs w:val="22"/>
        </w:rPr>
        <w:t>. Warren et al. (2019) found that many hospitals in the UK have been using incompatible electronic health record (EHR) systems that have blocked seamless transfer of information from one institution to another. When patients travel between hospitals, it is usually not possible to actively follow their digital records and have them securely followed, and staff often must use insecure workarounds such as printing their records, sending them via email or re-entering data manually.</w:t>
      </w:r>
      <w:r>
        <w:rPr>
          <w:rFonts w:ascii="Arial" w:hAnsi="Arial" w:cs="Arial"/>
          <w:sz w:val="22"/>
          <w:szCs w:val="22"/>
        </w:rPr>
        <w:t xml:space="preserve"> </w:t>
      </w:r>
      <w:r w:rsidR="00F36C0D" w:rsidRPr="00F36C0D">
        <w:rPr>
          <w:rFonts w:ascii="Arial" w:hAnsi="Arial" w:cs="Arial"/>
          <w:sz w:val="22"/>
          <w:szCs w:val="22"/>
        </w:rPr>
        <w:t xml:space="preserve">Sujan et al (2023) found similar problems with remote primary care, where clinicians were found to need to copy patient information between disconnected systems or store data temporarily on private devices. These practices increase the risk of accidental disclosure and provide a false sense of efficiency </w:t>
      </w:r>
      <w:r w:rsidR="00F36C0D" w:rsidRPr="005D48C5">
        <w:rPr>
          <w:rFonts w:ascii="Arial" w:hAnsi="Arial" w:cs="Arial"/>
          <w:sz w:val="22"/>
          <w:szCs w:val="22"/>
        </w:rPr>
        <w:t>while bypassing approved security protocols.</w:t>
      </w:r>
    </w:p>
    <w:p w14:paraId="40F819B1" w14:textId="6D687555" w:rsidR="00D87CD5" w:rsidRPr="005D48C5" w:rsidRDefault="00F36C0D" w:rsidP="00CA2028">
      <w:pPr>
        <w:spacing w:line="360" w:lineRule="auto"/>
        <w:jc w:val="both"/>
        <w:rPr>
          <w:rFonts w:ascii="Arial" w:hAnsi="Arial" w:cs="Arial"/>
          <w:sz w:val="22"/>
          <w:szCs w:val="22"/>
        </w:rPr>
      </w:pPr>
      <w:r w:rsidRPr="00F36C0D">
        <w:rPr>
          <w:rFonts w:ascii="Arial" w:hAnsi="Arial" w:cs="Arial"/>
          <w:sz w:val="22"/>
          <w:szCs w:val="22"/>
        </w:rPr>
        <w:t>Outdated or isolated digital systems compromise the primary goals of the NHS Long Term Plan to develop integrated digital care records (NHS England, 2019). Investments in interoperability and shared technical standards must therefore be considered as part of privacy management, and not as separate infrastructure problems (Ademola et al, 2024). Privacy cannot be achieved if data systems themselves are disjointed. Technical reliability and security should be considered as part of patient safety as reinforced by Sujan et al., (2023) who argue that upholding privacy is inseparable from guaranteeing clinical safety in distance care.</w:t>
      </w:r>
    </w:p>
    <w:p w14:paraId="6C4D0C71" w14:textId="58ADA70A" w:rsidR="005D48C5" w:rsidRPr="005D48C5" w:rsidRDefault="00F700B3" w:rsidP="00CA2028">
      <w:pPr>
        <w:spacing w:line="360" w:lineRule="auto"/>
        <w:jc w:val="both"/>
        <w:rPr>
          <w:rFonts w:ascii="Arial" w:hAnsi="Arial" w:cs="Arial"/>
          <w:b/>
          <w:bCs/>
          <w:sz w:val="22"/>
          <w:szCs w:val="22"/>
        </w:rPr>
      </w:pPr>
      <w:bookmarkStart w:id="22" w:name="_Hlk213914335"/>
      <w:r w:rsidRPr="00733AB6">
        <w:rPr>
          <w:rFonts w:ascii="Arial" w:hAnsi="Arial" w:cs="Arial"/>
          <w:b/>
          <w:bCs/>
          <w:sz w:val="22"/>
          <w:szCs w:val="22"/>
        </w:rPr>
        <w:t xml:space="preserve">5.3 </w:t>
      </w:r>
      <w:r w:rsidR="005D48C5" w:rsidRPr="005D48C5">
        <w:rPr>
          <w:rFonts w:ascii="Arial" w:hAnsi="Arial" w:cs="Arial"/>
          <w:b/>
          <w:bCs/>
          <w:sz w:val="22"/>
          <w:szCs w:val="22"/>
        </w:rPr>
        <w:t>Ethical and Consent Challenges in Data Use</w:t>
      </w:r>
    </w:p>
    <w:bookmarkEnd w:id="22"/>
    <w:p w14:paraId="74FA3F3B" w14:textId="3C0BF7C3" w:rsidR="00796A78" w:rsidRDefault="00796A78" w:rsidP="00CA2028">
      <w:pPr>
        <w:spacing w:line="360" w:lineRule="auto"/>
        <w:jc w:val="both"/>
        <w:rPr>
          <w:rFonts w:ascii="Arial" w:hAnsi="Arial" w:cs="Arial"/>
          <w:sz w:val="22"/>
          <w:szCs w:val="22"/>
        </w:rPr>
      </w:pPr>
      <w:r w:rsidRPr="00796A78">
        <w:rPr>
          <w:rFonts w:ascii="Arial" w:hAnsi="Arial" w:cs="Arial"/>
          <w:sz w:val="22"/>
          <w:szCs w:val="22"/>
        </w:rPr>
        <w:t>One major takeaway from this review is that ethics and the law do not always coincide. Zhang et al. (2023) found that express patient consent for data flow operates in less than one percent of NHS data flows. Although the GDPR provides data processing for "public interest" purposes, such practices run the risk of alienating the very public whose trust is crucial. Kerasidou &amp; Kerasidou (2023) argues that the NHS evolving relationship with the private technology firms has altered the way the public views its moral duty. Citizens trust the NHS as a care provider; however, this trust is reduced when data is shared for commercial or research purposes without transparent benefit to patients (Kerasidou &amp; Kerasidou, 2023).</w:t>
      </w:r>
    </w:p>
    <w:p w14:paraId="24F8E8C5" w14:textId="2323970E" w:rsidR="00486A96" w:rsidRDefault="00486A96" w:rsidP="00CA2028">
      <w:pPr>
        <w:spacing w:line="360" w:lineRule="auto"/>
        <w:jc w:val="both"/>
        <w:rPr>
          <w:rFonts w:ascii="Arial" w:hAnsi="Arial" w:cs="Arial"/>
          <w:sz w:val="22"/>
          <w:szCs w:val="22"/>
        </w:rPr>
      </w:pPr>
      <w:r w:rsidRPr="00486A96">
        <w:rPr>
          <w:rFonts w:ascii="Arial" w:hAnsi="Arial" w:cs="Arial"/>
          <w:sz w:val="22"/>
          <w:szCs w:val="22"/>
        </w:rPr>
        <w:t>The ethical legitimacy of the use of data rests on the continued distinction between public value and private gain. Current consent mechanisms, which are often based on opt-out models or broad research exemptions, do not align with the expectations of autonomy and transparency in contemporary times. Sujan et al. (2023) further observed that many providers of remote care did not have clear documentation of consent, and that patients were unsure how their information was stored or transmitted. Together all these findings mean that ethical reform should not be limited to policy compliance but must focus on nurturing informed and continuing participation in decisions related to data.</w:t>
      </w:r>
    </w:p>
    <w:p w14:paraId="149B8CD1" w14:textId="525B4780" w:rsidR="00486A96" w:rsidRDefault="00486A96" w:rsidP="00CA2028">
      <w:pPr>
        <w:spacing w:line="360" w:lineRule="auto"/>
        <w:jc w:val="both"/>
        <w:rPr>
          <w:rFonts w:ascii="Arial" w:hAnsi="Arial" w:cs="Arial"/>
          <w:sz w:val="22"/>
          <w:szCs w:val="22"/>
        </w:rPr>
      </w:pPr>
      <w:r w:rsidRPr="00486A96">
        <w:rPr>
          <w:rFonts w:ascii="Arial" w:hAnsi="Arial" w:cs="Arial"/>
          <w:sz w:val="22"/>
          <w:szCs w:val="22"/>
        </w:rPr>
        <w:t xml:space="preserve">Introducing dynamic consent models where individuals can handle permissions via digital platforms could increase control and engagement (Lee et al, 2024). Such tools have been </w:t>
      </w:r>
      <w:proofErr w:type="spellStart"/>
      <w:r w:rsidRPr="00486A96">
        <w:rPr>
          <w:rFonts w:ascii="Arial" w:hAnsi="Arial" w:cs="Arial"/>
          <w:sz w:val="22"/>
          <w:szCs w:val="22"/>
        </w:rPr>
        <w:t>trialled</w:t>
      </w:r>
      <w:proofErr w:type="spellEnd"/>
      <w:r w:rsidRPr="00486A96">
        <w:rPr>
          <w:rFonts w:ascii="Arial" w:hAnsi="Arial" w:cs="Arial"/>
          <w:sz w:val="22"/>
          <w:szCs w:val="22"/>
        </w:rPr>
        <w:t xml:space="preserve"> in UK biobank and genomic research settings and may provide a scalable model for digital health (Teare et al, 2015). Ethical Stewardship should therefore be part of the technical and </w:t>
      </w:r>
      <w:proofErr w:type="spellStart"/>
      <w:r w:rsidRPr="00486A96">
        <w:rPr>
          <w:rFonts w:ascii="Arial" w:hAnsi="Arial" w:cs="Arial"/>
          <w:sz w:val="22"/>
          <w:szCs w:val="22"/>
        </w:rPr>
        <w:t>organisational</w:t>
      </w:r>
      <w:proofErr w:type="spellEnd"/>
      <w:r w:rsidRPr="00486A96">
        <w:rPr>
          <w:rFonts w:ascii="Arial" w:hAnsi="Arial" w:cs="Arial"/>
          <w:sz w:val="22"/>
          <w:szCs w:val="22"/>
        </w:rPr>
        <w:t xml:space="preserve"> architecture of data systems rather than considered a secondary concern.</w:t>
      </w:r>
    </w:p>
    <w:p w14:paraId="5459C85E" w14:textId="283BD20A" w:rsidR="005D48C5" w:rsidRPr="005D48C5" w:rsidRDefault="00F700B3" w:rsidP="00CA2028">
      <w:pPr>
        <w:spacing w:line="360" w:lineRule="auto"/>
        <w:jc w:val="both"/>
        <w:rPr>
          <w:rFonts w:ascii="Arial" w:hAnsi="Arial" w:cs="Arial"/>
          <w:b/>
          <w:bCs/>
          <w:sz w:val="22"/>
          <w:szCs w:val="22"/>
        </w:rPr>
      </w:pPr>
      <w:bookmarkStart w:id="23" w:name="_Hlk213914367"/>
      <w:r w:rsidRPr="00CA2028">
        <w:rPr>
          <w:rFonts w:ascii="Arial" w:hAnsi="Arial" w:cs="Arial"/>
          <w:b/>
          <w:bCs/>
          <w:sz w:val="22"/>
          <w:szCs w:val="22"/>
        </w:rPr>
        <w:t>5.4 Public Trust as a Foundation for Privacy</w:t>
      </w:r>
    </w:p>
    <w:bookmarkEnd w:id="23"/>
    <w:p w14:paraId="7C898ED2" w14:textId="77777777" w:rsidR="00486A96" w:rsidRDefault="00486A96" w:rsidP="00CA2028">
      <w:pPr>
        <w:spacing w:line="360" w:lineRule="auto"/>
        <w:jc w:val="both"/>
        <w:rPr>
          <w:rFonts w:ascii="Arial" w:hAnsi="Arial" w:cs="Arial"/>
          <w:sz w:val="22"/>
          <w:szCs w:val="22"/>
        </w:rPr>
      </w:pPr>
      <w:r w:rsidRPr="00486A96">
        <w:rPr>
          <w:rFonts w:ascii="Arial" w:hAnsi="Arial" w:cs="Arial"/>
          <w:sz w:val="22"/>
          <w:szCs w:val="22"/>
        </w:rPr>
        <w:t>Public trust is both a product and a prerequisite of good privacy management. Horvath et al. (2022) showed that a low level of trust in government and a lack of understanding about the access to data were directly linked to a decreased adoption of the NHS Covid-19 app. This finding highlights the relationship between privacy protection as perceived and user participation. When citizens feel the data is not safe, they abandon digital services, which in turn restricts the system's capacity to improve healthcare outcomes based on data.</w:t>
      </w:r>
    </w:p>
    <w:p w14:paraId="6CD691CD" w14:textId="77777777" w:rsidR="00486A96" w:rsidRDefault="00486A96" w:rsidP="00CA2028">
      <w:pPr>
        <w:spacing w:line="360" w:lineRule="auto"/>
        <w:jc w:val="both"/>
        <w:rPr>
          <w:rFonts w:ascii="Arial" w:hAnsi="Arial" w:cs="Arial"/>
          <w:sz w:val="22"/>
          <w:szCs w:val="22"/>
        </w:rPr>
      </w:pPr>
      <w:r w:rsidRPr="00486A96">
        <w:rPr>
          <w:rFonts w:ascii="Arial" w:hAnsi="Arial" w:cs="Arial"/>
          <w:sz w:val="22"/>
          <w:szCs w:val="22"/>
        </w:rPr>
        <w:t>Rebuilding trust demands transparency, not only of policy statements, but also of day-to-day data operations. Kerasidou &amp; Kerasidou (2023) argue that efforts in communicating technical safeguards are insufficient; it is not enough to communicate to the public how and why their data is being used, but they need the moral justification of the use of their data. Openness about partnerships, value-sharing arrangements and data access requests can show respect for patients as partners instead of passive data sources. Without such engagement, privacy protection can be seen as procedural as opposed to ethical.</w:t>
      </w:r>
    </w:p>
    <w:p w14:paraId="03FD0E40" w14:textId="77777777" w:rsidR="00486A96" w:rsidRDefault="00486A96" w:rsidP="00CA2028">
      <w:pPr>
        <w:spacing w:line="360" w:lineRule="auto"/>
        <w:jc w:val="both"/>
        <w:rPr>
          <w:rFonts w:ascii="Arial" w:hAnsi="Arial" w:cs="Arial"/>
          <w:sz w:val="22"/>
          <w:szCs w:val="22"/>
        </w:rPr>
      </w:pPr>
    </w:p>
    <w:p w14:paraId="294085DD" w14:textId="77777777" w:rsidR="00486A96" w:rsidRDefault="00486A96" w:rsidP="00CA2028">
      <w:pPr>
        <w:spacing w:line="360" w:lineRule="auto"/>
        <w:jc w:val="both"/>
        <w:rPr>
          <w:rFonts w:ascii="Arial" w:hAnsi="Arial" w:cs="Arial"/>
          <w:sz w:val="22"/>
          <w:szCs w:val="22"/>
        </w:rPr>
      </w:pPr>
    </w:p>
    <w:p w14:paraId="0E9E664A" w14:textId="1E186752" w:rsidR="005D48C5" w:rsidRPr="00CA2028" w:rsidRDefault="00F700B3" w:rsidP="00CA2028">
      <w:pPr>
        <w:spacing w:line="360" w:lineRule="auto"/>
        <w:jc w:val="both"/>
        <w:rPr>
          <w:rFonts w:ascii="Arial" w:hAnsi="Arial" w:cs="Arial"/>
          <w:b/>
          <w:bCs/>
          <w:sz w:val="22"/>
          <w:szCs w:val="22"/>
        </w:rPr>
      </w:pPr>
      <w:bookmarkStart w:id="24" w:name="_Hlk213914391"/>
      <w:r w:rsidRPr="00CA2028">
        <w:rPr>
          <w:rFonts w:ascii="Arial" w:hAnsi="Arial" w:cs="Arial"/>
          <w:b/>
          <w:bCs/>
          <w:sz w:val="22"/>
          <w:szCs w:val="22"/>
        </w:rPr>
        <w:t>6.0 Conclusion and Recommendations</w:t>
      </w:r>
    </w:p>
    <w:bookmarkEnd w:id="24"/>
    <w:p w14:paraId="3FE6E92A" w14:textId="77777777" w:rsidR="006D170A" w:rsidRDefault="006D170A" w:rsidP="00CC69BB">
      <w:pPr>
        <w:spacing w:line="360" w:lineRule="auto"/>
        <w:jc w:val="both"/>
        <w:rPr>
          <w:rFonts w:ascii="Arial" w:hAnsi="Arial" w:cs="Arial"/>
          <w:sz w:val="22"/>
          <w:szCs w:val="22"/>
        </w:rPr>
      </w:pPr>
      <w:r w:rsidRPr="006D170A">
        <w:rPr>
          <w:rFonts w:ascii="Arial" w:hAnsi="Arial" w:cs="Arial"/>
          <w:sz w:val="22"/>
          <w:szCs w:val="22"/>
        </w:rPr>
        <w:t xml:space="preserve">The evidence demonstrates that legislation is not sufficient to ensure data privacy. Effective protection must have consistent practice across NHS </w:t>
      </w:r>
      <w:proofErr w:type="spellStart"/>
      <w:r w:rsidRPr="006D170A">
        <w:rPr>
          <w:rFonts w:ascii="Arial" w:hAnsi="Arial" w:cs="Arial"/>
          <w:sz w:val="22"/>
          <w:szCs w:val="22"/>
        </w:rPr>
        <w:t>organisations</w:t>
      </w:r>
      <w:proofErr w:type="spellEnd"/>
      <w:r w:rsidRPr="006D170A">
        <w:rPr>
          <w:rFonts w:ascii="Arial" w:hAnsi="Arial" w:cs="Arial"/>
          <w:sz w:val="22"/>
          <w:szCs w:val="22"/>
        </w:rPr>
        <w:t>, compatible technology and clear accountability. Many NHS bodies still employ isolated systems and have different interpretations on the national guidance which results in patchy protection of patient information. Without stronger governance and investment in secure digital infrastructure, these weaknesses will continue to put sensitive data at risk of misuse and breach.</w:t>
      </w:r>
    </w:p>
    <w:p w14:paraId="10A51DCB" w14:textId="7AA5CD0A" w:rsidR="006D170A" w:rsidRDefault="006D170A" w:rsidP="00CC69BB">
      <w:pPr>
        <w:spacing w:line="360" w:lineRule="auto"/>
        <w:jc w:val="both"/>
        <w:rPr>
          <w:rFonts w:ascii="Arial" w:hAnsi="Arial" w:cs="Arial"/>
          <w:sz w:val="22"/>
          <w:szCs w:val="22"/>
        </w:rPr>
      </w:pPr>
      <w:r w:rsidRPr="006D170A">
        <w:rPr>
          <w:rFonts w:ascii="Arial" w:hAnsi="Arial" w:cs="Arial"/>
          <w:sz w:val="22"/>
          <w:szCs w:val="22"/>
        </w:rPr>
        <w:t>Future policy should be aimed at nationwide consistency in data management. Secure Data Environments (SDEs) should be mandatory in all areas of the NHS, backed by transparent reporting of data access and use. Stronger interoperability standards and incorporating privacy-by-design in every digital tool will help avoid unsafe data handling. Ethical oversight practices must also shift from compliance and consider the social value of data use to ensure that secondary data applications have a positive social value.</w:t>
      </w:r>
    </w:p>
    <w:p w14:paraId="218AA032" w14:textId="77777777" w:rsidR="006D170A" w:rsidRDefault="006D170A" w:rsidP="00CC69BB">
      <w:pPr>
        <w:spacing w:line="360" w:lineRule="auto"/>
        <w:jc w:val="both"/>
        <w:rPr>
          <w:rFonts w:ascii="Arial" w:hAnsi="Arial" w:cs="Arial"/>
          <w:sz w:val="22"/>
          <w:szCs w:val="22"/>
        </w:rPr>
      </w:pPr>
      <w:r w:rsidRPr="006D170A">
        <w:rPr>
          <w:rFonts w:ascii="Arial" w:hAnsi="Arial" w:cs="Arial"/>
          <w:sz w:val="22"/>
          <w:szCs w:val="22"/>
        </w:rPr>
        <w:t xml:space="preserve">For healthcare practice in the UK, </w:t>
      </w:r>
      <w:proofErr w:type="spellStart"/>
      <w:r w:rsidRPr="006D170A">
        <w:rPr>
          <w:rFonts w:ascii="Arial" w:hAnsi="Arial" w:cs="Arial"/>
          <w:sz w:val="22"/>
          <w:szCs w:val="22"/>
        </w:rPr>
        <w:t>organisations</w:t>
      </w:r>
      <w:proofErr w:type="spellEnd"/>
      <w:r w:rsidRPr="006D170A">
        <w:rPr>
          <w:rFonts w:ascii="Arial" w:hAnsi="Arial" w:cs="Arial"/>
          <w:sz w:val="22"/>
          <w:szCs w:val="22"/>
        </w:rPr>
        <w:t xml:space="preserve"> should address privacy training as part of all digital transformation programmes and use data protection as part of clinical safety. Continuous professional development on consent, data handling and digital ethics will empower staff to manage patient information in a more responsible way.</w:t>
      </w:r>
    </w:p>
    <w:p w14:paraId="2A20AFBB" w14:textId="208175A3" w:rsidR="00CC69BB" w:rsidRPr="00F700B3" w:rsidRDefault="00CC69BB" w:rsidP="00CC69BB">
      <w:pPr>
        <w:spacing w:line="360" w:lineRule="auto"/>
        <w:jc w:val="both"/>
        <w:rPr>
          <w:rFonts w:ascii="Arial" w:hAnsi="Arial" w:cs="Arial"/>
          <w:sz w:val="22"/>
          <w:szCs w:val="22"/>
        </w:rPr>
      </w:pPr>
      <w:r w:rsidRPr="00F700B3">
        <w:rPr>
          <w:rFonts w:ascii="Arial" w:hAnsi="Arial" w:cs="Arial"/>
          <w:sz w:val="22"/>
          <w:szCs w:val="22"/>
        </w:rPr>
        <w:t>Future research should evaluate the real-world impact of recent reforms such as Trusted Research Environments and dynamic consent models, measuring their effects on both privacy outcomes and public confidence. Only through coordinated governance, modern technology, and genuine public engagement can the NHS maintain the trust essential for a secure digital future.</w:t>
      </w:r>
    </w:p>
    <w:p w14:paraId="6209386A" w14:textId="77777777" w:rsidR="00AB29CF" w:rsidRDefault="00AB29CF" w:rsidP="00CA2028">
      <w:pPr>
        <w:spacing w:line="360" w:lineRule="auto"/>
        <w:jc w:val="both"/>
        <w:rPr>
          <w:rFonts w:ascii="Arial" w:hAnsi="Arial" w:cs="Arial"/>
          <w:sz w:val="22"/>
          <w:szCs w:val="22"/>
        </w:rPr>
      </w:pPr>
    </w:p>
    <w:p w14:paraId="60B89315" w14:textId="77777777" w:rsidR="003F14D5" w:rsidRDefault="003F14D5" w:rsidP="00BD7442">
      <w:pPr>
        <w:spacing w:line="360" w:lineRule="auto"/>
        <w:jc w:val="both"/>
        <w:rPr>
          <w:rFonts w:ascii="Arial" w:hAnsi="Arial" w:cs="Arial"/>
        </w:rPr>
      </w:pPr>
    </w:p>
    <w:p w14:paraId="324EFA5D" w14:textId="77777777" w:rsidR="003F14D5" w:rsidRDefault="003F14D5" w:rsidP="00BD7442">
      <w:pPr>
        <w:spacing w:line="360" w:lineRule="auto"/>
        <w:jc w:val="both"/>
        <w:rPr>
          <w:rFonts w:ascii="Arial" w:hAnsi="Arial" w:cs="Arial"/>
        </w:rPr>
      </w:pPr>
    </w:p>
    <w:p w14:paraId="4FC537CC" w14:textId="77777777" w:rsidR="006D170A" w:rsidRDefault="006D170A" w:rsidP="00BD7442">
      <w:pPr>
        <w:spacing w:line="360" w:lineRule="auto"/>
        <w:jc w:val="both"/>
        <w:rPr>
          <w:rFonts w:ascii="Arial" w:hAnsi="Arial" w:cs="Arial"/>
        </w:rPr>
      </w:pPr>
    </w:p>
    <w:p w14:paraId="2ED3BAE4" w14:textId="77777777" w:rsidR="006D170A" w:rsidRDefault="006D170A" w:rsidP="00BD7442">
      <w:pPr>
        <w:spacing w:line="360" w:lineRule="auto"/>
        <w:jc w:val="both"/>
        <w:rPr>
          <w:rFonts w:ascii="Arial" w:hAnsi="Arial" w:cs="Arial"/>
        </w:rPr>
      </w:pPr>
    </w:p>
    <w:p w14:paraId="50BB0BC8" w14:textId="77777777" w:rsidR="006D170A" w:rsidRDefault="006D170A" w:rsidP="00BD7442">
      <w:pPr>
        <w:spacing w:line="360" w:lineRule="auto"/>
        <w:jc w:val="both"/>
        <w:rPr>
          <w:rFonts w:ascii="Arial" w:hAnsi="Arial" w:cs="Arial"/>
        </w:rPr>
      </w:pPr>
    </w:p>
    <w:p w14:paraId="3DE62D5D" w14:textId="77777777" w:rsidR="003F14D5" w:rsidRDefault="003F14D5" w:rsidP="00BD7442">
      <w:pPr>
        <w:spacing w:line="360" w:lineRule="auto"/>
        <w:jc w:val="both"/>
        <w:rPr>
          <w:rFonts w:ascii="Arial" w:hAnsi="Arial" w:cs="Arial"/>
        </w:rPr>
      </w:pPr>
    </w:p>
    <w:p w14:paraId="0BC02DE5" w14:textId="3FB34530" w:rsidR="003F14D5" w:rsidRPr="00D87CD5" w:rsidRDefault="003F14D5" w:rsidP="00BD7442">
      <w:pPr>
        <w:spacing w:line="360" w:lineRule="auto"/>
        <w:jc w:val="both"/>
        <w:rPr>
          <w:rFonts w:ascii="Arial" w:hAnsi="Arial" w:cs="Arial"/>
          <w:b/>
          <w:bCs/>
          <w:sz w:val="22"/>
          <w:szCs w:val="22"/>
        </w:rPr>
      </w:pPr>
      <w:bookmarkStart w:id="25" w:name="_Hlk213914410"/>
      <w:r w:rsidRPr="00D87CD5">
        <w:rPr>
          <w:rFonts w:ascii="Arial" w:hAnsi="Arial" w:cs="Arial"/>
          <w:b/>
          <w:bCs/>
          <w:sz w:val="22"/>
          <w:szCs w:val="22"/>
        </w:rPr>
        <w:t>References</w:t>
      </w:r>
    </w:p>
    <w:bookmarkEnd w:id="25"/>
    <w:p w14:paraId="279CF5CE"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Ademola, A., George, C., &amp; Mapp, G. (2024). Addressing the Interoperability of Electronic Health Records: The Technical and Semantic Interoperability, Preserving Privacy and Security Framework. </w:t>
      </w:r>
      <w:r w:rsidRPr="00D87CD5">
        <w:rPr>
          <w:rFonts w:ascii="Arial" w:hAnsi="Arial" w:cs="Arial"/>
          <w:i/>
          <w:iCs/>
          <w:sz w:val="22"/>
          <w:szCs w:val="22"/>
        </w:rPr>
        <w:t>Applied System Innovation</w:t>
      </w:r>
      <w:r w:rsidRPr="00D87CD5">
        <w:rPr>
          <w:rFonts w:ascii="Arial" w:hAnsi="Arial" w:cs="Arial"/>
          <w:sz w:val="22"/>
          <w:szCs w:val="22"/>
        </w:rPr>
        <w:t xml:space="preserve">. </w:t>
      </w:r>
      <w:hyperlink r:id="rId7" w:history="1">
        <w:r w:rsidRPr="00D87CD5">
          <w:rPr>
            <w:rStyle w:val="Hyperlink"/>
            <w:rFonts w:ascii="Arial" w:hAnsi="Arial" w:cs="Arial"/>
            <w:sz w:val="22"/>
            <w:szCs w:val="22"/>
          </w:rPr>
          <w:t>https://doi.org/10.3390/asi7060116</w:t>
        </w:r>
      </w:hyperlink>
      <w:r w:rsidRPr="00D87CD5">
        <w:rPr>
          <w:rFonts w:ascii="Arial" w:hAnsi="Arial" w:cs="Arial"/>
          <w:sz w:val="22"/>
          <w:szCs w:val="22"/>
        </w:rPr>
        <w:t xml:space="preserve"> </w:t>
      </w:r>
    </w:p>
    <w:p w14:paraId="4B8E9C01" w14:textId="77777777" w:rsidR="00D63E88" w:rsidRPr="00D87CD5" w:rsidRDefault="00D63E88" w:rsidP="00D63E88">
      <w:pPr>
        <w:ind w:left="720" w:hanging="720"/>
        <w:jc w:val="both"/>
        <w:rPr>
          <w:rFonts w:ascii="Arial" w:hAnsi="Arial" w:cs="Arial"/>
          <w:sz w:val="22"/>
          <w:szCs w:val="22"/>
        </w:rPr>
      </w:pPr>
      <w:proofErr w:type="spellStart"/>
      <w:r w:rsidRPr="00D87CD5">
        <w:rPr>
          <w:rFonts w:ascii="Arial" w:hAnsi="Arial" w:cs="Arial"/>
          <w:sz w:val="22"/>
          <w:szCs w:val="22"/>
        </w:rPr>
        <w:t>Almalawi</w:t>
      </w:r>
      <w:proofErr w:type="spellEnd"/>
      <w:r w:rsidRPr="00D87CD5">
        <w:rPr>
          <w:rFonts w:ascii="Arial" w:hAnsi="Arial" w:cs="Arial"/>
          <w:sz w:val="22"/>
          <w:szCs w:val="22"/>
        </w:rPr>
        <w:t xml:space="preserve">, A., Khan, A., </w:t>
      </w:r>
      <w:proofErr w:type="spellStart"/>
      <w:r w:rsidRPr="00D87CD5">
        <w:rPr>
          <w:rFonts w:ascii="Arial" w:hAnsi="Arial" w:cs="Arial"/>
          <w:sz w:val="22"/>
          <w:szCs w:val="22"/>
        </w:rPr>
        <w:t>Alsolami</w:t>
      </w:r>
      <w:proofErr w:type="spellEnd"/>
      <w:r w:rsidRPr="00D87CD5">
        <w:rPr>
          <w:rFonts w:ascii="Arial" w:hAnsi="Arial" w:cs="Arial"/>
          <w:sz w:val="22"/>
          <w:szCs w:val="22"/>
        </w:rPr>
        <w:t xml:space="preserve">, F., </w:t>
      </w:r>
      <w:proofErr w:type="spellStart"/>
      <w:r w:rsidRPr="00D87CD5">
        <w:rPr>
          <w:rFonts w:ascii="Arial" w:hAnsi="Arial" w:cs="Arial"/>
          <w:sz w:val="22"/>
          <w:szCs w:val="22"/>
        </w:rPr>
        <w:t>Abushark</w:t>
      </w:r>
      <w:proofErr w:type="spellEnd"/>
      <w:r w:rsidRPr="00D87CD5">
        <w:rPr>
          <w:rFonts w:ascii="Arial" w:hAnsi="Arial" w:cs="Arial"/>
          <w:sz w:val="22"/>
          <w:szCs w:val="22"/>
        </w:rPr>
        <w:t xml:space="preserve">, Y., &amp; </w:t>
      </w:r>
      <w:proofErr w:type="spellStart"/>
      <w:r w:rsidRPr="00D87CD5">
        <w:rPr>
          <w:rFonts w:ascii="Arial" w:hAnsi="Arial" w:cs="Arial"/>
          <w:sz w:val="22"/>
          <w:szCs w:val="22"/>
        </w:rPr>
        <w:t>Alfakeeh</w:t>
      </w:r>
      <w:proofErr w:type="spellEnd"/>
      <w:r w:rsidRPr="00D87CD5">
        <w:rPr>
          <w:rFonts w:ascii="Arial" w:hAnsi="Arial" w:cs="Arial"/>
          <w:sz w:val="22"/>
          <w:szCs w:val="22"/>
        </w:rPr>
        <w:t>, A. (2023). Managing Security of Healthcare Data for a Modern Healthcare System. </w:t>
      </w:r>
      <w:r w:rsidRPr="00D87CD5">
        <w:rPr>
          <w:rFonts w:ascii="Arial" w:hAnsi="Arial" w:cs="Arial"/>
          <w:i/>
          <w:iCs/>
          <w:sz w:val="22"/>
          <w:szCs w:val="22"/>
        </w:rPr>
        <w:t>Sensors (Basel, Switzerland)</w:t>
      </w:r>
      <w:r w:rsidRPr="00D87CD5">
        <w:rPr>
          <w:rFonts w:ascii="Arial" w:hAnsi="Arial" w:cs="Arial"/>
          <w:sz w:val="22"/>
          <w:szCs w:val="22"/>
        </w:rPr>
        <w:t xml:space="preserve">, 23. </w:t>
      </w:r>
      <w:hyperlink r:id="rId8" w:history="1">
        <w:r w:rsidRPr="00D87CD5">
          <w:rPr>
            <w:rStyle w:val="Hyperlink"/>
            <w:rFonts w:ascii="Arial" w:hAnsi="Arial" w:cs="Arial"/>
            <w:sz w:val="22"/>
            <w:szCs w:val="22"/>
          </w:rPr>
          <w:t>https://doi.org/10.3390/s23073612</w:t>
        </w:r>
      </w:hyperlink>
      <w:r w:rsidRPr="00D87CD5">
        <w:rPr>
          <w:rFonts w:ascii="Arial" w:hAnsi="Arial" w:cs="Arial"/>
          <w:sz w:val="22"/>
          <w:szCs w:val="22"/>
        </w:rPr>
        <w:t xml:space="preserve"> </w:t>
      </w:r>
    </w:p>
    <w:p w14:paraId="3903A6BC" w14:textId="77777777" w:rsidR="00D63E88" w:rsidRPr="00D87CD5" w:rsidRDefault="00D63E88" w:rsidP="00D63E88">
      <w:pPr>
        <w:ind w:left="720" w:hanging="720"/>
        <w:jc w:val="both"/>
        <w:rPr>
          <w:rFonts w:ascii="Arial" w:hAnsi="Arial" w:cs="Arial"/>
          <w:sz w:val="22"/>
          <w:szCs w:val="22"/>
        </w:rPr>
      </w:pPr>
      <w:proofErr w:type="spellStart"/>
      <w:r w:rsidRPr="00D87CD5">
        <w:rPr>
          <w:rFonts w:ascii="Arial" w:hAnsi="Arial" w:cs="Arial"/>
          <w:sz w:val="22"/>
          <w:szCs w:val="22"/>
        </w:rPr>
        <w:t>Alrashdi</w:t>
      </w:r>
      <w:proofErr w:type="spellEnd"/>
      <w:r w:rsidRPr="00D87CD5">
        <w:rPr>
          <w:rFonts w:ascii="Arial" w:hAnsi="Arial" w:cs="Arial"/>
          <w:sz w:val="22"/>
          <w:szCs w:val="22"/>
        </w:rPr>
        <w:t xml:space="preserve">, S., Shadeed, S., Almutairi, L., </w:t>
      </w:r>
      <w:proofErr w:type="spellStart"/>
      <w:r w:rsidRPr="00D87CD5">
        <w:rPr>
          <w:rFonts w:ascii="Arial" w:hAnsi="Arial" w:cs="Arial"/>
          <w:sz w:val="22"/>
          <w:szCs w:val="22"/>
        </w:rPr>
        <w:t>Haged</w:t>
      </w:r>
      <w:proofErr w:type="spellEnd"/>
      <w:r w:rsidRPr="00D87CD5">
        <w:rPr>
          <w:rFonts w:ascii="Arial" w:hAnsi="Arial" w:cs="Arial"/>
          <w:sz w:val="22"/>
          <w:szCs w:val="22"/>
        </w:rPr>
        <w:t xml:space="preserve">, M., Alamri, T., Barrak, M., </w:t>
      </w:r>
      <w:proofErr w:type="spellStart"/>
      <w:r w:rsidRPr="00D87CD5">
        <w:rPr>
          <w:rFonts w:ascii="Arial" w:hAnsi="Arial" w:cs="Arial"/>
          <w:sz w:val="22"/>
          <w:szCs w:val="22"/>
        </w:rPr>
        <w:t>Alziyadi</w:t>
      </w:r>
      <w:proofErr w:type="spellEnd"/>
      <w:r w:rsidRPr="00D87CD5">
        <w:rPr>
          <w:rFonts w:ascii="Arial" w:hAnsi="Arial" w:cs="Arial"/>
          <w:sz w:val="22"/>
          <w:szCs w:val="22"/>
        </w:rPr>
        <w:t xml:space="preserve">, A., Nasser, T., </w:t>
      </w:r>
      <w:proofErr w:type="spellStart"/>
      <w:r w:rsidRPr="00D87CD5">
        <w:rPr>
          <w:rFonts w:ascii="Arial" w:hAnsi="Arial" w:cs="Arial"/>
          <w:sz w:val="22"/>
          <w:szCs w:val="22"/>
        </w:rPr>
        <w:t>Almotari</w:t>
      </w:r>
      <w:proofErr w:type="spellEnd"/>
      <w:r w:rsidRPr="00D87CD5">
        <w:rPr>
          <w:rFonts w:ascii="Arial" w:hAnsi="Arial" w:cs="Arial"/>
          <w:sz w:val="22"/>
          <w:szCs w:val="22"/>
        </w:rPr>
        <w:t>, M., Jelood, N., Al-Harbi, A., Al-</w:t>
      </w:r>
      <w:proofErr w:type="spellStart"/>
      <w:r w:rsidRPr="00D87CD5">
        <w:rPr>
          <w:rFonts w:ascii="Arial" w:hAnsi="Arial" w:cs="Arial"/>
          <w:sz w:val="22"/>
          <w:szCs w:val="22"/>
        </w:rPr>
        <w:t>Dhafiri</w:t>
      </w:r>
      <w:proofErr w:type="spellEnd"/>
      <w:r w:rsidRPr="00D87CD5">
        <w:rPr>
          <w:rFonts w:ascii="Arial" w:hAnsi="Arial" w:cs="Arial"/>
          <w:sz w:val="22"/>
          <w:szCs w:val="22"/>
        </w:rPr>
        <w:t>, K., &amp; Saad, K. (2024). The Impact of Digital Health Technologies on Healthcare Practices. </w:t>
      </w:r>
      <w:r w:rsidRPr="00D87CD5">
        <w:rPr>
          <w:rFonts w:ascii="Arial" w:hAnsi="Arial" w:cs="Arial"/>
          <w:i/>
          <w:iCs/>
          <w:sz w:val="22"/>
          <w:szCs w:val="22"/>
        </w:rPr>
        <w:t>Power System Technology</w:t>
      </w:r>
      <w:r w:rsidRPr="00D87CD5">
        <w:rPr>
          <w:rFonts w:ascii="Arial" w:hAnsi="Arial" w:cs="Arial"/>
          <w:sz w:val="22"/>
          <w:szCs w:val="22"/>
        </w:rPr>
        <w:t xml:space="preserve">. </w:t>
      </w:r>
      <w:hyperlink r:id="rId9" w:history="1">
        <w:r w:rsidRPr="00D87CD5">
          <w:rPr>
            <w:rStyle w:val="Hyperlink"/>
            <w:rFonts w:ascii="Arial" w:hAnsi="Arial" w:cs="Arial"/>
            <w:sz w:val="22"/>
            <w:szCs w:val="22"/>
          </w:rPr>
          <w:t>https://doi.org/10.52783/pst.1001</w:t>
        </w:r>
      </w:hyperlink>
      <w:r w:rsidRPr="00D87CD5">
        <w:rPr>
          <w:rFonts w:ascii="Arial" w:hAnsi="Arial" w:cs="Arial"/>
          <w:sz w:val="22"/>
          <w:szCs w:val="22"/>
        </w:rPr>
        <w:t xml:space="preserve"> </w:t>
      </w:r>
    </w:p>
    <w:p w14:paraId="5C204200"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Arksey, H., &amp; O’Malley, L. (2005). Scoping studies: towards a methodological framework. </w:t>
      </w:r>
      <w:r w:rsidRPr="00D87CD5">
        <w:rPr>
          <w:rFonts w:ascii="Arial" w:hAnsi="Arial" w:cs="Arial"/>
          <w:i/>
          <w:iCs/>
          <w:sz w:val="22"/>
          <w:szCs w:val="22"/>
        </w:rPr>
        <w:t>International Journal of Social Research Methodology</w:t>
      </w:r>
      <w:r w:rsidRPr="00D87CD5">
        <w:rPr>
          <w:rFonts w:ascii="Arial" w:hAnsi="Arial" w:cs="Arial"/>
          <w:sz w:val="22"/>
          <w:szCs w:val="22"/>
        </w:rPr>
        <w:t>, </w:t>
      </w:r>
      <w:r w:rsidRPr="00D87CD5">
        <w:rPr>
          <w:rFonts w:ascii="Arial" w:hAnsi="Arial" w:cs="Arial"/>
          <w:i/>
          <w:iCs/>
          <w:sz w:val="22"/>
          <w:szCs w:val="22"/>
        </w:rPr>
        <w:t>8</w:t>
      </w:r>
      <w:r w:rsidRPr="00D87CD5">
        <w:rPr>
          <w:rFonts w:ascii="Arial" w:hAnsi="Arial" w:cs="Arial"/>
          <w:sz w:val="22"/>
          <w:szCs w:val="22"/>
        </w:rPr>
        <w:t xml:space="preserve">(1), 19–32. </w:t>
      </w:r>
      <w:hyperlink r:id="rId10" w:history="1">
        <w:r w:rsidRPr="00D87CD5">
          <w:rPr>
            <w:rStyle w:val="Hyperlink"/>
            <w:rFonts w:ascii="Arial" w:hAnsi="Arial" w:cs="Arial"/>
            <w:sz w:val="22"/>
            <w:szCs w:val="22"/>
          </w:rPr>
          <w:t>https://doi.org/10.1080/1364557032000119616</w:t>
        </w:r>
      </w:hyperlink>
      <w:r w:rsidRPr="00D87CD5">
        <w:rPr>
          <w:rFonts w:ascii="Arial" w:hAnsi="Arial" w:cs="Arial"/>
          <w:sz w:val="22"/>
          <w:szCs w:val="22"/>
        </w:rPr>
        <w:t xml:space="preserve"> </w:t>
      </w:r>
    </w:p>
    <w:p w14:paraId="5C90F3AF" w14:textId="77777777" w:rsidR="00D63E88" w:rsidRPr="00C2077D" w:rsidRDefault="00D63E88" w:rsidP="00D63E88">
      <w:pPr>
        <w:ind w:left="720" w:hanging="720"/>
        <w:jc w:val="both"/>
        <w:rPr>
          <w:rFonts w:ascii="Arial" w:hAnsi="Arial" w:cs="Arial"/>
          <w:sz w:val="22"/>
          <w:szCs w:val="22"/>
        </w:rPr>
      </w:pPr>
      <w:r w:rsidRPr="00C2077D">
        <w:rPr>
          <w:rFonts w:ascii="Arial" w:hAnsi="Arial" w:cs="Arial"/>
          <w:sz w:val="22"/>
          <w:szCs w:val="22"/>
        </w:rPr>
        <w:t xml:space="preserve">Aveyard, H. (2014). </w:t>
      </w:r>
      <w:r w:rsidRPr="00C2077D">
        <w:rPr>
          <w:rFonts w:ascii="Arial" w:hAnsi="Arial" w:cs="Arial"/>
          <w:i/>
          <w:iCs/>
          <w:sz w:val="22"/>
          <w:szCs w:val="22"/>
        </w:rPr>
        <w:t>Doing a literature review in health and social care: A practical guide</w:t>
      </w:r>
      <w:r w:rsidRPr="00C2077D">
        <w:rPr>
          <w:rFonts w:ascii="Arial" w:hAnsi="Arial" w:cs="Arial"/>
          <w:sz w:val="22"/>
          <w:szCs w:val="22"/>
        </w:rPr>
        <w:t xml:space="preserve"> (3rd ed.). Open University Press.</w:t>
      </w:r>
    </w:p>
    <w:p w14:paraId="3FE159D0" w14:textId="77777777" w:rsidR="00D63E88" w:rsidRPr="00D87CD5" w:rsidRDefault="00D63E88" w:rsidP="00D63E88">
      <w:pPr>
        <w:ind w:left="720" w:hanging="720"/>
        <w:jc w:val="both"/>
        <w:rPr>
          <w:rFonts w:ascii="Arial" w:hAnsi="Arial" w:cs="Arial"/>
          <w:sz w:val="22"/>
          <w:szCs w:val="22"/>
        </w:rPr>
      </w:pPr>
      <w:proofErr w:type="spellStart"/>
      <w:r w:rsidRPr="00D87CD5">
        <w:rPr>
          <w:rFonts w:ascii="Arial" w:hAnsi="Arial" w:cs="Arial"/>
          <w:sz w:val="22"/>
          <w:szCs w:val="22"/>
        </w:rPr>
        <w:t>Conduah</w:t>
      </w:r>
      <w:proofErr w:type="spellEnd"/>
      <w:r w:rsidRPr="00D87CD5">
        <w:rPr>
          <w:rFonts w:ascii="Arial" w:hAnsi="Arial" w:cs="Arial"/>
          <w:sz w:val="22"/>
          <w:szCs w:val="22"/>
        </w:rPr>
        <w:t xml:space="preserve">, A., </w:t>
      </w:r>
      <w:proofErr w:type="spellStart"/>
      <w:r w:rsidRPr="00D87CD5">
        <w:rPr>
          <w:rFonts w:ascii="Arial" w:hAnsi="Arial" w:cs="Arial"/>
          <w:sz w:val="22"/>
          <w:szCs w:val="22"/>
        </w:rPr>
        <w:t>Ofoe</w:t>
      </w:r>
      <w:proofErr w:type="spellEnd"/>
      <w:r w:rsidRPr="00D87CD5">
        <w:rPr>
          <w:rFonts w:ascii="Arial" w:hAnsi="Arial" w:cs="Arial"/>
          <w:sz w:val="22"/>
          <w:szCs w:val="22"/>
        </w:rPr>
        <w:t>, S., &amp; Siaw-Marfo, D. (2025). Data privacy in healthcare: Global challenges and solutions. </w:t>
      </w:r>
      <w:r w:rsidRPr="00D87CD5">
        <w:rPr>
          <w:rFonts w:ascii="Arial" w:hAnsi="Arial" w:cs="Arial"/>
          <w:i/>
          <w:iCs/>
          <w:sz w:val="22"/>
          <w:szCs w:val="22"/>
        </w:rPr>
        <w:t>Digital Health</w:t>
      </w:r>
      <w:r w:rsidRPr="00D87CD5">
        <w:rPr>
          <w:rFonts w:ascii="Arial" w:hAnsi="Arial" w:cs="Arial"/>
          <w:sz w:val="22"/>
          <w:szCs w:val="22"/>
        </w:rPr>
        <w:t xml:space="preserve">, 11. </w:t>
      </w:r>
      <w:hyperlink r:id="rId11" w:history="1">
        <w:r w:rsidRPr="00D87CD5">
          <w:rPr>
            <w:rStyle w:val="Hyperlink"/>
            <w:rFonts w:ascii="Arial" w:hAnsi="Arial" w:cs="Arial"/>
            <w:sz w:val="22"/>
            <w:szCs w:val="22"/>
          </w:rPr>
          <w:t>https://doi.org/10.1177/20552076251343959</w:t>
        </w:r>
      </w:hyperlink>
      <w:r w:rsidRPr="00D87CD5">
        <w:rPr>
          <w:rFonts w:ascii="Arial" w:hAnsi="Arial" w:cs="Arial"/>
          <w:sz w:val="22"/>
          <w:szCs w:val="22"/>
        </w:rPr>
        <w:t xml:space="preserve"> </w:t>
      </w:r>
    </w:p>
    <w:p w14:paraId="433F6737"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Department of Health and Social Care. (2020). </w:t>
      </w:r>
      <w:r w:rsidRPr="00D87CD5">
        <w:rPr>
          <w:rFonts w:ascii="Arial" w:hAnsi="Arial" w:cs="Arial"/>
          <w:i/>
          <w:iCs/>
          <w:sz w:val="22"/>
          <w:szCs w:val="22"/>
        </w:rPr>
        <w:t>The Caldicott Principles: Eight principles to ensure people’s information is kept confidential and used appropriately.</w:t>
      </w:r>
      <w:r w:rsidRPr="00D87CD5">
        <w:rPr>
          <w:rFonts w:ascii="Arial" w:hAnsi="Arial" w:cs="Arial"/>
          <w:sz w:val="22"/>
          <w:szCs w:val="22"/>
        </w:rPr>
        <w:t xml:space="preserve"> GOV.UK. </w:t>
      </w:r>
      <w:hyperlink r:id="rId12" w:tgtFrame="_new" w:history="1">
        <w:r w:rsidRPr="00D87CD5">
          <w:rPr>
            <w:rStyle w:val="Hyperlink"/>
            <w:rFonts w:ascii="Arial" w:hAnsi="Arial" w:cs="Arial"/>
            <w:sz w:val="22"/>
            <w:szCs w:val="22"/>
          </w:rPr>
          <w:t>https://www.gov.uk/government/publications/the-caldicott-principles</w:t>
        </w:r>
      </w:hyperlink>
    </w:p>
    <w:p w14:paraId="72677CF9"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Edwards, L., Pickett, J., Ashcroft, D. M., Dambha-Miller, H., Majeed, A., Mallen, C., Petersen, I., Qureshi, N., van Staa, T., Abel, G., Carvalho, C., Denholm, R., </w:t>
      </w:r>
      <w:proofErr w:type="spellStart"/>
      <w:r w:rsidRPr="00D87CD5">
        <w:rPr>
          <w:rFonts w:ascii="Arial" w:hAnsi="Arial" w:cs="Arial"/>
          <w:sz w:val="22"/>
          <w:szCs w:val="22"/>
        </w:rPr>
        <w:t>Kontopantelis</w:t>
      </w:r>
      <w:proofErr w:type="spellEnd"/>
      <w:r w:rsidRPr="00D87CD5">
        <w:rPr>
          <w:rFonts w:ascii="Arial" w:hAnsi="Arial" w:cs="Arial"/>
          <w:sz w:val="22"/>
          <w:szCs w:val="22"/>
        </w:rPr>
        <w:t xml:space="preserve">, E., Macaulay, A., &amp; Macleod, J. (2023). </w:t>
      </w:r>
      <w:r w:rsidRPr="00D87CD5">
        <w:rPr>
          <w:rFonts w:ascii="Arial" w:hAnsi="Arial" w:cs="Arial"/>
          <w:i/>
          <w:iCs/>
          <w:sz w:val="22"/>
          <w:szCs w:val="22"/>
        </w:rPr>
        <w:t>UK research data resources based on primary care electronic health records: Review and summary for potential users.</w:t>
      </w:r>
      <w:r w:rsidRPr="00D87CD5">
        <w:rPr>
          <w:rFonts w:ascii="Arial" w:hAnsi="Arial" w:cs="Arial"/>
          <w:sz w:val="22"/>
          <w:szCs w:val="22"/>
        </w:rPr>
        <w:t xml:space="preserve"> BJGP Open, 7 (3), Article BJGPO.2023.0057. </w:t>
      </w:r>
      <w:hyperlink r:id="rId13" w:history="1">
        <w:r w:rsidRPr="00D87CD5">
          <w:rPr>
            <w:rStyle w:val="Hyperlink"/>
            <w:rFonts w:ascii="Arial" w:hAnsi="Arial" w:cs="Arial"/>
            <w:sz w:val="22"/>
            <w:szCs w:val="22"/>
          </w:rPr>
          <w:t>https://doi.org/10.3399/BJGPO.2023.0057</w:t>
        </w:r>
      </w:hyperlink>
    </w:p>
    <w:p w14:paraId="07324E0D"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European Union. (2016). </w:t>
      </w:r>
      <w:r w:rsidRPr="00D87CD5">
        <w:rPr>
          <w:rFonts w:ascii="Arial" w:hAnsi="Arial" w:cs="Arial"/>
          <w:i/>
          <w:iCs/>
          <w:sz w:val="22"/>
          <w:szCs w:val="22"/>
        </w:rPr>
        <w:t xml:space="preserve">Regulation (EU) 2016/679 of the European Parliament and of the Council of 27 April 2016 on the protection of natural persons </w:t>
      </w:r>
      <w:proofErr w:type="gramStart"/>
      <w:r w:rsidRPr="00D87CD5">
        <w:rPr>
          <w:rFonts w:ascii="Arial" w:hAnsi="Arial" w:cs="Arial"/>
          <w:i/>
          <w:iCs/>
          <w:sz w:val="22"/>
          <w:szCs w:val="22"/>
        </w:rPr>
        <w:t>with regard to</w:t>
      </w:r>
      <w:proofErr w:type="gramEnd"/>
      <w:r w:rsidRPr="00D87CD5">
        <w:rPr>
          <w:rFonts w:ascii="Arial" w:hAnsi="Arial" w:cs="Arial"/>
          <w:i/>
          <w:iCs/>
          <w:sz w:val="22"/>
          <w:szCs w:val="22"/>
        </w:rPr>
        <w:t xml:space="preserve"> the processing of personal data and on the free movement of such data (General Data Protection Regulation).</w:t>
      </w:r>
      <w:r w:rsidRPr="00D87CD5">
        <w:rPr>
          <w:rFonts w:ascii="Arial" w:hAnsi="Arial" w:cs="Arial"/>
          <w:sz w:val="22"/>
          <w:szCs w:val="22"/>
        </w:rPr>
        <w:t xml:space="preserve"> </w:t>
      </w:r>
      <w:r w:rsidRPr="00D87CD5">
        <w:rPr>
          <w:rFonts w:ascii="Arial" w:hAnsi="Arial" w:cs="Arial"/>
          <w:i/>
          <w:iCs/>
          <w:sz w:val="22"/>
          <w:szCs w:val="22"/>
        </w:rPr>
        <w:t>Official Journal of the European Union, L119,</w:t>
      </w:r>
      <w:r w:rsidRPr="00D87CD5">
        <w:rPr>
          <w:rFonts w:ascii="Arial" w:hAnsi="Arial" w:cs="Arial"/>
          <w:sz w:val="22"/>
          <w:szCs w:val="22"/>
        </w:rPr>
        <w:t xml:space="preserve"> 1–88. </w:t>
      </w:r>
      <w:hyperlink r:id="rId14" w:tgtFrame="_new" w:history="1">
        <w:r w:rsidRPr="00D87CD5">
          <w:rPr>
            <w:rStyle w:val="Hyperlink"/>
            <w:rFonts w:ascii="Arial" w:hAnsi="Arial" w:cs="Arial"/>
            <w:sz w:val="22"/>
            <w:szCs w:val="22"/>
          </w:rPr>
          <w:t>https://eur-lex.europa.eu/eli/reg/2016/679/oj</w:t>
        </w:r>
      </w:hyperlink>
    </w:p>
    <w:p w14:paraId="2FE90A49"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Ghafur, S., Kristensen, S., Honeyford, K., Martin, G., Darzi, A., &amp; Aylin, P. (2019). </w:t>
      </w:r>
      <w:r w:rsidRPr="00D87CD5">
        <w:rPr>
          <w:rFonts w:ascii="Arial" w:hAnsi="Arial" w:cs="Arial"/>
          <w:i/>
          <w:iCs/>
          <w:sz w:val="22"/>
          <w:szCs w:val="22"/>
        </w:rPr>
        <w:t>A retrospective impact analysis of the WannaCry cyberattack on the NHS.</w:t>
      </w:r>
      <w:r w:rsidRPr="00D87CD5">
        <w:rPr>
          <w:rFonts w:ascii="Arial" w:hAnsi="Arial" w:cs="Arial"/>
          <w:sz w:val="22"/>
          <w:szCs w:val="22"/>
        </w:rPr>
        <w:t xml:space="preserve"> NPJ Digital Medicine, 2, 98. </w:t>
      </w:r>
      <w:hyperlink r:id="rId15" w:history="1">
        <w:r w:rsidRPr="00D87CD5">
          <w:rPr>
            <w:rStyle w:val="Hyperlink"/>
            <w:rFonts w:ascii="Arial" w:hAnsi="Arial" w:cs="Arial"/>
            <w:sz w:val="22"/>
            <w:szCs w:val="22"/>
          </w:rPr>
          <w:t>https://doi.org/10.1038/s41746-019-0161-6</w:t>
        </w:r>
      </w:hyperlink>
    </w:p>
    <w:p w14:paraId="1A3C69E3"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Gov.UK (2018). </w:t>
      </w:r>
      <w:r w:rsidRPr="00D87CD5">
        <w:rPr>
          <w:rFonts w:ascii="Arial" w:hAnsi="Arial" w:cs="Arial"/>
          <w:i/>
          <w:iCs/>
          <w:sz w:val="22"/>
          <w:szCs w:val="22"/>
        </w:rPr>
        <w:t>Data Protection Act 2018, c.12.</w:t>
      </w:r>
      <w:r w:rsidRPr="00D87CD5">
        <w:rPr>
          <w:rFonts w:ascii="Arial" w:hAnsi="Arial" w:cs="Arial"/>
          <w:sz w:val="22"/>
          <w:szCs w:val="22"/>
        </w:rPr>
        <w:t xml:space="preserve"> The National Archives. </w:t>
      </w:r>
      <w:hyperlink r:id="rId16" w:tgtFrame="_new" w:history="1">
        <w:r w:rsidRPr="00D87CD5">
          <w:rPr>
            <w:rStyle w:val="Hyperlink"/>
            <w:rFonts w:ascii="Arial" w:hAnsi="Arial" w:cs="Arial"/>
            <w:sz w:val="22"/>
            <w:szCs w:val="22"/>
          </w:rPr>
          <w:t>https://www.legislation.gov.uk/ukpga/2018/12/contents/enacted</w:t>
        </w:r>
      </w:hyperlink>
    </w:p>
    <w:p w14:paraId="1AB6FB5D"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Health and Social Care Committee. (2023). </w:t>
      </w:r>
      <w:r w:rsidRPr="00D87CD5">
        <w:rPr>
          <w:rFonts w:ascii="Arial" w:hAnsi="Arial" w:cs="Arial"/>
          <w:i/>
          <w:iCs/>
          <w:sz w:val="22"/>
          <w:szCs w:val="22"/>
        </w:rPr>
        <w:t>Digital transformation in the NHS (Eighth Report of Session 2022-23, HC 223).</w:t>
      </w:r>
      <w:r w:rsidRPr="00D87CD5">
        <w:rPr>
          <w:rFonts w:ascii="Arial" w:hAnsi="Arial" w:cs="Arial"/>
          <w:sz w:val="22"/>
          <w:szCs w:val="22"/>
        </w:rPr>
        <w:t xml:space="preserve"> UK Parliament. </w:t>
      </w:r>
      <w:hyperlink r:id="rId17" w:tgtFrame="_new" w:history="1">
        <w:r w:rsidRPr="00D87CD5">
          <w:rPr>
            <w:rStyle w:val="Hyperlink"/>
            <w:rFonts w:ascii="Arial" w:hAnsi="Arial" w:cs="Arial"/>
            <w:sz w:val="22"/>
            <w:szCs w:val="22"/>
          </w:rPr>
          <w:t>https://www.parliament.uk/pa/cm5803/cmselect/cmhealth/223/report.html</w:t>
        </w:r>
      </w:hyperlink>
    </w:p>
    <w:p w14:paraId="78D5E6B7" w14:textId="77777777" w:rsidR="00D63E88" w:rsidRPr="00A80D69" w:rsidRDefault="00D63E88" w:rsidP="00D63E88">
      <w:pPr>
        <w:ind w:left="720" w:hanging="720"/>
        <w:jc w:val="both"/>
        <w:rPr>
          <w:rFonts w:ascii="Arial" w:hAnsi="Arial" w:cs="Arial"/>
          <w:sz w:val="22"/>
          <w:szCs w:val="22"/>
        </w:rPr>
      </w:pPr>
      <w:r w:rsidRPr="00A80D69">
        <w:rPr>
          <w:rFonts w:ascii="Arial" w:hAnsi="Arial" w:cs="Arial"/>
          <w:sz w:val="22"/>
          <w:szCs w:val="22"/>
        </w:rPr>
        <w:t xml:space="preserve">Horvath, L., Banducci, S., Blamire, J., Degnen, C., James, O., Jones, A., Stevens, D., &amp; Tyler, K. (2022). </w:t>
      </w:r>
      <w:r w:rsidRPr="00A80D69">
        <w:rPr>
          <w:rFonts w:ascii="Arial" w:hAnsi="Arial" w:cs="Arial"/>
          <w:i/>
          <w:iCs/>
          <w:sz w:val="22"/>
          <w:szCs w:val="22"/>
        </w:rPr>
        <w:t>Adoption and continued use of mobile contact tracing technology: Multilevel explanations from a three-wave panel survey and linked data.</w:t>
      </w:r>
      <w:r w:rsidRPr="00A80D69">
        <w:rPr>
          <w:rFonts w:ascii="Arial" w:hAnsi="Arial" w:cs="Arial"/>
          <w:sz w:val="22"/>
          <w:szCs w:val="22"/>
        </w:rPr>
        <w:t xml:space="preserve"> BMJ Open, 12(3), e053327. </w:t>
      </w:r>
      <w:hyperlink r:id="rId18" w:tgtFrame="_new" w:history="1">
        <w:r w:rsidRPr="00A80D69">
          <w:rPr>
            <w:rStyle w:val="Hyperlink"/>
            <w:rFonts w:ascii="Arial" w:hAnsi="Arial" w:cs="Arial"/>
            <w:sz w:val="22"/>
            <w:szCs w:val="22"/>
          </w:rPr>
          <w:t>https://doi.org/10.1136/bmjopen-2021-053327</w:t>
        </w:r>
      </w:hyperlink>
    </w:p>
    <w:p w14:paraId="4100E2B5"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Jawad, L. (2024). Security and Privacy in Digital Healthcare Systems: Challenges and Mitigation Strategies. </w:t>
      </w:r>
      <w:r w:rsidRPr="00D87CD5">
        <w:rPr>
          <w:rFonts w:ascii="Arial" w:hAnsi="Arial" w:cs="Arial"/>
          <w:i/>
          <w:iCs/>
          <w:sz w:val="22"/>
          <w:szCs w:val="22"/>
        </w:rPr>
        <w:t>Abhigyan</w:t>
      </w:r>
      <w:r w:rsidRPr="00D87CD5">
        <w:rPr>
          <w:rFonts w:ascii="Arial" w:hAnsi="Arial" w:cs="Arial"/>
          <w:sz w:val="22"/>
          <w:szCs w:val="22"/>
        </w:rPr>
        <w:t xml:space="preserve">, 42, 23 - 31. </w:t>
      </w:r>
      <w:hyperlink r:id="rId19" w:history="1">
        <w:r w:rsidRPr="00D87CD5">
          <w:rPr>
            <w:rStyle w:val="Hyperlink"/>
            <w:rFonts w:ascii="Arial" w:hAnsi="Arial" w:cs="Arial"/>
            <w:sz w:val="22"/>
            <w:szCs w:val="22"/>
          </w:rPr>
          <w:t>https://doi.org/10.1177/09702385241233073</w:t>
        </w:r>
      </w:hyperlink>
      <w:r w:rsidRPr="00D87CD5">
        <w:rPr>
          <w:rFonts w:ascii="Arial" w:hAnsi="Arial" w:cs="Arial"/>
          <w:sz w:val="22"/>
          <w:szCs w:val="22"/>
        </w:rPr>
        <w:t xml:space="preserve"> </w:t>
      </w:r>
    </w:p>
    <w:p w14:paraId="5A0606B4"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Jayakumar, S., Meher, K., Rout, U., Srinath, G., Khurana, S., Ghumman, S., &amp; Singh, S. (2024). Risk Analysis of Data Privacy Violations in Digital Health Records and Patient Confidentiality. </w:t>
      </w:r>
      <w:r w:rsidRPr="00D87CD5">
        <w:rPr>
          <w:rFonts w:ascii="Arial" w:hAnsi="Arial" w:cs="Arial"/>
          <w:i/>
          <w:iCs/>
          <w:sz w:val="22"/>
          <w:szCs w:val="22"/>
        </w:rPr>
        <w:t>Seminars in Medical Writing and Education</w:t>
      </w:r>
      <w:r w:rsidRPr="00D87CD5">
        <w:rPr>
          <w:rFonts w:ascii="Arial" w:hAnsi="Arial" w:cs="Arial"/>
          <w:sz w:val="22"/>
          <w:szCs w:val="22"/>
        </w:rPr>
        <w:t xml:space="preserve">. </w:t>
      </w:r>
      <w:hyperlink r:id="rId20" w:history="1">
        <w:r w:rsidRPr="00D87CD5">
          <w:rPr>
            <w:rStyle w:val="Hyperlink"/>
            <w:rFonts w:ascii="Arial" w:hAnsi="Arial" w:cs="Arial"/>
            <w:sz w:val="22"/>
            <w:szCs w:val="22"/>
          </w:rPr>
          <w:t>https://doi.org/10.56294/mw2024498</w:t>
        </w:r>
      </w:hyperlink>
      <w:r w:rsidRPr="00D87CD5">
        <w:rPr>
          <w:rFonts w:ascii="Arial" w:hAnsi="Arial" w:cs="Arial"/>
          <w:sz w:val="22"/>
          <w:szCs w:val="22"/>
        </w:rPr>
        <w:t xml:space="preserve"> </w:t>
      </w:r>
    </w:p>
    <w:p w14:paraId="343C1623" w14:textId="77777777" w:rsidR="00D63E88" w:rsidRPr="00A80D69" w:rsidRDefault="00D63E88" w:rsidP="00D63E88">
      <w:pPr>
        <w:ind w:left="720" w:hanging="720"/>
        <w:jc w:val="both"/>
        <w:rPr>
          <w:rFonts w:ascii="Arial" w:hAnsi="Arial" w:cs="Arial"/>
          <w:sz w:val="22"/>
          <w:szCs w:val="22"/>
        </w:rPr>
      </w:pPr>
      <w:r w:rsidRPr="00A80D69">
        <w:rPr>
          <w:rFonts w:ascii="Arial" w:hAnsi="Arial" w:cs="Arial"/>
          <w:sz w:val="22"/>
          <w:szCs w:val="22"/>
        </w:rPr>
        <w:t xml:space="preserve">Kerasidou, A., &amp; Kerasidou, C. (2023). </w:t>
      </w:r>
      <w:r w:rsidRPr="00A80D69">
        <w:rPr>
          <w:rFonts w:ascii="Arial" w:hAnsi="Arial" w:cs="Arial"/>
          <w:i/>
          <w:iCs/>
          <w:sz w:val="22"/>
          <w:szCs w:val="22"/>
        </w:rPr>
        <w:t>Data-driven research and healthcare: Public trust, data governance and the NHS.</w:t>
      </w:r>
      <w:r w:rsidRPr="00A80D69">
        <w:rPr>
          <w:rFonts w:ascii="Arial" w:hAnsi="Arial" w:cs="Arial"/>
          <w:sz w:val="22"/>
          <w:szCs w:val="22"/>
        </w:rPr>
        <w:t xml:space="preserve"> BMC Medical Ethics, 24, 51. </w:t>
      </w:r>
      <w:hyperlink r:id="rId21" w:history="1">
        <w:r w:rsidRPr="00A80D69">
          <w:rPr>
            <w:rStyle w:val="Hyperlink"/>
            <w:rFonts w:ascii="Arial" w:hAnsi="Arial" w:cs="Arial"/>
            <w:sz w:val="22"/>
            <w:szCs w:val="22"/>
          </w:rPr>
          <w:t>https://doi.org/10.1186/s12910-023-00933-4</w:t>
        </w:r>
      </w:hyperlink>
      <w:r w:rsidRPr="00D87CD5">
        <w:rPr>
          <w:rFonts w:ascii="Arial" w:hAnsi="Arial" w:cs="Arial"/>
          <w:sz w:val="22"/>
          <w:szCs w:val="22"/>
        </w:rPr>
        <w:t xml:space="preserve"> </w:t>
      </w:r>
    </w:p>
    <w:p w14:paraId="002A0207" w14:textId="2F275F39"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Lee, A., Koo, D., Kim, I., Lee, E., Yoo, S., &amp; Lee, H. (2024). Opportunities and challenges of a dynamic consent-based application: </w:t>
      </w:r>
      <w:proofErr w:type="spellStart"/>
      <w:r w:rsidR="00700F42">
        <w:rPr>
          <w:rFonts w:ascii="Arial" w:hAnsi="Arial" w:cs="Arial"/>
          <w:sz w:val="22"/>
          <w:szCs w:val="22"/>
        </w:rPr>
        <w:t>personalised</w:t>
      </w:r>
      <w:proofErr w:type="spellEnd"/>
      <w:r w:rsidRPr="00D87CD5">
        <w:rPr>
          <w:rFonts w:ascii="Arial" w:hAnsi="Arial" w:cs="Arial"/>
          <w:sz w:val="22"/>
          <w:szCs w:val="22"/>
        </w:rPr>
        <w:t xml:space="preserve"> options for personal </w:t>
      </w:r>
      <w:proofErr w:type="gramStart"/>
      <w:r w:rsidRPr="00D87CD5">
        <w:rPr>
          <w:rFonts w:ascii="Arial" w:hAnsi="Arial" w:cs="Arial"/>
          <w:sz w:val="22"/>
          <w:szCs w:val="22"/>
        </w:rPr>
        <w:t>health data</w:t>
      </w:r>
      <w:proofErr w:type="gramEnd"/>
      <w:r w:rsidRPr="00D87CD5">
        <w:rPr>
          <w:rFonts w:ascii="Arial" w:hAnsi="Arial" w:cs="Arial"/>
          <w:sz w:val="22"/>
          <w:szCs w:val="22"/>
        </w:rPr>
        <w:t xml:space="preserve"> sharing and </w:t>
      </w:r>
      <w:proofErr w:type="spellStart"/>
      <w:r w:rsidR="00700F42">
        <w:rPr>
          <w:rFonts w:ascii="Arial" w:hAnsi="Arial" w:cs="Arial"/>
          <w:sz w:val="22"/>
          <w:szCs w:val="22"/>
        </w:rPr>
        <w:t>utilisation</w:t>
      </w:r>
      <w:proofErr w:type="spellEnd"/>
      <w:r w:rsidRPr="00D87CD5">
        <w:rPr>
          <w:rFonts w:ascii="Arial" w:hAnsi="Arial" w:cs="Arial"/>
          <w:sz w:val="22"/>
          <w:szCs w:val="22"/>
        </w:rPr>
        <w:t>. </w:t>
      </w:r>
      <w:r w:rsidRPr="00D87CD5">
        <w:rPr>
          <w:rFonts w:ascii="Arial" w:hAnsi="Arial" w:cs="Arial"/>
          <w:i/>
          <w:iCs/>
          <w:sz w:val="22"/>
          <w:szCs w:val="22"/>
        </w:rPr>
        <w:t>BMC Medical Ethics</w:t>
      </w:r>
      <w:r w:rsidRPr="00D87CD5">
        <w:rPr>
          <w:rFonts w:ascii="Arial" w:hAnsi="Arial" w:cs="Arial"/>
          <w:sz w:val="22"/>
          <w:szCs w:val="22"/>
        </w:rPr>
        <w:t xml:space="preserve">, 25. </w:t>
      </w:r>
      <w:hyperlink r:id="rId22" w:history="1">
        <w:r w:rsidRPr="00D87CD5">
          <w:rPr>
            <w:rStyle w:val="Hyperlink"/>
            <w:rFonts w:ascii="Arial" w:hAnsi="Arial" w:cs="Arial"/>
            <w:sz w:val="22"/>
            <w:szCs w:val="22"/>
          </w:rPr>
          <w:t>https://doi.org/10.1186/s12910-024-01091-3</w:t>
        </w:r>
      </w:hyperlink>
      <w:r w:rsidRPr="00D87CD5">
        <w:rPr>
          <w:rFonts w:ascii="Arial" w:hAnsi="Arial" w:cs="Arial"/>
          <w:sz w:val="22"/>
          <w:szCs w:val="22"/>
        </w:rPr>
        <w:t xml:space="preserve"> </w:t>
      </w:r>
    </w:p>
    <w:p w14:paraId="669C7AB1"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Mahadik, S., Pawar, P., </w:t>
      </w:r>
      <w:proofErr w:type="spellStart"/>
      <w:r w:rsidRPr="00D87CD5">
        <w:rPr>
          <w:rFonts w:ascii="Arial" w:hAnsi="Arial" w:cs="Arial"/>
          <w:sz w:val="22"/>
          <w:szCs w:val="22"/>
        </w:rPr>
        <w:t>Muthalagu</w:t>
      </w:r>
      <w:proofErr w:type="spellEnd"/>
      <w:r w:rsidRPr="00D87CD5">
        <w:rPr>
          <w:rFonts w:ascii="Arial" w:hAnsi="Arial" w:cs="Arial"/>
          <w:sz w:val="22"/>
          <w:szCs w:val="22"/>
        </w:rPr>
        <w:t xml:space="preserve">, R., Prasad, N., Hawkins, S., </w:t>
      </w:r>
      <w:proofErr w:type="spellStart"/>
      <w:r w:rsidRPr="00D87CD5">
        <w:rPr>
          <w:rFonts w:ascii="Arial" w:hAnsi="Arial" w:cs="Arial"/>
          <w:sz w:val="22"/>
          <w:szCs w:val="22"/>
        </w:rPr>
        <w:t>Stripelis</w:t>
      </w:r>
      <w:proofErr w:type="spellEnd"/>
      <w:r w:rsidRPr="00D87CD5">
        <w:rPr>
          <w:rFonts w:ascii="Arial" w:hAnsi="Arial" w:cs="Arial"/>
          <w:sz w:val="22"/>
          <w:szCs w:val="22"/>
        </w:rPr>
        <w:t>, D., Rao, S., Ejim, P., &amp; Hecht, B. (2024). Digital Privacy in Healthcare: State-of-the-Art and Future Vision. </w:t>
      </w:r>
      <w:r w:rsidRPr="00D87CD5">
        <w:rPr>
          <w:rFonts w:ascii="Arial" w:hAnsi="Arial" w:cs="Arial"/>
          <w:i/>
          <w:iCs/>
          <w:sz w:val="22"/>
          <w:szCs w:val="22"/>
        </w:rPr>
        <w:t>IEEE Access</w:t>
      </w:r>
      <w:r w:rsidRPr="00D87CD5">
        <w:rPr>
          <w:rFonts w:ascii="Arial" w:hAnsi="Arial" w:cs="Arial"/>
          <w:sz w:val="22"/>
          <w:szCs w:val="22"/>
        </w:rPr>
        <w:t xml:space="preserve">, 12, 84273-84291. </w:t>
      </w:r>
      <w:hyperlink r:id="rId23" w:history="1">
        <w:r w:rsidRPr="00D87CD5">
          <w:rPr>
            <w:rStyle w:val="Hyperlink"/>
            <w:rFonts w:ascii="Arial" w:hAnsi="Arial" w:cs="Arial"/>
            <w:sz w:val="22"/>
            <w:szCs w:val="22"/>
          </w:rPr>
          <w:t>https://doi.org/10.1109/access.2024.3410035</w:t>
        </w:r>
      </w:hyperlink>
      <w:r w:rsidRPr="00D87CD5">
        <w:rPr>
          <w:rFonts w:ascii="Arial" w:hAnsi="Arial" w:cs="Arial"/>
          <w:sz w:val="22"/>
          <w:szCs w:val="22"/>
        </w:rPr>
        <w:t xml:space="preserve"> </w:t>
      </w:r>
    </w:p>
    <w:p w14:paraId="1C1BC254"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National Data Guardian. (2024). </w:t>
      </w:r>
      <w:r w:rsidRPr="00D87CD5">
        <w:rPr>
          <w:rFonts w:ascii="Arial" w:hAnsi="Arial" w:cs="Arial"/>
          <w:i/>
          <w:iCs/>
          <w:sz w:val="22"/>
          <w:szCs w:val="22"/>
        </w:rPr>
        <w:t>Annual report 2023-24.</w:t>
      </w:r>
      <w:r w:rsidRPr="00D87CD5">
        <w:rPr>
          <w:rFonts w:ascii="Arial" w:hAnsi="Arial" w:cs="Arial"/>
          <w:sz w:val="22"/>
          <w:szCs w:val="22"/>
        </w:rPr>
        <w:t xml:space="preserve"> Government of the United Kingdom. </w:t>
      </w:r>
      <w:hyperlink r:id="rId24" w:tgtFrame="_new" w:history="1">
        <w:r w:rsidRPr="00D87CD5">
          <w:rPr>
            <w:rStyle w:val="Hyperlink"/>
            <w:rFonts w:ascii="Arial" w:hAnsi="Arial" w:cs="Arial"/>
            <w:sz w:val="22"/>
            <w:szCs w:val="22"/>
          </w:rPr>
          <w:t>https://www.gov.uk/government/publications/national-data-guardian-2023-2024-report/national-data-guardian-2023-2024-report</w:t>
        </w:r>
      </w:hyperlink>
    </w:p>
    <w:p w14:paraId="6FFAD333"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NHS England. (2019). </w:t>
      </w:r>
      <w:r w:rsidRPr="00D87CD5">
        <w:rPr>
          <w:rFonts w:ascii="Arial" w:hAnsi="Arial" w:cs="Arial"/>
          <w:i/>
          <w:iCs/>
          <w:sz w:val="22"/>
          <w:szCs w:val="22"/>
        </w:rPr>
        <w:t>The NHS long term plan.</w:t>
      </w:r>
      <w:r w:rsidRPr="00D87CD5">
        <w:rPr>
          <w:rFonts w:ascii="Arial" w:hAnsi="Arial" w:cs="Arial"/>
          <w:sz w:val="22"/>
          <w:szCs w:val="22"/>
        </w:rPr>
        <w:t xml:space="preserve"> NHS England. </w:t>
      </w:r>
      <w:hyperlink r:id="rId25" w:tgtFrame="_new" w:history="1">
        <w:r w:rsidRPr="00D87CD5">
          <w:rPr>
            <w:rStyle w:val="Hyperlink"/>
            <w:rFonts w:ascii="Arial" w:hAnsi="Arial" w:cs="Arial"/>
            <w:sz w:val="22"/>
            <w:szCs w:val="22"/>
          </w:rPr>
          <w:t>https://www.longtermplan.nhs.uk</w:t>
        </w:r>
      </w:hyperlink>
    </w:p>
    <w:p w14:paraId="04853EB2"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NHS England. (2023). </w:t>
      </w:r>
      <w:r w:rsidRPr="00D87CD5">
        <w:rPr>
          <w:rFonts w:ascii="Arial" w:hAnsi="Arial" w:cs="Arial"/>
          <w:i/>
          <w:iCs/>
          <w:sz w:val="22"/>
          <w:szCs w:val="22"/>
        </w:rPr>
        <w:t>The national context for digital primary care.</w:t>
      </w:r>
      <w:r w:rsidRPr="00D87CD5">
        <w:rPr>
          <w:rFonts w:ascii="Arial" w:hAnsi="Arial" w:cs="Arial"/>
          <w:sz w:val="22"/>
          <w:szCs w:val="22"/>
        </w:rPr>
        <w:t xml:space="preserve"> UK Government. </w:t>
      </w:r>
      <w:hyperlink r:id="rId26" w:tgtFrame="_new" w:history="1">
        <w:r w:rsidRPr="00D87CD5">
          <w:rPr>
            <w:rStyle w:val="Hyperlink"/>
            <w:rFonts w:ascii="Arial" w:hAnsi="Arial" w:cs="Arial"/>
            <w:sz w:val="22"/>
            <w:szCs w:val="22"/>
          </w:rPr>
          <w:t>https://www.england.nhs.uk/long-read/the-national-context-for-digital-primary-care/</w:t>
        </w:r>
      </w:hyperlink>
    </w:p>
    <w:p w14:paraId="06C2ED30"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Pope, R., </w:t>
      </w:r>
      <w:proofErr w:type="spellStart"/>
      <w:r w:rsidRPr="00D87CD5">
        <w:rPr>
          <w:rFonts w:ascii="Arial" w:hAnsi="Arial" w:cs="Arial"/>
          <w:sz w:val="22"/>
          <w:szCs w:val="22"/>
        </w:rPr>
        <w:t>Zenonos</w:t>
      </w:r>
      <w:proofErr w:type="spellEnd"/>
      <w:r w:rsidRPr="00D87CD5">
        <w:rPr>
          <w:rFonts w:ascii="Arial" w:hAnsi="Arial" w:cs="Arial"/>
          <w:sz w:val="22"/>
          <w:szCs w:val="22"/>
        </w:rPr>
        <w:t xml:space="preserve">, A., Bryant, W., </w:t>
      </w:r>
      <w:proofErr w:type="spellStart"/>
      <w:r w:rsidRPr="00D87CD5">
        <w:rPr>
          <w:rFonts w:ascii="Arial" w:hAnsi="Arial" w:cs="Arial"/>
          <w:sz w:val="22"/>
          <w:szCs w:val="22"/>
        </w:rPr>
        <w:t>Spiridou</w:t>
      </w:r>
      <w:proofErr w:type="spellEnd"/>
      <w:r w:rsidRPr="00D87CD5">
        <w:rPr>
          <w:rFonts w:ascii="Arial" w:hAnsi="Arial" w:cs="Arial"/>
          <w:sz w:val="22"/>
          <w:szCs w:val="22"/>
        </w:rPr>
        <w:t>, A., Key, D., Patel, S., Robinson, J., Styles, A., Rockenbach, C., Bicknell, G., Rajendran, P., Taylor, A. M., &amp; Sebire, N. J. (2024). Real-world learnings for digital health industry</w:t>
      </w:r>
      <w:r w:rsidRPr="00D87CD5">
        <w:rPr>
          <w:rFonts w:ascii="Arial" w:hAnsi="Arial" w:cs="Arial"/>
          <w:b/>
          <w:bCs/>
          <w:sz w:val="22"/>
          <w:szCs w:val="22"/>
        </w:rPr>
        <w:t>-</w:t>
      </w:r>
      <w:r w:rsidRPr="00D87CD5">
        <w:rPr>
          <w:rFonts w:ascii="Arial" w:hAnsi="Arial" w:cs="Arial"/>
          <w:sz w:val="22"/>
          <w:szCs w:val="22"/>
        </w:rPr>
        <w:t>NHS collaboration: Life sciences vision in action. </w:t>
      </w:r>
      <w:r w:rsidRPr="00D87CD5">
        <w:rPr>
          <w:rFonts w:ascii="Arial" w:hAnsi="Arial" w:cs="Arial"/>
          <w:i/>
          <w:iCs/>
          <w:sz w:val="22"/>
          <w:szCs w:val="22"/>
        </w:rPr>
        <w:t>Future healthcare journal</w:t>
      </w:r>
      <w:r w:rsidRPr="00D87CD5">
        <w:rPr>
          <w:rFonts w:ascii="Arial" w:hAnsi="Arial" w:cs="Arial"/>
          <w:sz w:val="22"/>
          <w:szCs w:val="22"/>
        </w:rPr>
        <w:t>, </w:t>
      </w:r>
      <w:r w:rsidRPr="00D87CD5">
        <w:rPr>
          <w:rFonts w:ascii="Arial" w:hAnsi="Arial" w:cs="Arial"/>
          <w:i/>
          <w:iCs/>
          <w:sz w:val="22"/>
          <w:szCs w:val="22"/>
        </w:rPr>
        <w:t>11</w:t>
      </w:r>
      <w:r w:rsidRPr="00D87CD5">
        <w:rPr>
          <w:rFonts w:ascii="Arial" w:hAnsi="Arial" w:cs="Arial"/>
          <w:sz w:val="22"/>
          <w:szCs w:val="22"/>
        </w:rPr>
        <w:t xml:space="preserve">(3), 100168. </w:t>
      </w:r>
      <w:hyperlink r:id="rId27" w:history="1">
        <w:r w:rsidRPr="00D87CD5">
          <w:rPr>
            <w:rStyle w:val="Hyperlink"/>
            <w:rFonts w:ascii="Arial" w:hAnsi="Arial" w:cs="Arial"/>
            <w:sz w:val="22"/>
            <w:szCs w:val="22"/>
          </w:rPr>
          <w:t>https://doi.org/10.1016/j.fhj.2024.100168</w:t>
        </w:r>
      </w:hyperlink>
      <w:r w:rsidRPr="00D87CD5">
        <w:rPr>
          <w:rFonts w:ascii="Arial" w:hAnsi="Arial" w:cs="Arial"/>
          <w:sz w:val="22"/>
          <w:szCs w:val="22"/>
        </w:rPr>
        <w:t xml:space="preserve"> </w:t>
      </w:r>
    </w:p>
    <w:p w14:paraId="7F11F897" w14:textId="77777777" w:rsidR="00D63E88" w:rsidRPr="00D87CD5" w:rsidRDefault="00D63E88" w:rsidP="00D63E88">
      <w:pPr>
        <w:ind w:left="720" w:hanging="720"/>
        <w:jc w:val="both"/>
        <w:rPr>
          <w:rFonts w:ascii="Arial" w:hAnsi="Arial" w:cs="Arial"/>
          <w:sz w:val="22"/>
          <w:szCs w:val="22"/>
        </w:rPr>
      </w:pPr>
      <w:r w:rsidRPr="00A80D69">
        <w:rPr>
          <w:rFonts w:ascii="Arial" w:hAnsi="Arial" w:cs="Arial"/>
          <w:sz w:val="22"/>
          <w:szCs w:val="22"/>
        </w:rPr>
        <w:t xml:space="preserve">Sujan, M., Habli, I., Kelly, T. P., &amp; Pozzi, S. (2023). </w:t>
      </w:r>
      <w:r w:rsidRPr="00A80D69">
        <w:rPr>
          <w:rFonts w:ascii="Arial" w:hAnsi="Arial" w:cs="Arial"/>
          <w:i/>
          <w:iCs/>
          <w:sz w:val="22"/>
          <w:szCs w:val="22"/>
        </w:rPr>
        <w:t>Patient safety in remote primary care: Combining Safety I and Safety II analysis.</w:t>
      </w:r>
      <w:r w:rsidRPr="00A80D69">
        <w:rPr>
          <w:rFonts w:ascii="Arial" w:hAnsi="Arial" w:cs="Arial"/>
          <w:sz w:val="22"/>
          <w:szCs w:val="22"/>
        </w:rPr>
        <w:t xml:space="preserve"> BMJ Quality &amp; Safety, 32(7), 480–492. </w:t>
      </w:r>
      <w:hyperlink r:id="rId28" w:history="1">
        <w:r w:rsidRPr="00A80D69">
          <w:rPr>
            <w:rStyle w:val="Hyperlink"/>
            <w:rFonts w:ascii="Arial" w:hAnsi="Arial" w:cs="Arial"/>
            <w:sz w:val="22"/>
            <w:szCs w:val="22"/>
          </w:rPr>
          <w:t>https://doi.org/10.1136/bmjqs-2022-015551</w:t>
        </w:r>
      </w:hyperlink>
      <w:r w:rsidRPr="00D87CD5">
        <w:rPr>
          <w:rFonts w:ascii="Arial" w:hAnsi="Arial" w:cs="Arial"/>
          <w:sz w:val="22"/>
          <w:szCs w:val="22"/>
        </w:rPr>
        <w:t xml:space="preserve"> </w:t>
      </w:r>
    </w:p>
    <w:p w14:paraId="6F7AB4DC" w14:textId="535EFFE2"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Tazi, F., Nandakumar, A., Dykstra, J., Rajivan, P., &amp; Das, S. (2024). </w:t>
      </w:r>
      <w:proofErr w:type="spellStart"/>
      <w:r w:rsidRPr="00D87CD5">
        <w:rPr>
          <w:rFonts w:ascii="Arial" w:hAnsi="Arial" w:cs="Arial"/>
          <w:sz w:val="22"/>
          <w:szCs w:val="22"/>
        </w:rPr>
        <w:t>SoK</w:t>
      </w:r>
      <w:proofErr w:type="spellEnd"/>
      <w:r w:rsidRPr="00D87CD5">
        <w:rPr>
          <w:rFonts w:ascii="Arial" w:hAnsi="Arial" w:cs="Arial"/>
          <w:sz w:val="22"/>
          <w:szCs w:val="22"/>
        </w:rPr>
        <w:t xml:space="preserve">: </w:t>
      </w:r>
      <w:proofErr w:type="spellStart"/>
      <w:r w:rsidR="00700F42">
        <w:rPr>
          <w:rFonts w:ascii="Arial" w:hAnsi="Arial" w:cs="Arial"/>
          <w:sz w:val="22"/>
          <w:szCs w:val="22"/>
        </w:rPr>
        <w:t>Analysing</w:t>
      </w:r>
      <w:proofErr w:type="spellEnd"/>
      <w:r w:rsidRPr="00D87CD5">
        <w:rPr>
          <w:rFonts w:ascii="Arial" w:hAnsi="Arial" w:cs="Arial"/>
          <w:sz w:val="22"/>
          <w:szCs w:val="22"/>
        </w:rPr>
        <w:t xml:space="preserve"> Privacy and Security of Healthcare Data from the User Perspective. </w:t>
      </w:r>
      <w:r w:rsidRPr="00D87CD5">
        <w:rPr>
          <w:rFonts w:ascii="Arial" w:hAnsi="Arial" w:cs="Arial"/>
          <w:i/>
          <w:iCs/>
          <w:sz w:val="22"/>
          <w:szCs w:val="22"/>
        </w:rPr>
        <w:t>ACM Transactions on Computing for Healthcare</w:t>
      </w:r>
      <w:r w:rsidRPr="00D87CD5">
        <w:rPr>
          <w:rFonts w:ascii="Arial" w:hAnsi="Arial" w:cs="Arial"/>
          <w:sz w:val="22"/>
          <w:szCs w:val="22"/>
        </w:rPr>
        <w:t xml:space="preserve">, 5, 1 - 31. </w:t>
      </w:r>
      <w:hyperlink r:id="rId29" w:history="1">
        <w:r w:rsidRPr="00D87CD5">
          <w:rPr>
            <w:rStyle w:val="Hyperlink"/>
            <w:rFonts w:ascii="Arial" w:hAnsi="Arial" w:cs="Arial"/>
            <w:sz w:val="22"/>
            <w:szCs w:val="22"/>
          </w:rPr>
          <w:t>https://doi.org/10.1145/3650116</w:t>
        </w:r>
      </w:hyperlink>
      <w:r w:rsidRPr="00D87CD5">
        <w:rPr>
          <w:rFonts w:ascii="Arial" w:hAnsi="Arial" w:cs="Arial"/>
          <w:sz w:val="22"/>
          <w:szCs w:val="22"/>
        </w:rPr>
        <w:t xml:space="preserve"> </w:t>
      </w:r>
    </w:p>
    <w:p w14:paraId="51794D70"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Teare, H. J. A., Morrison, M., Whitley, E. A., &amp; Kaye, J. (2015). </w:t>
      </w:r>
      <w:r w:rsidRPr="00D87CD5">
        <w:rPr>
          <w:rFonts w:ascii="Arial" w:hAnsi="Arial" w:cs="Arial"/>
          <w:i/>
          <w:iCs/>
          <w:sz w:val="22"/>
          <w:szCs w:val="22"/>
        </w:rPr>
        <w:t>Towards “Engagement 2.0”: Insights from a study of dynamic consent with biobank participants.</w:t>
      </w:r>
      <w:r w:rsidRPr="00D87CD5">
        <w:rPr>
          <w:rFonts w:ascii="Arial" w:hAnsi="Arial" w:cs="Arial"/>
          <w:sz w:val="22"/>
          <w:szCs w:val="22"/>
        </w:rPr>
        <w:t xml:space="preserve"> Digital Health, 1, 1-13. </w:t>
      </w:r>
      <w:hyperlink r:id="rId30" w:history="1">
        <w:r w:rsidRPr="00D87CD5">
          <w:rPr>
            <w:rStyle w:val="Hyperlink"/>
            <w:rFonts w:ascii="Arial" w:hAnsi="Arial" w:cs="Arial"/>
            <w:sz w:val="22"/>
            <w:szCs w:val="22"/>
          </w:rPr>
          <w:t>https://doi.org/10.1177/2055207615605644</w:t>
        </w:r>
      </w:hyperlink>
      <w:r w:rsidRPr="00D87CD5">
        <w:rPr>
          <w:rFonts w:ascii="Arial" w:hAnsi="Arial" w:cs="Arial"/>
          <w:sz w:val="22"/>
          <w:szCs w:val="22"/>
        </w:rPr>
        <w:t xml:space="preserve"> </w:t>
      </w:r>
    </w:p>
    <w:p w14:paraId="359CA2B8" w14:textId="77777777" w:rsidR="00D63E88" w:rsidRPr="00D87CD5" w:rsidRDefault="00D63E88" w:rsidP="00D63E88">
      <w:pPr>
        <w:ind w:left="720" w:hanging="720"/>
        <w:jc w:val="both"/>
        <w:rPr>
          <w:rFonts w:ascii="Arial" w:hAnsi="Arial" w:cs="Arial"/>
          <w:sz w:val="22"/>
          <w:szCs w:val="22"/>
        </w:rPr>
      </w:pPr>
      <w:r w:rsidRPr="00D87CD5">
        <w:rPr>
          <w:rFonts w:ascii="Arial" w:hAnsi="Arial" w:cs="Arial"/>
          <w:sz w:val="22"/>
          <w:szCs w:val="22"/>
        </w:rPr>
        <w:t xml:space="preserve">The Health and Social Care (Safety and Quality) Act 2015, c. 28. (UK). </w:t>
      </w:r>
      <w:hyperlink r:id="rId31" w:tgtFrame="_new" w:history="1">
        <w:r w:rsidRPr="00D87CD5">
          <w:rPr>
            <w:rStyle w:val="Hyperlink"/>
            <w:rFonts w:ascii="Arial" w:hAnsi="Arial" w:cs="Arial"/>
            <w:sz w:val="22"/>
            <w:szCs w:val="22"/>
          </w:rPr>
          <w:t>https://www.legislation.gov.uk/ukpga/2015/28/contents/enacted</w:t>
        </w:r>
      </w:hyperlink>
    </w:p>
    <w:p w14:paraId="551B4F4C" w14:textId="77777777" w:rsidR="00D63E88" w:rsidRPr="00A80D69" w:rsidRDefault="00D63E88" w:rsidP="00D63E88">
      <w:pPr>
        <w:ind w:left="720" w:hanging="720"/>
        <w:jc w:val="both"/>
        <w:rPr>
          <w:rFonts w:ascii="Arial" w:hAnsi="Arial" w:cs="Arial"/>
          <w:sz w:val="22"/>
          <w:szCs w:val="22"/>
        </w:rPr>
      </w:pPr>
      <w:r w:rsidRPr="00A80D69">
        <w:rPr>
          <w:rFonts w:ascii="Arial" w:hAnsi="Arial" w:cs="Arial"/>
          <w:sz w:val="22"/>
          <w:szCs w:val="22"/>
        </w:rPr>
        <w:t xml:space="preserve">Warren, L. R., Clarke, J., Arora, S., &amp; Darzi, A. (2019). </w:t>
      </w:r>
      <w:r w:rsidRPr="00A80D69">
        <w:rPr>
          <w:rFonts w:ascii="Arial" w:hAnsi="Arial" w:cs="Arial"/>
          <w:i/>
          <w:iCs/>
          <w:sz w:val="22"/>
          <w:szCs w:val="22"/>
        </w:rPr>
        <w:t>Improving data sharing between acute hospitals in England: An overview of health record system distribution and retrospective observational analysis of inter-hospital transitions of care.</w:t>
      </w:r>
      <w:r w:rsidRPr="00A80D69">
        <w:rPr>
          <w:rFonts w:ascii="Arial" w:hAnsi="Arial" w:cs="Arial"/>
          <w:sz w:val="22"/>
          <w:szCs w:val="22"/>
        </w:rPr>
        <w:t xml:space="preserve"> BMJ Open, 9(12), e031637. </w:t>
      </w:r>
      <w:hyperlink r:id="rId32" w:tgtFrame="_new" w:history="1">
        <w:r w:rsidRPr="00A80D69">
          <w:rPr>
            <w:rStyle w:val="Hyperlink"/>
            <w:rFonts w:ascii="Arial" w:hAnsi="Arial" w:cs="Arial"/>
            <w:sz w:val="22"/>
            <w:szCs w:val="22"/>
          </w:rPr>
          <w:t>https://doi.org/10.1136/bmjopen-2019-031637</w:t>
        </w:r>
      </w:hyperlink>
    </w:p>
    <w:p w14:paraId="13BE0A60" w14:textId="77777777" w:rsidR="00D63E88" w:rsidRPr="00A80D69" w:rsidRDefault="00D63E88" w:rsidP="00D63E88">
      <w:pPr>
        <w:ind w:left="720" w:hanging="720"/>
        <w:jc w:val="both"/>
        <w:rPr>
          <w:rFonts w:ascii="Arial" w:hAnsi="Arial" w:cs="Arial"/>
        </w:rPr>
      </w:pPr>
      <w:r w:rsidRPr="00A80D69">
        <w:rPr>
          <w:rFonts w:ascii="Arial" w:hAnsi="Arial" w:cs="Arial"/>
          <w:sz w:val="22"/>
          <w:szCs w:val="22"/>
        </w:rPr>
        <w:t xml:space="preserve">Zhang, J., Morley, J., </w:t>
      </w:r>
      <w:proofErr w:type="spellStart"/>
      <w:r w:rsidRPr="00A80D69">
        <w:rPr>
          <w:rFonts w:ascii="Arial" w:hAnsi="Arial" w:cs="Arial"/>
          <w:sz w:val="22"/>
          <w:szCs w:val="22"/>
        </w:rPr>
        <w:t>Gallifant</w:t>
      </w:r>
      <w:proofErr w:type="spellEnd"/>
      <w:r w:rsidRPr="00A80D69">
        <w:rPr>
          <w:rFonts w:ascii="Arial" w:hAnsi="Arial" w:cs="Arial"/>
          <w:sz w:val="22"/>
          <w:szCs w:val="22"/>
        </w:rPr>
        <w:t xml:space="preserve">, J., Oddy, C., Teo, J. T., </w:t>
      </w:r>
      <w:proofErr w:type="spellStart"/>
      <w:r w:rsidRPr="00A80D69">
        <w:rPr>
          <w:rFonts w:ascii="Arial" w:hAnsi="Arial" w:cs="Arial"/>
          <w:sz w:val="22"/>
          <w:szCs w:val="22"/>
        </w:rPr>
        <w:t>Ashrafian</w:t>
      </w:r>
      <w:proofErr w:type="spellEnd"/>
      <w:r w:rsidRPr="00A80D69">
        <w:rPr>
          <w:rFonts w:ascii="Arial" w:hAnsi="Arial" w:cs="Arial"/>
          <w:sz w:val="22"/>
          <w:szCs w:val="22"/>
        </w:rPr>
        <w:t xml:space="preserve">, H., Delaney, B., &amp; Darzi, A. (2023). </w:t>
      </w:r>
      <w:r w:rsidRPr="00A80D69">
        <w:rPr>
          <w:rFonts w:ascii="Arial" w:hAnsi="Arial" w:cs="Arial"/>
          <w:i/>
          <w:iCs/>
          <w:sz w:val="22"/>
          <w:szCs w:val="22"/>
        </w:rPr>
        <w:t>Mapping and evaluating national data flows: Transparency, privacy, and guiding infrastructural transformation.</w:t>
      </w:r>
      <w:r w:rsidRPr="00A80D69">
        <w:rPr>
          <w:rFonts w:ascii="Arial" w:hAnsi="Arial" w:cs="Arial"/>
          <w:sz w:val="22"/>
          <w:szCs w:val="22"/>
        </w:rPr>
        <w:t xml:space="preserve"> The Lancet Digital Health, 5(10), e737–e748. </w:t>
      </w:r>
      <w:hyperlink r:id="rId33" w:history="1">
        <w:r w:rsidRPr="00A80D69">
          <w:rPr>
            <w:rStyle w:val="Hyperlink"/>
            <w:rFonts w:ascii="Arial" w:hAnsi="Arial" w:cs="Arial"/>
            <w:sz w:val="22"/>
            <w:szCs w:val="22"/>
          </w:rPr>
          <w:t>https://doi.org/10.1016/S2589-7500(23)00157-7</w:t>
        </w:r>
      </w:hyperlink>
      <w:r w:rsidRPr="00D63E88">
        <w:rPr>
          <w:rFonts w:ascii="Arial" w:hAnsi="Arial" w:cs="Arial"/>
        </w:rPr>
        <w:t xml:space="preserve"> </w:t>
      </w:r>
    </w:p>
    <w:p w14:paraId="4D4C41E6" w14:textId="77777777" w:rsidR="00D63E88" w:rsidRPr="00A80D69" w:rsidRDefault="00D63E88" w:rsidP="00D63E88"/>
    <w:p w14:paraId="0188FF42" w14:textId="77777777" w:rsidR="00D63E88" w:rsidRDefault="00D63E88" w:rsidP="00D63E88"/>
    <w:p w14:paraId="2F75FD67" w14:textId="77777777" w:rsidR="00D63E88" w:rsidRDefault="00D63E88" w:rsidP="00BD7442">
      <w:pPr>
        <w:spacing w:line="360" w:lineRule="auto"/>
        <w:jc w:val="both"/>
        <w:rPr>
          <w:rFonts w:ascii="Arial" w:hAnsi="Arial" w:cs="Arial"/>
        </w:rPr>
      </w:pPr>
    </w:p>
    <w:p w14:paraId="44F2B31C" w14:textId="77777777" w:rsidR="003F14D5" w:rsidRDefault="003F14D5" w:rsidP="00BD7442">
      <w:pPr>
        <w:spacing w:line="360" w:lineRule="auto"/>
        <w:jc w:val="both"/>
        <w:rPr>
          <w:rFonts w:ascii="Arial" w:hAnsi="Arial" w:cs="Arial"/>
        </w:rPr>
      </w:pPr>
    </w:p>
    <w:p w14:paraId="765D4959" w14:textId="77777777" w:rsidR="003F14D5" w:rsidRDefault="003F14D5" w:rsidP="00BD7442">
      <w:pPr>
        <w:spacing w:line="360" w:lineRule="auto"/>
        <w:jc w:val="both"/>
        <w:rPr>
          <w:rFonts w:ascii="Arial" w:hAnsi="Arial" w:cs="Arial"/>
        </w:rPr>
      </w:pPr>
    </w:p>
    <w:p w14:paraId="76E2939E" w14:textId="77777777" w:rsidR="003F14D5" w:rsidRDefault="003F14D5" w:rsidP="00BD7442">
      <w:pPr>
        <w:spacing w:line="360" w:lineRule="auto"/>
        <w:jc w:val="both"/>
        <w:rPr>
          <w:rFonts w:ascii="Arial" w:hAnsi="Arial" w:cs="Arial"/>
        </w:rPr>
        <w:sectPr w:rsidR="003F14D5">
          <w:headerReference w:type="default" r:id="rId34"/>
          <w:pgSz w:w="12240" w:h="15840"/>
          <w:pgMar w:top="1440" w:right="1440" w:bottom="1440" w:left="1440" w:header="720" w:footer="720" w:gutter="0"/>
          <w:cols w:space="720"/>
          <w:docGrid w:linePitch="360"/>
        </w:sectPr>
      </w:pPr>
    </w:p>
    <w:p w14:paraId="5AC52500" w14:textId="2743DE92" w:rsidR="003F14D5" w:rsidRDefault="003F14D5" w:rsidP="003F14D5">
      <w:pPr>
        <w:spacing w:line="360" w:lineRule="auto"/>
        <w:jc w:val="center"/>
        <w:rPr>
          <w:rFonts w:ascii="Arial" w:hAnsi="Arial" w:cs="Arial"/>
          <w:b/>
          <w:bCs/>
        </w:rPr>
      </w:pPr>
      <w:r w:rsidRPr="003F14D5">
        <w:rPr>
          <w:rFonts w:ascii="Arial" w:hAnsi="Arial" w:cs="Arial"/>
          <w:b/>
          <w:bCs/>
        </w:rPr>
        <w:t xml:space="preserve">Appendix </w:t>
      </w:r>
      <w:r>
        <w:rPr>
          <w:rFonts w:ascii="Arial" w:hAnsi="Arial" w:cs="Arial"/>
          <w:b/>
          <w:bCs/>
        </w:rPr>
        <w:t>1 -</w:t>
      </w:r>
      <w:r w:rsidRPr="003F14D5">
        <w:rPr>
          <w:rFonts w:ascii="Arial" w:hAnsi="Arial" w:cs="Arial"/>
          <w:b/>
          <w:bCs/>
        </w:rPr>
        <w:t xml:space="preserve"> Data Charting Form</w:t>
      </w:r>
    </w:p>
    <w:tbl>
      <w:tblPr>
        <w:tblStyle w:val="TableGrid"/>
        <w:tblW w:w="14490" w:type="dxa"/>
        <w:tblInd w:w="-815" w:type="dxa"/>
        <w:tblLook w:val="04A0" w:firstRow="1" w:lastRow="0" w:firstColumn="1" w:lastColumn="0" w:noHBand="0" w:noVBand="1"/>
      </w:tblPr>
      <w:tblGrid>
        <w:gridCol w:w="1080"/>
        <w:gridCol w:w="1440"/>
        <w:gridCol w:w="1710"/>
        <w:gridCol w:w="1842"/>
        <w:gridCol w:w="1461"/>
        <w:gridCol w:w="1195"/>
        <w:gridCol w:w="1712"/>
        <w:gridCol w:w="1787"/>
        <w:gridCol w:w="2263"/>
      </w:tblGrid>
      <w:tr w:rsidR="008F52AB" w:rsidRPr="008F52AB" w14:paraId="3D419A3D" w14:textId="77777777" w:rsidTr="008F52AB">
        <w:tc>
          <w:tcPr>
            <w:tcW w:w="1080" w:type="dxa"/>
            <w:hideMark/>
          </w:tcPr>
          <w:p w14:paraId="765D5F64"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Study ID</w:t>
            </w:r>
          </w:p>
        </w:tc>
        <w:tc>
          <w:tcPr>
            <w:tcW w:w="1440" w:type="dxa"/>
            <w:hideMark/>
          </w:tcPr>
          <w:p w14:paraId="77216AB3"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Author(s) and Year</w:t>
            </w:r>
          </w:p>
        </w:tc>
        <w:tc>
          <w:tcPr>
            <w:tcW w:w="1710" w:type="dxa"/>
            <w:hideMark/>
          </w:tcPr>
          <w:p w14:paraId="58073A1B"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Title / Source</w:t>
            </w:r>
          </w:p>
        </w:tc>
        <w:tc>
          <w:tcPr>
            <w:tcW w:w="1842" w:type="dxa"/>
            <w:hideMark/>
          </w:tcPr>
          <w:p w14:paraId="284CF900"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Aim / Research Question</w:t>
            </w:r>
          </w:p>
        </w:tc>
        <w:tc>
          <w:tcPr>
            <w:tcW w:w="0" w:type="auto"/>
            <w:hideMark/>
          </w:tcPr>
          <w:p w14:paraId="2BF92AA6"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Study Design / Methodology</w:t>
            </w:r>
          </w:p>
        </w:tc>
        <w:tc>
          <w:tcPr>
            <w:tcW w:w="1195" w:type="dxa"/>
            <w:hideMark/>
          </w:tcPr>
          <w:p w14:paraId="10E5FE3F"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Sample / Setting</w:t>
            </w:r>
          </w:p>
        </w:tc>
        <w:tc>
          <w:tcPr>
            <w:tcW w:w="1712" w:type="dxa"/>
            <w:hideMark/>
          </w:tcPr>
          <w:p w14:paraId="6257657E"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Key Findings</w:t>
            </w:r>
          </w:p>
        </w:tc>
        <w:tc>
          <w:tcPr>
            <w:tcW w:w="1787" w:type="dxa"/>
            <w:hideMark/>
          </w:tcPr>
          <w:p w14:paraId="4DDD6BDD"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Limitations</w:t>
            </w:r>
          </w:p>
        </w:tc>
        <w:tc>
          <w:tcPr>
            <w:tcW w:w="2263" w:type="dxa"/>
            <w:hideMark/>
          </w:tcPr>
          <w:p w14:paraId="427FD600" w14:textId="77777777" w:rsidR="008F52AB" w:rsidRPr="008F52AB" w:rsidRDefault="008F52AB" w:rsidP="008F52AB">
            <w:pPr>
              <w:spacing w:after="160" w:line="360" w:lineRule="auto"/>
              <w:jc w:val="both"/>
              <w:rPr>
                <w:rFonts w:ascii="Arial" w:hAnsi="Arial" w:cs="Arial"/>
                <w:b/>
                <w:bCs/>
                <w:sz w:val="20"/>
                <w:szCs w:val="20"/>
              </w:rPr>
            </w:pPr>
            <w:r w:rsidRPr="008F52AB">
              <w:rPr>
                <w:rFonts w:ascii="Arial" w:hAnsi="Arial" w:cs="Arial"/>
                <w:b/>
                <w:bCs/>
                <w:sz w:val="20"/>
                <w:szCs w:val="20"/>
              </w:rPr>
              <w:t>Relevance to Review Objectives</w:t>
            </w:r>
          </w:p>
        </w:tc>
      </w:tr>
      <w:tr w:rsidR="008F52AB" w:rsidRPr="008F52AB" w14:paraId="47250A1F" w14:textId="77777777" w:rsidTr="008F52AB">
        <w:tc>
          <w:tcPr>
            <w:tcW w:w="1080" w:type="dxa"/>
            <w:hideMark/>
          </w:tcPr>
          <w:p w14:paraId="18C6E0A4"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1</w:t>
            </w:r>
          </w:p>
        </w:tc>
        <w:tc>
          <w:tcPr>
            <w:tcW w:w="1440" w:type="dxa"/>
            <w:hideMark/>
          </w:tcPr>
          <w:p w14:paraId="20A4BC30"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Horvath et al. (2022)</w:t>
            </w:r>
          </w:p>
        </w:tc>
        <w:tc>
          <w:tcPr>
            <w:tcW w:w="1710" w:type="dxa"/>
            <w:hideMark/>
          </w:tcPr>
          <w:p w14:paraId="6AD4314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i/>
                <w:iCs/>
                <w:sz w:val="20"/>
                <w:szCs w:val="20"/>
              </w:rPr>
              <w:t>Adoption and continued use of mobile contact-tracing technology: multilevel explanations from a three-wave panel survey and linked data</w:t>
            </w:r>
            <w:r w:rsidRPr="008F52AB">
              <w:rPr>
                <w:rFonts w:ascii="Arial" w:hAnsi="Arial" w:cs="Arial"/>
                <w:sz w:val="20"/>
                <w:szCs w:val="20"/>
              </w:rPr>
              <w:t xml:space="preserve"> — BMJ Open</w:t>
            </w:r>
          </w:p>
        </w:tc>
        <w:tc>
          <w:tcPr>
            <w:tcW w:w="1842" w:type="dxa"/>
            <w:hideMark/>
          </w:tcPr>
          <w:p w14:paraId="6973B208"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To examine predictors of adoption and continued use of the NHS COVID-19 app</w:t>
            </w:r>
          </w:p>
        </w:tc>
        <w:tc>
          <w:tcPr>
            <w:tcW w:w="0" w:type="auto"/>
            <w:hideMark/>
          </w:tcPr>
          <w:p w14:paraId="1681C822"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Three-wave panel survey</w:t>
            </w:r>
          </w:p>
        </w:tc>
        <w:tc>
          <w:tcPr>
            <w:tcW w:w="1195" w:type="dxa"/>
            <w:hideMark/>
          </w:tcPr>
          <w:p w14:paraId="0BE7710F"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2,500 adults in England</w:t>
            </w:r>
          </w:p>
        </w:tc>
        <w:tc>
          <w:tcPr>
            <w:tcW w:w="1712" w:type="dxa"/>
            <w:hideMark/>
          </w:tcPr>
          <w:p w14:paraId="48E9027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Privacy concerns and lack of trust reduced uptake; misinformation about third-party access lowered continued use</w:t>
            </w:r>
          </w:p>
        </w:tc>
        <w:tc>
          <w:tcPr>
            <w:tcW w:w="1787" w:type="dxa"/>
            <w:hideMark/>
          </w:tcPr>
          <w:p w14:paraId="2E10B460"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Self-report bias; limited ethnic-minority representation</w:t>
            </w:r>
          </w:p>
        </w:tc>
        <w:tc>
          <w:tcPr>
            <w:tcW w:w="2263" w:type="dxa"/>
            <w:hideMark/>
          </w:tcPr>
          <w:p w14:paraId="51E4873D"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Objectives i and ii — shows how privacy perception and governance/trust affect digital-health engagement</w:t>
            </w:r>
          </w:p>
        </w:tc>
      </w:tr>
      <w:tr w:rsidR="008F52AB" w:rsidRPr="008F52AB" w14:paraId="56613301" w14:textId="77777777" w:rsidTr="008F52AB">
        <w:tc>
          <w:tcPr>
            <w:tcW w:w="1080" w:type="dxa"/>
            <w:hideMark/>
          </w:tcPr>
          <w:p w14:paraId="730234BB"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2</w:t>
            </w:r>
          </w:p>
        </w:tc>
        <w:tc>
          <w:tcPr>
            <w:tcW w:w="1440" w:type="dxa"/>
            <w:hideMark/>
          </w:tcPr>
          <w:p w14:paraId="36ADD23C"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Zhang et al. (2023)</w:t>
            </w:r>
          </w:p>
        </w:tc>
        <w:tc>
          <w:tcPr>
            <w:tcW w:w="1710" w:type="dxa"/>
            <w:hideMark/>
          </w:tcPr>
          <w:p w14:paraId="45671BA4"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i/>
                <w:iCs/>
                <w:sz w:val="20"/>
                <w:szCs w:val="20"/>
              </w:rPr>
              <w:t>Mapping and evaluating national data flows: transparency, privacy, and guiding infrastructural transformation</w:t>
            </w:r>
            <w:r w:rsidRPr="008F52AB">
              <w:rPr>
                <w:rFonts w:ascii="Arial" w:hAnsi="Arial" w:cs="Arial"/>
                <w:sz w:val="20"/>
                <w:szCs w:val="20"/>
              </w:rPr>
              <w:t xml:space="preserve"> — Lancet Digital Health</w:t>
            </w:r>
          </w:p>
        </w:tc>
        <w:tc>
          <w:tcPr>
            <w:tcW w:w="1842" w:type="dxa"/>
            <w:hideMark/>
          </w:tcPr>
          <w:p w14:paraId="1F9C463C"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To map NHS data flows and assess transparency and privacy risk</w:t>
            </w:r>
          </w:p>
        </w:tc>
        <w:tc>
          <w:tcPr>
            <w:tcW w:w="0" w:type="auto"/>
            <w:hideMark/>
          </w:tcPr>
          <w:p w14:paraId="493F359A"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National mapping / mixed methods</w:t>
            </w:r>
          </w:p>
        </w:tc>
        <w:tc>
          <w:tcPr>
            <w:tcW w:w="1195" w:type="dxa"/>
            <w:hideMark/>
          </w:tcPr>
          <w:p w14:paraId="18F82B91"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93,384 NHS data flows; FOI requests; public registers</w:t>
            </w:r>
          </w:p>
        </w:tc>
        <w:tc>
          <w:tcPr>
            <w:tcW w:w="1712" w:type="dxa"/>
            <w:hideMark/>
          </w:tcPr>
          <w:p w14:paraId="03AC0C42"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Fragmented governance, low explicit consent rates, opaque intermediary chains</w:t>
            </w:r>
          </w:p>
        </w:tc>
        <w:tc>
          <w:tcPr>
            <w:tcW w:w="1787" w:type="dxa"/>
            <w:hideMark/>
          </w:tcPr>
          <w:p w14:paraId="7A5EE463"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Likely under-reporting of commercial flows; excludes devolved nations</w:t>
            </w:r>
          </w:p>
        </w:tc>
        <w:tc>
          <w:tcPr>
            <w:tcW w:w="2263" w:type="dxa"/>
            <w:hideMark/>
          </w:tcPr>
          <w:p w14:paraId="256CB4CF"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Objectives i and ii — highlights structural governance and consent gaps affecting privacy</w:t>
            </w:r>
          </w:p>
        </w:tc>
      </w:tr>
      <w:tr w:rsidR="008F52AB" w:rsidRPr="008F52AB" w14:paraId="0ABDA3D8" w14:textId="77777777" w:rsidTr="008F52AB">
        <w:tc>
          <w:tcPr>
            <w:tcW w:w="1080" w:type="dxa"/>
            <w:hideMark/>
          </w:tcPr>
          <w:p w14:paraId="69EE83FA"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3</w:t>
            </w:r>
          </w:p>
        </w:tc>
        <w:tc>
          <w:tcPr>
            <w:tcW w:w="1440" w:type="dxa"/>
            <w:hideMark/>
          </w:tcPr>
          <w:p w14:paraId="7E4A0D1F"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Kerasidou &amp; Kerasidou (2023)</w:t>
            </w:r>
          </w:p>
        </w:tc>
        <w:tc>
          <w:tcPr>
            <w:tcW w:w="1710" w:type="dxa"/>
            <w:hideMark/>
          </w:tcPr>
          <w:p w14:paraId="79E64F66"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i/>
                <w:iCs/>
                <w:sz w:val="20"/>
                <w:szCs w:val="20"/>
              </w:rPr>
              <w:t>Data-driven research and healthcare: public trust, data governance and the NHS</w:t>
            </w:r>
            <w:r w:rsidRPr="008F52AB">
              <w:rPr>
                <w:rFonts w:ascii="Arial" w:hAnsi="Arial" w:cs="Arial"/>
                <w:sz w:val="20"/>
                <w:szCs w:val="20"/>
              </w:rPr>
              <w:t xml:space="preserve"> — BMC Medical Ethics</w:t>
            </w:r>
          </w:p>
        </w:tc>
        <w:tc>
          <w:tcPr>
            <w:tcW w:w="1842" w:type="dxa"/>
            <w:hideMark/>
          </w:tcPr>
          <w:p w14:paraId="1381070D"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To analyse ethical tensions and public trust in NHS data partnerships</w:t>
            </w:r>
          </w:p>
        </w:tc>
        <w:tc>
          <w:tcPr>
            <w:tcW w:w="0" w:type="auto"/>
            <w:hideMark/>
          </w:tcPr>
          <w:p w14:paraId="57F82F1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Normative and empirical literature review</w:t>
            </w:r>
          </w:p>
        </w:tc>
        <w:tc>
          <w:tcPr>
            <w:tcW w:w="1195" w:type="dxa"/>
            <w:hideMark/>
          </w:tcPr>
          <w:p w14:paraId="6733C6D1"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UK policy documents and empirical studies</w:t>
            </w:r>
          </w:p>
        </w:tc>
        <w:tc>
          <w:tcPr>
            <w:tcW w:w="1712" w:type="dxa"/>
            <w:hideMark/>
          </w:tcPr>
          <w:p w14:paraId="485F3FFA"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Trust in NHS care not automatically extended to commercial data sharing; transparency required</w:t>
            </w:r>
          </w:p>
        </w:tc>
        <w:tc>
          <w:tcPr>
            <w:tcW w:w="1787" w:type="dxa"/>
            <w:hideMark/>
          </w:tcPr>
          <w:p w14:paraId="092643EC"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Conceptual; relies on existing studies rather than new empirical data</w:t>
            </w:r>
          </w:p>
        </w:tc>
        <w:tc>
          <w:tcPr>
            <w:tcW w:w="2263" w:type="dxa"/>
            <w:hideMark/>
          </w:tcPr>
          <w:p w14:paraId="1C087001"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Objectives ii and iii — provides ethical framing and guidance for policy and practice reforms</w:t>
            </w:r>
          </w:p>
        </w:tc>
      </w:tr>
      <w:tr w:rsidR="008F52AB" w:rsidRPr="008F52AB" w14:paraId="601A6585" w14:textId="77777777" w:rsidTr="008F52AB">
        <w:tc>
          <w:tcPr>
            <w:tcW w:w="1080" w:type="dxa"/>
            <w:hideMark/>
          </w:tcPr>
          <w:p w14:paraId="284341E7"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4</w:t>
            </w:r>
          </w:p>
        </w:tc>
        <w:tc>
          <w:tcPr>
            <w:tcW w:w="1440" w:type="dxa"/>
            <w:hideMark/>
          </w:tcPr>
          <w:p w14:paraId="374409BE"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Warren et al. (2019)</w:t>
            </w:r>
          </w:p>
        </w:tc>
        <w:tc>
          <w:tcPr>
            <w:tcW w:w="1710" w:type="dxa"/>
            <w:hideMark/>
          </w:tcPr>
          <w:p w14:paraId="48369B2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i/>
                <w:iCs/>
                <w:sz w:val="20"/>
                <w:szCs w:val="20"/>
              </w:rPr>
              <w:t>Improving data sharing between acute hospitals in England: distribution of health-record systems and inter-hospital transitions</w:t>
            </w:r>
            <w:r w:rsidRPr="008F52AB">
              <w:rPr>
                <w:rFonts w:ascii="Arial" w:hAnsi="Arial" w:cs="Arial"/>
                <w:sz w:val="20"/>
                <w:szCs w:val="20"/>
              </w:rPr>
              <w:t xml:space="preserve"> — BMJ Open</w:t>
            </w:r>
          </w:p>
        </w:tc>
        <w:tc>
          <w:tcPr>
            <w:tcW w:w="1842" w:type="dxa"/>
            <w:hideMark/>
          </w:tcPr>
          <w:p w14:paraId="71EB4544"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To assess EHR distribution and interoperability between NHS hospitals</w:t>
            </w:r>
          </w:p>
        </w:tc>
        <w:tc>
          <w:tcPr>
            <w:tcW w:w="0" w:type="auto"/>
            <w:hideMark/>
          </w:tcPr>
          <w:p w14:paraId="69CD2595"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Retrospective observational study</w:t>
            </w:r>
          </w:p>
        </w:tc>
        <w:tc>
          <w:tcPr>
            <w:tcW w:w="1195" w:type="dxa"/>
            <w:hideMark/>
          </w:tcPr>
          <w:p w14:paraId="7E27A3E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152 NHS trusts; 21 million patients</w:t>
            </w:r>
          </w:p>
        </w:tc>
        <w:tc>
          <w:tcPr>
            <w:tcW w:w="1712" w:type="dxa"/>
            <w:hideMark/>
          </w:tcPr>
          <w:p w14:paraId="51C8193B"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Multiple EHR vendors; frequent cross-trust transitions with incompatible systems; fragmentation risks data integrity and privacy</w:t>
            </w:r>
          </w:p>
        </w:tc>
        <w:tc>
          <w:tcPr>
            <w:tcW w:w="1787" w:type="dxa"/>
            <w:hideMark/>
          </w:tcPr>
          <w:p w14:paraId="047CC261"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Excludes primary care; EHR use definitions vary</w:t>
            </w:r>
          </w:p>
        </w:tc>
        <w:tc>
          <w:tcPr>
            <w:tcW w:w="2263" w:type="dxa"/>
            <w:hideMark/>
          </w:tcPr>
          <w:p w14:paraId="4139C3D4"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 xml:space="preserve">Objectives i and ii — supplies quantitative evidence of technical and </w:t>
            </w:r>
            <w:proofErr w:type="spellStart"/>
            <w:r w:rsidRPr="008F52AB">
              <w:rPr>
                <w:rFonts w:ascii="Arial" w:hAnsi="Arial" w:cs="Arial"/>
                <w:sz w:val="20"/>
                <w:szCs w:val="20"/>
              </w:rPr>
              <w:t>organisational</w:t>
            </w:r>
            <w:proofErr w:type="spellEnd"/>
            <w:r w:rsidRPr="008F52AB">
              <w:rPr>
                <w:rFonts w:ascii="Arial" w:hAnsi="Arial" w:cs="Arial"/>
                <w:sz w:val="20"/>
                <w:szCs w:val="20"/>
              </w:rPr>
              <w:t xml:space="preserve"> risks to privacy</w:t>
            </w:r>
          </w:p>
        </w:tc>
      </w:tr>
      <w:tr w:rsidR="008F52AB" w:rsidRPr="008F52AB" w14:paraId="683EB645" w14:textId="77777777" w:rsidTr="008F52AB">
        <w:tc>
          <w:tcPr>
            <w:tcW w:w="1080" w:type="dxa"/>
            <w:hideMark/>
          </w:tcPr>
          <w:p w14:paraId="6FB5806C"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5</w:t>
            </w:r>
          </w:p>
        </w:tc>
        <w:tc>
          <w:tcPr>
            <w:tcW w:w="1440" w:type="dxa"/>
            <w:hideMark/>
          </w:tcPr>
          <w:p w14:paraId="210C98A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Sujan et al. (2023)</w:t>
            </w:r>
          </w:p>
        </w:tc>
        <w:tc>
          <w:tcPr>
            <w:tcW w:w="1710" w:type="dxa"/>
            <w:hideMark/>
          </w:tcPr>
          <w:p w14:paraId="7B4954BF"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i/>
                <w:iCs/>
                <w:sz w:val="20"/>
                <w:szCs w:val="20"/>
              </w:rPr>
              <w:t>Patient safety in remote primary care: combining Safety I and Safety II analysis</w:t>
            </w:r>
            <w:r w:rsidRPr="008F52AB">
              <w:rPr>
                <w:rFonts w:ascii="Arial" w:hAnsi="Arial" w:cs="Arial"/>
                <w:sz w:val="20"/>
                <w:szCs w:val="20"/>
              </w:rPr>
              <w:t xml:space="preserve"> — BMJ Quality &amp; Safety</w:t>
            </w:r>
          </w:p>
        </w:tc>
        <w:tc>
          <w:tcPr>
            <w:tcW w:w="1842" w:type="dxa"/>
            <w:hideMark/>
          </w:tcPr>
          <w:p w14:paraId="47451CEC"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To investigate safety and governance issues in remote digital primary care</w:t>
            </w:r>
          </w:p>
        </w:tc>
        <w:tc>
          <w:tcPr>
            <w:tcW w:w="0" w:type="auto"/>
            <w:hideMark/>
          </w:tcPr>
          <w:p w14:paraId="41735530" w14:textId="77777777" w:rsidR="008F52AB" w:rsidRPr="008F52AB" w:rsidRDefault="008F52AB" w:rsidP="008F52AB">
            <w:pPr>
              <w:spacing w:after="160" w:line="360" w:lineRule="auto"/>
              <w:jc w:val="both"/>
              <w:rPr>
                <w:rFonts w:ascii="Arial" w:hAnsi="Arial" w:cs="Arial"/>
                <w:sz w:val="20"/>
                <w:szCs w:val="20"/>
              </w:rPr>
            </w:pPr>
            <w:proofErr w:type="gramStart"/>
            <w:r w:rsidRPr="008F52AB">
              <w:rPr>
                <w:rFonts w:ascii="Arial" w:hAnsi="Arial" w:cs="Arial"/>
                <w:sz w:val="20"/>
                <w:szCs w:val="20"/>
              </w:rPr>
              <w:t>Mixed-methods</w:t>
            </w:r>
            <w:proofErr w:type="gramEnd"/>
            <w:r w:rsidRPr="008F52AB">
              <w:rPr>
                <w:rFonts w:ascii="Arial" w:hAnsi="Arial" w:cs="Arial"/>
                <w:sz w:val="20"/>
                <w:szCs w:val="20"/>
              </w:rPr>
              <w:t xml:space="preserve"> (incident review, interviews, observations)</w:t>
            </w:r>
          </w:p>
        </w:tc>
        <w:tc>
          <w:tcPr>
            <w:tcW w:w="1195" w:type="dxa"/>
            <w:hideMark/>
          </w:tcPr>
          <w:p w14:paraId="0097E8E9"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Clinicians and managers across English primary-care and telehealth settings</w:t>
            </w:r>
          </w:p>
        </w:tc>
        <w:tc>
          <w:tcPr>
            <w:tcW w:w="1712" w:type="dxa"/>
            <w:hideMark/>
          </w:tcPr>
          <w:p w14:paraId="5ECED748"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Remote care used disconnected systems; unclear data stewardship and consent processes; staff relied on informal safeguards</w:t>
            </w:r>
          </w:p>
        </w:tc>
        <w:tc>
          <w:tcPr>
            <w:tcW w:w="1787" w:type="dxa"/>
            <w:hideMark/>
          </w:tcPr>
          <w:p w14:paraId="4025DE8B"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 xml:space="preserve">Small qualitative sample; limited </w:t>
            </w:r>
            <w:proofErr w:type="spellStart"/>
            <w:r w:rsidRPr="008F52AB">
              <w:rPr>
                <w:rFonts w:ascii="Arial" w:hAnsi="Arial" w:cs="Arial"/>
                <w:sz w:val="20"/>
                <w:szCs w:val="20"/>
              </w:rPr>
              <w:t>generalisability</w:t>
            </w:r>
            <w:proofErr w:type="spellEnd"/>
          </w:p>
        </w:tc>
        <w:tc>
          <w:tcPr>
            <w:tcW w:w="2263" w:type="dxa"/>
            <w:hideMark/>
          </w:tcPr>
          <w:p w14:paraId="07D74355" w14:textId="77777777" w:rsidR="008F52AB" w:rsidRPr="008F52AB" w:rsidRDefault="008F52AB" w:rsidP="008F52AB">
            <w:pPr>
              <w:spacing w:after="160" w:line="360" w:lineRule="auto"/>
              <w:jc w:val="both"/>
              <w:rPr>
                <w:rFonts w:ascii="Arial" w:hAnsi="Arial" w:cs="Arial"/>
                <w:sz w:val="20"/>
                <w:szCs w:val="20"/>
              </w:rPr>
            </w:pPr>
            <w:r w:rsidRPr="008F52AB">
              <w:rPr>
                <w:rFonts w:ascii="Arial" w:hAnsi="Arial" w:cs="Arial"/>
                <w:sz w:val="20"/>
                <w:szCs w:val="20"/>
              </w:rPr>
              <w:t>Objectives i and iii — links information-governance weaknesses to practical recommendations for safer practice</w:t>
            </w:r>
          </w:p>
        </w:tc>
      </w:tr>
    </w:tbl>
    <w:p w14:paraId="14D82414" w14:textId="77777777" w:rsidR="008F52AB" w:rsidRDefault="008F52AB" w:rsidP="008F52AB">
      <w:pPr>
        <w:spacing w:line="360" w:lineRule="auto"/>
        <w:jc w:val="both"/>
        <w:rPr>
          <w:rFonts w:ascii="Arial" w:hAnsi="Arial" w:cs="Arial"/>
          <w:b/>
          <w:bCs/>
        </w:rPr>
      </w:pPr>
    </w:p>
    <w:p w14:paraId="1271431A" w14:textId="77777777" w:rsidR="008F52AB" w:rsidRDefault="008F52AB" w:rsidP="003F14D5">
      <w:pPr>
        <w:spacing w:line="360" w:lineRule="auto"/>
        <w:jc w:val="center"/>
        <w:rPr>
          <w:rFonts w:ascii="Arial" w:hAnsi="Arial" w:cs="Arial"/>
          <w:b/>
          <w:bCs/>
        </w:rPr>
      </w:pPr>
    </w:p>
    <w:p w14:paraId="7D73DF2B" w14:textId="77777777" w:rsidR="008F52AB" w:rsidRDefault="008F52AB" w:rsidP="003F14D5">
      <w:pPr>
        <w:spacing w:line="360" w:lineRule="auto"/>
        <w:jc w:val="center"/>
        <w:rPr>
          <w:rFonts w:ascii="Arial" w:hAnsi="Arial" w:cs="Arial"/>
          <w:b/>
          <w:bCs/>
        </w:rPr>
      </w:pPr>
    </w:p>
    <w:p w14:paraId="425D206E" w14:textId="77777777" w:rsidR="008F52AB" w:rsidRDefault="008F52AB" w:rsidP="003F14D5">
      <w:pPr>
        <w:spacing w:line="360" w:lineRule="auto"/>
        <w:jc w:val="center"/>
        <w:rPr>
          <w:rFonts w:ascii="Arial" w:hAnsi="Arial" w:cs="Arial"/>
          <w:b/>
          <w:bCs/>
        </w:rPr>
      </w:pPr>
    </w:p>
    <w:sectPr w:rsidR="008F52AB" w:rsidSect="003F14D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631FF" w14:textId="77777777" w:rsidR="000C7822" w:rsidRDefault="000C7822" w:rsidP="00353DB8">
      <w:pPr>
        <w:spacing w:after="0" w:line="240" w:lineRule="auto"/>
      </w:pPr>
      <w:r>
        <w:separator/>
      </w:r>
    </w:p>
  </w:endnote>
  <w:endnote w:type="continuationSeparator" w:id="0">
    <w:p w14:paraId="32B7F1FF" w14:textId="77777777" w:rsidR="000C7822" w:rsidRDefault="000C7822" w:rsidP="00353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E7FFE" w14:textId="77777777" w:rsidR="000C7822" w:rsidRDefault="000C7822" w:rsidP="00353DB8">
      <w:pPr>
        <w:spacing w:after="0" w:line="240" w:lineRule="auto"/>
      </w:pPr>
      <w:r>
        <w:separator/>
      </w:r>
    </w:p>
  </w:footnote>
  <w:footnote w:type="continuationSeparator" w:id="0">
    <w:p w14:paraId="24F02CAB" w14:textId="77777777" w:rsidR="000C7822" w:rsidRDefault="000C7822" w:rsidP="00353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811430"/>
      <w:docPartObj>
        <w:docPartGallery w:val="Page Numbers (Top of Page)"/>
        <w:docPartUnique/>
      </w:docPartObj>
    </w:sdtPr>
    <w:sdtEndPr>
      <w:rPr>
        <w:noProof/>
      </w:rPr>
    </w:sdtEndPr>
    <w:sdtContent>
      <w:p w14:paraId="092CC012" w14:textId="381388F6" w:rsidR="00353DB8" w:rsidRDefault="00353DB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51DE390" w14:textId="77777777" w:rsidR="00353DB8" w:rsidRDefault="00353D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894"/>
    <w:multiLevelType w:val="multilevel"/>
    <w:tmpl w:val="698CBCE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F5536"/>
    <w:multiLevelType w:val="multilevel"/>
    <w:tmpl w:val="82961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F08CA"/>
    <w:multiLevelType w:val="hybridMultilevel"/>
    <w:tmpl w:val="98243B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C601B"/>
    <w:multiLevelType w:val="multilevel"/>
    <w:tmpl w:val="48728AEC"/>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184B66"/>
    <w:multiLevelType w:val="multilevel"/>
    <w:tmpl w:val="730AA0EA"/>
    <w:lvl w:ilvl="0">
      <w:start w:val="3"/>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7304294"/>
    <w:multiLevelType w:val="hybridMultilevel"/>
    <w:tmpl w:val="82AC68FA"/>
    <w:lvl w:ilvl="0" w:tplc="00D64D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A66D23"/>
    <w:multiLevelType w:val="multilevel"/>
    <w:tmpl w:val="10BEBF1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125517"/>
    <w:multiLevelType w:val="multilevel"/>
    <w:tmpl w:val="0FD6D222"/>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85D4E"/>
    <w:multiLevelType w:val="multilevel"/>
    <w:tmpl w:val="8C88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64E61"/>
    <w:multiLevelType w:val="multilevel"/>
    <w:tmpl w:val="3B1E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9003E1"/>
    <w:multiLevelType w:val="multilevel"/>
    <w:tmpl w:val="8CC2517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DC908C7"/>
    <w:multiLevelType w:val="multilevel"/>
    <w:tmpl w:val="3712FD9A"/>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E8124A5"/>
    <w:multiLevelType w:val="multilevel"/>
    <w:tmpl w:val="2710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801F4F"/>
    <w:multiLevelType w:val="multilevel"/>
    <w:tmpl w:val="8CC2517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2C303FD"/>
    <w:multiLevelType w:val="multilevel"/>
    <w:tmpl w:val="83E0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B13E49"/>
    <w:multiLevelType w:val="hybridMultilevel"/>
    <w:tmpl w:val="90AEEE1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EF24AA"/>
    <w:multiLevelType w:val="multilevel"/>
    <w:tmpl w:val="6B94A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972B85"/>
    <w:multiLevelType w:val="multilevel"/>
    <w:tmpl w:val="19181462"/>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0897070">
    <w:abstractNumId w:val="1"/>
  </w:num>
  <w:num w:numId="2" w16cid:durableId="359548482">
    <w:abstractNumId w:val="2"/>
  </w:num>
  <w:num w:numId="3" w16cid:durableId="255329262">
    <w:abstractNumId w:val="16"/>
  </w:num>
  <w:num w:numId="4" w16cid:durableId="1754013302">
    <w:abstractNumId w:val="15"/>
  </w:num>
  <w:num w:numId="5" w16cid:durableId="1196236962">
    <w:abstractNumId w:val="17"/>
  </w:num>
  <w:num w:numId="6" w16cid:durableId="892958912">
    <w:abstractNumId w:val="9"/>
  </w:num>
  <w:num w:numId="7" w16cid:durableId="424574561">
    <w:abstractNumId w:val="11"/>
  </w:num>
  <w:num w:numId="8" w16cid:durableId="1877233378">
    <w:abstractNumId w:val="13"/>
  </w:num>
  <w:num w:numId="9" w16cid:durableId="599526450">
    <w:abstractNumId w:val="7"/>
  </w:num>
  <w:num w:numId="10" w16cid:durableId="1429884634">
    <w:abstractNumId w:val="8"/>
  </w:num>
  <w:num w:numId="11" w16cid:durableId="2002392499">
    <w:abstractNumId w:val="14"/>
  </w:num>
  <w:num w:numId="12" w16cid:durableId="876284095">
    <w:abstractNumId w:val="6"/>
  </w:num>
  <w:num w:numId="13" w16cid:durableId="417749610">
    <w:abstractNumId w:val="12"/>
  </w:num>
  <w:num w:numId="14" w16cid:durableId="23529464">
    <w:abstractNumId w:val="10"/>
  </w:num>
  <w:num w:numId="15" w16cid:durableId="1722367251">
    <w:abstractNumId w:val="3"/>
  </w:num>
  <w:num w:numId="16" w16cid:durableId="1753238926">
    <w:abstractNumId w:val="5"/>
  </w:num>
  <w:num w:numId="17" w16cid:durableId="2107075474">
    <w:abstractNumId w:val="4"/>
  </w:num>
  <w:num w:numId="18" w16cid:durableId="1298295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3E"/>
    <w:rsid w:val="0009175D"/>
    <w:rsid w:val="000A4996"/>
    <w:rsid w:val="000C7822"/>
    <w:rsid w:val="000F3ECF"/>
    <w:rsid w:val="0015648B"/>
    <w:rsid w:val="00161DCF"/>
    <w:rsid w:val="00170508"/>
    <w:rsid w:val="00174B4D"/>
    <w:rsid w:val="001760F3"/>
    <w:rsid w:val="00194ED1"/>
    <w:rsid w:val="001A33AA"/>
    <w:rsid w:val="001D09C7"/>
    <w:rsid w:val="001E180F"/>
    <w:rsid w:val="001E22D4"/>
    <w:rsid w:val="002101D5"/>
    <w:rsid w:val="00232185"/>
    <w:rsid w:val="00261E74"/>
    <w:rsid w:val="002745D0"/>
    <w:rsid w:val="00276142"/>
    <w:rsid w:val="0028106E"/>
    <w:rsid w:val="002A1781"/>
    <w:rsid w:val="002C1B5C"/>
    <w:rsid w:val="002F0E65"/>
    <w:rsid w:val="0030564C"/>
    <w:rsid w:val="003122E9"/>
    <w:rsid w:val="003452C6"/>
    <w:rsid w:val="00353DB8"/>
    <w:rsid w:val="00381B18"/>
    <w:rsid w:val="003A1A38"/>
    <w:rsid w:val="003D6C7C"/>
    <w:rsid w:val="003E1C3E"/>
    <w:rsid w:val="003E607F"/>
    <w:rsid w:val="003F14D5"/>
    <w:rsid w:val="00403F10"/>
    <w:rsid w:val="00434844"/>
    <w:rsid w:val="00460B83"/>
    <w:rsid w:val="004700B1"/>
    <w:rsid w:val="004835E8"/>
    <w:rsid w:val="00486A96"/>
    <w:rsid w:val="004B543B"/>
    <w:rsid w:val="00501B19"/>
    <w:rsid w:val="00502A79"/>
    <w:rsid w:val="00564992"/>
    <w:rsid w:val="005D48C5"/>
    <w:rsid w:val="00627570"/>
    <w:rsid w:val="00635D6D"/>
    <w:rsid w:val="006A4D5F"/>
    <w:rsid w:val="006B7D4E"/>
    <w:rsid w:val="006D170A"/>
    <w:rsid w:val="006D1FDF"/>
    <w:rsid w:val="00700F42"/>
    <w:rsid w:val="00727441"/>
    <w:rsid w:val="00733AB6"/>
    <w:rsid w:val="0076025D"/>
    <w:rsid w:val="00783645"/>
    <w:rsid w:val="00784A3F"/>
    <w:rsid w:val="0078646B"/>
    <w:rsid w:val="00790679"/>
    <w:rsid w:val="00796A78"/>
    <w:rsid w:val="007C13AA"/>
    <w:rsid w:val="00822E39"/>
    <w:rsid w:val="00855C41"/>
    <w:rsid w:val="008B3D80"/>
    <w:rsid w:val="008F52AB"/>
    <w:rsid w:val="0091230D"/>
    <w:rsid w:val="009F4C9B"/>
    <w:rsid w:val="00A05172"/>
    <w:rsid w:val="00A31EF3"/>
    <w:rsid w:val="00A4346B"/>
    <w:rsid w:val="00A57D61"/>
    <w:rsid w:val="00AB29CF"/>
    <w:rsid w:val="00AF1B29"/>
    <w:rsid w:val="00B3630F"/>
    <w:rsid w:val="00B4490A"/>
    <w:rsid w:val="00BD618F"/>
    <w:rsid w:val="00BD7442"/>
    <w:rsid w:val="00BF2AFB"/>
    <w:rsid w:val="00C16F01"/>
    <w:rsid w:val="00C373D6"/>
    <w:rsid w:val="00C70D67"/>
    <w:rsid w:val="00CA2028"/>
    <w:rsid w:val="00CB7657"/>
    <w:rsid w:val="00CC69BB"/>
    <w:rsid w:val="00CD5CEE"/>
    <w:rsid w:val="00D155BD"/>
    <w:rsid w:val="00D466C4"/>
    <w:rsid w:val="00D50A89"/>
    <w:rsid w:val="00D52D64"/>
    <w:rsid w:val="00D63E88"/>
    <w:rsid w:val="00D833BF"/>
    <w:rsid w:val="00D87CD5"/>
    <w:rsid w:val="00DB5EB6"/>
    <w:rsid w:val="00DC3E6A"/>
    <w:rsid w:val="00DD3343"/>
    <w:rsid w:val="00DF5C7B"/>
    <w:rsid w:val="00E75DE6"/>
    <w:rsid w:val="00E93DA8"/>
    <w:rsid w:val="00EA0411"/>
    <w:rsid w:val="00EE5E53"/>
    <w:rsid w:val="00EF1DD0"/>
    <w:rsid w:val="00F36C0D"/>
    <w:rsid w:val="00F42C6D"/>
    <w:rsid w:val="00F700B3"/>
    <w:rsid w:val="00F82001"/>
    <w:rsid w:val="00F833F0"/>
    <w:rsid w:val="00FA21E6"/>
    <w:rsid w:val="00FC7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7CD41"/>
  <w15:chartTrackingRefBased/>
  <w15:docId w15:val="{2CDAB30C-D43B-45FD-B16A-E8D73569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3E"/>
    <w:rPr>
      <w:rFonts w:eastAsiaTheme="minorEastAsia"/>
      <w:lang w:eastAsia="en-GB"/>
    </w:rPr>
  </w:style>
  <w:style w:type="paragraph" w:styleId="Heading1">
    <w:name w:val="heading 1"/>
    <w:basedOn w:val="Normal"/>
    <w:next w:val="Normal"/>
    <w:link w:val="Heading1Char"/>
    <w:uiPriority w:val="9"/>
    <w:qFormat/>
    <w:rsid w:val="003E1C3E"/>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3E1C3E"/>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3E1C3E"/>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3E1C3E"/>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3E1C3E"/>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3E1C3E"/>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3E1C3E"/>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3E1C3E"/>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3E1C3E"/>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1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1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C3E"/>
    <w:rPr>
      <w:rFonts w:eastAsiaTheme="majorEastAsia" w:cstheme="majorBidi"/>
      <w:color w:val="272727" w:themeColor="text1" w:themeTint="D8"/>
    </w:rPr>
  </w:style>
  <w:style w:type="paragraph" w:styleId="Title">
    <w:name w:val="Title"/>
    <w:basedOn w:val="Normal"/>
    <w:next w:val="Normal"/>
    <w:link w:val="TitleChar"/>
    <w:uiPriority w:val="10"/>
    <w:qFormat/>
    <w:rsid w:val="003E1C3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E1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C3E"/>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3E1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C3E"/>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3E1C3E"/>
    <w:rPr>
      <w:i/>
      <w:iCs/>
      <w:color w:val="404040" w:themeColor="text1" w:themeTint="BF"/>
    </w:rPr>
  </w:style>
  <w:style w:type="paragraph" w:styleId="ListParagraph">
    <w:name w:val="List Paragraph"/>
    <w:basedOn w:val="Normal"/>
    <w:uiPriority w:val="34"/>
    <w:qFormat/>
    <w:rsid w:val="003E1C3E"/>
    <w:pPr>
      <w:ind w:left="720"/>
      <w:contextualSpacing/>
    </w:pPr>
    <w:rPr>
      <w:rFonts w:eastAsiaTheme="minorHAnsi"/>
      <w:lang w:eastAsia="en-US"/>
    </w:rPr>
  </w:style>
  <w:style w:type="character" w:styleId="IntenseEmphasis">
    <w:name w:val="Intense Emphasis"/>
    <w:basedOn w:val="DefaultParagraphFont"/>
    <w:uiPriority w:val="21"/>
    <w:qFormat/>
    <w:rsid w:val="003E1C3E"/>
    <w:rPr>
      <w:i/>
      <w:iCs/>
      <w:color w:val="0F4761" w:themeColor="accent1" w:themeShade="BF"/>
    </w:rPr>
  </w:style>
  <w:style w:type="paragraph" w:styleId="IntenseQuote">
    <w:name w:val="Intense Quote"/>
    <w:basedOn w:val="Normal"/>
    <w:next w:val="Normal"/>
    <w:link w:val="IntenseQuoteChar"/>
    <w:uiPriority w:val="30"/>
    <w:qFormat/>
    <w:rsid w:val="003E1C3E"/>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3E1C3E"/>
    <w:rPr>
      <w:i/>
      <w:iCs/>
      <w:color w:val="0F4761" w:themeColor="accent1" w:themeShade="BF"/>
    </w:rPr>
  </w:style>
  <w:style w:type="character" w:styleId="IntenseReference">
    <w:name w:val="Intense Reference"/>
    <w:basedOn w:val="DefaultParagraphFont"/>
    <w:uiPriority w:val="32"/>
    <w:qFormat/>
    <w:rsid w:val="003E1C3E"/>
    <w:rPr>
      <w:b/>
      <w:bCs/>
      <w:smallCaps/>
      <w:color w:val="0F4761" w:themeColor="accent1" w:themeShade="BF"/>
      <w:spacing w:val="5"/>
    </w:rPr>
  </w:style>
  <w:style w:type="paragraph" w:customStyle="1" w:styleId="p1">
    <w:name w:val="p1"/>
    <w:basedOn w:val="Normal"/>
    <w:rsid w:val="003E1C3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E1C3E"/>
  </w:style>
  <w:style w:type="paragraph" w:styleId="Header">
    <w:name w:val="header"/>
    <w:basedOn w:val="Normal"/>
    <w:link w:val="HeaderChar"/>
    <w:uiPriority w:val="99"/>
    <w:unhideWhenUsed/>
    <w:rsid w:val="00353D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DB8"/>
    <w:rPr>
      <w:rFonts w:eastAsiaTheme="minorEastAsia"/>
      <w:lang w:eastAsia="en-GB"/>
    </w:rPr>
  </w:style>
  <w:style w:type="paragraph" w:styleId="Footer">
    <w:name w:val="footer"/>
    <w:basedOn w:val="Normal"/>
    <w:link w:val="FooterChar"/>
    <w:uiPriority w:val="99"/>
    <w:unhideWhenUsed/>
    <w:rsid w:val="00353D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DB8"/>
    <w:rPr>
      <w:rFonts w:eastAsiaTheme="minorEastAsia"/>
      <w:lang w:eastAsia="en-GB"/>
    </w:rPr>
  </w:style>
  <w:style w:type="table" w:styleId="TableGrid">
    <w:name w:val="Table Grid"/>
    <w:basedOn w:val="TableNormal"/>
    <w:uiPriority w:val="39"/>
    <w:rsid w:val="00C16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5CEE"/>
    <w:rPr>
      <w:rFonts w:ascii="Times New Roman" w:hAnsi="Times New Roman" w:cs="Times New Roman"/>
    </w:rPr>
  </w:style>
  <w:style w:type="character" w:styleId="Hyperlink">
    <w:name w:val="Hyperlink"/>
    <w:basedOn w:val="DefaultParagraphFont"/>
    <w:uiPriority w:val="99"/>
    <w:unhideWhenUsed/>
    <w:rsid w:val="00D63E8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9/BJGPO.2023.0057" TargetMode="External"/><Relationship Id="rId18" Type="http://schemas.openxmlformats.org/officeDocument/2006/relationships/hyperlink" Target="https://doi.org/10.1136/bmjopen-2021-053327" TargetMode="External"/><Relationship Id="rId26" Type="http://schemas.openxmlformats.org/officeDocument/2006/relationships/hyperlink" Target="https://www.england.nhs.uk/long-read/the-national-context-for-digital-primary-care/?utm_source=chatgpt.com" TargetMode="External"/><Relationship Id="rId3" Type="http://schemas.openxmlformats.org/officeDocument/2006/relationships/settings" Target="settings.xml"/><Relationship Id="rId21" Type="http://schemas.openxmlformats.org/officeDocument/2006/relationships/hyperlink" Target="https://doi.org/10.1186/s12910-023-00933-4" TargetMode="External"/><Relationship Id="rId34" Type="http://schemas.openxmlformats.org/officeDocument/2006/relationships/header" Target="header1.xml"/><Relationship Id="rId7" Type="http://schemas.openxmlformats.org/officeDocument/2006/relationships/hyperlink" Target="https://doi.org/10.3390/asi7060116" TargetMode="External"/><Relationship Id="rId12" Type="http://schemas.openxmlformats.org/officeDocument/2006/relationships/hyperlink" Target="https://www.gov.uk/government/publications/the-caldicott-principles?utm_source=chatgpt.com" TargetMode="External"/><Relationship Id="rId17" Type="http://schemas.openxmlformats.org/officeDocument/2006/relationships/hyperlink" Target="https://www.parliament.uk/pa/cm5803/cmselect/cmhealth/223/report.html" TargetMode="External"/><Relationship Id="rId25" Type="http://schemas.openxmlformats.org/officeDocument/2006/relationships/hyperlink" Target="https://www.longtermplan.nhs.uk" TargetMode="External"/><Relationship Id="rId33" Type="http://schemas.openxmlformats.org/officeDocument/2006/relationships/hyperlink" Target="https://doi.org/10.1016/S2589-7500(23)00157-7" TargetMode="External"/><Relationship Id="rId2" Type="http://schemas.openxmlformats.org/officeDocument/2006/relationships/styles" Target="styles.xml"/><Relationship Id="rId16" Type="http://schemas.openxmlformats.org/officeDocument/2006/relationships/hyperlink" Target="https://www.legislation.gov.uk/ukpga/2018/12/contents/enacted" TargetMode="External"/><Relationship Id="rId20" Type="http://schemas.openxmlformats.org/officeDocument/2006/relationships/hyperlink" Target="https://doi.org/10.56294/mw2024498" TargetMode="External"/><Relationship Id="rId29" Type="http://schemas.openxmlformats.org/officeDocument/2006/relationships/hyperlink" Target="https://doi.org/10.1145/36501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0552076251343959" TargetMode="External"/><Relationship Id="rId24" Type="http://schemas.openxmlformats.org/officeDocument/2006/relationships/hyperlink" Target="https://www.gov.uk/government/publications/national-data-guardian-2023-2024-report/national-data-guardian-2023-2024-report?utm_source=chatgpt.com" TargetMode="External"/><Relationship Id="rId32" Type="http://schemas.openxmlformats.org/officeDocument/2006/relationships/hyperlink" Target="https://doi.org/10.1136/bmjopen-2019-031637" TargetMode="External"/><Relationship Id="rId5" Type="http://schemas.openxmlformats.org/officeDocument/2006/relationships/footnotes" Target="footnotes.xml"/><Relationship Id="rId15" Type="http://schemas.openxmlformats.org/officeDocument/2006/relationships/hyperlink" Target="https://doi.org/10.1038/s41746-019-0161-6" TargetMode="External"/><Relationship Id="rId23" Type="http://schemas.openxmlformats.org/officeDocument/2006/relationships/hyperlink" Target="https://doi.org/10.1109/access.2024.3410035" TargetMode="External"/><Relationship Id="rId28" Type="http://schemas.openxmlformats.org/officeDocument/2006/relationships/hyperlink" Target="https://doi.org/10.1136/bmjqs-2022-015551" TargetMode="External"/><Relationship Id="rId36" Type="http://schemas.openxmlformats.org/officeDocument/2006/relationships/theme" Target="theme/theme1.xml"/><Relationship Id="rId10" Type="http://schemas.openxmlformats.org/officeDocument/2006/relationships/hyperlink" Target="https://doi.org/10.1080/1364557032000119616" TargetMode="External"/><Relationship Id="rId19" Type="http://schemas.openxmlformats.org/officeDocument/2006/relationships/hyperlink" Target="https://doi.org/10.1177/09702385241233073" TargetMode="External"/><Relationship Id="rId31" Type="http://schemas.openxmlformats.org/officeDocument/2006/relationships/hyperlink" Target="https://www.legislation.gov.uk/ukpga/2015/28/contents/enacted" TargetMode="External"/><Relationship Id="rId4" Type="http://schemas.openxmlformats.org/officeDocument/2006/relationships/webSettings" Target="webSettings.xml"/><Relationship Id="rId9" Type="http://schemas.openxmlformats.org/officeDocument/2006/relationships/hyperlink" Target="https://doi.org/10.52783/pst.1001" TargetMode="External"/><Relationship Id="rId14" Type="http://schemas.openxmlformats.org/officeDocument/2006/relationships/hyperlink" Target="https://eur-lex.europa.eu/eli/reg/2016/679/oj" TargetMode="External"/><Relationship Id="rId22" Type="http://schemas.openxmlformats.org/officeDocument/2006/relationships/hyperlink" Target="https://doi.org/10.1186/s12910-024-01091-3" TargetMode="External"/><Relationship Id="rId27" Type="http://schemas.openxmlformats.org/officeDocument/2006/relationships/hyperlink" Target="https://doi.org/10.1016/j.fhj.2024.100168" TargetMode="External"/><Relationship Id="rId30" Type="http://schemas.openxmlformats.org/officeDocument/2006/relationships/hyperlink" Target="https://doi.org/10.1177/2055207615605644" TargetMode="External"/><Relationship Id="rId35" Type="http://schemas.openxmlformats.org/officeDocument/2006/relationships/fontTable" Target="fontTable.xml"/><Relationship Id="rId8" Type="http://schemas.openxmlformats.org/officeDocument/2006/relationships/hyperlink" Target="https://doi.org/10.3390/s23073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2253</TotalTime>
  <Pages>20</Pages>
  <Words>5684</Words>
  <Characters>34905</Characters>
  <Application>Microsoft Office Word</Application>
  <DocSecurity>0</DocSecurity>
  <Lines>851</Lines>
  <Paragraphs>296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Title</vt:lpstr>
    </vt:vector>
  </TitlesOfParts>
  <Company/>
  <LinksUpToDate>false</LinksUpToDate>
  <CharactersWithSpaces>40293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1040 G7</dc:creator>
  <cp:keywords/>
  <dc:description/>
  <cp:lastModifiedBy>Olufemi Idowu Afolabi Odubitan (2321211)</cp:lastModifiedBy>
  <cp:revision>587</cp:revision>
  <dcterms:created xsi:type="dcterms:W3CDTF">2025-11-06T06:46:00Z</dcterms:created>
  <dcterms:modified xsi:type="dcterms:W3CDTF">2025-11-13T22:10:00Z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c6c23181-c4d0-4ba4-bf15-98090207bc70</vt:lpwstr>
  </property>
</Properties>
</file>