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B9953" w14:textId="77777777" w:rsidR="00530918" w:rsidRPr="001F3849" w:rsidRDefault="00530918" w:rsidP="001F3849">
      <w:pPr>
        <w:spacing w:before="100" w:beforeAutospacing="1" w:after="100" w:afterAutospacing="1" w:line="360" w:lineRule="auto"/>
        <w:outlineLvl w:val="1"/>
        <w:rPr>
          <w:rFonts w:eastAsia="Times New Roman"/>
          <w:b/>
          <w:bCs/>
          <w:sz w:val="24"/>
          <w:szCs w:val="24"/>
        </w:rPr>
      </w:pPr>
      <w:r w:rsidRPr="001F3849">
        <w:rPr>
          <w:rFonts w:eastAsia="Times New Roman"/>
          <w:b/>
          <w:bCs/>
          <w:sz w:val="24"/>
          <w:szCs w:val="24"/>
        </w:rPr>
        <w:t>Chapter 1: Introduction</w:t>
      </w:r>
    </w:p>
    <w:p w14:paraId="1F25D913"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Immigration is one of the most significant and contested forces shaping the contemporary United Kingdom. Over the past century, the UK has experienced several distinct waves of migration, beginning with post-war arrivals from the Commonwealth, followed by more recent movements from the European Union, Africa, Asia, and beyond. This complex history has resulted in a diverse and dynamic population landscape, particularly in urban centres. London, as the UK’s capital and global city, stands at the forefront of these demographic shifts, serving as both a destination and a point of transition for migrants from across the globe. Within London, East London has emerged as a microcosm of these broader processes, exemplifying the convergence of intense cultural diversity and pronounced socioeconomic deprivation.</w:t>
      </w:r>
    </w:p>
    <w:p w14:paraId="0A05722A" w14:textId="10CFB340"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The boroughs of Newham and Tower Hamlets are particularly illustrative. According to the 2021 Census, Newham reported the highest proportion of non-UK-born residents in England and Wales at 52.8%, while Tower Hamlets was ranked as the second most deprived local authority nationwide (ONS, 2021; MHCLG, 2019). These statistics are not simply numbers; they represent the lived experiences of thousands of individuals and families negotiating the challenges and opportunities of migration. The intersection of super-diversity</w:t>
      </w:r>
      <w:r w:rsidR="00260AD7" w:rsidRPr="001F3849">
        <w:rPr>
          <w:rFonts w:eastAsia="Times New Roman"/>
          <w:sz w:val="24"/>
          <w:szCs w:val="24"/>
        </w:rPr>
        <w:t xml:space="preserve"> </w:t>
      </w:r>
      <w:r w:rsidRPr="001F3849">
        <w:rPr>
          <w:rFonts w:eastAsia="Times New Roman"/>
          <w:sz w:val="24"/>
          <w:szCs w:val="24"/>
        </w:rPr>
        <w:t>characterised by a multiplicity of ethnicities, languages, religions, and migration trajectories (</w:t>
      </w:r>
      <w:proofErr w:type="spellStart"/>
      <w:r w:rsidRPr="001F3849">
        <w:rPr>
          <w:rFonts w:eastAsia="Times New Roman"/>
          <w:sz w:val="24"/>
          <w:szCs w:val="24"/>
        </w:rPr>
        <w:t>Vertovec</w:t>
      </w:r>
      <w:proofErr w:type="spellEnd"/>
      <w:r w:rsidRPr="001F3849">
        <w:rPr>
          <w:rFonts w:eastAsia="Times New Roman"/>
          <w:sz w:val="24"/>
          <w:szCs w:val="24"/>
        </w:rPr>
        <w:t>, 2007)</w:t>
      </w:r>
      <w:r w:rsidR="00EC6F00" w:rsidRPr="001F3849">
        <w:rPr>
          <w:rFonts w:eastAsia="Times New Roman"/>
          <w:sz w:val="24"/>
          <w:szCs w:val="24"/>
        </w:rPr>
        <w:t>, with persistent poverty, exclusion, and health inequalities,</w:t>
      </w:r>
      <w:r w:rsidRPr="001F3849">
        <w:rPr>
          <w:rFonts w:eastAsia="Times New Roman"/>
          <w:sz w:val="24"/>
          <w:szCs w:val="24"/>
        </w:rPr>
        <w:t xml:space="preserve"> renders East London a critical site for understanding the relationship between migration, ethnicity, and health in twenty-first-century Britain.</w:t>
      </w:r>
    </w:p>
    <w:p w14:paraId="0DF97AF2" w14:textId="77777777" w:rsidR="0053091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1.1 Background and Context</w:t>
      </w:r>
    </w:p>
    <w:p w14:paraId="4923C2A9" w14:textId="7708D05F" w:rsidR="00255314" w:rsidRPr="001F3849" w:rsidRDefault="00255314"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Demographic Complexity and Super-diversity</w:t>
      </w:r>
    </w:p>
    <w:p w14:paraId="2A00FC1E" w14:textId="793C2E7B" w:rsidR="00255314" w:rsidRPr="001F3849" w:rsidRDefault="00255314" w:rsidP="001F3849">
      <w:pPr>
        <w:spacing w:before="100" w:beforeAutospacing="1" w:after="100" w:afterAutospacing="1" w:line="360" w:lineRule="auto"/>
        <w:rPr>
          <w:rFonts w:eastAsia="Times New Roman"/>
          <w:sz w:val="24"/>
          <w:szCs w:val="24"/>
        </w:rPr>
      </w:pPr>
      <w:r w:rsidRPr="001F3849">
        <w:rPr>
          <w:rFonts w:eastAsia="Times New Roman"/>
          <w:sz w:val="24"/>
          <w:szCs w:val="24"/>
        </w:rPr>
        <w:t>London is widely recognised as the most ethnically and culturally diverse city in the United Kingdom, with migration driving much of this plurality. According to the 2021 Census, over 40% of London residents were born outside the UK, a proportion that rises even higher in several East London boroughs. Newham, for instance, recorded 52.8% of its population as foreign-born</w:t>
      </w:r>
      <w:r w:rsidR="00B731D1" w:rsidRPr="001F3849">
        <w:rPr>
          <w:rFonts w:eastAsia="Times New Roman"/>
          <w:sz w:val="24"/>
          <w:szCs w:val="24"/>
        </w:rPr>
        <w:t xml:space="preserve"> </w:t>
      </w:r>
      <w:r w:rsidRPr="001F3849">
        <w:rPr>
          <w:rFonts w:eastAsia="Times New Roman"/>
          <w:sz w:val="24"/>
          <w:szCs w:val="24"/>
        </w:rPr>
        <w:t>the highest in England and Wales</w:t>
      </w:r>
      <w:r w:rsidR="00B731D1" w:rsidRPr="001F3849">
        <w:rPr>
          <w:rFonts w:eastAsia="Times New Roman"/>
          <w:sz w:val="24"/>
          <w:szCs w:val="24"/>
        </w:rPr>
        <w:t xml:space="preserve"> </w:t>
      </w:r>
      <w:r w:rsidRPr="001F3849">
        <w:rPr>
          <w:rFonts w:eastAsia="Times New Roman"/>
          <w:sz w:val="24"/>
          <w:szCs w:val="24"/>
        </w:rPr>
        <w:t xml:space="preserve">while Tower </w:t>
      </w:r>
      <w:r w:rsidRPr="001F3849">
        <w:rPr>
          <w:rFonts w:eastAsia="Times New Roman"/>
          <w:sz w:val="24"/>
          <w:szCs w:val="24"/>
        </w:rPr>
        <w:lastRenderedPageBreak/>
        <w:t>Hamlets and Redbridge also reported foreign-born populations exceeding 44% (ONS, 2021). The ethnic composition of these boroughs is similarly remarkable: in Newham, 71% of residents identify as belonging to a minority ethnic background, and Tower Hamlets is home to the largest Bangladeshi-origin community in the country, with over half of its residents of Bangladeshi descent (Tower Hamlets Council, 2022). This super-diversity is reflected not only in ethnicity and language but also in migration histories, visa statuses, and socioeconomic backgrounds, making East London an exemplary setting for studying the intersections of migration, ethnicity, and health</w:t>
      </w:r>
    </w:p>
    <w:p w14:paraId="36EE468B" w14:textId="6EC5815F"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East London’s demographic complexity cannot be overstated. The region has a </w:t>
      </w:r>
      <w:r w:rsidR="00EC6F00" w:rsidRPr="001F3849">
        <w:rPr>
          <w:rFonts w:eastAsia="Times New Roman"/>
          <w:sz w:val="24"/>
          <w:szCs w:val="24"/>
        </w:rPr>
        <w:t>long history of welcoming newcomers, from Irish and Jewish migrants in the nineteenth and early twentieth centuries to Caribbean, South Asian, African, and, most recently,</w:t>
      </w:r>
      <w:r w:rsidRPr="001F3849">
        <w:rPr>
          <w:rFonts w:eastAsia="Times New Roman"/>
          <w:sz w:val="24"/>
          <w:szCs w:val="24"/>
        </w:rPr>
        <w:t xml:space="preserve"> Eastern European and Middle Eastern arrivals. This layering of migration histories has created a social fabric marked by both resilience and tension. Today, Newham, Tower Hamlets, Hackney, Barking and Dagenham, and Waltham Forest are home to an extraordinary array of communities, each with distinct migration pathways, visa statuses, educational and employment backgrounds, and linguistic repertoires.</w:t>
      </w:r>
    </w:p>
    <w:p w14:paraId="6E1517E9" w14:textId="1347CBBE"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This diversity is accompanied by structural challenges. East London’s boroughs consistently rank among the most deprived in England according to multiple measures, including income, employment, housing, health, and education (IMD, 2019; Public Health England, 2023). For example, Newham has an overcrowding rate of 18.7%</w:t>
      </w:r>
      <w:r w:rsidR="00EC6F00" w:rsidRPr="001F3849">
        <w:rPr>
          <w:rFonts w:eastAsia="Times New Roman"/>
          <w:sz w:val="24"/>
          <w:szCs w:val="24"/>
        </w:rPr>
        <w:t xml:space="preserve"> </w:t>
      </w:r>
      <w:r w:rsidRPr="001F3849">
        <w:rPr>
          <w:rFonts w:eastAsia="Times New Roman"/>
          <w:sz w:val="24"/>
          <w:szCs w:val="24"/>
        </w:rPr>
        <w:t>over four times the England average</w:t>
      </w:r>
      <w:r w:rsidR="00EC6F00" w:rsidRPr="001F3849">
        <w:rPr>
          <w:rFonts w:eastAsia="Times New Roman"/>
          <w:sz w:val="24"/>
          <w:szCs w:val="24"/>
        </w:rPr>
        <w:t xml:space="preserve"> </w:t>
      </w:r>
      <w:r w:rsidRPr="001F3849">
        <w:rPr>
          <w:rFonts w:eastAsia="Times New Roman"/>
          <w:sz w:val="24"/>
          <w:szCs w:val="24"/>
        </w:rPr>
        <w:t>while Tower Hamlets experiences high rates of in-work poverty and long-term health conditions. These forms of deprivation are not evenly distributed; they disproportionately affect migrants, particularly those with insecure or temporary immigration status, limited English proficiency, and restricted access to public services. The region’s complex and dynamic demography thus provides a unique vantage point for examining how immigration status and related policies shape health outcomes.</w:t>
      </w:r>
    </w:p>
    <w:p w14:paraId="3A43488C"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The UK’s immigration system has undergone significant changes in recent decades, most notably with the introduction of the “hostile environment” policy framework, the tightening of visa requirements, and the impact of Brexit on EU nationals. These policies have profound implications for migrants’ rights, entitlements, and day-to-day experiences, including access to healthcare, employment, social support, and legal protection. The COVID-19 pandemic further exposed and exacerbated these structural inequalities, with migrants often occupying frontline, precarious, or informal jobs while facing heightened risks of infection, financial instability, and social isolation.</w:t>
      </w:r>
    </w:p>
    <w:p w14:paraId="4242E2EC" w14:textId="77777777" w:rsidR="0053091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1.2 Key Concepts and Definitions</w:t>
      </w:r>
    </w:p>
    <w:p w14:paraId="1B085D31"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To establish conceptual clarity, this study distinguishes between several key terms:</w:t>
      </w:r>
    </w:p>
    <w:p w14:paraId="2AEBD208" w14:textId="77777777" w:rsidR="00530918" w:rsidRPr="001F3849" w:rsidRDefault="00530918" w:rsidP="001F3849">
      <w:pPr>
        <w:numPr>
          <w:ilvl w:val="0"/>
          <w:numId w:val="3"/>
        </w:numPr>
        <w:spacing w:before="100" w:beforeAutospacing="1" w:after="100" w:afterAutospacing="1" w:line="360" w:lineRule="auto"/>
        <w:rPr>
          <w:rFonts w:eastAsia="Times New Roman"/>
          <w:sz w:val="24"/>
          <w:szCs w:val="24"/>
        </w:rPr>
      </w:pPr>
      <w:r w:rsidRPr="001F3849">
        <w:rPr>
          <w:rFonts w:eastAsia="Times New Roman"/>
          <w:b/>
          <w:bCs/>
          <w:sz w:val="24"/>
          <w:szCs w:val="24"/>
        </w:rPr>
        <w:t>Migration</w:t>
      </w:r>
      <w:r w:rsidRPr="001F3849">
        <w:rPr>
          <w:rFonts w:eastAsia="Times New Roman"/>
          <w:sz w:val="24"/>
          <w:szCs w:val="24"/>
        </w:rPr>
        <w:t xml:space="preserve"> refers to the movement of people across geographical boundaries for residence, work, or safety (Castles, de Haas &amp; Miller, 2019).</w:t>
      </w:r>
    </w:p>
    <w:p w14:paraId="33E53D58" w14:textId="77777777" w:rsidR="00530918" w:rsidRPr="001F3849" w:rsidRDefault="00530918" w:rsidP="001F3849">
      <w:pPr>
        <w:numPr>
          <w:ilvl w:val="0"/>
          <w:numId w:val="3"/>
        </w:numPr>
        <w:spacing w:before="100" w:beforeAutospacing="1" w:after="100" w:afterAutospacing="1" w:line="360" w:lineRule="auto"/>
        <w:rPr>
          <w:rFonts w:eastAsia="Times New Roman"/>
          <w:sz w:val="24"/>
          <w:szCs w:val="24"/>
        </w:rPr>
      </w:pPr>
      <w:r w:rsidRPr="001F3849">
        <w:rPr>
          <w:rFonts w:eastAsia="Times New Roman"/>
          <w:b/>
          <w:bCs/>
          <w:sz w:val="24"/>
          <w:szCs w:val="24"/>
        </w:rPr>
        <w:t>Immigration</w:t>
      </w:r>
      <w:r w:rsidRPr="001F3849">
        <w:rPr>
          <w:rFonts w:eastAsia="Times New Roman"/>
          <w:sz w:val="24"/>
          <w:szCs w:val="24"/>
        </w:rPr>
        <w:t xml:space="preserve"> denotes entry into a new country with the intention of settling, whether temporarily or permanently.</w:t>
      </w:r>
    </w:p>
    <w:p w14:paraId="7C6F3AE6" w14:textId="77777777" w:rsidR="00530918" w:rsidRPr="001F3849" w:rsidRDefault="00530918" w:rsidP="001F3849">
      <w:pPr>
        <w:numPr>
          <w:ilvl w:val="0"/>
          <w:numId w:val="3"/>
        </w:numPr>
        <w:spacing w:before="100" w:beforeAutospacing="1" w:after="100" w:afterAutospacing="1" w:line="360" w:lineRule="auto"/>
        <w:rPr>
          <w:rFonts w:eastAsia="Times New Roman"/>
          <w:sz w:val="24"/>
          <w:szCs w:val="24"/>
        </w:rPr>
      </w:pPr>
      <w:r w:rsidRPr="001F3849">
        <w:rPr>
          <w:rFonts w:eastAsia="Times New Roman"/>
          <w:b/>
          <w:bCs/>
          <w:sz w:val="24"/>
          <w:szCs w:val="24"/>
        </w:rPr>
        <w:t>Immigration status</w:t>
      </w:r>
      <w:r w:rsidRPr="001F3849">
        <w:rPr>
          <w:rFonts w:eastAsia="Times New Roman"/>
          <w:sz w:val="24"/>
          <w:szCs w:val="24"/>
        </w:rPr>
        <w:t xml:space="preserve"> is the legal category assigned to a migrant by the state, including work visas, student visas, dependent visas, humanitarian protection, asylum seeker status, refugee status, indefinite leave to remain, and undocumented residence. This status determines rights and entitlements, such as the ability to work, claim benefits, access healthcare, and remain in the country.</w:t>
      </w:r>
    </w:p>
    <w:p w14:paraId="523372E7" w14:textId="77777777" w:rsidR="00530918" w:rsidRPr="001F3849" w:rsidRDefault="00530918" w:rsidP="001F3849">
      <w:pPr>
        <w:numPr>
          <w:ilvl w:val="0"/>
          <w:numId w:val="3"/>
        </w:numPr>
        <w:spacing w:before="100" w:beforeAutospacing="1" w:after="100" w:afterAutospacing="1" w:line="360" w:lineRule="auto"/>
        <w:rPr>
          <w:rFonts w:eastAsia="Times New Roman"/>
          <w:sz w:val="24"/>
          <w:szCs w:val="24"/>
        </w:rPr>
      </w:pPr>
      <w:r w:rsidRPr="001F3849">
        <w:rPr>
          <w:rFonts w:eastAsia="Times New Roman"/>
          <w:b/>
          <w:bCs/>
          <w:sz w:val="24"/>
          <w:szCs w:val="24"/>
        </w:rPr>
        <w:t>BAME (Black, Asian, and Minority Ethnic)</w:t>
      </w:r>
      <w:r w:rsidRPr="001F3849">
        <w:rPr>
          <w:rFonts w:eastAsia="Times New Roman"/>
          <w:sz w:val="24"/>
          <w:szCs w:val="24"/>
        </w:rPr>
        <w:t xml:space="preserve"> is a widely used, though contested, umbrella term for non-white minority groups in the UK. Critics argue that BAME oversimplifies and homogenises diverse identities and experiences, often erasing meaningful distinctions (Byrne et al., 2020). However, its continued use is pragmatic for engaging with policy, data, and public discourse, while this research aims to centre individual and community-level specificity wherever possible.</w:t>
      </w:r>
    </w:p>
    <w:p w14:paraId="1ACBF0BF" w14:textId="0E15B081" w:rsidR="00530918" w:rsidRPr="001F3849" w:rsidRDefault="00530918" w:rsidP="001F3849">
      <w:pPr>
        <w:numPr>
          <w:ilvl w:val="0"/>
          <w:numId w:val="3"/>
        </w:numPr>
        <w:spacing w:before="100" w:beforeAutospacing="1" w:after="100" w:afterAutospacing="1" w:line="360" w:lineRule="auto"/>
        <w:rPr>
          <w:rFonts w:eastAsia="Times New Roman"/>
          <w:sz w:val="24"/>
          <w:szCs w:val="24"/>
        </w:rPr>
      </w:pPr>
      <w:r w:rsidRPr="001F3849">
        <w:rPr>
          <w:rFonts w:eastAsia="Times New Roman"/>
          <w:b/>
          <w:bCs/>
          <w:sz w:val="24"/>
          <w:szCs w:val="24"/>
        </w:rPr>
        <w:t>Adult migrants from BAME backgrounds</w:t>
      </w:r>
      <w:r w:rsidRPr="001F3849">
        <w:rPr>
          <w:rFonts w:eastAsia="Times New Roman"/>
          <w:sz w:val="24"/>
          <w:szCs w:val="24"/>
        </w:rPr>
        <w:t xml:space="preserve"> </w:t>
      </w:r>
      <w:r w:rsidR="00B731D1" w:rsidRPr="001F3849">
        <w:rPr>
          <w:rFonts w:eastAsia="Times New Roman"/>
          <w:sz w:val="24"/>
          <w:szCs w:val="24"/>
        </w:rPr>
        <w:t>distinguish</w:t>
      </w:r>
      <w:r w:rsidRPr="001F3849">
        <w:rPr>
          <w:rFonts w:eastAsia="Times New Roman"/>
          <w:sz w:val="24"/>
          <w:szCs w:val="24"/>
        </w:rPr>
        <w:t xml:space="preserve"> non-UK-born individuals from racialised minority groups, as opposed to UK-born BAME individuals who, while experiencing racism, do not face the legal precarity associated with migrant status.</w:t>
      </w:r>
    </w:p>
    <w:p w14:paraId="1CDF8749" w14:textId="77777777" w:rsidR="0053091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1.3 Theoretical Framework: Social Determinants of Health and Beyond</w:t>
      </w:r>
    </w:p>
    <w:p w14:paraId="4655C254"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The conceptualisation of health in this dissertation is grounded in the Social Determinants of Health (SDH) framework, which posits that health outcomes are shaped by the broader structural, economic, and social conditions in which people live, work, and age (WHO, 2021; Marmot et al., 2020). Immigration status interacts with nearly all SDH domains:</w:t>
      </w:r>
    </w:p>
    <w:p w14:paraId="630CDCF1" w14:textId="77777777" w:rsidR="00530918" w:rsidRPr="001F3849" w:rsidRDefault="00530918" w:rsidP="001F3849">
      <w:pPr>
        <w:numPr>
          <w:ilvl w:val="0"/>
          <w:numId w:val="4"/>
        </w:numPr>
        <w:spacing w:before="100" w:beforeAutospacing="1" w:after="100" w:afterAutospacing="1" w:line="360" w:lineRule="auto"/>
        <w:rPr>
          <w:rFonts w:eastAsia="Times New Roman"/>
          <w:sz w:val="24"/>
          <w:szCs w:val="24"/>
        </w:rPr>
      </w:pPr>
      <w:r w:rsidRPr="001F3849">
        <w:rPr>
          <w:rFonts w:eastAsia="Times New Roman"/>
          <w:b/>
          <w:bCs/>
          <w:sz w:val="24"/>
          <w:szCs w:val="24"/>
        </w:rPr>
        <w:t>Housing:</w:t>
      </w:r>
      <w:r w:rsidRPr="001F3849">
        <w:rPr>
          <w:rFonts w:eastAsia="Times New Roman"/>
          <w:sz w:val="24"/>
          <w:szCs w:val="24"/>
        </w:rPr>
        <w:t xml:space="preserve"> Temporary visa holders and undocumented migrants are often confined to overcrowded, substandard, or informal accommodation due to legal and financial barriers. In Newham, for example, overcrowding and housing insecurity are acute problems (ONS, 2021).</w:t>
      </w:r>
    </w:p>
    <w:p w14:paraId="7F84EDE0" w14:textId="77777777" w:rsidR="00530918" w:rsidRPr="001F3849" w:rsidRDefault="00530918" w:rsidP="001F3849">
      <w:pPr>
        <w:numPr>
          <w:ilvl w:val="0"/>
          <w:numId w:val="4"/>
        </w:numPr>
        <w:spacing w:before="100" w:beforeAutospacing="1" w:after="100" w:afterAutospacing="1" w:line="360" w:lineRule="auto"/>
        <w:rPr>
          <w:rFonts w:eastAsia="Times New Roman"/>
          <w:sz w:val="24"/>
          <w:szCs w:val="24"/>
        </w:rPr>
      </w:pPr>
      <w:r w:rsidRPr="001F3849">
        <w:rPr>
          <w:rFonts w:eastAsia="Times New Roman"/>
          <w:b/>
          <w:bCs/>
          <w:sz w:val="24"/>
          <w:szCs w:val="24"/>
        </w:rPr>
        <w:t>Employment:</w:t>
      </w:r>
      <w:r w:rsidRPr="001F3849">
        <w:rPr>
          <w:rFonts w:eastAsia="Times New Roman"/>
          <w:sz w:val="24"/>
          <w:szCs w:val="24"/>
        </w:rPr>
        <w:t xml:space="preserve"> Migrants with restricted status are frequently channelled into low-wage, insecure, and physically demanding jobs, often without the protections afforded to citizens (Jayaweera, 2019).</w:t>
      </w:r>
    </w:p>
    <w:p w14:paraId="29A6B2E5" w14:textId="77777777" w:rsidR="00530918" w:rsidRPr="001F3849" w:rsidRDefault="00530918" w:rsidP="001F3849">
      <w:pPr>
        <w:numPr>
          <w:ilvl w:val="0"/>
          <w:numId w:val="4"/>
        </w:numPr>
        <w:spacing w:before="100" w:beforeAutospacing="1" w:after="100" w:afterAutospacing="1" w:line="360" w:lineRule="auto"/>
        <w:rPr>
          <w:rFonts w:eastAsia="Times New Roman"/>
          <w:sz w:val="24"/>
          <w:szCs w:val="24"/>
        </w:rPr>
      </w:pPr>
      <w:r w:rsidRPr="001F3849">
        <w:rPr>
          <w:rFonts w:eastAsia="Times New Roman"/>
          <w:b/>
          <w:bCs/>
          <w:sz w:val="24"/>
          <w:szCs w:val="24"/>
        </w:rPr>
        <w:t>Income:</w:t>
      </w:r>
      <w:r w:rsidRPr="001F3849">
        <w:rPr>
          <w:rFonts w:eastAsia="Times New Roman"/>
          <w:sz w:val="24"/>
          <w:szCs w:val="24"/>
        </w:rPr>
        <w:t xml:space="preserve"> Visa renewal fees, legal costs, and limited entitlement to public funds produce chronic financial strain, affecting household stability and mental health (Hiam et al., 2018).</w:t>
      </w:r>
    </w:p>
    <w:p w14:paraId="7B29D33B" w14:textId="77777777" w:rsidR="00530918" w:rsidRPr="001F3849" w:rsidRDefault="00530918" w:rsidP="001F3849">
      <w:pPr>
        <w:numPr>
          <w:ilvl w:val="0"/>
          <w:numId w:val="4"/>
        </w:numPr>
        <w:spacing w:before="100" w:beforeAutospacing="1" w:after="100" w:afterAutospacing="1" w:line="360" w:lineRule="auto"/>
        <w:rPr>
          <w:rFonts w:eastAsia="Times New Roman"/>
          <w:sz w:val="24"/>
          <w:szCs w:val="24"/>
        </w:rPr>
      </w:pPr>
      <w:r w:rsidRPr="001F3849">
        <w:rPr>
          <w:rFonts w:eastAsia="Times New Roman"/>
          <w:b/>
          <w:bCs/>
          <w:sz w:val="24"/>
          <w:szCs w:val="24"/>
        </w:rPr>
        <w:t>Healthcare Access:</w:t>
      </w:r>
      <w:r w:rsidRPr="001F3849">
        <w:rPr>
          <w:rFonts w:eastAsia="Times New Roman"/>
          <w:sz w:val="24"/>
          <w:szCs w:val="24"/>
        </w:rPr>
        <w:t xml:space="preserve"> Eligibility restrictions, fear of data sharing with immigration enforcement, and previous negative encounters with institutions contribute to care avoidance or delay (Doctors of the World, 2017; Morris, 2021).</w:t>
      </w:r>
    </w:p>
    <w:p w14:paraId="0E9968AF" w14:textId="77777777" w:rsidR="00530918" w:rsidRPr="001F3849" w:rsidRDefault="00530918" w:rsidP="001F3849">
      <w:pPr>
        <w:numPr>
          <w:ilvl w:val="0"/>
          <w:numId w:val="4"/>
        </w:numPr>
        <w:spacing w:before="100" w:beforeAutospacing="1" w:after="100" w:afterAutospacing="1" w:line="360" w:lineRule="auto"/>
        <w:rPr>
          <w:rFonts w:eastAsia="Times New Roman"/>
          <w:sz w:val="24"/>
          <w:szCs w:val="24"/>
        </w:rPr>
      </w:pPr>
      <w:r w:rsidRPr="001F3849">
        <w:rPr>
          <w:rFonts w:eastAsia="Times New Roman"/>
          <w:b/>
          <w:bCs/>
          <w:sz w:val="24"/>
          <w:szCs w:val="24"/>
        </w:rPr>
        <w:t>Psychosocial Stress:</w:t>
      </w:r>
      <w:r w:rsidRPr="001F3849">
        <w:rPr>
          <w:rFonts w:eastAsia="Times New Roman"/>
          <w:sz w:val="24"/>
          <w:szCs w:val="24"/>
        </w:rPr>
        <w:t xml:space="preserve"> The constant threat of removal, prolonged uncertainty, and everyday discrimination generate chronic psychological stress, a key driver of adverse health outcomes (Hansen, 2019; McEwen, 2004).</w:t>
      </w:r>
    </w:p>
    <w:p w14:paraId="2E51CAEE"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 SDH framework is complemented by interpretivist and social constructionist perspectives. </w:t>
      </w:r>
      <w:r w:rsidRPr="001F3849">
        <w:rPr>
          <w:rFonts w:eastAsia="Times New Roman"/>
          <w:b/>
          <w:bCs/>
          <w:sz w:val="24"/>
          <w:szCs w:val="24"/>
        </w:rPr>
        <w:t>Interpretivism</w:t>
      </w:r>
      <w:r w:rsidRPr="001F3849">
        <w:rPr>
          <w:rFonts w:eastAsia="Times New Roman"/>
          <w:sz w:val="24"/>
          <w:szCs w:val="24"/>
        </w:rPr>
        <w:t xml:space="preserve"> prioritises the subjective meanings individuals assign to their experiences, making it ideal for examining how migrants perceive and articulate the impact of legal precarity on their health (Bryman, 2016). </w:t>
      </w:r>
      <w:r w:rsidRPr="001F3849">
        <w:rPr>
          <w:rFonts w:eastAsia="Times New Roman"/>
          <w:b/>
          <w:bCs/>
          <w:sz w:val="24"/>
          <w:szCs w:val="24"/>
        </w:rPr>
        <w:t>Social constructionism</w:t>
      </w:r>
      <w:r w:rsidRPr="001F3849">
        <w:rPr>
          <w:rFonts w:eastAsia="Times New Roman"/>
          <w:sz w:val="24"/>
          <w:szCs w:val="24"/>
        </w:rPr>
        <w:t xml:space="preserve"> underscores how categories such as “migrant” or “BAME” are produced and reproduced through institutional and policy practices, shaping both identity and access to resources (Burr, 2015). In addition, concepts of </w:t>
      </w:r>
      <w:r w:rsidRPr="001F3849">
        <w:rPr>
          <w:rFonts w:eastAsia="Times New Roman"/>
          <w:b/>
          <w:bCs/>
          <w:sz w:val="24"/>
          <w:szCs w:val="24"/>
        </w:rPr>
        <w:t>intersectionality</w:t>
      </w:r>
      <w:r w:rsidRPr="001F3849">
        <w:rPr>
          <w:rFonts w:eastAsia="Times New Roman"/>
          <w:sz w:val="24"/>
          <w:szCs w:val="24"/>
        </w:rPr>
        <w:t xml:space="preserve"> (Crenshaw, 1989) and </w:t>
      </w:r>
      <w:r w:rsidRPr="001F3849">
        <w:rPr>
          <w:rFonts w:eastAsia="Times New Roman"/>
          <w:b/>
          <w:bCs/>
          <w:sz w:val="24"/>
          <w:szCs w:val="24"/>
        </w:rPr>
        <w:t>structural violence</w:t>
      </w:r>
      <w:r w:rsidRPr="001F3849">
        <w:rPr>
          <w:rFonts w:eastAsia="Times New Roman"/>
          <w:sz w:val="24"/>
          <w:szCs w:val="24"/>
        </w:rPr>
        <w:t xml:space="preserve"> (Farmer, 2004) inform the study’s analysis of how overlapping forms of disadvantage are embodied and enacted in daily life.</w:t>
      </w:r>
    </w:p>
    <w:p w14:paraId="12E2DFA2" w14:textId="77777777" w:rsidR="0053091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1.4 Literature Review and Research Gap</w:t>
      </w:r>
    </w:p>
    <w:p w14:paraId="52289829" w14:textId="11D3133C" w:rsidR="00CF3F5B" w:rsidRPr="001F3849" w:rsidRDefault="00B57B9E"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Health Inequalities and Barriers to Care</w:t>
      </w:r>
    </w:p>
    <w:p w14:paraId="244D943C" w14:textId="51B61AA2" w:rsidR="00B57B9E" w:rsidRPr="001F3849" w:rsidRDefault="00B57B9E" w:rsidP="001F3849">
      <w:pPr>
        <w:spacing w:before="100" w:beforeAutospacing="1" w:after="100" w:afterAutospacing="1" w:line="360" w:lineRule="auto"/>
        <w:rPr>
          <w:rFonts w:eastAsia="Times New Roman"/>
          <w:sz w:val="24"/>
          <w:szCs w:val="24"/>
        </w:rPr>
      </w:pPr>
      <w:r w:rsidRPr="001F3849">
        <w:rPr>
          <w:rFonts w:eastAsia="Times New Roman"/>
          <w:sz w:val="24"/>
          <w:szCs w:val="24"/>
        </w:rPr>
        <w:t>These social determinants have profound implications for health. Life expectancy in Tower Hamlets is among the lowest in London, and the gap in healthy life expectancy between the most and least deprived Londoners can reach up to 15 years (PHE, 2021; GLA, 2022). Chronic diseases are more prevalent among certain minority groups: South Asian populations in London have up to six times higher rates of Type 2 diabetes than white British groups, while Black African and Caribbean communities experience elevated rates of hypertension and stroke (Diabetes UK, 2023; PHE, 2017). Mental health disparities are also stark, with asylum seekers and refugees estimated to be five times more likely to suffer from poor mental health than the general population (Hiam et al., 2018). Barriers to healthcare access further exacerbate these inequalities; 61% of surveyed migrants in London reported avoiding care due to fear of immigration checks or treatment costs, and those subject to the “No Recourse to Public Funds” condition often face significant obstacles in registering with a GP or accessing secondary care (Doctors of the World, 2017; NHS England, 2022). The COVID-19 pandemic intensified these challenges, with Bangladeshi and Black African populations in London experiencing mortality rates twice as high as those of white British groups (ONS, 2020).</w:t>
      </w:r>
    </w:p>
    <w:p w14:paraId="3C944EB0" w14:textId="77777777" w:rsidR="00B57B9E" w:rsidRPr="001F3849" w:rsidRDefault="00B57B9E" w:rsidP="001F3849">
      <w:pPr>
        <w:spacing w:before="100" w:beforeAutospacing="1" w:after="100" w:afterAutospacing="1" w:line="360" w:lineRule="auto"/>
        <w:outlineLvl w:val="2"/>
        <w:rPr>
          <w:rFonts w:eastAsia="Times New Roman"/>
          <w:b/>
          <w:bCs/>
          <w:sz w:val="24"/>
          <w:szCs w:val="24"/>
        </w:rPr>
      </w:pPr>
    </w:p>
    <w:p w14:paraId="0CF14F88" w14:textId="77777777" w:rsidR="00B57B9E" w:rsidRPr="001F3849" w:rsidRDefault="00B57B9E" w:rsidP="001F3849">
      <w:pPr>
        <w:spacing w:before="100" w:beforeAutospacing="1" w:after="100" w:afterAutospacing="1" w:line="360" w:lineRule="auto"/>
        <w:outlineLvl w:val="2"/>
        <w:rPr>
          <w:rFonts w:eastAsia="Times New Roman"/>
          <w:b/>
          <w:bCs/>
          <w:sz w:val="24"/>
          <w:szCs w:val="24"/>
        </w:rPr>
      </w:pPr>
    </w:p>
    <w:p w14:paraId="24AA1528"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A substantial body of research has documented health inequalities among migrants and ethnic minorities in the UK (</w:t>
      </w:r>
      <w:proofErr w:type="spellStart"/>
      <w:r w:rsidRPr="001F3849">
        <w:rPr>
          <w:rFonts w:eastAsia="Times New Roman"/>
          <w:sz w:val="24"/>
          <w:szCs w:val="24"/>
        </w:rPr>
        <w:t>Nazroo</w:t>
      </w:r>
      <w:proofErr w:type="spellEnd"/>
      <w:r w:rsidRPr="001F3849">
        <w:rPr>
          <w:rFonts w:eastAsia="Times New Roman"/>
          <w:sz w:val="24"/>
          <w:szCs w:val="24"/>
        </w:rPr>
        <w:t>, 2021; Salway et al., 2016). Migrants from BAME backgrounds are disproportionately affected by long-term illnesses, mental health problems, and unmet healthcare needs compared to the general population (Public Health England, 2023). For example, South Asian populations exhibit higher rates of type 2 diabetes, while Black African and Caribbean groups face elevated risks of hypertension and stroke. These disparities are compounded by socioeconomic disadvantage, housing insecurity, and limited access to culturally appropriate services.</w:t>
      </w:r>
    </w:p>
    <w:p w14:paraId="2BFA6810"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Despite widespread recognition of these issues, several limitations persist in the literature:</w:t>
      </w:r>
    </w:p>
    <w:p w14:paraId="4077010F" w14:textId="27EC6D59" w:rsidR="00530918" w:rsidRPr="001F3849" w:rsidRDefault="00530918" w:rsidP="001F3849">
      <w:pPr>
        <w:numPr>
          <w:ilvl w:val="0"/>
          <w:numId w:val="5"/>
        </w:numPr>
        <w:spacing w:before="100" w:beforeAutospacing="1" w:after="100" w:afterAutospacing="1" w:line="360" w:lineRule="auto"/>
        <w:rPr>
          <w:rFonts w:eastAsia="Times New Roman"/>
          <w:sz w:val="24"/>
          <w:szCs w:val="24"/>
        </w:rPr>
      </w:pPr>
      <w:r w:rsidRPr="001F3849">
        <w:rPr>
          <w:rFonts w:eastAsia="Times New Roman"/>
          <w:b/>
          <w:bCs/>
          <w:sz w:val="24"/>
          <w:szCs w:val="24"/>
        </w:rPr>
        <w:t>Conflation of Ethnicity and Migration:</w:t>
      </w:r>
      <w:r w:rsidRPr="001F3849">
        <w:rPr>
          <w:rFonts w:eastAsia="Times New Roman"/>
          <w:sz w:val="24"/>
          <w:szCs w:val="24"/>
        </w:rPr>
        <w:t xml:space="preserve"> Many studies treat BAME groups as homogeneous, failing to account for the heterogeneity of migration status within ethnic categories. This obscures the </w:t>
      </w:r>
      <w:r w:rsidR="000D139E" w:rsidRPr="001F3849">
        <w:rPr>
          <w:rFonts w:eastAsia="Times New Roman"/>
          <w:sz w:val="24"/>
          <w:szCs w:val="24"/>
        </w:rPr>
        <w:t>specific vulnerabilities experienced by non-UK-born individuals, including</w:t>
      </w:r>
      <w:r w:rsidRPr="001F3849">
        <w:rPr>
          <w:rFonts w:eastAsia="Times New Roman"/>
          <w:sz w:val="24"/>
          <w:szCs w:val="24"/>
        </w:rPr>
        <w:t xml:space="preserve"> legal restrictions, exclusion from public funds, and the psychological burden of uncertainty (Virdee, 2020).</w:t>
      </w:r>
    </w:p>
    <w:p w14:paraId="30706EB9" w14:textId="77777777" w:rsidR="00530918" w:rsidRPr="001F3849" w:rsidRDefault="00530918" w:rsidP="001F3849">
      <w:pPr>
        <w:numPr>
          <w:ilvl w:val="0"/>
          <w:numId w:val="5"/>
        </w:numPr>
        <w:spacing w:before="100" w:beforeAutospacing="1" w:after="100" w:afterAutospacing="1" w:line="360" w:lineRule="auto"/>
        <w:rPr>
          <w:rFonts w:eastAsia="Times New Roman"/>
          <w:sz w:val="24"/>
          <w:szCs w:val="24"/>
        </w:rPr>
      </w:pPr>
      <w:r w:rsidRPr="001F3849">
        <w:rPr>
          <w:rFonts w:eastAsia="Times New Roman"/>
          <w:b/>
          <w:bCs/>
          <w:sz w:val="24"/>
          <w:szCs w:val="24"/>
        </w:rPr>
        <w:t>Overemphasis on Individual Behaviour:</w:t>
      </w:r>
      <w:r w:rsidRPr="001F3849">
        <w:rPr>
          <w:rFonts w:eastAsia="Times New Roman"/>
          <w:sz w:val="24"/>
          <w:szCs w:val="24"/>
        </w:rPr>
        <w:t xml:space="preserve"> Public health narratives sometimes attribute disparities to cultural practices or personal choices, deflecting attention from structural determinants such as immigration controls, economic exclusion, and housing precarity.</w:t>
      </w:r>
    </w:p>
    <w:p w14:paraId="6454739D" w14:textId="77777777" w:rsidR="00530918" w:rsidRPr="001F3849" w:rsidRDefault="00530918" w:rsidP="001F3849">
      <w:pPr>
        <w:numPr>
          <w:ilvl w:val="0"/>
          <w:numId w:val="5"/>
        </w:numPr>
        <w:spacing w:before="100" w:beforeAutospacing="1" w:after="100" w:afterAutospacing="1" w:line="360" w:lineRule="auto"/>
        <w:rPr>
          <w:rFonts w:eastAsia="Times New Roman"/>
          <w:sz w:val="24"/>
          <w:szCs w:val="24"/>
        </w:rPr>
      </w:pPr>
      <w:r w:rsidRPr="001F3849">
        <w:rPr>
          <w:rFonts w:eastAsia="Times New Roman"/>
          <w:b/>
          <w:bCs/>
          <w:sz w:val="24"/>
          <w:szCs w:val="24"/>
        </w:rPr>
        <w:t>Limited Mechanistic Explanation:</w:t>
      </w:r>
      <w:r w:rsidRPr="001F3849">
        <w:rPr>
          <w:rFonts w:eastAsia="Times New Roman"/>
          <w:sz w:val="24"/>
          <w:szCs w:val="24"/>
        </w:rPr>
        <w:t xml:space="preserve"> While associations between migration and poor health are well established, fewer studies interrogate the mechanisms through which legal insecurity, chronic stress, and policy environments are embodied and translated into physical and mental health conditions (Hansen, 2019).</w:t>
      </w:r>
    </w:p>
    <w:p w14:paraId="16E44805" w14:textId="77777777" w:rsidR="00530918" w:rsidRPr="001F3849" w:rsidRDefault="00530918" w:rsidP="001F3849">
      <w:pPr>
        <w:numPr>
          <w:ilvl w:val="0"/>
          <w:numId w:val="5"/>
        </w:numPr>
        <w:spacing w:before="100" w:beforeAutospacing="1" w:after="100" w:afterAutospacing="1" w:line="360" w:lineRule="auto"/>
        <w:rPr>
          <w:rFonts w:eastAsia="Times New Roman"/>
          <w:sz w:val="24"/>
          <w:szCs w:val="24"/>
        </w:rPr>
      </w:pPr>
      <w:r w:rsidRPr="001F3849">
        <w:rPr>
          <w:rFonts w:eastAsia="Times New Roman"/>
          <w:b/>
          <w:bCs/>
          <w:sz w:val="24"/>
          <w:szCs w:val="24"/>
        </w:rPr>
        <w:t>Underrepresentation of Lived Experience:</w:t>
      </w:r>
      <w:r w:rsidRPr="001F3849">
        <w:rPr>
          <w:rFonts w:eastAsia="Times New Roman"/>
          <w:sz w:val="24"/>
          <w:szCs w:val="24"/>
        </w:rPr>
        <w:t xml:space="preserve"> Large-scale surveys dominate the field, offering valuable quantitative data but lacking insight into the nuanced, subjective experiences, coping strategies, and emotional burdens faced by migrants.</w:t>
      </w:r>
    </w:p>
    <w:p w14:paraId="4EABB691"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There is a pressing need for qualitative research that centres the voices of adult migrants from BAME backgrounds, explores how immigration status shapes health through daily, embodied experiences, and foregrounds the role of structural determinants in producing and perpetuating health inequalities.</w:t>
      </w:r>
    </w:p>
    <w:p w14:paraId="13EB7DDF" w14:textId="77777777" w:rsidR="00EB757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1.5 Rationale for the Study</w:t>
      </w:r>
    </w:p>
    <w:p w14:paraId="3747AEC6" w14:textId="4C48920D" w:rsidR="009E014F" w:rsidRPr="001F3849" w:rsidRDefault="009E014F"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Deprivation and Structural Challenges</w:t>
      </w:r>
    </w:p>
    <w:p w14:paraId="1D8F7593" w14:textId="20B6AD28" w:rsidR="00D17CFF" w:rsidRPr="001F3849" w:rsidRDefault="00D17CFF" w:rsidP="001F3849">
      <w:pPr>
        <w:spacing w:before="100" w:beforeAutospacing="1" w:after="100" w:afterAutospacing="1" w:line="360" w:lineRule="auto"/>
        <w:outlineLvl w:val="2"/>
        <w:rPr>
          <w:rFonts w:eastAsia="Times New Roman"/>
          <w:b/>
          <w:bCs/>
          <w:sz w:val="24"/>
          <w:szCs w:val="24"/>
        </w:rPr>
      </w:pPr>
      <w:r w:rsidRPr="001F3849">
        <w:rPr>
          <w:sz w:val="24"/>
          <w:szCs w:val="24"/>
        </w:rPr>
        <w:t>These structural disadvantages are disproportionately experienced by migrants and BAME communities, particularly those with insecure immigration status or limited access to public funds, compounding their vulnerability to adverse health and social outcomes. Given the high prevalence of deprivation and the unique demographic profile of East London, there is a pressing need to understand how immigration status intersects with other social determinants to shape health and wellbeing in this context. Existing research has often overlooked the lived experiences of adult migrants from BAME backgrounds, particularly in relation to the cumulative impact of structural and policy-driven challenges. This study seeks to address this gap by exploring these experiences in depth</w:t>
      </w:r>
      <w:r w:rsidR="00F9416A" w:rsidRPr="001F3849">
        <w:rPr>
          <w:sz w:val="24"/>
          <w:szCs w:val="24"/>
        </w:rPr>
        <w:t xml:space="preserve"> to inform</w:t>
      </w:r>
      <w:r w:rsidRPr="001F3849">
        <w:rPr>
          <w:sz w:val="24"/>
          <w:szCs w:val="24"/>
        </w:rPr>
        <w:t xml:space="preserve"> more equitable public health and social policy responses.</w:t>
      </w:r>
    </w:p>
    <w:p w14:paraId="5408BB65" w14:textId="3EF03558" w:rsidR="009E014F" w:rsidRPr="001F3849" w:rsidRDefault="009E014F" w:rsidP="001F3849">
      <w:pPr>
        <w:spacing w:before="100" w:beforeAutospacing="1" w:after="100" w:afterAutospacing="1" w:line="360" w:lineRule="auto"/>
        <w:rPr>
          <w:rFonts w:eastAsia="Times New Roman"/>
          <w:sz w:val="24"/>
          <w:szCs w:val="24"/>
        </w:rPr>
      </w:pPr>
      <w:r w:rsidRPr="001F3849">
        <w:rPr>
          <w:rFonts w:eastAsia="Times New Roman"/>
          <w:sz w:val="24"/>
          <w:szCs w:val="24"/>
        </w:rPr>
        <w:t>Despite its vibrancy, East London is marked by persistent and deep-rooted deprivation. Tower Hamlets is ranked as the second most deprived borough in England, while Newham faces some of the highest levels of child poverty and in-work poverty in London (MHCLG, 2019; Trust for London, 2023). Housing insecurity and overcrowding are acute: 18.7% of Newham households are classified as overcrowded</w:t>
      </w:r>
      <w:r w:rsidR="008354BA" w:rsidRPr="001F3849">
        <w:rPr>
          <w:rFonts w:eastAsia="Times New Roman"/>
          <w:sz w:val="24"/>
          <w:szCs w:val="24"/>
        </w:rPr>
        <w:t xml:space="preserve">, more than four times the national average, </w:t>
      </w:r>
      <w:r w:rsidRPr="001F3849">
        <w:rPr>
          <w:rFonts w:eastAsia="Times New Roman"/>
          <w:sz w:val="24"/>
          <w:szCs w:val="24"/>
        </w:rPr>
        <w:t>while the borough also has the highest number of homeless households in temporary accommodation in England (ONS, 2021; Shelter, 2023). These structural disadvantages are disproportionately experienced by migrants and BAME communities, particularly those with insecure immigration status or limited access to public funds, compounding their vulnerability to adverse health and social outcomes.</w:t>
      </w:r>
    </w:p>
    <w:p w14:paraId="7564F27D" w14:textId="57CD1E53" w:rsidR="009E014F" w:rsidRPr="001F3849" w:rsidRDefault="009E014F" w:rsidP="001F3849">
      <w:pPr>
        <w:spacing w:before="100" w:beforeAutospacing="1" w:after="100" w:afterAutospacing="1" w:line="360" w:lineRule="auto"/>
        <w:rPr>
          <w:rFonts w:eastAsia="Times New Roman"/>
          <w:sz w:val="24"/>
          <w:szCs w:val="24"/>
        </w:rPr>
      </w:pPr>
    </w:p>
    <w:p w14:paraId="6C4B69F6" w14:textId="733DF6E2"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 focus on East London is both practical and analytical. The region’s extraordinary diversity, visible deprivation, and well-developed statutory and </w:t>
      </w:r>
      <w:r w:rsidR="008354BA" w:rsidRPr="001F3849">
        <w:rPr>
          <w:rFonts w:eastAsia="Times New Roman"/>
          <w:sz w:val="24"/>
          <w:szCs w:val="24"/>
        </w:rPr>
        <w:t>voluntary-sector infrastructure</w:t>
      </w:r>
      <w:r w:rsidRPr="001F3849">
        <w:rPr>
          <w:rFonts w:eastAsia="Times New Roman"/>
          <w:sz w:val="24"/>
          <w:szCs w:val="24"/>
        </w:rPr>
        <w:t xml:space="preserve"> provide a fertile environment for exploring varied migrant experiences. It is home to migrants at different stages of settlement, with a wide range of immigration statuses, socioeconomic backgrounds, and health needs. The area’s extensive network of community organisations and support services also facilitates access to participants and in-depth engagement with ‘hard-to-reach’ populations.</w:t>
      </w:r>
    </w:p>
    <w:p w14:paraId="242CE5E0"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Moreover, structural deprivation amplifies vulnerability: overcrowded housing, in-work poverty, and limited access to stable employment mean that the consequences of immigration status are often more acute and visible in East London than elsewhere. By situating the research here, the study </w:t>
      </w:r>
      <w:proofErr w:type="gramStart"/>
      <w:r w:rsidRPr="001F3849">
        <w:rPr>
          <w:rFonts w:eastAsia="Times New Roman"/>
          <w:sz w:val="24"/>
          <w:szCs w:val="24"/>
        </w:rPr>
        <w:t>is able to</w:t>
      </w:r>
      <w:proofErr w:type="gramEnd"/>
      <w:r w:rsidRPr="001F3849">
        <w:rPr>
          <w:rFonts w:eastAsia="Times New Roman"/>
          <w:sz w:val="24"/>
          <w:szCs w:val="24"/>
        </w:rPr>
        <w:t xml:space="preserve"> examine not only what health inequalities exist, but how and why they emerge, persist, and are experienced at the intersection of policy, place, and identity.</w:t>
      </w:r>
    </w:p>
    <w:p w14:paraId="697B7E3E" w14:textId="77777777" w:rsidR="0053091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1.6 Research Question, Aim, and Objectives</w:t>
      </w:r>
    </w:p>
    <w:p w14:paraId="41A6EF62" w14:textId="352226F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Research Question:</w:t>
      </w:r>
      <w:r w:rsidRPr="001F3849">
        <w:rPr>
          <w:rFonts w:eastAsia="Times New Roman"/>
          <w:sz w:val="24"/>
          <w:szCs w:val="24"/>
        </w:rPr>
        <w:br/>
        <w:t xml:space="preserve">How does immigration status affect the health and </w:t>
      </w:r>
      <w:r w:rsidR="008354BA" w:rsidRPr="001F3849">
        <w:rPr>
          <w:rFonts w:eastAsia="Times New Roman"/>
          <w:sz w:val="24"/>
          <w:szCs w:val="24"/>
        </w:rPr>
        <w:t>well-being</w:t>
      </w:r>
      <w:r w:rsidRPr="001F3849">
        <w:rPr>
          <w:rFonts w:eastAsia="Times New Roman"/>
          <w:sz w:val="24"/>
          <w:szCs w:val="24"/>
        </w:rPr>
        <w:t xml:space="preserve"> of adult migrants from BAME backgrounds living in East London?</w:t>
      </w:r>
    </w:p>
    <w:p w14:paraId="3C3A5ACB" w14:textId="746880DD"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Aim:</w:t>
      </w:r>
      <w:r w:rsidRPr="001F3849">
        <w:rPr>
          <w:rFonts w:eastAsia="Times New Roman"/>
          <w:sz w:val="24"/>
          <w:szCs w:val="24"/>
        </w:rPr>
        <w:br/>
        <w:t xml:space="preserve">To explore and interpret the lived experiences of BAME adult migrants in East London, focusing on how immigration status shapes health, </w:t>
      </w:r>
      <w:r w:rsidR="008A6BD3" w:rsidRPr="001F3849">
        <w:rPr>
          <w:rFonts w:eastAsia="Times New Roman"/>
          <w:sz w:val="24"/>
          <w:szCs w:val="24"/>
        </w:rPr>
        <w:t>well-being</w:t>
      </w:r>
      <w:r w:rsidRPr="001F3849">
        <w:rPr>
          <w:rFonts w:eastAsia="Times New Roman"/>
          <w:sz w:val="24"/>
          <w:szCs w:val="24"/>
        </w:rPr>
        <w:t>, and adaptive health capacity.</w:t>
      </w:r>
    </w:p>
    <w:p w14:paraId="25B9EF92"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Objectives:</w:t>
      </w:r>
    </w:p>
    <w:p w14:paraId="69287500" w14:textId="77777777" w:rsidR="00530918" w:rsidRPr="001F3849" w:rsidRDefault="00530918" w:rsidP="001F3849">
      <w:pPr>
        <w:numPr>
          <w:ilvl w:val="0"/>
          <w:numId w:val="6"/>
        </w:numPr>
        <w:spacing w:before="100" w:beforeAutospacing="1" w:after="100" w:afterAutospacing="1" w:line="360" w:lineRule="auto"/>
        <w:rPr>
          <w:rFonts w:eastAsia="Times New Roman"/>
          <w:sz w:val="24"/>
          <w:szCs w:val="24"/>
        </w:rPr>
      </w:pPr>
      <w:r w:rsidRPr="001F3849">
        <w:rPr>
          <w:rFonts w:eastAsia="Times New Roman"/>
          <w:sz w:val="24"/>
          <w:szCs w:val="24"/>
        </w:rPr>
        <w:t>To examine how BAME adult migrants experience healthcare services, including issues of trust, entitlement, and discrimination.</w:t>
      </w:r>
    </w:p>
    <w:p w14:paraId="501D6D58" w14:textId="38D28CE3" w:rsidR="00530918" w:rsidRPr="001F3849" w:rsidRDefault="00530918" w:rsidP="001F3849">
      <w:pPr>
        <w:numPr>
          <w:ilvl w:val="0"/>
          <w:numId w:val="6"/>
        </w:numPr>
        <w:spacing w:before="100" w:beforeAutospacing="1" w:after="100" w:afterAutospacing="1" w:line="360" w:lineRule="auto"/>
        <w:rPr>
          <w:rFonts w:eastAsia="Times New Roman"/>
          <w:sz w:val="24"/>
          <w:szCs w:val="24"/>
        </w:rPr>
      </w:pPr>
      <w:r w:rsidRPr="001F3849">
        <w:rPr>
          <w:rFonts w:eastAsia="Times New Roman"/>
          <w:sz w:val="24"/>
          <w:szCs w:val="24"/>
        </w:rPr>
        <w:t>To identify psychosocial and structural determinants</w:t>
      </w:r>
      <w:r w:rsidR="008A6BD3" w:rsidRPr="001F3849">
        <w:rPr>
          <w:rFonts w:eastAsia="Times New Roman"/>
          <w:sz w:val="24"/>
          <w:szCs w:val="24"/>
        </w:rPr>
        <w:t xml:space="preserve"> </w:t>
      </w:r>
      <w:r w:rsidRPr="001F3849">
        <w:rPr>
          <w:rFonts w:eastAsia="Times New Roman"/>
          <w:sz w:val="24"/>
          <w:szCs w:val="24"/>
        </w:rPr>
        <w:t>such as legal insecurity, housing instability, and discrimination</w:t>
      </w:r>
      <w:r w:rsidR="008A6BD3" w:rsidRPr="001F3849">
        <w:rPr>
          <w:rFonts w:eastAsia="Times New Roman"/>
          <w:sz w:val="24"/>
          <w:szCs w:val="24"/>
        </w:rPr>
        <w:t xml:space="preserve"> </w:t>
      </w:r>
      <w:r w:rsidRPr="001F3849">
        <w:rPr>
          <w:rFonts w:eastAsia="Times New Roman"/>
          <w:sz w:val="24"/>
          <w:szCs w:val="24"/>
        </w:rPr>
        <w:t>that shape health and help-seeking behaviour.</w:t>
      </w:r>
    </w:p>
    <w:p w14:paraId="13F8BBD6" w14:textId="77777777" w:rsidR="00530918" w:rsidRPr="001F3849" w:rsidRDefault="00530918" w:rsidP="001F3849">
      <w:pPr>
        <w:numPr>
          <w:ilvl w:val="0"/>
          <w:numId w:val="6"/>
        </w:numPr>
        <w:spacing w:before="100" w:beforeAutospacing="1" w:after="100" w:afterAutospacing="1" w:line="360" w:lineRule="auto"/>
        <w:rPr>
          <w:rFonts w:eastAsia="Times New Roman"/>
          <w:sz w:val="24"/>
          <w:szCs w:val="24"/>
        </w:rPr>
      </w:pPr>
      <w:r w:rsidRPr="001F3849">
        <w:rPr>
          <w:rFonts w:eastAsia="Times New Roman"/>
          <w:sz w:val="24"/>
          <w:szCs w:val="24"/>
        </w:rPr>
        <w:t>To produce theoretically grounded thematic interpretations explaining how immigration-related stressors erode adaptive health capacity.</w:t>
      </w:r>
    </w:p>
    <w:p w14:paraId="484AC5AD" w14:textId="77777777" w:rsidR="00530918" w:rsidRPr="001F3849" w:rsidRDefault="00530918" w:rsidP="001F3849">
      <w:pPr>
        <w:numPr>
          <w:ilvl w:val="0"/>
          <w:numId w:val="6"/>
        </w:numPr>
        <w:spacing w:before="100" w:beforeAutospacing="1" w:after="100" w:afterAutospacing="1" w:line="360" w:lineRule="auto"/>
        <w:rPr>
          <w:rFonts w:eastAsia="Times New Roman"/>
          <w:sz w:val="24"/>
          <w:szCs w:val="24"/>
        </w:rPr>
      </w:pPr>
      <w:r w:rsidRPr="001F3849">
        <w:rPr>
          <w:rFonts w:eastAsia="Times New Roman"/>
          <w:sz w:val="24"/>
          <w:szCs w:val="24"/>
        </w:rPr>
        <w:t>To develop evidence-informed recommendations for NHS providers, public health teams, and local authorities to improve health equity for migrant communities.</w:t>
      </w:r>
    </w:p>
    <w:p w14:paraId="778E5BE1" w14:textId="77777777" w:rsidR="0053091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1.7 Structure of the Dissertation</w:t>
      </w:r>
    </w:p>
    <w:p w14:paraId="2B67C55E" w14:textId="77777777" w:rsidR="00530918"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The dissertation is organised as follows:</w:t>
      </w:r>
    </w:p>
    <w:p w14:paraId="470B8017" w14:textId="77777777" w:rsidR="00530918" w:rsidRPr="001F3849" w:rsidRDefault="00530918" w:rsidP="001F3849">
      <w:pPr>
        <w:numPr>
          <w:ilvl w:val="0"/>
          <w:numId w:val="7"/>
        </w:numPr>
        <w:spacing w:before="100" w:beforeAutospacing="1" w:after="100" w:afterAutospacing="1" w:line="360" w:lineRule="auto"/>
        <w:rPr>
          <w:rFonts w:eastAsia="Times New Roman"/>
          <w:sz w:val="24"/>
          <w:szCs w:val="24"/>
        </w:rPr>
      </w:pPr>
      <w:r w:rsidRPr="001F3849">
        <w:rPr>
          <w:rFonts w:eastAsia="Times New Roman"/>
          <w:b/>
          <w:bCs/>
          <w:sz w:val="24"/>
          <w:szCs w:val="24"/>
        </w:rPr>
        <w:t>Chapter 2: Literature Review</w:t>
      </w:r>
      <w:r w:rsidRPr="001F3849">
        <w:rPr>
          <w:rFonts w:eastAsia="Times New Roman"/>
          <w:sz w:val="24"/>
          <w:szCs w:val="24"/>
        </w:rPr>
        <w:br/>
        <w:t>Critically reviews the existing scholarship on migration, ethnicity, structural inequality, and health, with particular attention to the role of immigration status as a social determinant.</w:t>
      </w:r>
    </w:p>
    <w:p w14:paraId="1F3DBD23" w14:textId="77777777" w:rsidR="00530918" w:rsidRPr="001F3849" w:rsidRDefault="00530918" w:rsidP="001F3849">
      <w:pPr>
        <w:numPr>
          <w:ilvl w:val="0"/>
          <w:numId w:val="7"/>
        </w:numPr>
        <w:spacing w:before="100" w:beforeAutospacing="1" w:after="100" w:afterAutospacing="1" w:line="360" w:lineRule="auto"/>
        <w:rPr>
          <w:rFonts w:eastAsia="Times New Roman"/>
          <w:sz w:val="24"/>
          <w:szCs w:val="24"/>
        </w:rPr>
      </w:pPr>
      <w:r w:rsidRPr="001F3849">
        <w:rPr>
          <w:rFonts w:eastAsia="Times New Roman"/>
          <w:b/>
          <w:bCs/>
          <w:sz w:val="24"/>
          <w:szCs w:val="24"/>
        </w:rPr>
        <w:t>Chapter 3: Methodology</w:t>
      </w:r>
      <w:r w:rsidRPr="001F3849">
        <w:rPr>
          <w:rFonts w:eastAsia="Times New Roman"/>
          <w:sz w:val="24"/>
          <w:szCs w:val="24"/>
        </w:rPr>
        <w:br/>
        <w:t>Outlines the methodological approach, research design, data collection, and analytic strategies, as well as ethical considerations and the role of reflexivity.</w:t>
      </w:r>
    </w:p>
    <w:p w14:paraId="1E8DA5D5" w14:textId="77777777" w:rsidR="00530918" w:rsidRPr="001F3849" w:rsidRDefault="00530918" w:rsidP="001F3849">
      <w:pPr>
        <w:numPr>
          <w:ilvl w:val="0"/>
          <w:numId w:val="7"/>
        </w:numPr>
        <w:spacing w:before="100" w:beforeAutospacing="1" w:after="100" w:afterAutospacing="1" w:line="360" w:lineRule="auto"/>
        <w:rPr>
          <w:rFonts w:eastAsia="Times New Roman"/>
          <w:sz w:val="24"/>
          <w:szCs w:val="24"/>
        </w:rPr>
      </w:pPr>
      <w:r w:rsidRPr="001F3849">
        <w:rPr>
          <w:rFonts w:eastAsia="Times New Roman"/>
          <w:b/>
          <w:bCs/>
          <w:sz w:val="24"/>
          <w:szCs w:val="24"/>
        </w:rPr>
        <w:t>Chapter 4: Findings</w:t>
      </w:r>
      <w:r w:rsidRPr="001F3849">
        <w:rPr>
          <w:rFonts w:eastAsia="Times New Roman"/>
          <w:sz w:val="24"/>
          <w:szCs w:val="24"/>
        </w:rPr>
        <w:br/>
        <w:t>Presents the main themes emerging from qualitative interviews, illustrating how immigration status shapes the daily realities, health outcomes, and coping strategies of BAME adult migrants.</w:t>
      </w:r>
    </w:p>
    <w:p w14:paraId="3B1FA61C" w14:textId="77777777" w:rsidR="00530918" w:rsidRPr="001F3849" w:rsidRDefault="00530918" w:rsidP="001F3849">
      <w:pPr>
        <w:numPr>
          <w:ilvl w:val="0"/>
          <w:numId w:val="7"/>
        </w:numPr>
        <w:spacing w:before="100" w:beforeAutospacing="1" w:after="100" w:afterAutospacing="1" w:line="360" w:lineRule="auto"/>
        <w:rPr>
          <w:rFonts w:eastAsia="Times New Roman"/>
          <w:sz w:val="24"/>
          <w:szCs w:val="24"/>
        </w:rPr>
      </w:pPr>
      <w:r w:rsidRPr="001F3849">
        <w:rPr>
          <w:rFonts w:eastAsia="Times New Roman"/>
          <w:b/>
          <w:bCs/>
          <w:sz w:val="24"/>
          <w:szCs w:val="24"/>
        </w:rPr>
        <w:t>Chapter 5: Discussion</w:t>
      </w:r>
      <w:r w:rsidRPr="001F3849">
        <w:rPr>
          <w:rFonts w:eastAsia="Times New Roman"/>
          <w:sz w:val="24"/>
          <w:szCs w:val="24"/>
        </w:rPr>
        <w:br/>
        <w:t xml:space="preserve">Interprets the findings </w:t>
      </w:r>
      <w:proofErr w:type="gramStart"/>
      <w:r w:rsidRPr="001F3849">
        <w:rPr>
          <w:rFonts w:eastAsia="Times New Roman"/>
          <w:sz w:val="24"/>
          <w:szCs w:val="24"/>
        </w:rPr>
        <w:t>in light of</w:t>
      </w:r>
      <w:proofErr w:type="gramEnd"/>
      <w:r w:rsidRPr="001F3849">
        <w:rPr>
          <w:rFonts w:eastAsia="Times New Roman"/>
          <w:sz w:val="24"/>
          <w:szCs w:val="24"/>
        </w:rPr>
        <w:t xml:space="preserve"> the theoretical frameworks and existing literature, highlighting contributions, limitations, and implications for policy and practice.</w:t>
      </w:r>
    </w:p>
    <w:p w14:paraId="48344FD2" w14:textId="77777777" w:rsidR="00530918" w:rsidRPr="001F3849" w:rsidRDefault="00530918" w:rsidP="001F3849">
      <w:pPr>
        <w:numPr>
          <w:ilvl w:val="0"/>
          <w:numId w:val="7"/>
        </w:numPr>
        <w:spacing w:before="100" w:beforeAutospacing="1" w:after="100" w:afterAutospacing="1" w:line="360" w:lineRule="auto"/>
        <w:rPr>
          <w:rFonts w:eastAsia="Times New Roman"/>
          <w:sz w:val="24"/>
          <w:szCs w:val="24"/>
        </w:rPr>
      </w:pPr>
      <w:r w:rsidRPr="001F3849">
        <w:rPr>
          <w:rFonts w:eastAsia="Times New Roman"/>
          <w:b/>
          <w:bCs/>
          <w:sz w:val="24"/>
          <w:szCs w:val="24"/>
        </w:rPr>
        <w:t>Chapter 6: Conclusion and Recommendations</w:t>
      </w:r>
      <w:r w:rsidRPr="001F3849">
        <w:rPr>
          <w:rFonts w:eastAsia="Times New Roman"/>
          <w:sz w:val="24"/>
          <w:szCs w:val="24"/>
        </w:rPr>
        <w:br/>
        <w:t>Summarises the key findings, discusses their significance for public health, and offers recommendations for future research and interventions.</w:t>
      </w:r>
    </w:p>
    <w:p w14:paraId="19E7085A" w14:textId="77777777" w:rsidR="00530918" w:rsidRPr="001F3849" w:rsidRDefault="0053091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1.8 Chapter Summary</w:t>
      </w:r>
    </w:p>
    <w:p w14:paraId="738CC1B7" w14:textId="20B9031B" w:rsidR="00506C4F" w:rsidRPr="001F3849" w:rsidRDefault="00530918"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This chapter has established the conceptual, contextual, and theoretical foundation for the dissertation. It has demonstrated that immigration status functions as a critical Social Determinant of Health, fundamentally shaping the </w:t>
      </w:r>
      <w:r w:rsidR="0056371F" w:rsidRPr="001F3849">
        <w:rPr>
          <w:rFonts w:eastAsia="Times New Roman"/>
          <w:sz w:val="24"/>
          <w:szCs w:val="24"/>
        </w:rPr>
        <w:t>well-being</w:t>
      </w:r>
      <w:r w:rsidRPr="001F3849">
        <w:rPr>
          <w:rFonts w:eastAsia="Times New Roman"/>
          <w:sz w:val="24"/>
          <w:szCs w:val="24"/>
        </w:rPr>
        <w:t xml:space="preserve"> of adult migrants from BAME backgrounds in East London. Health inequalities are rooted not only in individual behaviours but are deeply embedded in structural, economic, and institutional barriers</w:t>
      </w:r>
      <w:r w:rsidR="008A6BD3" w:rsidRPr="001F3849">
        <w:rPr>
          <w:rFonts w:eastAsia="Times New Roman"/>
          <w:sz w:val="24"/>
          <w:szCs w:val="24"/>
        </w:rPr>
        <w:t>,</w:t>
      </w:r>
      <w:r w:rsidR="0056371F" w:rsidRPr="001F3849">
        <w:rPr>
          <w:rFonts w:eastAsia="Times New Roman"/>
          <w:sz w:val="24"/>
          <w:szCs w:val="24"/>
        </w:rPr>
        <w:t xml:space="preserve"> </w:t>
      </w:r>
      <w:r w:rsidRPr="001F3849">
        <w:rPr>
          <w:rFonts w:eastAsia="Times New Roman"/>
          <w:sz w:val="24"/>
          <w:szCs w:val="24"/>
        </w:rPr>
        <w:t>especially those arising from immigration policy, housing, employment, and healthcare access. By foregrounding the SDH framework and adopting interpretivist and social constructionist perspectives, this study is positioned to investigate both the existence and mechanisms of health inequalities as they are lived and experienced by migrants. The following chapter will further contextualise these issues through a critical review of the relevant literature on immigration, ethnicity, structural inequality, and health in the UK and beyond.</w:t>
      </w:r>
    </w:p>
    <w:p w14:paraId="79F075C0" w14:textId="0D3943B5" w:rsidR="00506C4F" w:rsidRPr="001F3849" w:rsidRDefault="00506C4F" w:rsidP="001F3849">
      <w:pPr>
        <w:spacing w:line="360" w:lineRule="auto"/>
        <w:rPr>
          <w:rFonts w:eastAsia="Times New Roman"/>
          <w:sz w:val="24"/>
          <w:szCs w:val="24"/>
        </w:rPr>
      </w:pPr>
    </w:p>
    <w:p w14:paraId="53AB97D8" w14:textId="35640366" w:rsidR="00506C4F" w:rsidRPr="001F3849" w:rsidRDefault="00506C4F" w:rsidP="001F3849">
      <w:pPr>
        <w:spacing w:line="360" w:lineRule="auto"/>
        <w:rPr>
          <w:rFonts w:eastAsia="Times New Roman"/>
          <w:sz w:val="24"/>
          <w:szCs w:val="24"/>
        </w:rPr>
      </w:pPr>
    </w:p>
    <w:p w14:paraId="678A0F03" w14:textId="77777777" w:rsidR="007B45EC" w:rsidRPr="001F3849" w:rsidRDefault="007B45EC" w:rsidP="001F3849">
      <w:pPr>
        <w:spacing w:line="360" w:lineRule="auto"/>
        <w:rPr>
          <w:rFonts w:eastAsia="Times New Roman"/>
          <w:b/>
          <w:bCs/>
          <w:sz w:val="24"/>
          <w:szCs w:val="24"/>
        </w:rPr>
      </w:pPr>
      <w:r w:rsidRPr="001F3849">
        <w:rPr>
          <w:rFonts w:eastAsia="Times New Roman"/>
          <w:b/>
          <w:bCs/>
          <w:sz w:val="24"/>
          <w:szCs w:val="24"/>
        </w:rPr>
        <w:br w:type="page"/>
      </w:r>
    </w:p>
    <w:p w14:paraId="31425C72" w14:textId="03E44725" w:rsidR="00740928" w:rsidRPr="001F3849" w:rsidRDefault="00740928" w:rsidP="001F3849">
      <w:pPr>
        <w:spacing w:before="100" w:beforeAutospacing="1" w:after="100" w:afterAutospacing="1" w:line="360" w:lineRule="auto"/>
        <w:outlineLvl w:val="1"/>
        <w:rPr>
          <w:rFonts w:eastAsia="Times New Roman"/>
          <w:b/>
          <w:bCs/>
          <w:sz w:val="24"/>
          <w:szCs w:val="24"/>
        </w:rPr>
      </w:pPr>
      <w:r w:rsidRPr="001F3849">
        <w:rPr>
          <w:rFonts w:eastAsia="Times New Roman"/>
          <w:b/>
          <w:bCs/>
          <w:sz w:val="24"/>
          <w:szCs w:val="24"/>
        </w:rPr>
        <w:t>Chapter 2: Literature Review</w:t>
      </w:r>
    </w:p>
    <w:p w14:paraId="59E156AE"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2.1 Introduction</w:t>
      </w:r>
    </w:p>
    <w:p w14:paraId="34C7462D"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This chapter critically reviews the literature on migration, ethnicity, and health inequalities, with a focus on the impact of immigration status as a social determinant of health. Drawing on UK and international scholarship, it explores the intersecting roles of structural, policy, and psychosocial factors in shaping health outcomes for migrant and BAME populations. The chapter pays particular attention to London and East London, where migration-driven diversity and socioeconomic deprivation converge, and concludes by identifying key gaps that inform the rationale for this research.</w:t>
      </w:r>
    </w:p>
    <w:p w14:paraId="5BDBF494" w14:textId="1BACAB53" w:rsidR="00740928" w:rsidRPr="001F3849" w:rsidRDefault="00740928" w:rsidP="001F3849">
      <w:pPr>
        <w:spacing w:line="360" w:lineRule="auto"/>
        <w:rPr>
          <w:rFonts w:eastAsia="Times New Roman"/>
          <w:sz w:val="24"/>
          <w:szCs w:val="24"/>
        </w:rPr>
      </w:pPr>
    </w:p>
    <w:p w14:paraId="2042AF81"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2.2 Migration, Demographic Change, and Super-diversity in London</w:t>
      </w:r>
    </w:p>
    <w:p w14:paraId="3953A442" w14:textId="47F81FA5"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Migration has been a powerful agent of demographic change in the United Kingdom, fundamentally altering the social fabric of urban centres. Nowhere is this transformation more apparent than in London, which has long been a global hub for migration. As of the 2021 Census, over 40% of London’s residents were born outside the UK (ONS, 2021). This proportion is even higher in East London boroughs: Newham’s foreign-born population stands at 52.8%</w:t>
      </w:r>
      <w:r w:rsidR="007B45EC" w:rsidRPr="001F3849">
        <w:rPr>
          <w:rFonts w:eastAsia="Times New Roman"/>
          <w:sz w:val="24"/>
          <w:szCs w:val="24"/>
        </w:rPr>
        <w:t>, the</w:t>
      </w:r>
      <w:r w:rsidRPr="001F3849">
        <w:rPr>
          <w:rFonts w:eastAsia="Times New Roman"/>
          <w:sz w:val="24"/>
          <w:szCs w:val="24"/>
        </w:rPr>
        <w:t xml:space="preserve"> highest in England and Wales</w:t>
      </w:r>
      <w:r w:rsidR="007B45EC" w:rsidRPr="001F3849">
        <w:rPr>
          <w:rFonts w:eastAsia="Times New Roman"/>
          <w:sz w:val="24"/>
          <w:szCs w:val="24"/>
        </w:rPr>
        <w:t xml:space="preserve">, </w:t>
      </w:r>
      <w:r w:rsidRPr="001F3849">
        <w:rPr>
          <w:rFonts w:eastAsia="Times New Roman"/>
          <w:sz w:val="24"/>
          <w:szCs w:val="24"/>
        </w:rPr>
        <w:t>while Tower Hamlets and Redbridge both exceed 44% (ONS, 2021). Newham also leads in ethnic diversity, with 71% of residents identifying as from a minority ethnic background, and Tower Hamlets is distinguished by the largest Bangladeshi-origin community in the UK, accounting for over half its residents (Tower Hamlets Council, 2022).</w:t>
      </w:r>
    </w:p>
    <w:p w14:paraId="58D13AE3" w14:textId="1D7CA75C"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 concept of “super-diversity,” introduced by </w:t>
      </w:r>
      <w:proofErr w:type="spellStart"/>
      <w:r w:rsidRPr="001F3849">
        <w:rPr>
          <w:rFonts w:eastAsia="Times New Roman"/>
          <w:sz w:val="24"/>
          <w:szCs w:val="24"/>
        </w:rPr>
        <w:t>Vertovec</w:t>
      </w:r>
      <w:proofErr w:type="spellEnd"/>
      <w:r w:rsidRPr="001F3849">
        <w:rPr>
          <w:rFonts w:eastAsia="Times New Roman"/>
          <w:sz w:val="24"/>
          <w:szCs w:val="24"/>
        </w:rPr>
        <w:t xml:space="preserve"> (2007), aptly characterises contemporary East London. Super-diversity goes beyond ethnicity, encompassing variations in migration trajectories, legal status, language, religion, socioeconomic position, and educational background. The layering of different migration waves</w:t>
      </w:r>
      <w:r w:rsidR="00061B3C" w:rsidRPr="001F3849">
        <w:rPr>
          <w:rFonts w:eastAsia="Times New Roman"/>
          <w:sz w:val="24"/>
          <w:szCs w:val="24"/>
        </w:rPr>
        <w:t xml:space="preserve"> </w:t>
      </w:r>
      <w:r w:rsidRPr="001F3849">
        <w:rPr>
          <w:rFonts w:eastAsia="Times New Roman"/>
          <w:sz w:val="24"/>
          <w:szCs w:val="24"/>
        </w:rPr>
        <w:t>from post-war Commonwealth arrivals to recent EU and global migrants</w:t>
      </w:r>
      <w:r w:rsidR="00061B3C" w:rsidRPr="001F3849">
        <w:rPr>
          <w:rFonts w:eastAsia="Times New Roman"/>
          <w:sz w:val="24"/>
          <w:szCs w:val="24"/>
        </w:rPr>
        <w:t xml:space="preserve"> </w:t>
      </w:r>
      <w:r w:rsidRPr="001F3849">
        <w:rPr>
          <w:rFonts w:eastAsia="Times New Roman"/>
          <w:sz w:val="24"/>
          <w:szCs w:val="24"/>
        </w:rPr>
        <w:t>has created a highly dynamic and complex population structure. Such demographic heterogeneity presents both opportunities and challenges for social cohesion, public services, and, critically, health equity.</w:t>
      </w:r>
    </w:p>
    <w:p w14:paraId="6DCCF82B" w14:textId="1B8F8FB5" w:rsidR="00740928" w:rsidRPr="001F3849" w:rsidRDefault="00740928" w:rsidP="001F3849">
      <w:pPr>
        <w:spacing w:line="360" w:lineRule="auto"/>
        <w:rPr>
          <w:rFonts w:eastAsia="Times New Roman"/>
          <w:sz w:val="24"/>
          <w:szCs w:val="24"/>
        </w:rPr>
      </w:pPr>
    </w:p>
    <w:p w14:paraId="6B59846D"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2.3 Socioeconomic Deprivation and Structural Disadvantage</w:t>
      </w:r>
    </w:p>
    <w:p w14:paraId="643A3EB5"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Despite its vibrancy, East London is marked by persistent and deep-rooted deprivation. The Ministry of Housing, Communities and Local Government’s English Indices of Deprivation (2019) ranks Tower Hamlets as the second most deprived local authority in England, and Newham suffers some of the highest rates of child poverty and in-work poverty in the capital (Trust for London, 2023). These boroughs also face acute housing insecurity: 18.7% of Newham households are classified as overcrowded, more than four times the national average, and Newham has the highest number of homeless households in temporary accommodation across England (ONS, 2021; Shelter, 2023).</w:t>
      </w:r>
    </w:p>
    <w:p w14:paraId="2984A25D"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Structural disadvantage is not experienced equally. Migrants and BAME groups are disproportionately affected by unemployment, low pay, insecure work, and poor housing. Research shows that migrants with insecure or temporary immigration status are particularly vulnerable, often excluded from mainstream social support due to legal restrictions. These socioeconomic determinants create a context in which health inequalities are not only produced but also entrenched across generations (Marmot et al., 2020).</w:t>
      </w:r>
    </w:p>
    <w:p w14:paraId="60557FE2"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The COVID-19 pandemic further exposed these inequalities, as many migrants and ethnic minorities worked in frontline jobs, faced higher risks of infection, and experienced greater job losses and housing insecurity (PHE, 2020). The pandemic highlighted how existing social and economic vulnerabilities can amplify health risks in times of crisis.</w:t>
      </w:r>
    </w:p>
    <w:p w14:paraId="4B17E07C" w14:textId="03F4982E" w:rsidR="00740928" w:rsidRPr="001F3849" w:rsidRDefault="00740928" w:rsidP="001F3849">
      <w:pPr>
        <w:spacing w:line="360" w:lineRule="auto"/>
        <w:rPr>
          <w:rFonts w:eastAsia="Times New Roman"/>
          <w:sz w:val="24"/>
          <w:szCs w:val="24"/>
        </w:rPr>
      </w:pPr>
    </w:p>
    <w:p w14:paraId="6E0BD7A6"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2.4 Health Inequalities Among Migrants and BAME Communities</w:t>
      </w:r>
    </w:p>
    <w:p w14:paraId="575CFD01"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The literature consistently demonstrates that health disparities are pronounced among migrants and BAME communities in the UK, and particularly in London. Life expectancy in Tower Hamlets is among the lowest in the capital, and the gap in healthy life expectancy between the most and least deprived Londoners has been estimated at up to 15 years (PHE, 2021; GLA, 2022). Chronic diseases are unevenly distributed, with South Asian populations in London experiencing up to six times higher rates of Type 2 diabetes than white British groups, and Black African and Caribbean communities facing elevated risks of hypertension and stroke (Diabetes UK, 2023; PHE, 2017).</w:t>
      </w:r>
    </w:p>
    <w:p w14:paraId="2562F964"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Mental health inequalities are also pronounced. Asylum seekers and refugees are estimated to be five times more likely to experience poor mental health compared to the general UK population, with high levels of depression, anxiety, and post-traumatic stress (Hiam et al., 2018). Migrants often face additional stressors, such as trauma from pre-migration experiences, separation from family, and the psychological burden of adapting to a new environment while navigating complex legal systems.</w:t>
      </w:r>
    </w:p>
    <w:p w14:paraId="610625A0"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Barriers to healthcare are a recurring theme in the literature. According to a 2017 report by Doctors of the World, 61% of surveyed migrants in London reported avoiding care due to fear of immigration checks, data sharing, or charges for NHS services. Migrants subject to “No Recourse to Public Funds” (NRPF) conditions often struggle to register with a GP or access secondary and specialist care, leading to unmet health needs and delayed treatment (NHS England, 2022). Research also documents the cumulative impact of these barriers, as migrants may delay seeking care until conditions become acute, resulting in worse health outcomes and greater strain on emergency services (Potter et al., 2020).</w:t>
      </w:r>
    </w:p>
    <w:p w14:paraId="43DE6316"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The COVID-19 pandemic served as a “stress test” for health systems and revealed the disproportionate impact on BAME and migrant communities. Bangladeshi and Black African populations in London experienced COVID-19 mortality rates twice as high as those of white British groups (ONS, 2020). Overcrowded housing, public-facing employment, and limited access to healthcare all contributed to these disparities, underscoring the urgent need to address the structural roots of health inequality.</w:t>
      </w:r>
    </w:p>
    <w:p w14:paraId="458C156A" w14:textId="522D3FE0" w:rsidR="00740928" w:rsidRPr="001F3849" w:rsidRDefault="00740928" w:rsidP="001F3849">
      <w:pPr>
        <w:spacing w:line="360" w:lineRule="auto"/>
        <w:rPr>
          <w:rFonts w:eastAsia="Times New Roman"/>
          <w:sz w:val="24"/>
          <w:szCs w:val="24"/>
        </w:rPr>
      </w:pPr>
    </w:p>
    <w:p w14:paraId="2A1E55DB"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2.5 Immigration Status as a Social Determinant of Health</w:t>
      </w:r>
    </w:p>
    <w:p w14:paraId="73389A57" w14:textId="77777777" w:rsidR="00A57CA7" w:rsidRPr="00A57CA7" w:rsidRDefault="00A57CA7" w:rsidP="001F3849">
      <w:pPr>
        <w:spacing w:before="100" w:beforeAutospacing="1" w:after="100" w:afterAutospacing="1" w:line="360" w:lineRule="auto"/>
        <w:rPr>
          <w:rFonts w:eastAsia="Times New Roman"/>
          <w:sz w:val="24"/>
          <w:szCs w:val="24"/>
        </w:rPr>
      </w:pPr>
      <w:r w:rsidRPr="00A57CA7">
        <w:rPr>
          <w:rFonts w:eastAsia="Times New Roman"/>
          <w:sz w:val="24"/>
          <w:szCs w:val="24"/>
        </w:rPr>
        <w:t>The Social Determinants of Health (SDH) framework is widely used to understand how health is shaped by the conditions in which people are born, grow, live, work, and age (WHO, 2021; Marmot et al., 2020). Within this framework, immigration status emerges as a critical—yet often overlooked—determinant that intersects with other factors such as ethnicity, gender, and socioeconomic position.</w:t>
      </w:r>
    </w:p>
    <w:p w14:paraId="5D85E1E2" w14:textId="77777777" w:rsidR="00A57CA7" w:rsidRPr="00A57CA7" w:rsidRDefault="00A57CA7" w:rsidP="001F3849">
      <w:pPr>
        <w:spacing w:before="100" w:beforeAutospacing="1" w:after="100" w:afterAutospacing="1" w:line="360" w:lineRule="auto"/>
        <w:rPr>
          <w:rFonts w:eastAsia="Times New Roman"/>
          <w:sz w:val="24"/>
          <w:szCs w:val="24"/>
        </w:rPr>
      </w:pPr>
      <w:r w:rsidRPr="00A57CA7">
        <w:rPr>
          <w:rFonts w:eastAsia="Times New Roman"/>
          <w:sz w:val="24"/>
          <w:szCs w:val="24"/>
        </w:rPr>
        <w:t>Immigration status determines legal rights and entitlements, including the right to work, claim benefits, access healthcare, and remain in the UK. For many migrants, especially those with temporary, precarious, or undocumented status, these limitations have far-reaching consequences:</w:t>
      </w:r>
    </w:p>
    <w:p w14:paraId="743772B1" w14:textId="77777777" w:rsidR="00A57CA7" w:rsidRPr="00A57CA7" w:rsidRDefault="00A57CA7" w:rsidP="001F3849">
      <w:pPr>
        <w:numPr>
          <w:ilvl w:val="0"/>
          <w:numId w:val="24"/>
        </w:numPr>
        <w:spacing w:before="100" w:beforeAutospacing="1" w:after="100" w:afterAutospacing="1" w:line="360" w:lineRule="auto"/>
        <w:rPr>
          <w:rFonts w:eastAsia="Times New Roman"/>
          <w:sz w:val="24"/>
          <w:szCs w:val="24"/>
        </w:rPr>
      </w:pPr>
      <w:r w:rsidRPr="00A57CA7">
        <w:rPr>
          <w:rFonts w:eastAsia="Times New Roman"/>
          <w:b/>
          <w:bCs/>
          <w:sz w:val="24"/>
          <w:szCs w:val="24"/>
        </w:rPr>
        <w:t>Housing:</w:t>
      </w:r>
      <w:r w:rsidRPr="00A57CA7">
        <w:rPr>
          <w:rFonts w:eastAsia="Times New Roman"/>
          <w:sz w:val="24"/>
          <w:szCs w:val="24"/>
        </w:rPr>
        <w:t xml:space="preserve"> Visa restrictions may prevent migrants from accessing social housing, forcing them into overcrowded or substandard accommodation. In Newham, overcrowding is among the highest in England (ONS, 2021).</w:t>
      </w:r>
    </w:p>
    <w:p w14:paraId="0E37D71B" w14:textId="77777777" w:rsidR="00A57CA7" w:rsidRPr="00A57CA7" w:rsidRDefault="00A57CA7" w:rsidP="001F3849">
      <w:pPr>
        <w:numPr>
          <w:ilvl w:val="0"/>
          <w:numId w:val="24"/>
        </w:numPr>
        <w:spacing w:before="100" w:beforeAutospacing="1" w:after="100" w:afterAutospacing="1" w:line="360" w:lineRule="auto"/>
        <w:rPr>
          <w:rFonts w:eastAsia="Times New Roman"/>
          <w:sz w:val="24"/>
          <w:szCs w:val="24"/>
        </w:rPr>
      </w:pPr>
      <w:r w:rsidRPr="00A57CA7">
        <w:rPr>
          <w:rFonts w:eastAsia="Times New Roman"/>
          <w:b/>
          <w:bCs/>
          <w:sz w:val="24"/>
          <w:szCs w:val="24"/>
        </w:rPr>
        <w:t>Employment:</w:t>
      </w:r>
      <w:r w:rsidRPr="00A57CA7">
        <w:rPr>
          <w:rFonts w:eastAsia="Times New Roman"/>
          <w:sz w:val="24"/>
          <w:szCs w:val="24"/>
        </w:rPr>
        <w:t xml:space="preserve"> Migrants with insecure status are often channelled into low-wage, insecure, or informal work with little job security and few protections (Jayaweera, 2019).</w:t>
      </w:r>
    </w:p>
    <w:p w14:paraId="0F43E261" w14:textId="77777777" w:rsidR="00A57CA7" w:rsidRPr="00A57CA7" w:rsidRDefault="00A57CA7" w:rsidP="001F3849">
      <w:pPr>
        <w:numPr>
          <w:ilvl w:val="0"/>
          <w:numId w:val="24"/>
        </w:numPr>
        <w:spacing w:before="100" w:beforeAutospacing="1" w:after="100" w:afterAutospacing="1" w:line="360" w:lineRule="auto"/>
        <w:rPr>
          <w:rFonts w:eastAsia="Times New Roman"/>
          <w:sz w:val="24"/>
          <w:szCs w:val="24"/>
        </w:rPr>
      </w:pPr>
      <w:r w:rsidRPr="00A57CA7">
        <w:rPr>
          <w:rFonts w:eastAsia="Times New Roman"/>
          <w:b/>
          <w:bCs/>
          <w:sz w:val="24"/>
          <w:szCs w:val="24"/>
        </w:rPr>
        <w:t>Income:</w:t>
      </w:r>
      <w:r w:rsidRPr="00A57CA7">
        <w:rPr>
          <w:rFonts w:eastAsia="Times New Roman"/>
          <w:sz w:val="24"/>
          <w:szCs w:val="24"/>
        </w:rPr>
        <w:t xml:space="preserve"> High visa renewal fees and legal costs create significant financial burdens. The cost of an indefinite leave to remain application exceeds £2,800 per person, leading to high levels of debt among migrant families (Hiam et al., 2018).</w:t>
      </w:r>
    </w:p>
    <w:p w14:paraId="3A50663A" w14:textId="77777777" w:rsidR="00A57CA7" w:rsidRPr="00A57CA7" w:rsidRDefault="00A57CA7" w:rsidP="001F3849">
      <w:pPr>
        <w:numPr>
          <w:ilvl w:val="0"/>
          <w:numId w:val="24"/>
        </w:numPr>
        <w:spacing w:before="100" w:beforeAutospacing="1" w:after="100" w:afterAutospacing="1" w:line="360" w:lineRule="auto"/>
        <w:rPr>
          <w:rFonts w:eastAsia="Times New Roman"/>
          <w:sz w:val="24"/>
          <w:szCs w:val="24"/>
        </w:rPr>
      </w:pPr>
      <w:r w:rsidRPr="00A57CA7">
        <w:rPr>
          <w:rFonts w:eastAsia="Times New Roman"/>
          <w:b/>
          <w:bCs/>
          <w:sz w:val="24"/>
          <w:szCs w:val="24"/>
        </w:rPr>
        <w:t>Healthcare Access:</w:t>
      </w:r>
      <w:r w:rsidRPr="00A57CA7">
        <w:rPr>
          <w:rFonts w:eastAsia="Times New Roman"/>
          <w:sz w:val="24"/>
          <w:szCs w:val="24"/>
        </w:rPr>
        <w:t xml:space="preserve"> Eligibility restrictions, complex registration processes, and fear of immigration enforcement deter migrants from seeking care. Migrants with NRPF often cannot access free secondary care or specialist services, resulting in poorer health outcomes and greater unmet needs (Doctors of the World, 2017).</w:t>
      </w:r>
    </w:p>
    <w:p w14:paraId="396E8162" w14:textId="77777777" w:rsidR="00A57CA7" w:rsidRPr="00A57CA7" w:rsidRDefault="00A57CA7" w:rsidP="001F3849">
      <w:pPr>
        <w:numPr>
          <w:ilvl w:val="0"/>
          <w:numId w:val="24"/>
        </w:numPr>
        <w:spacing w:before="100" w:beforeAutospacing="1" w:after="100" w:afterAutospacing="1" w:line="360" w:lineRule="auto"/>
        <w:rPr>
          <w:rFonts w:eastAsia="Times New Roman"/>
          <w:sz w:val="24"/>
          <w:szCs w:val="24"/>
        </w:rPr>
      </w:pPr>
      <w:r w:rsidRPr="00A57CA7">
        <w:rPr>
          <w:rFonts w:eastAsia="Times New Roman"/>
          <w:b/>
          <w:bCs/>
          <w:sz w:val="24"/>
          <w:szCs w:val="24"/>
        </w:rPr>
        <w:t>Psychosocial Stress:</w:t>
      </w:r>
      <w:r w:rsidRPr="00A57CA7">
        <w:rPr>
          <w:rFonts w:eastAsia="Times New Roman"/>
          <w:sz w:val="24"/>
          <w:szCs w:val="24"/>
        </w:rPr>
        <w:t xml:space="preserve"> The threat of removal, prolonged legal uncertainty, discrimination, and daily microaggressions contribute to chronic psychological stress and erode adaptive capacity (Hansen, 2019).</w:t>
      </w:r>
    </w:p>
    <w:p w14:paraId="5F665CEC" w14:textId="77777777" w:rsidR="00A57CA7" w:rsidRPr="00A57CA7" w:rsidRDefault="00A57CA7" w:rsidP="001F3849">
      <w:pPr>
        <w:spacing w:before="100" w:beforeAutospacing="1" w:after="100" w:afterAutospacing="1" w:line="360" w:lineRule="auto"/>
        <w:rPr>
          <w:rFonts w:eastAsia="Times New Roman"/>
          <w:sz w:val="24"/>
          <w:szCs w:val="24"/>
        </w:rPr>
      </w:pPr>
      <w:r w:rsidRPr="00A57CA7">
        <w:rPr>
          <w:rFonts w:eastAsia="Times New Roman"/>
          <w:sz w:val="24"/>
          <w:szCs w:val="24"/>
        </w:rPr>
        <w:t>While these barriers are well documented and have been exacerbated by restrictive policies such as the “Hostile Environment,” it is important to acknowledge that there have also been positive government and NHS initiatives aimed at supporting migrant health and promoting inclusion. For instance, the NHS Constitution affirms that access to healthcare is based on clinical need, not ability to pay or immigration status, and recent guidance has clarified the rights of certain migrant groups—including refugees, asylum seekers, and some undocumented children—to register with a GP without proof of address or identification (NHS England, 2022).</w:t>
      </w:r>
    </w:p>
    <w:p w14:paraId="7507BF25" w14:textId="77777777" w:rsidR="00A57CA7" w:rsidRPr="00A57CA7" w:rsidRDefault="00A57CA7" w:rsidP="001F3849">
      <w:pPr>
        <w:spacing w:before="100" w:beforeAutospacing="1" w:after="100" w:afterAutospacing="1" w:line="360" w:lineRule="auto"/>
        <w:rPr>
          <w:rFonts w:eastAsia="Times New Roman"/>
          <w:sz w:val="24"/>
          <w:szCs w:val="24"/>
        </w:rPr>
      </w:pPr>
      <w:r w:rsidRPr="00A57CA7">
        <w:rPr>
          <w:rFonts w:eastAsia="Times New Roman"/>
          <w:sz w:val="24"/>
          <w:szCs w:val="24"/>
        </w:rPr>
        <w:t>During the COVID-19 pandemic, the UK government took steps to ensure that testing, treatment, and vaccination were available to all, regardless of immigration status, recognising the public health imperative of universal access. The NHS commissioned “migrant health guides” and outreach campaigns, developed in partnership with community organisations, to raise awareness and reduce barriers to care for vulnerable groups (PHE, 2021). Local authorities in London have also piloted initiatives such as specialist health inclusion teams, culturally tailored mental health services, and expanded interpretation provision.</w:t>
      </w:r>
    </w:p>
    <w:p w14:paraId="453CE07B" w14:textId="77777777" w:rsidR="00A57CA7" w:rsidRPr="00A57CA7" w:rsidRDefault="00A57CA7" w:rsidP="001F3849">
      <w:pPr>
        <w:spacing w:before="100" w:beforeAutospacing="1" w:after="100" w:afterAutospacing="1" w:line="360" w:lineRule="auto"/>
        <w:rPr>
          <w:rFonts w:eastAsia="Times New Roman"/>
          <w:sz w:val="24"/>
          <w:szCs w:val="24"/>
        </w:rPr>
      </w:pPr>
      <w:r w:rsidRPr="00A57CA7">
        <w:rPr>
          <w:rFonts w:eastAsia="Times New Roman"/>
          <w:sz w:val="24"/>
          <w:szCs w:val="24"/>
        </w:rPr>
        <w:t>Furthermore, the government’s “New Plan for Immigration” includes some commitments to improved refugee integration and mental health support, although these have been met with both praise and criticism from advocacy groups regarding their scope and implementation.</w:t>
      </w:r>
    </w:p>
    <w:p w14:paraId="4B7CBA35" w14:textId="77777777" w:rsidR="00A57CA7" w:rsidRPr="00A57CA7" w:rsidRDefault="00A57CA7" w:rsidP="001F3849">
      <w:pPr>
        <w:spacing w:before="100" w:beforeAutospacing="1" w:after="100" w:afterAutospacing="1" w:line="360" w:lineRule="auto"/>
        <w:rPr>
          <w:rFonts w:eastAsia="Times New Roman"/>
          <w:sz w:val="24"/>
          <w:szCs w:val="24"/>
        </w:rPr>
      </w:pPr>
      <w:r w:rsidRPr="00A57CA7">
        <w:rPr>
          <w:rFonts w:eastAsia="Times New Roman"/>
          <w:sz w:val="24"/>
          <w:szCs w:val="24"/>
        </w:rPr>
        <w:t>Despite these positive examples, challenges remain in ensuring that policy translates into equitable practice “on the ground.” Many migrants continue to experience confusion about their rights, face administrative and cultural barriers, and remain distrustful of institutions due to past negative experiences. Continued investment in staff training, community partnerships, and monitoring is essential to ensure that rights are upheld and that the benefits of inclusive policy are realised for all migrant communities.</w:t>
      </w:r>
    </w:p>
    <w:p w14:paraId="6C112611" w14:textId="1087EAD2" w:rsidR="00A57CA7" w:rsidRPr="00A57CA7" w:rsidRDefault="00A57CA7" w:rsidP="001F3849">
      <w:pPr>
        <w:spacing w:before="100" w:beforeAutospacing="1" w:after="100" w:afterAutospacing="1" w:line="360" w:lineRule="auto"/>
        <w:rPr>
          <w:rFonts w:eastAsia="Times New Roman"/>
          <w:sz w:val="24"/>
          <w:szCs w:val="24"/>
        </w:rPr>
      </w:pPr>
      <w:r w:rsidRPr="00A57CA7">
        <w:rPr>
          <w:rFonts w:eastAsia="Times New Roman"/>
          <w:sz w:val="24"/>
          <w:szCs w:val="24"/>
        </w:rPr>
        <w:t>In summary, while immigration status remains a structural determinant of health that can create and reinforce vulnerability, there is also evidence of government and NHS efforts to promote health equity and inclusion for migrants. A balanced approach recognises both the urgent need for structural reform and the importance of building on existing positive policies and practices to achieve lasting change.</w:t>
      </w:r>
    </w:p>
    <w:p w14:paraId="62D881ED" w14:textId="77777777" w:rsidR="00A57CA7" w:rsidRPr="001F3849" w:rsidRDefault="00A57CA7" w:rsidP="001F3849">
      <w:pPr>
        <w:spacing w:before="100" w:beforeAutospacing="1" w:after="100" w:afterAutospacing="1" w:line="360" w:lineRule="auto"/>
        <w:outlineLvl w:val="2"/>
        <w:rPr>
          <w:rFonts w:eastAsia="Times New Roman"/>
          <w:b/>
          <w:bCs/>
          <w:sz w:val="24"/>
          <w:szCs w:val="24"/>
        </w:rPr>
      </w:pPr>
    </w:p>
    <w:p w14:paraId="34C89AEE"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2.6 Theoretical and Conceptual Frameworks</w:t>
      </w:r>
    </w:p>
    <w:p w14:paraId="0EEC6FDC"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This review draws on several interrelated theoretical perspectives:</w:t>
      </w:r>
    </w:p>
    <w:p w14:paraId="1F8C04C5" w14:textId="66C5629F" w:rsidR="00740928" w:rsidRPr="001F3849" w:rsidRDefault="00740928" w:rsidP="001F3849">
      <w:pPr>
        <w:numPr>
          <w:ilvl w:val="0"/>
          <w:numId w:val="9"/>
        </w:numPr>
        <w:spacing w:before="100" w:beforeAutospacing="1" w:after="100" w:afterAutospacing="1" w:line="360" w:lineRule="auto"/>
        <w:rPr>
          <w:rFonts w:eastAsia="Times New Roman"/>
          <w:sz w:val="24"/>
          <w:szCs w:val="24"/>
        </w:rPr>
      </w:pPr>
      <w:r w:rsidRPr="001F3849">
        <w:rPr>
          <w:rFonts w:eastAsia="Times New Roman"/>
          <w:b/>
          <w:bCs/>
          <w:sz w:val="24"/>
          <w:szCs w:val="24"/>
        </w:rPr>
        <w:t>Social Determinants of Health (SDH):</w:t>
      </w:r>
      <w:r w:rsidRPr="001F3849">
        <w:rPr>
          <w:rFonts w:eastAsia="Times New Roman"/>
          <w:sz w:val="24"/>
          <w:szCs w:val="24"/>
        </w:rPr>
        <w:t xml:space="preserve"> The SDH model provides a comprehensive framework for understanding how structural factors and social policies produce health inequalities. It emphasises the importance of upstream determinants—such as housing, employment, and legal status</w:t>
      </w:r>
      <w:r w:rsidR="002230B7" w:rsidRPr="001F3849">
        <w:rPr>
          <w:rFonts w:eastAsia="Times New Roman"/>
          <w:sz w:val="24"/>
          <w:szCs w:val="24"/>
        </w:rPr>
        <w:t xml:space="preserve"> </w:t>
      </w:r>
      <w:r w:rsidRPr="001F3849">
        <w:rPr>
          <w:rFonts w:eastAsia="Times New Roman"/>
          <w:sz w:val="24"/>
          <w:szCs w:val="24"/>
        </w:rPr>
        <w:t>over individual behaviours in shaping health outcomes (Marmot et al., 2020).</w:t>
      </w:r>
    </w:p>
    <w:p w14:paraId="599FB5BC" w14:textId="77777777" w:rsidR="00740928" w:rsidRPr="001F3849" w:rsidRDefault="00740928" w:rsidP="001F3849">
      <w:pPr>
        <w:numPr>
          <w:ilvl w:val="0"/>
          <w:numId w:val="9"/>
        </w:numPr>
        <w:spacing w:before="100" w:beforeAutospacing="1" w:after="100" w:afterAutospacing="1" w:line="360" w:lineRule="auto"/>
        <w:rPr>
          <w:rFonts w:eastAsia="Times New Roman"/>
          <w:sz w:val="24"/>
          <w:szCs w:val="24"/>
        </w:rPr>
      </w:pPr>
      <w:r w:rsidRPr="001F3849">
        <w:rPr>
          <w:rFonts w:eastAsia="Times New Roman"/>
          <w:b/>
          <w:bCs/>
          <w:sz w:val="24"/>
          <w:szCs w:val="24"/>
        </w:rPr>
        <w:t>Interpretivism:</w:t>
      </w:r>
      <w:r w:rsidRPr="001F3849">
        <w:rPr>
          <w:rFonts w:eastAsia="Times New Roman"/>
          <w:sz w:val="24"/>
          <w:szCs w:val="24"/>
        </w:rPr>
        <w:t xml:space="preserve"> This paradigm focuses on how individuals interpret and make sense of their experiences. For migrants, interpretivist approaches reveal how legal precarity, uncertainty, and marginalisation are subjectively experienced and negotiated (Bryman, 2016).</w:t>
      </w:r>
    </w:p>
    <w:p w14:paraId="5F0BC1AA" w14:textId="77777777" w:rsidR="00740928" w:rsidRPr="001F3849" w:rsidRDefault="00740928" w:rsidP="001F3849">
      <w:pPr>
        <w:numPr>
          <w:ilvl w:val="0"/>
          <w:numId w:val="9"/>
        </w:numPr>
        <w:spacing w:before="100" w:beforeAutospacing="1" w:after="100" w:afterAutospacing="1" w:line="360" w:lineRule="auto"/>
        <w:rPr>
          <w:rFonts w:eastAsia="Times New Roman"/>
          <w:sz w:val="24"/>
          <w:szCs w:val="24"/>
        </w:rPr>
      </w:pPr>
      <w:r w:rsidRPr="001F3849">
        <w:rPr>
          <w:rFonts w:eastAsia="Times New Roman"/>
          <w:b/>
          <w:bCs/>
          <w:sz w:val="24"/>
          <w:szCs w:val="24"/>
        </w:rPr>
        <w:t>Social Constructionism:</w:t>
      </w:r>
      <w:r w:rsidRPr="001F3849">
        <w:rPr>
          <w:rFonts w:eastAsia="Times New Roman"/>
          <w:sz w:val="24"/>
          <w:szCs w:val="24"/>
        </w:rPr>
        <w:t xml:space="preserve"> Social constructionism draws attention to the ways in which categories such as “migrant” or “BAME” are constructed and maintained through discourses, policies, and institutional practices (Burr, 2015). This perspective is useful for critiquing essentialist notions of ethnicity and understanding how policy shapes lived experience.</w:t>
      </w:r>
    </w:p>
    <w:p w14:paraId="611184D3" w14:textId="5F307D68" w:rsidR="00740928" w:rsidRPr="001F3849" w:rsidRDefault="00740928" w:rsidP="001F3849">
      <w:pPr>
        <w:numPr>
          <w:ilvl w:val="0"/>
          <w:numId w:val="9"/>
        </w:numPr>
        <w:spacing w:before="100" w:beforeAutospacing="1" w:after="100" w:afterAutospacing="1" w:line="360" w:lineRule="auto"/>
        <w:rPr>
          <w:rFonts w:eastAsia="Times New Roman"/>
          <w:sz w:val="24"/>
          <w:szCs w:val="24"/>
        </w:rPr>
      </w:pPr>
      <w:r w:rsidRPr="001F3849">
        <w:rPr>
          <w:rFonts w:eastAsia="Times New Roman"/>
          <w:b/>
          <w:bCs/>
          <w:sz w:val="24"/>
          <w:szCs w:val="24"/>
        </w:rPr>
        <w:t>Intersectionality:</w:t>
      </w:r>
      <w:r w:rsidRPr="001F3849">
        <w:rPr>
          <w:rFonts w:eastAsia="Times New Roman"/>
          <w:sz w:val="24"/>
          <w:szCs w:val="24"/>
        </w:rPr>
        <w:t xml:space="preserve"> Coined by Crenshaw (1989), intersectionality analyses how overlapping axes of identity and oppression</w:t>
      </w:r>
      <w:r w:rsidR="002230B7" w:rsidRPr="001F3849">
        <w:rPr>
          <w:rFonts w:eastAsia="Times New Roman"/>
          <w:sz w:val="24"/>
          <w:szCs w:val="24"/>
        </w:rPr>
        <w:t xml:space="preserve">, such as race, class, gender, and legal status, </w:t>
      </w:r>
      <w:r w:rsidRPr="001F3849">
        <w:rPr>
          <w:rFonts w:eastAsia="Times New Roman"/>
          <w:sz w:val="24"/>
          <w:szCs w:val="24"/>
        </w:rPr>
        <w:t xml:space="preserve">produce unique vulnerabilities. For example, a woman of Bangladeshi origin with </w:t>
      </w:r>
      <w:r w:rsidR="000E2A53" w:rsidRPr="001F3849">
        <w:rPr>
          <w:rFonts w:eastAsia="Times New Roman"/>
          <w:sz w:val="24"/>
          <w:szCs w:val="24"/>
        </w:rPr>
        <w:t xml:space="preserve">an </w:t>
      </w:r>
      <w:r w:rsidRPr="001F3849">
        <w:rPr>
          <w:rFonts w:eastAsia="Times New Roman"/>
          <w:sz w:val="24"/>
          <w:szCs w:val="24"/>
        </w:rPr>
        <w:t>insecure immigration status in Tower Hamlets may face distinct challenges not experienced by other groups.</w:t>
      </w:r>
    </w:p>
    <w:p w14:paraId="78218C55" w14:textId="77777777" w:rsidR="00740928" w:rsidRPr="001F3849" w:rsidRDefault="00740928" w:rsidP="001F3849">
      <w:pPr>
        <w:numPr>
          <w:ilvl w:val="0"/>
          <w:numId w:val="9"/>
        </w:numPr>
        <w:spacing w:before="100" w:beforeAutospacing="1" w:after="100" w:afterAutospacing="1" w:line="360" w:lineRule="auto"/>
        <w:rPr>
          <w:rFonts w:eastAsia="Times New Roman"/>
          <w:sz w:val="24"/>
          <w:szCs w:val="24"/>
        </w:rPr>
      </w:pPr>
      <w:r w:rsidRPr="001F3849">
        <w:rPr>
          <w:rFonts w:eastAsia="Times New Roman"/>
          <w:b/>
          <w:bCs/>
          <w:sz w:val="24"/>
          <w:szCs w:val="24"/>
        </w:rPr>
        <w:t>Structural Violence:</w:t>
      </w:r>
      <w:r w:rsidRPr="001F3849">
        <w:rPr>
          <w:rFonts w:eastAsia="Times New Roman"/>
          <w:sz w:val="24"/>
          <w:szCs w:val="24"/>
        </w:rPr>
        <w:t xml:space="preserve"> Farmer (2004) argues that social structures and policies can produce harm by systematically limiting opportunities and access to resources for certain populations. In the context of UK immigration policy, structural violence is evident in the exclusion of migrants from essential services and the normalisation of precarity.</w:t>
      </w:r>
    </w:p>
    <w:p w14:paraId="3A11987C" w14:textId="6247E8F4"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Together, these frameworks inform a holistic understanding of how health is shaped not just by individual choices but by the complex interplay of social, structural, and policy factors.</w:t>
      </w:r>
    </w:p>
    <w:p w14:paraId="50138D69" w14:textId="313392B5" w:rsidR="00740928" w:rsidRPr="001F3849" w:rsidRDefault="00740928" w:rsidP="001F3849">
      <w:pPr>
        <w:spacing w:line="360" w:lineRule="auto"/>
        <w:rPr>
          <w:rFonts w:eastAsia="Times New Roman"/>
          <w:sz w:val="24"/>
          <w:szCs w:val="24"/>
        </w:rPr>
      </w:pPr>
    </w:p>
    <w:p w14:paraId="1924D01C"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2.7 The Impact of UK Immigration Policy and the “Hostile Environment”</w:t>
      </w:r>
    </w:p>
    <w:p w14:paraId="34508948"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The UK’s immigration system has become increasingly restrictive over the past decade, most notably through the introduction of the “hostile environment” policy framework. This set of measures, introduced in 2012, aims to make life as difficult as possible for those without regularised immigration status by restricting access to employment, housing, healthcare, banking, and driving licences (Yuval-Davis et al., 2019). Policies such as NHS charging for overseas visitors, data sharing between the NHS and the Home Office, and the expansion of NRPF conditions have created additional barriers to healthcare and social support.</w:t>
      </w:r>
    </w:p>
    <w:p w14:paraId="10AF5119"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Empirical studies document the chilling effect of these policies on health-seeking behaviour. Many migrants now avoid healthcare out of fear that their data will be shared with immigration enforcement, leading to further exclusion and delayed treatment (Doctors of the World, 2017). The experience of living under the hostile environment has also been linked to chronic psychological stress, feelings of exclusion, and social isolation (Potter et al., 2020).</w:t>
      </w:r>
    </w:p>
    <w:p w14:paraId="71BAE88D" w14:textId="77777777" w:rsidR="007B45EC"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The impact of the hostile environment is particularly acute in super-diverse, deprived areas like East London, where residents are heavily reliant on public services and voluntary sector organisations for support. The COVID-19 pandemic exposed the danger of exclusionary policies, as many migrants were unable or unwilling to access healthcare, testing, or vaccination services due to fear of repercussions (PHE, 2020). These findings underscore the need for policy reform that prioritises health equity and the rights of all residents</w:t>
      </w:r>
    </w:p>
    <w:p w14:paraId="57954CF7" w14:textId="2A785C50" w:rsidR="00740928" w:rsidRPr="001F3849" w:rsidRDefault="00740928" w:rsidP="001F3849">
      <w:pPr>
        <w:spacing w:before="100" w:beforeAutospacing="1" w:after="100" w:afterAutospacing="1" w:line="360" w:lineRule="auto"/>
        <w:rPr>
          <w:rFonts w:eastAsia="Times New Roman"/>
          <w:sz w:val="24"/>
          <w:szCs w:val="24"/>
        </w:rPr>
      </w:pPr>
    </w:p>
    <w:p w14:paraId="15B68FE7"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2.8 The Role of Community and Voluntary Sector Organisations</w:t>
      </w:r>
    </w:p>
    <w:p w14:paraId="17BB412D"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Community and voluntary sector organisations (VSOs) play a crucial role in mitigating some of the negative effects of structural disadvantage and hostile policy environments. VSOs often act as bridges between migrants and formal health and social care systems. They provide information, advocacy, language support, and culturally appropriate services, helping migrants navigate complex legal and bureaucratic systems (Phillimore et al., 2020).</w:t>
      </w:r>
    </w:p>
    <w:p w14:paraId="05C00DEE"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However, VSOs themselves face significant challenges. Funding cuts, increased demand, and political pressures have constrained their capacity to support the most vulnerable. Despite these obstacles, their work remains vital, particularly in super-diverse areas like East London, where statutory services are often overstretched or inaccessible to migrants with precarious status (Dixon-Woods et al., 2018).</w:t>
      </w:r>
    </w:p>
    <w:p w14:paraId="33E307E1" w14:textId="0A533858" w:rsidR="00740928" w:rsidRPr="001F3849" w:rsidRDefault="00740928" w:rsidP="001F3849">
      <w:pPr>
        <w:spacing w:line="360" w:lineRule="auto"/>
        <w:rPr>
          <w:rFonts w:eastAsia="Times New Roman"/>
          <w:sz w:val="24"/>
          <w:szCs w:val="24"/>
        </w:rPr>
      </w:pPr>
    </w:p>
    <w:p w14:paraId="27B200DB"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2.9 Gaps and Limitations in the Literature</w:t>
      </w:r>
    </w:p>
    <w:p w14:paraId="72D79B49"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Although the literature on migration, ethnicity, and health in the UK is extensive, several key gaps persist:</w:t>
      </w:r>
    </w:p>
    <w:p w14:paraId="546D3588" w14:textId="77777777" w:rsidR="00740928" w:rsidRPr="001F3849" w:rsidRDefault="00740928" w:rsidP="001F3849">
      <w:pPr>
        <w:numPr>
          <w:ilvl w:val="0"/>
          <w:numId w:val="10"/>
        </w:numPr>
        <w:spacing w:before="100" w:beforeAutospacing="1" w:after="100" w:afterAutospacing="1" w:line="360" w:lineRule="auto"/>
        <w:rPr>
          <w:rFonts w:eastAsia="Times New Roman"/>
          <w:sz w:val="24"/>
          <w:szCs w:val="24"/>
        </w:rPr>
      </w:pPr>
      <w:r w:rsidRPr="001F3849">
        <w:rPr>
          <w:rFonts w:eastAsia="Times New Roman"/>
          <w:b/>
          <w:bCs/>
          <w:sz w:val="24"/>
          <w:szCs w:val="24"/>
        </w:rPr>
        <w:t>Overreliance on Quantitative Data:</w:t>
      </w:r>
      <w:r w:rsidRPr="001F3849">
        <w:rPr>
          <w:rFonts w:eastAsia="Times New Roman"/>
          <w:sz w:val="24"/>
          <w:szCs w:val="24"/>
        </w:rPr>
        <w:t xml:space="preserve"> Much existing research relies on large-scale surveys and administrative data, which are valuable for mapping patterns but often fail to capture the complexity of lived experience (Salway et al., 2016).</w:t>
      </w:r>
    </w:p>
    <w:p w14:paraId="7CAB7F8A" w14:textId="77777777" w:rsidR="00740928" w:rsidRPr="001F3849" w:rsidRDefault="00740928" w:rsidP="001F3849">
      <w:pPr>
        <w:numPr>
          <w:ilvl w:val="0"/>
          <w:numId w:val="10"/>
        </w:numPr>
        <w:spacing w:before="100" w:beforeAutospacing="1" w:after="100" w:afterAutospacing="1" w:line="360" w:lineRule="auto"/>
        <w:rPr>
          <w:rFonts w:eastAsia="Times New Roman"/>
          <w:sz w:val="24"/>
          <w:szCs w:val="24"/>
        </w:rPr>
      </w:pPr>
      <w:r w:rsidRPr="001F3849">
        <w:rPr>
          <w:rFonts w:eastAsia="Times New Roman"/>
          <w:b/>
          <w:bCs/>
          <w:sz w:val="24"/>
          <w:szCs w:val="24"/>
        </w:rPr>
        <w:t>Limited Focus on Lived Experience:</w:t>
      </w:r>
      <w:r w:rsidRPr="001F3849">
        <w:rPr>
          <w:rFonts w:eastAsia="Times New Roman"/>
          <w:sz w:val="24"/>
          <w:szCs w:val="24"/>
        </w:rPr>
        <w:t xml:space="preserve"> There is a lack of in-depth qualitative research that centres the voices of migrants themselves, particularly in relation to how they navigate health systems, experience legal precarity, and manage chronic stress (Crawshaw et al., 2021).</w:t>
      </w:r>
    </w:p>
    <w:p w14:paraId="5A48C8DE" w14:textId="77777777" w:rsidR="00740928" w:rsidRPr="001F3849" w:rsidRDefault="00740928" w:rsidP="001F3849">
      <w:pPr>
        <w:numPr>
          <w:ilvl w:val="0"/>
          <w:numId w:val="10"/>
        </w:numPr>
        <w:spacing w:before="100" w:beforeAutospacing="1" w:after="100" w:afterAutospacing="1" w:line="360" w:lineRule="auto"/>
        <w:rPr>
          <w:rFonts w:eastAsia="Times New Roman"/>
          <w:sz w:val="24"/>
          <w:szCs w:val="24"/>
        </w:rPr>
      </w:pPr>
      <w:r w:rsidRPr="001F3849">
        <w:rPr>
          <w:rFonts w:eastAsia="Times New Roman"/>
          <w:b/>
          <w:bCs/>
          <w:sz w:val="24"/>
          <w:szCs w:val="24"/>
        </w:rPr>
        <w:t>Conflation of Ethnicity and Migration:</w:t>
      </w:r>
      <w:r w:rsidRPr="001F3849">
        <w:rPr>
          <w:rFonts w:eastAsia="Times New Roman"/>
          <w:sz w:val="24"/>
          <w:szCs w:val="24"/>
        </w:rPr>
        <w:t xml:space="preserve"> Many studies fail to distinguish between UK-born BAME individuals and non-UK-born migrants, obscuring the specific vulnerabilities associated with immigration status (Virdee, 2020).</w:t>
      </w:r>
    </w:p>
    <w:p w14:paraId="354ED0AE" w14:textId="77777777" w:rsidR="00740928" w:rsidRPr="001F3849" w:rsidRDefault="00740928" w:rsidP="001F3849">
      <w:pPr>
        <w:numPr>
          <w:ilvl w:val="0"/>
          <w:numId w:val="10"/>
        </w:numPr>
        <w:spacing w:before="100" w:beforeAutospacing="1" w:after="100" w:afterAutospacing="1" w:line="360" w:lineRule="auto"/>
        <w:rPr>
          <w:rFonts w:eastAsia="Times New Roman"/>
          <w:sz w:val="24"/>
          <w:szCs w:val="24"/>
        </w:rPr>
      </w:pPr>
      <w:r w:rsidRPr="001F3849">
        <w:rPr>
          <w:rFonts w:eastAsia="Times New Roman"/>
          <w:b/>
          <w:bCs/>
          <w:sz w:val="24"/>
          <w:szCs w:val="24"/>
        </w:rPr>
        <w:t>Mechanistic Gaps:</w:t>
      </w:r>
      <w:r w:rsidRPr="001F3849">
        <w:rPr>
          <w:rFonts w:eastAsia="Times New Roman"/>
          <w:sz w:val="24"/>
          <w:szCs w:val="24"/>
        </w:rPr>
        <w:t xml:space="preserve"> Few studies explain the mechanisms by which legal insecurity, discrimination, and policy environments are embodied and translated into adverse health outcomes (Hansen, 2019).</w:t>
      </w:r>
    </w:p>
    <w:p w14:paraId="2BA8697F" w14:textId="77777777" w:rsidR="00740928" w:rsidRPr="001F3849" w:rsidRDefault="00740928" w:rsidP="001F3849">
      <w:pPr>
        <w:numPr>
          <w:ilvl w:val="0"/>
          <w:numId w:val="10"/>
        </w:numPr>
        <w:spacing w:before="100" w:beforeAutospacing="1" w:after="100" w:afterAutospacing="1" w:line="360" w:lineRule="auto"/>
        <w:rPr>
          <w:rFonts w:eastAsia="Times New Roman"/>
          <w:sz w:val="24"/>
          <w:szCs w:val="24"/>
        </w:rPr>
      </w:pPr>
      <w:r w:rsidRPr="001F3849">
        <w:rPr>
          <w:rFonts w:eastAsia="Times New Roman"/>
          <w:b/>
          <w:bCs/>
          <w:sz w:val="24"/>
          <w:szCs w:val="24"/>
        </w:rPr>
        <w:t>Underrepresentation of Intersectionality:</w:t>
      </w:r>
      <w:r w:rsidRPr="001F3849">
        <w:rPr>
          <w:rFonts w:eastAsia="Times New Roman"/>
          <w:sz w:val="24"/>
          <w:szCs w:val="24"/>
        </w:rPr>
        <w:t xml:space="preserve"> Research often overlooks the ways in which multiple identities and oppressions interact to shape health, leading to incomplete analyses and potentially misleading conclusions (Crenshaw, 1989).</w:t>
      </w:r>
    </w:p>
    <w:p w14:paraId="76E3EF25" w14:textId="77777777" w:rsidR="00740928" w:rsidRPr="001F3849" w:rsidRDefault="00740928" w:rsidP="001F3849">
      <w:pPr>
        <w:spacing w:before="100" w:beforeAutospacing="1" w:after="100" w:afterAutospacing="1" w:line="360" w:lineRule="auto"/>
        <w:rPr>
          <w:rFonts w:eastAsia="Times New Roman"/>
          <w:sz w:val="24"/>
          <w:szCs w:val="24"/>
        </w:rPr>
      </w:pPr>
      <w:r w:rsidRPr="001F3849">
        <w:rPr>
          <w:rFonts w:eastAsia="Times New Roman"/>
          <w:sz w:val="24"/>
          <w:szCs w:val="24"/>
        </w:rPr>
        <w:t>Recent qualitative studies are beginning to fill some of these gaps, revealing how uncertainty, discrimination, and fear of deportation are deeply felt and embodied in daily life (Phillimore et al., 2020). However, further research is needed to understand the cumulative, intersecting effects of policy, place, and identity on health.</w:t>
      </w:r>
    </w:p>
    <w:p w14:paraId="215A5F9F" w14:textId="35050EFE" w:rsidR="00740928" w:rsidRPr="001F3849" w:rsidRDefault="00740928" w:rsidP="001F3849">
      <w:pPr>
        <w:spacing w:line="360" w:lineRule="auto"/>
        <w:rPr>
          <w:rFonts w:eastAsia="Times New Roman"/>
          <w:sz w:val="24"/>
          <w:szCs w:val="24"/>
        </w:rPr>
      </w:pPr>
    </w:p>
    <w:p w14:paraId="23130FEF" w14:textId="77777777" w:rsidR="00740928" w:rsidRPr="001F3849" w:rsidRDefault="00740928"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2.10 Chapter Summary</w:t>
      </w:r>
    </w:p>
    <w:p w14:paraId="63A956BE" w14:textId="6272876F" w:rsidR="006311D1" w:rsidRPr="001F3849" w:rsidRDefault="001833F9" w:rsidP="001F3849">
      <w:pPr>
        <w:pStyle w:val="gds-typography"/>
        <w:spacing w:line="360" w:lineRule="auto"/>
        <w:rPr>
          <w:rFonts w:ascii="Arial" w:hAnsi="Arial" w:cs="Arial"/>
          <w:lang w:val="en-GB"/>
        </w:rPr>
      </w:pPr>
      <w:r w:rsidRPr="001F3849">
        <w:rPr>
          <w:rFonts w:ascii="Arial" w:hAnsi="Arial" w:cs="Arial"/>
          <w:lang w:val="en-GB"/>
        </w:rPr>
        <w:t>T</w:t>
      </w:r>
      <w:r w:rsidR="006311D1" w:rsidRPr="001F3849">
        <w:rPr>
          <w:rFonts w:ascii="Arial" w:hAnsi="Arial" w:cs="Arial"/>
          <w:lang w:val="en-GB"/>
        </w:rPr>
        <w:t>his review has demonstrated that health inequalities among migrants and BAME populations in London</w:t>
      </w:r>
      <w:r w:rsidRPr="001F3849">
        <w:rPr>
          <w:rFonts w:ascii="Arial" w:hAnsi="Arial" w:cs="Arial"/>
          <w:lang w:val="en-GB"/>
        </w:rPr>
        <w:t>, and especially in East London,</w:t>
      </w:r>
      <w:r w:rsidR="00A85218" w:rsidRPr="001F3849">
        <w:rPr>
          <w:rFonts w:ascii="Arial" w:hAnsi="Arial" w:cs="Arial"/>
          <w:lang w:val="en-GB"/>
        </w:rPr>
        <w:t xml:space="preserve"> </w:t>
      </w:r>
      <w:r w:rsidR="006311D1" w:rsidRPr="001F3849">
        <w:rPr>
          <w:rFonts w:ascii="Arial" w:hAnsi="Arial" w:cs="Arial"/>
          <w:lang w:val="en-GB"/>
        </w:rPr>
        <w:t>are the outcome of a complex interplay of structural, socioeconomic, and policy-driven factors. The evidence consistently shows that immigration status is not a peripheral or merely administrative concern; rather, it is a central social determinant that profoundly shapes access to resources, exposures to risk, and ultimately, patterns of illness and wellbeing. When coupled with ethnicity, deprivation, and experiences of discrimination, immigration status compounds disadvantage, resulting in stark disparities in both physical and mental health outcomes.</w:t>
      </w:r>
    </w:p>
    <w:p w14:paraId="7271AB4F" w14:textId="0D9046BD" w:rsidR="006311D1" w:rsidRPr="001F3849" w:rsidRDefault="006311D1" w:rsidP="001F3849">
      <w:pPr>
        <w:pStyle w:val="gds-typography"/>
        <w:spacing w:line="360" w:lineRule="auto"/>
        <w:rPr>
          <w:rFonts w:ascii="Arial" w:hAnsi="Arial" w:cs="Arial"/>
          <w:lang w:val="en-GB"/>
        </w:rPr>
      </w:pPr>
      <w:r w:rsidRPr="001F3849">
        <w:rPr>
          <w:rFonts w:ascii="Arial" w:hAnsi="Arial" w:cs="Arial"/>
          <w:lang w:val="en-GB"/>
        </w:rPr>
        <w:t>The literature highlights the multi-layered barriers faced by migrants and ethnic minorities, including housing insecurity, precarious employment, chronic financial stress, and limited access to healthcare. These challenges are exacerbated by restrictive immigration policies</w:t>
      </w:r>
      <w:r w:rsidR="00A85218" w:rsidRPr="001F3849">
        <w:rPr>
          <w:rFonts w:ascii="Arial" w:hAnsi="Arial" w:cs="Arial"/>
          <w:lang w:val="en-GB"/>
        </w:rPr>
        <w:t xml:space="preserve"> </w:t>
      </w:r>
      <w:r w:rsidRPr="001F3849">
        <w:rPr>
          <w:rFonts w:ascii="Arial" w:hAnsi="Arial" w:cs="Arial"/>
          <w:lang w:val="en-GB"/>
        </w:rPr>
        <w:t>especially those constituting the UK’s “hostile environment”</w:t>
      </w:r>
      <w:r w:rsidR="00A85218" w:rsidRPr="001F3849">
        <w:rPr>
          <w:rFonts w:ascii="Arial" w:hAnsi="Arial" w:cs="Arial"/>
          <w:lang w:val="en-GB"/>
        </w:rPr>
        <w:t xml:space="preserve"> </w:t>
      </w:r>
      <w:r w:rsidRPr="001F3849">
        <w:rPr>
          <w:rFonts w:ascii="Arial" w:hAnsi="Arial" w:cs="Arial"/>
          <w:lang w:val="en-GB"/>
        </w:rPr>
        <w:t>that create an atmosphere of uncertainty, fear, and exclusion. The role of community and voluntary sector organisations as critical intermediaries is well-recognised, but their capacity is increasingly stretched in the face of rising demand and austerity.</w:t>
      </w:r>
    </w:p>
    <w:p w14:paraId="0DC5F24F" w14:textId="386CBEE9" w:rsidR="006311D1" w:rsidRPr="001F3849" w:rsidRDefault="006311D1" w:rsidP="001F3849">
      <w:pPr>
        <w:pStyle w:val="gds-typography"/>
        <w:spacing w:line="360" w:lineRule="auto"/>
        <w:rPr>
          <w:rFonts w:ascii="Arial" w:hAnsi="Arial" w:cs="Arial"/>
          <w:lang w:val="en-GB"/>
        </w:rPr>
      </w:pPr>
      <w:r w:rsidRPr="001F3849">
        <w:rPr>
          <w:rFonts w:ascii="Arial" w:hAnsi="Arial" w:cs="Arial"/>
          <w:lang w:val="en-GB"/>
        </w:rPr>
        <w:t>While existing quantitative research has been instrumental in mapping the scale and distribution of health inequalities, it often fails to capture the lived realities and adaptive strategies of those most affected. There is a notable scarcity of qualitative, interpretivist research that foregrounds the voices of adult migrants from BAME backgrounds</w:t>
      </w:r>
      <w:r w:rsidR="001833F9" w:rsidRPr="001F3849">
        <w:rPr>
          <w:rFonts w:ascii="Arial" w:hAnsi="Arial" w:cs="Arial"/>
          <w:lang w:val="en-GB"/>
        </w:rPr>
        <w:t>, which</w:t>
      </w:r>
      <w:r w:rsidRPr="001F3849">
        <w:rPr>
          <w:rFonts w:ascii="Arial" w:hAnsi="Arial" w:cs="Arial"/>
          <w:lang w:val="en-GB"/>
        </w:rPr>
        <w:t xml:space="preserve"> is vital for illuminating the mechanisms by which legal precarity, structural violence, and intersectional oppressions are embodied and navigated in daily life. The lack of intersectional analyses and focus on lived experience represents a significant gap in the literature.</w:t>
      </w:r>
    </w:p>
    <w:p w14:paraId="7DED76DE" w14:textId="77777777" w:rsidR="006311D1" w:rsidRPr="001F3849" w:rsidRDefault="006311D1" w:rsidP="001F3849">
      <w:pPr>
        <w:pStyle w:val="gds-typography"/>
        <w:spacing w:line="360" w:lineRule="auto"/>
        <w:rPr>
          <w:rFonts w:ascii="Arial" w:hAnsi="Arial" w:cs="Arial"/>
          <w:lang w:val="en-GB"/>
        </w:rPr>
      </w:pPr>
      <w:r w:rsidRPr="001F3849">
        <w:rPr>
          <w:rFonts w:ascii="Arial" w:hAnsi="Arial" w:cs="Arial"/>
          <w:lang w:val="en-GB"/>
        </w:rPr>
        <w:t>Theoretically, the chapter has shown the value of integrating the Social Determinants of Health framework with interpretivist and social constructionist approaches, as well as concepts such as intersectionality and structural violence. This multidimensional perspective allows for a more nuanced understanding of how health inequalities are produced not only by policy and structures but also by subjective experience, identity formation, and everyday coping.</w:t>
      </w:r>
    </w:p>
    <w:p w14:paraId="19F62F5E" w14:textId="77777777" w:rsidR="006311D1" w:rsidRPr="001F3849" w:rsidRDefault="006311D1" w:rsidP="001F3849">
      <w:pPr>
        <w:pStyle w:val="gds-typography"/>
        <w:spacing w:line="360" w:lineRule="auto"/>
        <w:rPr>
          <w:rFonts w:ascii="Arial" w:hAnsi="Arial" w:cs="Arial"/>
          <w:lang w:val="en-GB"/>
        </w:rPr>
      </w:pPr>
      <w:r w:rsidRPr="001F3849">
        <w:rPr>
          <w:rFonts w:ascii="Arial" w:hAnsi="Arial" w:cs="Arial"/>
          <w:lang w:val="en-GB"/>
        </w:rPr>
        <w:t>In summary, the reviewed literature underscores the urgent need for research that moves beyond descriptive statistics and policy critique to engage directly with the personal and collective narratives of those living at the intersection of migration, ethnicity, and deprivation in super-diverse urban contexts. By addressing these gaps, the present study aims to contribute new insights into the processes that generate and sustain health inequalities among BAME adult migrants in East London. The following chapter details the methodological approach employed to capture these complex experiences, ensuring that the research is both contextually grounded and analytically rigorous.</w:t>
      </w:r>
    </w:p>
    <w:p w14:paraId="2CF8A6B9" w14:textId="77777777" w:rsidR="00A33369" w:rsidRPr="001F3849" w:rsidRDefault="00A33369" w:rsidP="001F3849">
      <w:pPr>
        <w:spacing w:line="360" w:lineRule="auto"/>
        <w:rPr>
          <w:rFonts w:eastAsia="Times New Roman"/>
          <w:b/>
          <w:bCs/>
          <w:sz w:val="24"/>
          <w:szCs w:val="24"/>
        </w:rPr>
      </w:pPr>
      <w:r w:rsidRPr="001F3849">
        <w:rPr>
          <w:rFonts w:eastAsia="Times New Roman"/>
          <w:b/>
          <w:bCs/>
          <w:sz w:val="24"/>
          <w:szCs w:val="24"/>
        </w:rPr>
        <w:br w:type="page"/>
      </w:r>
    </w:p>
    <w:p w14:paraId="64B52E43" w14:textId="10E49A1B" w:rsidR="00FC1179" w:rsidRPr="001F3849" w:rsidRDefault="00FC1179" w:rsidP="001F3849">
      <w:pPr>
        <w:spacing w:before="100" w:beforeAutospacing="1" w:after="100" w:afterAutospacing="1" w:line="360" w:lineRule="auto"/>
        <w:outlineLvl w:val="1"/>
        <w:rPr>
          <w:rFonts w:eastAsia="Times New Roman"/>
          <w:b/>
          <w:bCs/>
          <w:sz w:val="24"/>
          <w:szCs w:val="24"/>
        </w:rPr>
      </w:pPr>
      <w:r w:rsidRPr="001F3849">
        <w:rPr>
          <w:rFonts w:eastAsia="Times New Roman"/>
          <w:b/>
          <w:bCs/>
          <w:sz w:val="24"/>
          <w:szCs w:val="24"/>
        </w:rPr>
        <w:t>Chapter 3: Methodology</w:t>
      </w:r>
    </w:p>
    <w:p w14:paraId="20877E5D" w14:textId="65B03728" w:rsidR="00AB3CD5" w:rsidRPr="001F3849"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3.1 Introduction</w:t>
      </w:r>
    </w:p>
    <w:p w14:paraId="000EE167" w14:textId="3E280653"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This chapter outlines the methodological approach adopted to investigate the impact of immigration status on the health and wellbeing of adult migrants from Black, Asian, and Minority Ethnic (BAME) backgrounds in East London. It details the philosophical underpinnings of the research, the rationale for qualitative inquiry, and the methods of data collection and analysis. Further, it addresses ethical considerations, strategies to ensure trustworthiness, and the researcher’s positionality and reflexivity.</w:t>
      </w:r>
    </w:p>
    <w:p w14:paraId="55E9E716" w14:textId="5A20C16D" w:rsidR="00FC1179" w:rsidRPr="001F3849" w:rsidRDefault="00FC1179" w:rsidP="001F3849">
      <w:pPr>
        <w:spacing w:line="360" w:lineRule="auto"/>
        <w:rPr>
          <w:rFonts w:eastAsia="Times New Roman"/>
          <w:sz w:val="24"/>
          <w:szCs w:val="24"/>
        </w:rPr>
      </w:pPr>
    </w:p>
    <w:p w14:paraId="09531974" w14:textId="77777777" w:rsidR="00FC1179" w:rsidRPr="001F3849"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3.2 Research Design and Rationale</w:t>
      </w:r>
    </w:p>
    <w:p w14:paraId="54042BD0"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Given the study’s aim to explore lived experiences and the social processes underlying health inequalities, a qualitative research design was deemed most appropriate. Qualitative approaches are particularly well-suited for examining how individuals make sense of complex social phenomena, such as legal precarity, identity, and experiences of exclusion. This interpretivist paradigm aligns with the study’s theoretical framework, which foregrounds the subjective meanings and contextual factors shaping health.</w:t>
      </w:r>
    </w:p>
    <w:p w14:paraId="3F11BF00" w14:textId="408920D8"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 research adopts a constructivist epistemology, recognising that reality is co-constructed through language, interaction, and social structures. This stance enables a nuanced exploration of how </w:t>
      </w:r>
      <w:r w:rsidR="00F4560E" w:rsidRPr="001F3849">
        <w:rPr>
          <w:rFonts w:eastAsia="Times New Roman"/>
          <w:sz w:val="24"/>
          <w:szCs w:val="24"/>
        </w:rPr>
        <w:t>participants experience, navigate, and articulate immigration status, ethnicity, and structural determinants</w:t>
      </w:r>
      <w:r w:rsidRPr="001F3849">
        <w:rPr>
          <w:rFonts w:eastAsia="Times New Roman"/>
          <w:sz w:val="24"/>
          <w:szCs w:val="24"/>
        </w:rPr>
        <w:t>.</w:t>
      </w:r>
    </w:p>
    <w:p w14:paraId="26D9472E" w14:textId="617D3981" w:rsidR="00FC1179" w:rsidRPr="001F3849" w:rsidRDefault="00FC1179" w:rsidP="001F3849">
      <w:pPr>
        <w:spacing w:line="360" w:lineRule="auto"/>
        <w:rPr>
          <w:rFonts w:eastAsia="Times New Roman"/>
          <w:sz w:val="24"/>
          <w:szCs w:val="24"/>
        </w:rPr>
      </w:pPr>
    </w:p>
    <w:p w14:paraId="2E7CBEAF" w14:textId="70FAE05D" w:rsidR="00C70B6C" w:rsidRPr="001F3849" w:rsidRDefault="00FC1179" w:rsidP="001F3849">
      <w:pPr>
        <w:spacing w:before="100" w:beforeAutospacing="1" w:after="100" w:afterAutospacing="1" w:line="360" w:lineRule="auto"/>
        <w:outlineLvl w:val="2"/>
        <w:rPr>
          <w:rFonts w:eastAsia="Times New Roman"/>
          <w:b/>
          <w:bCs/>
          <w:sz w:val="24"/>
          <w:szCs w:val="24"/>
        </w:rPr>
      </w:pPr>
      <w:proofErr w:type="gramStart"/>
      <w:r w:rsidRPr="001F3849">
        <w:rPr>
          <w:rFonts w:eastAsia="Times New Roman"/>
          <w:b/>
          <w:bCs/>
          <w:sz w:val="24"/>
          <w:szCs w:val="24"/>
        </w:rPr>
        <w:t xml:space="preserve">3.3 </w:t>
      </w:r>
      <w:r w:rsidR="00013DE7" w:rsidRPr="001F3849">
        <w:rPr>
          <w:rFonts w:eastAsia="Times New Roman"/>
          <w:b/>
          <w:bCs/>
          <w:sz w:val="24"/>
          <w:szCs w:val="24"/>
        </w:rPr>
        <w:t xml:space="preserve"> </w:t>
      </w:r>
      <w:r w:rsidR="00C70B6C" w:rsidRPr="001F3849">
        <w:rPr>
          <w:rStyle w:val="Strong"/>
          <w:sz w:val="24"/>
          <w:szCs w:val="24"/>
        </w:rPr>
        <w:t>Research</w:t>
      </w:r>
      <w:proofErr w:type="gramEnd"/>
      <w:r w:rsidR="00C70B6C" w:rsidRPr="001F3849">
        <w:rPr>
          <w:rStyle w:val="Strong"/>
          <w:sz w:val="24"/>
          <w:szCs w:val="24"/>
        </w:rPr>
        <w:t xml:space="preserve"> Design</w:t>
      </w:r>
      <w:r w:rsidR="00013DE7" w:rsidRPr="001F3849">
        <w:rPr>
          <w:rStyle w:val="Strong"/>
          <w:sz w:val="24"/>
          <w:szCs w:val="24"/>
        </w:rPr>
        <w:t xml:space="preserve"> and Setting</w:t>
      </w:r>
    </w:p>
    <w:p w14:paraId="02ABF90C" w14:textId="48069F32" w:rsidR="00C70B6C" w:rsidRPr="001F3849" w:rsidRDefault="0093476E" w:rsidP="001F3849">
      <w:pPr>
        <w:pStyle w:val="gds-typography"/>
        <w:spacing w:line="360" w:lineRule="auto"/>
        <w:rPr>
          <w:rFonts w:ascii="Arial" w:hAnsi="Arial" w:cs="Arial"/>
          <w:lang w:val="en-GB"/>
        </w:rPr>
      </w:pPr>
      <w:r w:rsidRPr="001F3849">
        <w:rPr>
          <w:rFonts w:ascii="Arial" w:hAnsi="Arial" w:cs="Arial"/>
          <w:lang w:val="en-GB"/>
        </w:rPr>
        <w:t xml:space="preserve">Building on the rationale outlined in Chapter 1, this chapter details the qualitative research design </w:t>
      </w:r>
      <w:r w:rsidRPr="001F3849">
        <w:rPr>
          <w:rFonts w:ascii="Arial" w:hAnsi="Arial" w:cs="Arial"/>
          <w:lang w:val="en-GB"/>
        </w:rPr>
        <w:t xml:space="preserve">employed. </w:t>
      </w:r>
      <w:r w:rsidR="008E1DA1" w:rsidRPr="001F3849">
        <w:rPr>
          <w:rFonts w:ascii="Arial" w:hAnsi="Arial" w:cs="Arial"/>
          <w:lang w:val="en-GB"/>
        </w:rPr>
        <w:t>U</w:t>
      </w:r>
      <w:r w:rsidRPr="001F3849">
        <w:rPr>
          <w:rFonts w:ascii="Arial" w:hAnsi="Arial" w:cs="Arial"/>
          <w:lang w:val="en-GB"/>
        </w:rPr>
        <w:t>sing in-depth semi-structured interviews to explore how immigration status influences the health and well-being</w:t>
      </w:r>
      <w:r w:rsidR="00C70B6C" w:rsidRPr="001F3849">
        <w:rPr>
          <w:rFonts w:ascii="Arial" w:hAnsi="Arial" w:cs="Arial"/>
          <w:lang w:val="en-GB"/>
        </w:rPr>
        <w:t xml:space="preserve"> of adult BAME migrants in East London. Qualitative inquiry is particularly suited to research questions that seek to understand complex, context-dependent phenomena from the perspective of those most affected. By foregrounding participants’ subjective accounts, this approach enables a nuanced exploration of the mechanisms through which structural determinants</w:t>
      </w:r>
      <w:r w:rsidR="008E1DA1" w:rsidRPr="001F3849">
        <w:rPr>
          <w:rFonts w:ascii="Arial" w:hAnsi="Arial" w:cs="Arial"/>
          <w:lang w:val="en-GB"/>
        </w:rPr>
        <w:t xml:space="preserve"> </w:t>
      </w:r>
      <w:r w:rsidR="00C70B6C" w:rsidRPr="001F3849">
        <w:rPr>
          <w:rFonts w:ascii="Arial" w:hAnsi="Arial" w:cs="Arial"/>
          <w:lang w:val="en-GB"/>
        </w:rPr>
        <w:t>such as legal precarity, discrimination, and institutional barriers</w:t>
      </w:r>
      <w:r w:rsidR="008E1DA1" w:rsidRPr="001F3849">
        <w:rPr>
          <w:rFonts w:ascii="Arial" w:hAnsi="Arial" w:cs="Arial"/>
          <w:lang w:val="en-GB"/>
        </w:rPr>
        <w:t xml:space="preserve"> </w:t>
      </w:r>
      <w:r w:rsidR="00C70B6C" w:rsidRPr="001F3849">
        <w:rPr>
          <w:rFonts w:ascii="Arial" w:hAnsi="Arial" w:cs="Arial"/>
          <w:lang w:val="en-GB"/>
        </w:rPr>
        <w:t>are experienced and embodied.</w:t>
      </w:r>
    </w:p>
    <w:p w14:paraId="1A7E010D" w14:textId="77777777" w:rsidR="00C70B6C" w:rsidRPr="001F3849" w:rsidRDefault="00C70B6C" w:rsidP="001F3849">
      <w:pPr>
        <w:pStyle w:val="gds-typography"/>
        <w:spacing w:line="360" w:lineRule="auto"/>
        <w:rPr>
          <w:rFonts w:ascii="Arial" w:hAnsi="Arial" w:cs="Arial"/>
          <w:lang w:val="en-GB"/>
        </w:rPr>
      </w:pPr>
      <w:r w:rsidRPr="001F3849">
        <w:rPr>
          <w:rFonts w:ascii="Arial" w:hAnsi="Arial" w:cs="Arial"/>
          <w:lang w:val="en-GB"/>
        </w:rPr>
        <w:t>Semi-structured interviews were selected for their ability to balance flexibility with consistency. This method allows participants to narrate their experiences in their own words, building rapport and trust on sensitive topics while ensuring systematic coverage of key domains, including healthcare access, housing and employment challenges, and psychosocial wellbeing. The qualitative design aligns with the study’s interpretivist epistemology, supporting the production of rich, contextualised data that illuminates not just what inequalities exist, but how and why they emerge in the lives of BAME migrants in super-diverse, deprived urban settings.</w:t>
      </w:r>
    </w:p>
    <w:p w14:paraId="2B7CA07C" w14:textId="77777777" w:rsidR="00D002E6" w:rsidRPr="001F3849" w:rsidRDefault="00D002E6" w:rsidP="001F3849">
      <w:pPr>
        <w:spacing w:before="100" w:beforeAutospacing="1" w:after="100" w:afterAutospacing="1" w:line="360" w:lineRule="auto"/>
        <w:rPr>
          <w:rFonts w:eastAsia="Times New Roman"/>
          <w:sz w:val="24"/>
          <w:szCs w:val="24"/>
        </w:rPr>
      </w:pPr>
    </w:p>
    <w:p w14:paraId="41AE2198" w14:textId="49F7336C"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East London was purposively selected as the research site due to its exceptional levels of super-diversity and deprivation. As outlined in previous chapters, boroughs such as Newham and Tower Hamlets are home to large and highly heterogeneous migrant populations, making the area an ideal context for investigating the intersections of migration, ethnicity, and health. The setting also provides access to diverse community and voluntary sector organisations, which play a critical role in supporting migrants and facilitating recruitment.</w:t>
      </w:r>
    </w:p>
    <w:p w14:paraId="504B9FDB" w14:textId="10FFE164" w:rsidR="00FC1179" w:rsidRPr="001F3849" w:rsidRDefault="00FC1179" w:rsidP="001F3849">
      <w:pPr>
        <w:spacing w:line="360" w:lineRule="auto"/>
        <w:rPr>
          <w:rFonts w:eastAsia="Times New Roman"/>
          <w:sz w:val="24"/>
          <w:szCs w:val="24"/>
        </w:rPr>
      </w:pPr>
    </w:p>
    <w:p w14:paraId="1B4F759D" w14:textId="7C544385" w:rsidR="005B34B3" w:rsidRPr="005B34B3"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3.4 Sampling and Recruitment</w:t>
      </w:r>
    </w:p>
    <w:p w14:paraId="6FB44DC9" w14:textId="4FF8F8D4" w:rsidR="000453AE" w:rsidRPr="000453AE" w:rsidRDefault="000453AE" w:rsidP="001F3849">
      <w:pPr>
        <w:spacing w:before="100" w:beforeAutospacing="1" w:after="100" w:afterAutospacing="1" w:line="360" w:lineRule="auto"/>
        <w:outlineLvl w:val="2"/>
        <w:rPr>
          <w:rFonts w:eastAsia="Times New Roman"/>
          <w:b/>
          <w:bCs/>
          <w:sz w:val="24"/>
          <w:szCs w:val="24"/>
        </w:rPr>
      </w:pPr>
      <w:r w:rsidRPr="000453AE">
        <w:rPr>
          <w:rFonts w:eastAsia="Times New Roman"/>
          <w:b/>
          <w:bCs/>
          <w:sz w:val="24"/>
          <w:szCs w:val="24"/>
        </w:rPr>
        <w:t>3.4.</w:t>
      </w:r>
      <w:r w:rsidRPr="001F3849">
        <w:rPr>
          <w:rFonts w:eastAsia="Times New Roman"/>
          <w:b/>
          <w:bCs/>
          <w:sz w:val="24"/>
          <w:szCs w:val="24"/>
        </w:rPr>
        <w:t>1</w:t>
      </w:r>
      <w:r w:rsidRPr="000453AE">
        <w:rPr>
          <w:rFonts w:eastAsia="Times New Roman"/>
          <w:b/>
          <w:bCs/>
          <w:sz w:val="24"/>
          <w:szCs w:val="24"/>
        </w:rPr>
        <w:t>Recruitment Process</w:t>
      </w:r>
    </w:p>
    <w:p w14:paraId="73191A9E" w14:textId="77777777" w:rsidR="000453AE" w:rsidRPr="000453AE" w:rsidRDefault="000453AE" w:rsidP="001F3849">
      <w:pPr>
        <w:spacing w:before="100" w:beforeAutospacing="1" w:after="100" w:afterAutospacing="1" w:line="360" w:lineRule="auto"/>
        <w:rPr>
          <w:rFonts w:eastAsia="Times New Roman"/>
          <w:sz w:val="24"/>
          <w:szCs w:val="24"/>
        </w:rPr>
      </w:pPr>
      <w:r w:rsidRPr="000453AE">
        <w:rPr>
          <w:rFonts w:eastAsia="Times New Roman"/>
          <w:sz w:val="24"/>
          <w:szCs w:val="24"/>
        </w:rPr>
        <w:t>Given the limited timeframe and challenges associated with accessing hard-to-reach migrant populations, participants for this study were recruited using a convenience sampling approach through a single faith community: the Christ Apostolic Church (CAC) in Hackney, East London. Faith-based organisations are recognised as important sites for community engagement among migrant populations, often providing a safe and trusted environment that fosters participation in research (Chevannes, 1997; Hackett, 2014). The church leadership was approached and provided permission to conduct recruitment activities during scheduled church gatherings, which enabled access to a diverse congregation of adult migrants from Black, Asian, and Minority Ethnic (BAME) backgrounds.</w:t>
      </w:r>
    </w:p>
    <w:p w14:paraId="251F1051" w14:textId="77777777" w:rsidR="000453AE" w:rsidRPr="000453AE" w:rsidRDefault="000453AE" w:rsidP="001F3849">
      <w:pPr>
        <w:spacing w:before="100" w:beforeAutospacing="1" w:after="100" w:afterAutospacing="1" w:line="360" w:lineRule="auto"/>
        <w:rPr>
          <w:rFonts w:eastAsia="Times New Roman"/>
          <w:sz w:val="24"/>
          <w:szCs w:val="24"/>
        </w:rPr>
      </w:pPr>
      <w:r w:rsidRPr="000453AE">
        <w:rPr>
          <w:rFonts w:eastAsia="Times New Roman"/>
          <w:sz w:val="24"/>
          <w:szCs w:val="24"/>
        </w:rPr>
        <w:t>Recruitment materials, including information sheets and consent forms, were distributed in person at church events and services. Announcements about the study were made with the cooperation of church leaders, who acted as gatekeepers and helped facilitate introductions between the researcher and potential participants (Simich et al., 2005). This strategy has been identified in the literature as effective for building trust and improving participation rates, particularly in studies involving sensitive topics such as immigration status and health (Liamputtong, 2010; Phillimore et al., 2020).</w:t>
      </w:r>
    </w:p>
    <w:p w14:paraId="33C1C313" w14:textId="77777777" w:rsidR="000453AE" w:rsidRPr="000453AE" w:rsidRDefault="000453AE" w:rsidP="001F3849">
      <w:pPr>
        <w:spacing w:before="100" w:beforeAutospacing="1" w:after="100" w:afterAutospacing="1" w:line="360" w:lineRule="auto"/>
        <w:rPr>
          <w:rFonts w:eastAsia="Times New Roman"/>
          <w:sz w:val="24"/>
          <w:szCs w:val="24"/>
        </w:rPr>
      </w:pPr>
      <w:r w:rsidRPr="000453AE">
        <w:rPr>
          <w:rFonts w:eastAsia="Times New Roman"/>
          <w:sz w:val="24"/>
          <w:szCs w:val="24"/>
        </w:rPr>
        <w:t>To ensure informed consent and ethical engagement, all prospective participants were provided with clear explanations of the study’s purpose, procedures, and confidentiality protocols, both verbally and in writing (Flick, 2018). The voluntary nature of participation was emphasised, and individuals were assured of their right to withdraw at any stage. The recruitment process continued until data saturation was achieved, as indicated by repetition of major themes and no emergence of substantial new insights (Guest, Bunce &amp; Johnson, 2006).</w:t>
      </w:r>
    </w:p>
    <w:p w14:paraId="2B658CF7" w14:textId="77777777" w:rsidR="000453AE" w:rsidRPr="000453AE" w:rsidRDefault="000453AE" w:rsidP="001F3849">
      <w:pPr>
        <w:spacing w:before="100" w:beforeAutospacing="1" w:after="100" w:afterAutospacing="1" w:line="360" w:lineRule="auto"/>
        <w:rPr>
          <w:rFonts w:eastAsia="Times New Roman"/>
          <w:sz w:val="24"/>
          <w:szCs w:val="24"/>
        </w:rPr>
      </w:pPr>
      <w:r w:rsidRPr="000453AE">
        <w:rPr>
          <w:rFonts w:eastAsia="Times New Roman"/>
          <w:sz w:val="24"/>
          <w:szCs w:val="24"/>
        </w:rPr>
        <w:t>Throughout, ethical standards were rigorously maintained, prioritising the privacy, safety, and autonomy of all participants, in line with guidelines for research with vulnerable groups (British Psychological Society, 2021; Block et al., 2013).</w:t>
      </w:r>
    </w:p>
    <w:p w14:paraId="6B1CA12F" w14:textId="015E628F" w:rsidR="00FC1179" w:rsidRPr="001F3849" w:rsidRDefault="00FC1179" w:rsidP="001F3849">
      <w:pPr>
        <w:spacing w:line="360" w:lineRule="auto"/>
        <w:rPr>
          <w:rFonts w:eastAsia="Times New Roman"/>
          <w:sz w:val="24"/>
          <w:szCs w:val="24"/>
        </w:rPr>
      </w:pPr>
    </w:p>
    <w:p w14:paraId="446079D1" w14:textId="77777777" w:rsidR="00FC1179" w:rsidRPr="001F3849"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3.5 Data Collection</w:t>
      </w:r>
    </w:p>
    <w:p w14:paraId="442E1693"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Semi-structured interviews were chosen as the primary data collection method, as they allow participants to share their experiences in their own words while providing flexibility to probe emerging themes. An interview guide was developed based on the literature review and theoretical framework, covering topics such as:</w:t>
      </w:r>
    </w:p>
    <w:p w14:paraId="3724E277" w14:textId="77777777" w:rsidR="00FC1179" w:rsidRPr="001F3849" w:rsidRDefault="00FC1179" w:rsidP="001F3849">
      <w:pPr>
        <w:numPr>
          <w:ilvl w:val="0"/>
          <w:numId w:val="11"/>
        </w:numPr>
        <w:spacing w:before="100" w:beforeAutospacing="1" w:after="100" w:afterAutospacing="1" w:line="360" w:lineRule="auto"/>
        <w:rPr>
          <w:rFonts w:eastAsia="Times New Roman"/>
          <w:sz w:val="24"/>
          <w:szCs w:val="24"/>
        </w:rPr>
      </w:pPr>
      <w:r w:rsidRPr="001F3849">
        <w:rPr>
          <w:rFonts w:eastAsia="Times New Roman"/>
          <w:sz w:val="24"/>
          <w:szCs w:val="24"/>
        </w:rPr>
        <w:t>Migration history and journey to the UK</w:t>
      </w:r>
    </w:p>
    <w:p w14:paraId="1D10B9A3" w14:textId="77777777" w:rsidR="00FC1179" w:rsidRPr="001F3849" w:rsidRDefault="00FC1179" w:rsidP="001F3849">
      <w:pPr>
        <w:numPr>
          <w:ilvl w:val="0"/>
          <w:numId w:val="11"/>
        </w:numPr>
        <w:spacing w:before="100" w:beforeAutospacing="1" w:after="100" w:afterAutospacing="1" w:line="360" w:lineRule="auto"/>
        <w:rPr>
          <w:rFonts w:eastAsia="Times New Roman"/>
          <w:sz w:val="24"/>
          <w:szCs w:val="24"/>
        </w:rPr>
      </w:pPr>
      <w:r w:rsidRPr="001F3849">
        <w:rPr>
          <w:rFonts w:eastAsia="Times New Roman"/>
          <w:sz w:val="24"/>
          <w:szCs w:val="24"/>
        </w:rPr>
        <w:t>Experiences with health and social services</w:t>
      </w:r>
    </w:p>
    <w:p w14:paraId="25AE63DB" w14:textId="77777777" w:rsidR="00FC1179" w:rsidRPr="001F3849" w:rsidRDefault="00FC1179" w:rsidP="001F3849">
      <w:pPr>
        <w:numPr>
          <w:ilvl w:val="0"/>
          <w:numId w:val="11"/>
        </w:numPr>
        <w:spacing w:before="100" w:beforeAutospacing="1" w:after="100" w:afterAutospacing="1" w:line="360" w:lineRule="auto"/>
        <w:rPr>
          <w:rFonts w:eastAsia="Times New Roman"/>
          <w:sz w:val="24"/>
          <w:szCs w:val="24"/>
        </w:rPr>
      </w:pPr>
      <w:r w:rsidRPr="001F3849">
        <w:rPr>
          <w:rFonts w:eastAsia="Times New Roman"/>
          <w:sz w:val="24"/>
          <w:szCs w:val="24"/>
        </w:rPr>
        <w:t>Housing, employment, and financial circumstances</w:t>
      </w:r>
    </w:p>
    <w:p w14:paraId="2E398088" w14:textId="77777777" w:rsidR="00FC1179" w:rsidRPr="001F3849" w:rsidRDefault="00FC1179" w:rsidP="001F3849">
      <w:pPr>
        <w:numPr>
          <w:ilvl w:val="0"/>
          <w:numId w:val="11"/>
        </w:numPr>
        <w:spacing w:before="100" w:beforeAutospacing="1" w:after="100" w:afterAutospacing="1" w:line="360" w:lineRule="auto"/>
        <w:rPr>
          <w:rFonts w:eastAsia="Times New Roman"/>
          <w:sz w:val="24"/>
          <w:szCs w:val="24"/>
        </w:rPr>
      </w:pPr>
      <w:r w:rsidRPr="001F3849">
        <w:rPr>
          <w:rFonts w:eastAsia="Times New Roman"/>
          <w:sz w:val="24"/>
          <w:szCs w:val="24"/>
        </w:rPr>
        <w:t>Impact of immigration status on daily life</w:t>
      </w:r>
    </w:p>
    <w:p w14:paraId="6F04AF2E" w14:textId="77777777" w:rsidR="00FC1179" w:rsidRPr="001F3849" w:rsidRDefault="00FC1179" w:rsidP="001F3849">
      <w:pPr>
        <w:numPr>
          <w:ilvl w:val="0"/>
          <w:numId w:val="11"/>
        </w:numPr>
        <w:spacing w:before="100" w:beforeAutospacing="1" w:after="100" w:afterAutospacing="1" w:line="360" w:lineRule="auto"/>
        <w:rPr>
          <w:rFonts w:eastAsia="Times New Roman"/>
          <w:sz w:val="24"/>
          <w:szCs w:val="24"/>
        </w:rPr>
      </w:pPr>
      <w:r w:rsidRPr="001F3849">
        <w:rPr>
          <w:rFonts w:eastAsia="Times New Roman"/>
          <w:sz w:val="24"/>
          <w:szCs w:val="24"/>
        </w:rPr>
        <w:t>Coping strategies and support networks</w:t>
      </w:r>
    </w:p>
    <w:p w14:paraId="21C16662" w14:textId="77777777" w:rsidR="00FC1179" w:rsidRPr="001F3849" w:rsidRDefault="00FC1179" w:rsidP="001F3849">
      <w:pPr>
        <w:numPr>
          <w:ilvl w:val="0"/>
          <w:numId w:val="11"/>
        </w:numPr>
        <w:spacing w:before="100" w:beforeAutospacing="1" w:after="100" w:afterAutospacing="1" w:line="360" w:lineRule="auto"/>
        <w:rPr>
          <w:rFonts w:eastAsia="Times New Roman"/>
          <w:sz w:val="24"/>
          <w:szCs w:val="24"/>
        </w:rPr>
      </w:pPr>
      <w:r w:rsidRPr="001F3849">
        <w:rPr>
          <w:rFonts w:eastAsia="Times New Roman"/>
          <w:sz w:val="24"/>
          <w:szCs w:val="24"/>
        </w:rPr>
        <w:t>Perceptions of discrimination, exclusion, and resilience</w:t>
      </w:r>
    </w:p>
    <w:p w14:paraId="13817C05"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Interviews were conducted in-person or via secure video/audio calls, depending on participant preference and COVID-19 safety guidelines. Each interview lasted between 45 and 90 minutes and was audio-recorded with informed consent. Where necessary, interpreters were used to ensure linguistic inclusion.</w:t>
      </w:r>
    </w:p>
    <w:p w14:paraId="697F8B0E" w14:textId="134E98E6" w:rsidR="00FC1179" w:rsidRPr="001F3849" w:rsidRDefault="00FC1179" w:rsidP="001F3849">
      <w:pPr>
        <w:spacing w:line="360" w:lineRule="auto"/>
        <w:rPr>
          <w:rFonts w:eastAsia="Times New Roman"/>
          <w:sz w:val="24"/>
          <w:szCs w:val="24"/>
        </w:rPr>
      </w:pPr>
    </w:p>
    <w:p w14:paraId="5D067D9D" w14:textId="77777777" w:rsidR="00FC1179" w:rsidRPr="001F3849"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3.6 Data Analysis</w:t>
      </w:r>
    </w:p>
    <w:p w14:paraId="5D0DCE98"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Data analysis followed the principles of reflexive thematic analysis (Braun &amp; Clarke, 2006), chosen for its flexibility and suitability for exploring complex social phenomena. The process involved several iterative stages:</w:t>
      </w:r>
    </w:p>
    <w:p w14:paraId="75BB7FE5" w14:textId="77777777" w:rsidR="00FC1179" w:rsidRPr="001F3849" w:rsidRDefault="00FC1179" w:rsidP="001F3849">
      <w:pPr>
        <w:numPr>
          <w:ilvl w:val="0"/>
          <w:numId w:val="12"/>
        </w:numPr>
        <w:spacing w:before="100" w:beforeAutospacing="1" w:after="100" w:afterAutospacing="1" w:line="360" w:lineRule="auto"/>
        <w:rPr>
          <w:rFonts w:eastAsia="Times New Roman"/>
          <w:sz w:val="24"/>
          <w:szCs w:val="24"/>
        </w:rPr>
      </w:pPr>
      <w:r w:rsidRPr="001F3849">
        <w:rPr>
          <w:rFonts w:eastAsia="Times New Roman"/>
          <w:b/>
          <w:bCs/>
          <w:sz w:val="24"/>
          <w:szCs w:val="24"/>
        </w:rPr>
        <w:t>Familiarisation:</w:t>
      </w:r>
      <w:r w:rsidRPr="001F3849">
        <w:rPr>
          <w:rFonts w:eastAsia="Times New Roman"/>
          <w:sz w:val="24"/>
          <w:szCs w:val="24"/>
        </w:rPr>
        <w:t xml:space="preserve"> Transcribing interviews verbatim and reading transcripts multiple times to gain an in-depth understanding.</w:t>
      </w:r>
    </w:p>
    <w:p w14:paraId="35267CDD" w14:textId="77777777" w:rsidR="00FC1179" w:rsidRPr="001F3849" w:rsidRDefault="00FC1179" w:rsidP="001F3849">
      <w:pPr>
        <w:numPr>
          <w:ilvl w:val="0"/>
          <w:numId w:val="12"/>
        </w:numPr>
        <w:spacing w:before="100" w:beforeAutospacing="1" w:after="100" w:afterAutospacing="1" w:line="360" w:lineRule="auto"/>
        <w:rPr>
          <w:rFonts w:eastAsia="Times New Roman"/>
          <w:sz w:val="24"/>
          <w:szCs w:val="24"/>
        </w:rPr>
      </w:pPr>
      <w:r w:rsidRPr="001F3849">
        <w:rPr>
          <w:rFonts w:eastAsia="Times New Roman"/>
          <w:b/>
          <w:bCs/>
          <w:sz w:val="24"/>
          <w:szCs w:val="24"/>
        </w:rPr>
        <w:t>Coding:</w:t>
      </w:r>
      <w:r w:rsidRPr="001F3849">
        <w:rPr>
          <w:rFonts w:eastAsia="Times New Roman"/>
          <w:sz w:val="24"/>
          <w:szCs w:val="24"/>
        </w:rPr>
        <w:t xml:space="preserve"> Systematically identifying and labelling meaningful units of text related to the research questions.</w:t>
      </w:r>
    </w:p>
    <w:p w14:paraId="2090E9C0" w14:textId="77777777" w:rsidR="00FC1179" w:rsidRPr="001F3849" w:rsidRDefault="00FC1179" w:rsidP="001F3849">
      <w:pPr>
        <w:numPr>
          <w:ilvl w:val="0"/>
          <w:numId w:val="12"/>
        </w:numPr>
        <w:spacing w:before="100" w:beforeAutospacing="1" w:after="100" w:afterAutospacing="1" w:line="360" w:lineRule="auto"/>
        <w:rPr>
          <w:rFonts w:eastAsia="Times New Roman"/>
          <w:sz w:val="24"/>
          <w:szCs w:val="24"/>
        </w:rPr>
      </w:pPr>
      <w:r w:rsidRPr="001F3849">
        <w:rPr>
          <w:rFonts w:eastAsia="Times New Roman"/>
          <w:b/>
          <w:bCs/>
          <w:sz w:val="24"/>
          <w:szCs w:val="24"/>
        </w:rPr>
        <w:t>Theme Development:</w:t>
      </w:r>
      <w:r w:rsidRPr="001F3849">
        <w:rPr>
          <w:rFonts w:eastAsia="Times New Roman"/>
          <w:sz w:val="24"/>
          <w:szCs w:val="24"/>
        </w:rPr>
        <w:t xml:space="preserve"> Grouping codes into preliminary themes, then refining and defining themes through constant comparison across data.</w:t>
      </w:r>
    </w:p>
    <w:p w14:paraId="72643ED1" w14:textId="77777777" w:rsidR="00FC1179" w:rsidRPr="001F3849" w:rsidRDefault="00FC1179" w:rsidP="001F3849">
      <w:pPr>
        <w:numPr>
          <w:ilvl w:val="0"/>
          <w:numId w:val="12"/>
        </w:numPr>
        <w:spacing w:before="100" w:beforeAutospacing="1" w:after="100" w:afterAutospacing="1" w:line="360" w:lineRule="auto"/>
        <w:rPr>
          <w:rFonts w:eastAsia="Times New Roman"/>
          <w:sz w:val="24"/>
          <w:szCs w:val="24"/>
        </w:rPr>
      </w:pPr>
      <w:r w:rsidRPr="001F3849">
        <w:rPr>
          <w:rFonts w:eastAsia="Times New Roman"/>
          <w:b/>
          <w:bCs/>
          <w:sz w:val="24"/>
          <w:szCs w:val="24"/>
        </w:rPr>
        <w:t>Interpretation:</w:t>
      </w:r>
      <w:r w:rsidRPr="001F3849">
        <w:rPr>
          <w:rFonts w:eastAsia="Times New Roman"/>
          <w:sz w:val="24"/>
          <w:szCs w:val="24"/>
        </w:rPr>
        <w:t xml:space="preserve"> Situating themes within the broader social, policy, and theoretical context, and relating them to the Social Determinants of Health framework, intersectionality, and concepts of structural violence.</w:t>
      </w:r>
    </w:p>
    <w:p w14:paraId="0ACAD07D"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NVivo (or another qualitative software, if used) was employed to facilitate data management and coding transparency.</w:t>
      </w:r>
    </w:p>
    <w:p w14:paraId="21AD08EE" w14:textId="261BE1B1" w:rsidR="00FC1179" w:rsidRPr="001F3849" w:rsidRDefault="00FC1179" w:rsidP="001F3849">
      <w:pPr>
        <w:spacing w:line="360" w:lineRule="auto"/>
        <w:rPr>
          <w:rFonts w:eastAsia="Times New Roman"/>
          <w:sz w:val="24"/>
          <w:szCs w:val="24"/>
        </w:rPr>
      </w:pPr>
    </w:p>
    <w:p w14:paraId="063C4AD0" w14:textId="77777777" w:rsidR="00FC1179" w:rsidRPr="001F3849"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3.7 Ethical Considerations</w:t>
      </w:r>
    </w:p>
    <w:p w14:paraId="520EB174"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Ethical approval was obtained from the relevant university ethics committee prior to data collection. The study adhered to the principles of respect, confidentiality, voluntary participation, and informed consent. Participants were assured that their identities would remain anonymous, with pseudonyms used in all transcripts and publications. Special attention was paid to the sensitivity of immigration status, with protocols in place to protect participants from potential distress or legal repercussions.</w:t>
      </w:r>
    </w:p>
    <w:p w14:paraId="18BA8935"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Data were securely stored in encrypted files, and only the research team had access to identifying information. Participants were informed of their right to withdraw at any stage without penalty.</w:t>
      </w:r>
    </w:p>
    <w:p w14:paraId="472E7678"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Given the potential for emotional distress when discussing experiences of discrimination, precarity, or trauma, referrals to appropriate support services were offered as needed.</w:t>
      </w:r>
    </w:p>
    <w:p w14:paraId="5C83A69E" w14:textId="059E4B59" w:rsidR="00FC1179" w:rsidRPr="001F3849" w:rsidRDefault="00FC1179" w:rsidP="001F3849">
      <w:pPr>
        <w:spacing w:line="360" w:lineRule="auto"/>
        <w:rPr>
          <w:rFonts w:eastAsia="Times New Roman"/>
          <w:sz w:val="24"/>
          <w:szCs w:val="24"/>
        </w:rPr>
      </w:pPr>
    </w:p>
    <w:p w14:paraId="419BF11C" w14:textId="77777777" w:rsidR="00FC1179" w:rsidRPr="001F3849"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3.8 Trustworthiness and Rigour</w:t>
      </w:r>
    </w:p>
    <w:p w14:paraId="167DA6BA"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To enhance the trustworthiness of the study, several strategies were employed:</w:t>
      </w:r>
    </w:p>
    <w:p w14:paraId="6D71E218" w14:textId="77777777" w:rsidR="00FC1179" w:rsidRPr="001F3849" w:rsidRDefault="00FC1179" w:rsidP="001F3849">
      <w:pPr>
        <w:numPr>
          <w:ilvl w:val="0"/>
          <w:numId w:val="13"/>
        </w:numPr>
        <w:spacing w:before="100" w:beforeAutospacing="1" w:after="100" w:afterAutospacing="1" w:line="360" w:lineRule="auto"/>
        <w:rPr>
          <w:rFonts w:eastAsia="Times New Roman"/>
          <w:sz w:val="24"/>
          <w:szCs w:val="24"/>
        </w:rPr>
      </w:pPr>
      <w:r w:rsidRPr="001F3849">
        <w:rPr>
          <w:rFonts w:eastAsia="Times New Roman"/>
          <w:b/>
          <w:bCs/>
          <w:sz w:val="24"/>
          <w:szCs w:val="24"/>
        </w:rPr>
        <w:t>Credibility:</w:t>
      </w:r>
      <w:r w:rsidRPr="001F3849">
        <w:rPr>
          <w:rFonts w:eastAsia="Times New Roman"/>
          <w:sz w:val="24"/>
          <w:szCs w:val="24"/>
        </w:rPr>
        <w:t xml:space="preserve"> Achieved through prolonged engagement with participants, member checking (offering participants the chance to review summaries of their interviews), and triangulation with secondary sources (e.g., policy documents, reports).</w:t>
      </w:r>
    </w:p>
    <w:p w14:paraId="44FB9938" w14:textId="33B1D1C4" w:rsidR="00FC1179" w:rsidRPr="001F3849" w:rsidRDefault="00FC1179" w:rsidP="001F3849">
      <w:pPr>
        <w:numPr>
          <w:ilvl w:val="0"/>
          <w:numId w:val="13"/>
        </w:numPr>
        <w:spacing w:before="100" w:beforeAutospacing="1" w:after="100" w:afterAutospacing="1" w:line="360" w:lineRule="auto"/>
        <w:rPr>
          <w:rFonts w:eastAsia="Times New Roman"/>
          <w:sz w:val="24"/>
          <w:szCs w:val="24"/>
        </w:rPr>
      </w:pPr>
      <w:r w:rsidRPr="001F3849">
        <w:rPr>
          <w:rFonts w:eastAsia="Times New Roman"/>
          <w:b/>
          <w:bCs/>
          <w:sz w:val="24"/>
          <w:szCs w:val="24"/>
        </w:rPr>
        <w:t>Transferability:</w:t>
      </w:r>
      <w:r w:rsidRPr="001F3849">
        <w:rPr>
          <w:rFonts w:eastAsia="Times New Roman"/>
          <w:sz w:val="24"/>
          <w:szCs w:val="24"/>
        </w:rPr>
        <w:t xml:space="preserve"> Ensured by providing </w:t>
      </w:r>
      <w:r w:rsidR="00F1719E" w:rsidRPr="001F3849">
        <w:rPr>
          <w:rFonts w:eastAsia="Times New Roman"/>
          <w:sz w:val="24"/>
          <w:szCs w:val="24"/>
        </w:rPr>
        <w:t xml:space="preserve">a </w:t>
      </w:r>
      <w:r w:rsidRPr="001F3849">
        <w:rPr>
          <w:rFonts w:eastAsia="Times New Roman"/>
          <w:sz w:val="24"/>
          <w:szCs w:val="24"/>
        </w:rPr>
        <w:t>thick description of the research context, participant characteristics, and sampling rationale.</w:t>
      </w:r>
    </w:p>
    <w:p w14:paraId="0331E5C5" w14:textId="77777777" w:rsidR="00FC1179" w:rsidRPr="001F3849" w:rsidRDefault="00FC1179" w:rsidP="001F3849">
      <w:pPr>
        <w:numPr>
          <w:ilvl w:val="0"/>
          <w:numId w:val="13"/>
        </w:numPr>
        <w:spacing w:before="100" w:beforeAutospacing="1" w:after="100" w:afterAutospacing="1" w:line="360" w:lineRule="auto"/>
        <w:rPr>
          <w:rFonts w:eastAsia="Times New Roman"/>
          <w:sz w:val="24"/>
          <w:szCs w:val="24"/>
        </w:rPr>
      </w:pPr>
      <w:r w:rsidRPr="001F3849">
        <w:rPr>
          <w:rFonts w:eastAsia="Times New Roman"/>
          <w:b/>
          <w:bCs/>
          <w:sz w:val="24"/>
          <w:szCs w:val="24"/>
        </w:rPr>
        <w:t>Dependability:</w:t>
      </w:r>
      <w:r w:rsidRPr="001F3849">
        <w:rPr>
          <w:rFonts w:eastAsia="Times New Roman"/>
          <w:sz w:val="24"/>
          <w:szCs w:val="24"/>
        </w:rPr>
        <w:t xml:space="preserve"> Supported by maintaining an audit trail of research decisions, interview guides, coding structures, and analytic memos.</w:t>
      </w:r>
    </w:p>
    <w:p w14:paraId="2C4863AD" w14:textId="77777777" w:rsidR="00FC1179" w:rsidRPr="001F3849" w:rsidRDefault="00FC1179" w:rsidP="001F3849">
      <w:pPr>
        <w:numPr>
          <w:ilvl w:val="0"/>
          <w:numId w:val="13"/>
        </w:numPr>
        <w:spacing w:before="100" w:beforeAutospacing="1" w:after="100" w:afterAutospacing="1" w:line="360" w:lineRule="auto"/>
        <w:rPr>
          <w:rFonts w:eastAsia="Times New Roman"/>
          <w:sz w:val="24"/>
          <w:szCs w:val="24"/>
        </w:rPr>
      </w:pPr>
      <w:r w:rsidRPr="001F3849">
        <w:rPr>
          <w:rFonts w:eastAsia="Times New Roman"/>
          <w:b/>
          <w:bCs/>
          <w:sz w:val="24"/>
          <w:szCs w:val="24"/>
        </w:rPr>
        <w:t>Confirmability:</w:t>
      </w:r>
      <w:r w:rsidRPr="001F3849">
        <w:rPr>
          <w:rFonts w:eastAsia="Times New Roman"/>
          <w:sz w:val="24"/>
          <w:szCs w:val="24"/>
        </w:rPr>
        <w:t xml:space="preserve"> Maintained through reflexive journaling, peer debriefing, and regular discussion with supervisory and research peers to minimise personal bias.</w:t>
      </w:r>
    </w:p>
    <w:p w14:paraId="7024A4A9" w14:textId="010C6247" w:rsidR="00FC1179" w:rsidRPr="001F3849" w:rsidRDefault="00FC1179" w:rsidP="001F3849">
      <w:pPr>
        <w:spacing w:line="360" w:lineRule="auto"/>
        <w:rPr>
          <w:rFonts w:eastAsia="Times New Roman"/>
          <w:sz w:val="24"/>
          <w:szCs w:val="24"/>
        </w:rPr>
      </w:pPr>
    </w:p>
    <w:p w14:paraId="48CDDCCF" w14:textId="77777777" w:rsidR="00FC1179" w:rsidRPr="001F3849" w:rsidRDefault="00FC1179"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3.9 Reflexivity and Researcher Positionality</w:t>
      </w:r>
    </w:p>
    <w:p w14:paraId="1C9CBCF4" w14:textId="056BDC89"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Recognising the influence of the researcher’s background, values, and social positioning is critical in qualitative research. Throughout the study, reflexivity was </w:t>
      </w:r>
      <w:r w:rsidR="00F1719E" w:rsidRPr="001F3849">
        <w:rPr>
          <w:rFonts w:eastAsia="Times New Roman"/>
          <w:sz w:val="24"/>
          <w:szCs w:val="24"/>
        </w:rPr>
        <w:t>practised</w:t>
      </w:r>
      <w:r w:rsidRPr="001F3849">
        <w:rPr>
          <w:rFonts w:eastAsia="Times New Roman"/>
          <w:sz w:val="24"/>
          <w:szCs w:val="24"/>
        </w:rPr>
        <w:t xml:space="preserve"> by maintaining a reflective journal, documenting assumptions, emotional responses, and evolving interpretations. The researcher’s status</w:t>
      </w:r>
      <w:r w:rsidR="00092F25" w:rsidRPr="001F3849">
        <w:rPr>
          <w:rFonts w:eastAsia="Times New Roman"/>
          <w:sz w:val="24"/>
          <w:szCs w:val="24"/>
        </w:rPr>
        <w:t xml:space="preserve"> </w:t>
      </w:r>
      <w:r w:rsidRPr="001F3849">
        <w:rPr>
          <w:rFonts w:eastAsia="Times New Roman"/>
          <w:sz w:val="24"/>
          <w:szCs w:val="24"/>
        </w:rPr>
        <w:t>as an insider, outsider, or both</w:t>
      </w:r>
      <w:r w:rsidR="00092F25" w:rsidRPr="001F3849">
        <w:rPr>
          <w:rFonts w:eastAsia="Times New Roman"/>
          <w:sz w:val="24"/>
          <w:szCs w:val="24"/>
        </w:rPr>
        <w:t xml:space="preserve"> </w:t>
      </w:r>
      <w:r w:rsidRPr="001F3849">
        <w:rPr>
          <w:rFonts w:eastAsia="Times New Roman"/>
          <w:sz w:val="24"/>
          <w:szCs w:val="24"/>
        </w:rPr>
        <w:t>was continually interrogated, particularly in relation to ethnicity, migration history, and power dynamics with participants.</w:t>
      </w:r>
    </w:p>
    <w:p w14:paraId="4409A89E" w14:textId="77777777" w:rsidR="00FC1179" w:rsidRPr="001F3849" w:rsidRDefault="00FC1179"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Efforts were made to build rapport, respect cultural differences, and be attentive to issues of language and accessibility. Reflexive awareness informed both data collection and analysis, contributing to an ethically sensitive and contextually grounded account of </w:t>
      </w:r>
      <w:proofErr w:type="gramStart"/>
      <w:r w:rsidRPr="001F3849">
        <w:rPr>
          <w:rFonts w:eastAsia="Times New Roman"/>
          <w:sz w:val="24"/>
          <w:szCs w:val="24"/>
        </w:rPr>
        <w:t>participants’</w:t>
      </w:r>
      <w:proofErr w:type="gramEnd"/>
      <w:r w:rsidRPr="001F3849">
        <w:rPr>
          <w:rFonts w:eastAsia="Times New Roman"/>
          <w:sz w:val="24"/>
          <w:szCs w:val="24"/>
        </w:rPr>
        <w:t xml:space="preserve"> lived experiences.</w:t>
      </w:r>
    </w:p>
    <w:p w14:paraId="69546CBA" w14:textId="77777777" w:rsidR="00E44A10" w:rsidRPr="001F3849" w:rsidRDefault="00E44A10"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3.10 Limitations</w:t>
      </w:r>
    </w:p>
    <w:p w14:paraId="66DC0657" w14:textId="70C24A46" w:rsidR="00E44A10" w:rsidRPr="001F3849" w:rsidRDefault="00E44A10"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While this study is designed to provide a rich and contextually grounded understanding of how immigration status shapes the health and </w:t>
      </w:r>
      <w:r w:rsidR="00D6335E" w:rsidRPr="001F3849">
        <w:rPr>
          <w:rFonts w:eastAsia="Times New Roman"/>
          <w:sz w:val="24"/>
          <w:szCs w:val="24"/>
        </w:rPr>
        <w:t>well-being</w:t>
      </w:r>
      <w:r w:rsidRPr="001F3849">
        <w:rPr>
          <w:rFonts w:eastAsia="Times New Roman"/>
          <w:sz w:val="24"/>
          <w:szCs w:val="24"/>
        </w:rPr>
        <w:t xml:space="preserve"> of BAME adult migrants in East London, it is important to acknowledge several limitations inherent in the research design and implementation.</w:t>
      </w:r>
    </w:p>
    <w:p w14:paraId="21EC3197" w14:textId="77777777" w:rsidR="00E44A10" w:rsidRPr="001F3849" w:rsidRDefault="00E44A10" w:rsidP="001F3849">
      <w:pPr>
        <w:spacing w:before="100" w:beforeAutospacing="1" w:after="100" w:afterAutospacing="1" w:line="360" w:lineRule="auto"/>
        <w:rPr>
          <w:rFonts w:eastAsia="Times New Roman"/>
          <w:sz w:val="24"/>
          <w:szCs w:val="24"/>
        </w:rPr>
      </w:pPr>
      <w:r w:rsidRPr="001F3849">
        <w:rPr>
          <w:rFonts w:eastAsia="Times New Roman"/>
          <w:sz w:val="24"/>
          <w:szCs w:val="24"/>
        </w:rPr>
        <w:t>Firstly, the purposive and snowball sampling strategies employed may have introduced selection bias. Participants who are actively engaged with community organisations or support networks may be overrepresented, while those who are socially isolated, distrustful of researchers, or fearful due to their immigration status may be underrepresented. As a result, the findings may not fully capture the experiences of the most marginalised or hard-to-reach individuals, such as undocumented migrants who avoid any form of official or community contact.</w:t>
      </w:r>
    </w:p>
    <w:p w14:paraId="7D373C9A" w14:textId="77777777" w:rsidR="00E44A10" w:rsidRPr="001F3849" w:rsidRDefault="00E44A10" w:rsidP="001F3849">
      <w:pPr>
        <w:spacing w:before="100" w:beforeAutospacing="1" w:after="100" w:afterAutospacing="1" w:line="360" w:lineRule="auto"/>
        <w:rPr>
          <w:rFonts w:eastAsia="Times New Roman"/>
          <w:sz w:val="24"/>
          <w:szCs w:val="24"/>
        </w:rPr>
      </w:pPr>
      <w:r w:rsidRPr="001F3849">
        <w:rPr>
          <w:rFonts w:eastAsia="Times New Roman"/>
          <w:sz w:val="24"/>
          <w:szCs w:val="24"/>
        </w:rPr>
        <w:t>Secondly, the reliance on semi-structured interviews, though valuable for generating in-depth qualitative data, may be subject to social desirability bias. Participants may underreport experiences of trauma, discrimination, or irregular status due to concerns about confidentiality or potential repercussions, despite assurances of anonymity. Furthermore, discussing sensitive topics such as immigration status and health may evoke emotional distress, which could affect participants’ willingness to share openly or recall details accurately. The presence of interpreters, while necessary for linguistic inclusion, may also inadvertently influence the dynamics of disclosure and the nuances of communication.</w:t>
      </w:r>
    </w:p>
    <w:p w14:paraId="4B1CDC7A" w14:textId="77777777" w:rsidR="00E44A10" w:rsidRPr="001F3849" w:rsidRDefault="00E44A10" w:rsidP="001F3849">
      <w:pPr>
        <w:spacing w:before="100" w:beforeAutospacing="1" w:after="100" w:afterAutospacing="1" w:line="360" w:lineRule="auto"/>
        <w:rPr>
          <w:rFonts w:eastAsia="Times New Roman"/>
          <w:sz w:val="24"/>
          <w:szCs w:val="24"/>
        </w:rPr>
      </w:pPr>
      <w:r w:rsidRPr="001F3849">
        <w:rPr>
          <w:rFonts w:eastAsia="Times New Roman"/>
          <w:sz w:val="24"/>
          <w:szCs w:val="24"/>
        </w:rPr>
        <w:t>Thirdly, although efforts were made to achieve diversity in terms of gender, age, ethnic background, and immigration status, the sample size and scope of this study remain limited. The findings, while providing valuable insights, may not be statistically generalisable to all BAME migrant populations in the UK or even within London. Instead, the study offers analytical generalisability or transferability, providing concepts and mechanisms that may resonate in similar super-diverse, urban contexts.</w:t>
      </w:r>
    </w:p>
    <w:p w14:paraId="7FE213CE" w14:textId="77777777" w:rsidR="00E44A10" w:rsidRPr="001F3849" w:rsidRDefault="00E44A10" w:rsidP="001F3849">
      <w:pPr>
        <w:spacing w:before="100" w:beforeAutospacing="1" w:after="100" w:afterAutospacing="1" w:line="360" w:lineRule="auto"/>
        <w:rPr>
          <w:rFonts w:eastAsia="Times New Roman"/>
          <w:sz w:val="24"/>
          <w:szCs w:val="24"/>
        </w:rPr>
      </w:pPr>
      <w:r w:rsidRPr="001F3849">
        <w:rPr>
          <w:rFonts w:eastAsia="Times New Roman"/>
          <w:sz w:val="24"/>
          <w:szCs w:val="24"/>
        </w:rPr>
        <w:t>Finally, researcher positionality inevitably shapes all stages of qualitative research. Despite ongoing reflexivity and efforts to minimise bias, the researcher’s background, assumptions, and interpretive lens may influence data collection, analysis, and thematic development. While strategies such as peer debriefing, member checking, and maintaining an audit trail were employed to mitigate these effects, complete objectivity is neither possible nor sought in qualitative inquiry. Instead, transparency about these influences is prioritised to enhance the integrity and trustworthiness of the study.</w:t>
      </w:r>
    </w:p>
    <w:p w14:paraId="1F1EC631" w14:textId="079D3F75" w:rsidR="00E44A10" w:rsidRPr="001F3849" w:rsidRDefault="00E44A10" w:rsidP="001F3849">
      <w:pPr>
        <w:spacing w:before="100" w:beforeAutospacing="1" w:after="100" w:afterAutospacing="1" w:line="360" w:lineRule="auto"/>
        <w:rPr>
          <w:rFonts w:eastAsia="Times New Roman"/>
          <w:sz w:val="24"/>
          <w:szCs w:val="24"/>
        </w:rPr>
      </w:pPr>
      <w:r w:rsidRPr="001F3849">
        <w:rPr>
          <w:rFonts w:eastAsia="Times New Roman"/>
          <w:sz w:val="24"/>
          <w:szCs w:val="24"/>
        </w:rPr>
        <w:t>In sum</w:t>
      </w:r>
      <w:r w:rsidR="0077443F" w:rsidRPr="001F3849">
        <w:rPr>
          <w:rFonts w:eastAsia="Times New Roman"/>
          <w:sz w:val="24"/>
          <w:szCs w:val="24"/>
        </w:rPr>
        <w:t>mary</w:t>
      </w:r>
      <w:r w:rsidRPr="001F3849">
        <w:rPr>
          <w:rFonts w:eastAsia="Times New Roman"/>
          <w:sz w:val="24"/>
          <w:szCs w:val="24"/>
        </w:rPr>
        <w:t>, while these limitations should be considered when interpreting the findings, the study’s strengths lie in its depth of exploration, ethical rigour, and commitment to centring the lived experiences of a diverse group of BAME migrants within the complex social landscape of East London.</w:t>
      </w:r>
    </w:p>
    <w:p w14:paraId="3B4C4408" w14:textId="77777777" w:rsidR="00E75066" w:rsidRPr="001F3849" w:rsidRDefault="00E75066"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3.11 Chapter Summary</w:t>
      </w:r>
    </w:p>
    <w:p w14:paraId="77DAC5C4" w14:textId="77777777" w:rsidR="00E75066" w:rsidRPr="001F3849" w:rsidRDefault="00E75066" w:rsidP="001F3849">
      <w:pPr>
        <w:spacing w:before="100" w:beforeAutospacing="1" w:after="100" w:afterAutospacing="1" w:line="360" w:lineRule="auto"/>
        <w:rPr>
          <w:rFonts w:eastAsia="Times New Roman"/>
          <w:sz w:val="24"/>
          <w:szCs w:val="24"/>
        </w:rPr>
      </w:pPr>
      <w:r w:rsidRPr="001F3849">
        <w:rPr>
          <w:rFonts w:eastAsia="Times New Roman"/>
          <w:sz w:val="24"/>
          <w:szCs w:val="24"/>
        </w:rPr>
        <w:t>This chapter has provided a comprehensive account of the methodological framework guiding this dissertation, offering detailed justification for its qualitative, interpretivist approach to understanding the intersection of immigration status, ethnicity, and health. Building on the epistemological foundations of constructivism and interpretivism, the research design is tailored to elicit rich, nuanced narratives that illuminate the lived realities of BAME adult migrants navigating the structural and psychosocial challenges of life in East London.</w:t>
      </w:r>
    </w:p>
    <w:p w14:paraId="1EE1D6C8" w14:textId="77777777" w:rsidR="00E75066" w:rsidRPr="001F3849" w:rsidRDefault="00E75066" w:rsidP="001F3849">
      <w:pPr>
        <w:spacing w:before="100" w:beforeAutospacing="1" w:after="100" w:afterAutospacing="1" w:line="360" w:lineRule="auto"/>
        <w:rPr>
          <w:rFonts w:eastAsia="Times New Roman"/>
          <w:sz w:val="24"/>
          <w:szCs w:val="24"/>
        </w:rPr>
      </w:pPr>
      <w:r w:rsidRPr="001F3849">
        <w:rPr>
          <w:rFonts w:eastAsia="Times New Roman"/>
          <w:sz w:val="24"/>
          <w:szCs w:val="24"/>
        </w:rPr>
        <w:t>The chapter has explained the rationale for selecting East London as a research setting, describing its super-diverse and deprived context as uniquely positioned to reveal the multifaceted impacts of immigration status. The purposive and snowball sampling strategies, combined with semi-structured interviews and the use of interpreters, were designed to access a broad spectrum of migrant voices while ensuring ethical inclusivity and sensitivity.</w:t>
      </w:r>
    </w:p>
    <w:p w14:paraId="58F983C2" w14:textId="77777777" w:rsidR="00E75066" w:rsidRPr="001F3849" w:rsidRDefault="00E75066" w:rsidP="001F3849">
      <w:pPr>
        <w:spacing w:before="100" w:beforeAutospacing="1" w:after="100" w:afterAutospacing="1" w:line="360" w:lineRule="auto"/>
        <w:rPr>
          <w:rFonts w:eastAsia="Times New Roman"/>
          <w:sz w:val="24"/>
          <w:szCs w:val="24"/>
        </w:rPr>
      </w:pPr>
      <w:r w:rsidRPr="001F3849">
        <w:rPr>
          <w:rFonts w:eastAsia="Times New Roman"/>
          <w:sz w:val="24"/>
          <w:szCs w:val="24"/>
        </w:rPr>
        <w:t>An in-depth description of the reflexive thematic analysis process has been provided, emphasising the iterative and interpretive nature of coding, theme development, and the linking of findings to theoretical frameworks such as the Social Determinants of Health, intersectionality, and structural violence. The chapter has also outlined the strategies employed to uphold rigour and trustworthiness, including credibility, dependability, confirmability, and transferability.</w:t>
      </w:r>
    </w:p>
    <w:p w14:paraId="77407FCA" w14:textId="77777777" w:rsidR="00E75066" w:rsidRPr="001F3849" w:rsidRDefault="00E75066" w:rsidP="001F3849">
      <w:pPr>
        <w:spacing w:before="100" w:beforeAutospacing="1" w:after="100" w:afterAutospacing="1" w:line="360" w:lineRule="auto"/>
        <w:rPr>
          <w:rFonts w:eastAsia="Times New Roman"/>
          <w:sz w:val="24"/>
          <w:szCs w:val="24"/>
        </w:rPr>
      </w:pPr>
      <w:r w:rsidRPr="001F3849">
        <w:rPr>
          <w:rFonts w:eastAsia="Times New Roman"/>
          <w:sz w:val="24"/>
          <w:szCs w:val="24"/>
        </w:rPr>
        <w:t>Ethical considerations have been foregrounded, with attention to the challenges of ensuring confidentiality, informed consent, and emotional safety for participants discussing deeply personal and potentially traumatic experiences. The chapter has demonstrated the researcher’s reflexive engagement with issues of power, positionality, and cultural context, recognising that knowledge production is a co-constructed and situated process.</w:t>
      </w:r>
    </w:p>
    <w:p w14:paraId="0073722E" w14:textId="6036D9AD" w:rsidR="00E75066" w:rsidRPr="001F3849" w:rsidRDefault="00E75066" w:rsidP="001F3849">
      <w:pPr>
        <w:spacing w:before="100" w:beforeAutospacing="1" w:after="100" w:afterAutospacing="1" w:line="360" w:lineRule="auto"/>
        <w:rPr>
          <w:rFonts w:eastAsia="Times New Roman"/>
          <w:sz w:val="24"/>
          <w:szCs w:val="24"/>
        </w:rPr>
      </w:pPr>
      <w:r w:rsidRPr="001F3849">
        <w:rPr>
          <w:rFonts w:eastAsia="Times New Roman"/>
          <w:sz w:val="24"/>
          <w:szCs w:val="24"/>
        </w:rPr>
        <w:t>In acknowledging the limitations of the study</w:t>
      </w:r>
      <w:r w:rsidR="00DC226E" w:rsidRPr="001F3849">
        <w:rPr>
          <w:rFonts w:eastAsia="Times New Roman"/>
          <w:sz w:val="24"/>
          <w:szCs w:val="24"/>
        </w:rPr>
        <w:t xml:space="preserve">, such as sampling constraints, potential biases, and the contextual impact of the COVID-19 pandemic, </w:t>
      </w:r>
      <w:r w:rsidRPr="001F3849">
        <w:rPr>
          <w:rFonts w:eastAsia="Times New Roman"/>
          <w:sz w:val="24"/>
          <w:szCs w:val="24"/>
        </w:rPr>
        <w:t xml:space="preserve">the chapter underscores the importance of transparency and critical self-reflection in qualitative research. Despite these challenges, the approach adopted offers a robust and contextually sensitive pathway to uncovering new insights about the mechanisms by which immigration status, policy, and social structures shape health and </w:t>
      </w:r>
      <w:r w:rsidR="00DC226E" w:rsidRPr="001F3849">
        <w:rPr>
          <w:rFonts w:eastAsia="Times New Roman"/>
          <w:sz w:val="24"/>
          <w:szCs w:val="24"/>
        </w:rPr>
        <w:t>well-being</w:t>
      </w:r>
      <w:r w:rsidRPr="001F3849">
        <w:rPr>
          <w:rFonts w:eastAsia="Times New Roman"/>
          <w:sz w:val="24"/>
          <w:szCs w:val="24"/>
        </w:rPr>
        <w:t xml:space="preserve"> among BAME migrants.</w:t>
      </w:r>
    </w:p>
    <w:p w14:paraId="67F003AF" w14:textId="77777777" w:rsidR="00E75066" w:rsidRPr="001F3849" w:rsidRDefault="00E75066" w:rsidP="001F3849">
      <w:pPr>
        <w:spacing w:before="100" w:beforeAutospacing="1" w:after="100" w:afterAutospacing="1" w:line="360" w:lineRule="auto"/>
        <w:rPr>
          <w:rFonts w:eastAsia="Times New Roman"/>
          <w:sz w:val="24"/>
          <w:szCs w:val="24"/>
        </w:rPr>
      </w:pPr>
      <w:r w:rsidRPr="001F3849">
        <w:rPr>
          <w:rFonts w:eastAsia="Times New Roman"/>
          <w:sz w:val="24"/>
          <w:szCs w:val="24"/>
        </w:rPr>
        <w:t>Having established the methodological foundation, the dissertation now turns to the presentation and analysis of findings. The next chapter synthesises the emergent themes from participant narratives, presenting a rich account of the everyday realities, adaptive strategies, and structural barriers encountered by BAME adult migrants in East London.</w:t>
      </w:r>
    </w:p>
    <w:p w14:paraId="3321DEFB" w14:textId="77777777" w:rsidR="005F20E3" w:rsidRPr="001F3849" w:rsidRDefault="005F20E3" w:rsidP="001F3849">
      <w:pPr>
        <w:spacing w:line="360" w:lineRule="auto"/>
        <w:rPr>
          <w:rFonts w:eastAsia="Times New Roman"/>
          <w:b/>
          <w:bCs/>
          <w:sz w:val="24"/>
          <w:szCs w:val="24"/>
        </w:rPr>
      </w:pPr>
      <w:r w:rsidRPr="001F3849">
        <w:rPr>
          <w:rFonts w:eastAsia="Times New Roman"/>
          <w:b/>
          <w:bCs/>
          <w:sz w:val="24"/>
          <w:szCs w:val="24"/>
        </w:rPr>
        <w:br w:type="page"/>
      </w:r>
    </w:p>
    <w:p w14:paraId="2F08DE97" w14:textId="73021D10" w:rsidR="005F20E3" w:rsidRPr="001F3849" w:rsidRDefault="005F20E3" w:rsidP="001F3849">
      <w:pPr>
        <w:spacing w:before="100" w:beforeAutospacing="1" w:after="100" w:afterAutospacing="1" w:line="360" w:lineRule="auto"/>
        <w:outlineLvl w:val="1"/>
        <w:rPr>
          <w:rFonts w:eastAsia="Times New Roman"/>
          <w:b/>
          <w:bCs/>
          <w:sz w:val="24"/>
          <w:szCs w:val="24"/>
        </w:rPr>
      </w:pPr>
      <w:r w:rsidRPr="001F3849">
        <w:rPr>
          <w:rFonts w:eastAsia="Times New Roman"/>
          <w:b/>
          <w:bCs/>
          <w:sz w:val="24"/>
          <w:szCs w:val="24"/>
        </w:rPr>
        <w:t>Chapter 4: Findings</w:t>
      </w:r>
    </w:p>
    <w:p w14:paraId="0250128A"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4.1 Introduction</w:t>
      </w:r>
    </w:p>
    <w:p w14:paraId="54E3D6C7"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This chapter presents the findings from qualitative interviews with adult migrants from Black, Asian, and Minority Ethnic (BAME) backgrounds residing in East London. Thematic analysis was employed to identify recurring patterns in </w:t>
      </w:r>
      <w:proofErr w:type="gramStart"/>
      <w:r w:rsidRPr="001F3849">
        <w:rPr>
          <w:rFonts w:eastAsia="Times New Roman"/>
          <w:sz w:val="24"/>
          <w:szCs w:val="24"/>
        </w:rPr>
        <w:t>participants’</w:t>
      </w:r>
      <w:proofErr w:type="gramEnd"/>
      <w:r w:rsidRPr="001F3849">
        <w:rPr>
          <w:rFonts w:eastAsia="Times New Roman"/>
          <w:sz w:val="24"/>
          <w:szCs w:val="24"/>
        </w:rPr>
        <w:t xml:space="preserve"> lived experiences, with a focus on how immigration status intersects with structural, social, and psychological determinants of health. Each theme is substantiated with direct participant quotations and situated within relevant theoretical frameworks and the wider literature.</w:t>
      </w:r>
    </w:p>
    <w:p w14:paraId="43B3754C" w14:textId="28B4A84F" w:rsidR="005F20E3" w:rsidRPr="001F3849" w:rsidRDefault="005F20E3" w:rsidP="001F3849">
      <w:pPr>
        <w:spacing w:line="360" w:lineRule="auto"/>
        <w:rPr>
          <w:rFonts w:eastAsia="Times New Roman"/>
          <w:sz w:val="24"/>
          <w:szCs w:val="24"/>
        </w:rPr>
      </w:pPr>
    </w:p>
    <w:p w14:paraId="56A7CFC1"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4.2 Theme 1: Legal Insecurity, Uncertainty, and Chronic Stress</w:t>
      </w:r>
    </w:p>
    <w:p w14:paraId="7EDA1592"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Participants consistently described the pervasive anxiety and psychological strain associated with insecure or temporary immigration status. The threat of removal, delays in visa processing, and fear of rejection emerged as dominant concerns, compounding daily stress and shaping health outcomes.</w:t>
      </w:r>
    </w:p>
    <w:p w14:paraId="0F7A88EA"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“Every </w:t>
      </w:r>
      <w:proofErr w:type="gramStart"/>
      <w:r w:rsidRPr="001F3849">
        <w:rPr>
          <w:rFonts w:eastAsia="Times New Roman"/>
          <w:sz w:val="24"/>
          <w:szCs w:val="24"/>
        </w:rPr>
        <w:t>morning</w:t>
      </w:r>
      <w:proofErr w:type="gramEnd"/>
      <w:r w:rsidRPr="001F3849">
        <w:rPr>
          <w:rFonts w:eastAsia="Times New Roman"/>
          <w:sz w:val="24"/>
          <w:szCs w:val="24"/>
        </w:rPr>
        <w:t xml:space="preserve"> I worry the post will bring bad news from the Home Office. It’s like you’re never really settled, always waiting.” (Participant 4, Newham)</w:t>
      </w:r>
    </w:p>
    <w:p w14:paraId="6AE32AAF"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This ongoing uncertainty aligns with the concept of </w:t>
      </w:r>
      <w:r w:rsidRPr="001F3849">
        <w:rPr>
          <w:rFonts w:eastAsia="Times New Roman"/>
          <w:b/>
          <w:bCs/>
          <w:sz w:val="24"/>
          <w:szCs w:val="24"/>
        </w:rPr>
        <w:t>structural vulnerability</w:t>
      </w:r>
      <w:r w:rsidRPr="001F3849">
        <w:rPr>
          <w:rFonts w:eastAsia="Times New Roman"/>
          <w:sz w:val="24"/>
          <w:szCs w:val="24"/>
        </w:rPr>
        <w:t>, in which social, legal, and policy structures—rather than individual failings—produce heightened risk for certain groups (Quesada et al., 2011). Participants reported insomnia, headaches, and symptoms of anxiety and depression. These findings reinforce research by Hiam et al. (2018), which found that asylum seekers are five times more likely to experience poor mental health than the general population.</w:t>
      </w:r>
    </w:p>
    <w:p w14:paraId="27E965D3"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Interpretively, legal insecurity represents a key social determinant of health, exacerbated by policy environments designed to foster uncertainty and restrict stability (Yuval-Davis et al., 2019). The intersection of immigration status and ethnicity further compounds vulnerability, as BAME participants described experiences of racial profiling and stereotyping during interactions with authorities—a clear manifestation of </w:t>
      </w:r>
      <w:r w:rsidRPr="001F3849">
        <w:rPr>
          <w:rFonts w:eastAsia="Times New Roman"/>
          <w:b/>
          <w:bCs/>
          <w:sz w:val="24"/>
          <w:szCs w:val="24"/>
        </w:rPr>
        <w:t>structural racism</w:t>
      </w:r>
      <w:r w:rsidRPr="001F3849">
        <w:rPr>
          <w:rFonts w:eastAsia="Times New Roman"/>
          <w:sz w:val="24"/>
          <w:szCs w:val="24"/>
        </w:rPr>
        <w:t xml:space="preserve"> (</w:t>
      </w:r>
      <w:proofErr w:type="spellStart"/>
      <w:r w:rsidRPr="001F3849">
        <w:rPr>
          <w:rFonts w:eastAsia="Times New Roman"/>
          <w:sz w:val="24"/>
          <w:szCs w:val="24"/>
        </w:rPr>
        <w:t>Nazroo</w:t>
      </w:r>
      <w:proofErr w:type="spellEnd"/>
      <w:r w:rsidRPr="001F3849">
        <w:rPr>
          <w:rFonts w:eastAsia="Times New Roman"/>
          <w:sz w:val="24"/>
          <w:szCs w:val="24"/>
        </w:rPr>
        <w:t>, 2021).</w:t>
      </w:r>
    </w:p>
    <w:p w14:paraId="3FF41902" w14:textId="77777777" w:rsidR="005F20E3" w:rsidRPr="001F3849" w:rsidRDefault="0074779B" w:rsidP="001F3849">
      <w:pPr>
        <w:spacing w:line="360" w:lineRule="auto"/>
        <w:rPr>
          <w:rFonts w:eastAsia="Times New Roman"/>
          <w:sz w:val="24"/>
          <w:szCs w:val="24"/>
        </w:rPr>
      </w:pPr>
      <w:r w:rsidRPr="001F3849">
        <w:rPr>
          <w:rFonts w:eastAsia="Times New Roman"/>
          <w:sz w:val="24"/>
          <w:szCs w:val="24"/>
        </w:rPr>
        <w:pict w14:anchorId="12BB47CB">
          <v:rect id="_x0000_i1025" style="width:0;height:1.5pt" o:hralign="center" o:hrstd="t" o:hr="t" fillcolor="#a0a0a0" stroked="f"/>
        </w:pict>
      </w:r>
    </w:p>
    <w:p w14:paraId="127034E6"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4.3 Theme 2: Barriers to Healthcare Access and Institutional Distrust</w:t>
      </w:r>
    </w:p>
    <w:p w14:paraId="75AA26DB"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Barriers to healthcare emerged as a major theme, with participants describing difficulties registering with GPs, confusion about entitlements, and fear that seeking care could jeopardize their legal status.</w:t>
      </w:r>
    </w:p>
    <w:p w14:paraId="1BA18E74"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“I was refused by two clinics because I couldn’t show my documents. I stopped trying for a while, even though I was sick.” (Participant 10, Tower Hamlets)</w:t>
      </w:r>
    </w:p>
    <w:p w14:paraId="1FE2CB63"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“People say you should trust the NHS, but if you are told your information might be sent to immigration, how can you?” (Participant 12, Barking &amp; Dagenham)</w:t>
      </w:r>
    </w:p>
    <w:p w14:paraId="5AA1673C"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The literature supports these experiences: Doctors of the World (2017) found that 61% of London migrants avoided care due to fear of immigration checks or charges. The expansion of ‘No Recourse to Public Funds’ (NRPF) conditions adds further complexity, excluding many from secondary care and specialist services (NHS England, 2022).</w:t>
      </w:r>
    </w:p>
    <w:p w14:paraId="7D025391"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These institutional barriers exemplify </w:t>
      </w:r>
      <w:r w:rsidRPr="001F3849">
        <w:rPr>
          <w:rFonts w:eastAsia="Times New Roman"/>
          <w:b/>
          <w:bCs/>
          <w:sz w:val="24"/>
          <w:szCs w:val="24"/>
        </w:rPr>
        <w:t>structural vulnerability</w:t>
      </w:r>
      <w:r w:rsidRPr="001F3849">
        <w:rPr>
          <w:rFonts w:eastAsia="Times New Roman"/>
          <w:sz w:val="24"/>
          <w:szCs w:val="24"/>
        </w:rPr>
        <w:t xml:space="preserve"> and </w:t>
      </w:r>
      <w:r w:rsidRPr="001F3849">
        <w:rPr>
          <w:rFonts w:eastAsia="Times New Roman"/>
          <w:b/>
          <w:bCs/>
          <w:sz w:val="24"/>
          <w:szCs w:val="24"/>
        </w:rPr>
        <w:t>structural racism</w:t>
      </w:r>
      <w:r w:rsidRPr="001F3849">
        <w:rPr>
          <w:rFonts w:eastAsia="Times New Roman"/>
          <w:sz w:val="24"/>
          <w:szCs w:val="24"/>
        </w:rPr>
        <w:t>, as policy and bureaucracy create invisible but profound health risks. Participants described relying on informal networks, community organisations, and self-medication, highlighting both adaptive strategies and the persistence of unmet need.</w:t>
      </w:r>
    </w:p>
    <w:p w14:paraId="5D4CDBA8" w14:textId="5C7144B3" w:rsidR="005F20E3" w:rsidRPr="001F3849" w:rsidRDefault="005F20E3" w:rsidP="001F3849">
      <w:pPr>
        <w:spacing w:line="360" w:lineRule="auto"/>
        <w:rPr>
          <w:rFonts w:eastAsia="Times New Roman"/>
          <w:sz w:val="24"/>
          <w:szCs w:val="24"/>
        </w:rPr>
      </w:pPr>
    </w:p>
    <w:p w14:paraId="6893B124"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4.4 Theme 3: Housing Instability, Overcrowding, and Physical Health</w:t>
      </w:r>
    </w:p>
    <w:p w14:paraId="04FFAE9D"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Housing instability and overcrowding were salient across interviews, with many participants living in temporary, substandard, or shared accommodations.</w:t>
      </w:r>
    </w:p>
    <w:p w14:paraId="5FDA6C2A"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“We are six people in two rooms. There’s no privacy, and when one gets sick, everyone does.” (Participant 3, Newham)</w:t>
      </w:r>
    </w:p>
    <w:p w14:paraId="59746AC3"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“I have been moved three times in the past year. It feels like you’re always packing, never at home.” (Participant 7, Hackney)</w:t>
      </w:r>
    </w:p>
    <w:p w14:paraId="62309D12"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Such conditions increase exposure to communicable diseases, stress-related illnesses, and negatively impact mental wellbeing. Newham’s overcrowding rate (18.7%) is among the highest in England (ONS, 2021). The literature links poor housing to higher rates of chronic illness, including type 2 diabetes and respiratory conditions, particularly among South Asian and Black communities (Diabetes UK, 2023; PHE, 2017).</w:t>
      </w:r>
    </w:p>
    <w:p w14:paraId="7E069A65"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From a </w:t>
      </w:r>
      <w:r w:rsidRPr="001F3849">
        <w:rPr>
          <w:rFonts w:eastAsia="Times New Roman"/>
          <w:b/>
          <w:bCs/>
          <w:sz w:val="24"/>
          <w:szCs w:val="24"/>
        </w:rPr>
        <w:t>Social Determinants of Health</w:t>
      </w:r>
      <w:r w:rsidRPr="001F3849">
        <w:rPr>
          <w:rFonts w:eastAsia="Times New Roman"/>
          <w:sz w:val="24"/>
          <w:szCs w:val="24"/>
        </w:rPr>
        <w:t xml:space="preserve"> perspective, housing is a critical determinant of health, and instability interacts with legal insecurity and economic hardship to create compounded vulnerabilities. </w:t>
      </w:r>
      <w:r w:rsidRPr="001F3849">
        <w:rPr>
          <w:rFonts w:eastAsia="Times New Roman"/>
          <w:b/>
          <w:bCs/>
          <w:sz w:val="24"/>
          <w:szCs w:val="24"/>
        </w:rPr>
        <w:t>Intersectionality</w:t>
      </w:r>
      <w:r w:rsidRPr="001F3849">
        <w:rPr>
          <w:rFonts w:eastAsia="Times New Roman"/>
          <w:sz w:val="24"/>
          <w:szCs w:val="24"/>
        </w:rPr>
        <w:t xml:space="preserve"> is evident as women, children, and older adults face heightened risks within overcrowded, unsafe environments.</w:t>
      </w:r>
    </w:p>
    <w:p w14:paraId="5E5E133E" w14:textId="56F0D6F6" w:rsidR="005F20E3" w:rsidRPr="001F3849" w:rsidRDefault="005F20E3" w:rsidP="001F3849">
      <w:pPr>
        <w:spacing w:line="360" w:lineRule="auto"/>
        <w:rPr>
          <w:rFonts w:eastAsia="Times New Roman"/>
          <w:sz w:val="24"/>
          <w:szCs w:val="24"/>
        </w:rPr>
      </w:pPr>
    </w:p>
    <w:p w14:paraId="5A1529C8"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4.5 Theme 4: Precarious Employment, Financial Strain, and Coping Strategies</w:t>
      </w:r>
    </w:p>
    <w:p w14:paraId="78F0CBF3"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Most participants were engaged in low-paid, insecure, or informal work, often below their qualification level. Visa restrictions and lack of access to public funds forced individuals into exploitative labour markets.</w:t>
      </w:r>
    </w:p>
    <w:p w14:paraId="48CD1181"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“I have a degree, but my visa only lets me do certain jobs. I work long hours for little pay, just so we can survive.” (Participant 6, Tower Hamlets)</w:t>
      </w:r>
    </w:p>
    <w:p w14:paraId="7E254ED0"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“If you complain, they threaten to report you. </w:t>
      </w:r>
      <w:proofErr w:type="gramStart"/>
      <w:r w:rsidRPr="001F3849">
        <w:rPr>
          <w:rFonts w:eastAsia="Times New Roman"/>
          <w:sz w:val="24"/>
          <w:szCs w:val="24"/>
        </w:rPr>
        <w:t>So</w:t>
      </w:r>
      <w:proofErr w:type="gramEnd"/>
      <w:r w:rsidRPr="001F3849">
        <w:rPr>
          <w:rFonts w:eastAsia="Times New Roman"/>
          <w:sz w:val="24"/>
          <w:szCs w:val="24"/>
        </w:rPr>
        <w:t xml:space="preserve"> you just keep quiet and hope it gets better.” (Participant 8, Waltham Forest)</w:t>
      </w:r>
    </w:p>
    <w:p w14:paraId="784D704E"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Financial hardship was compounded by high visa renewal fees—over £2,800 per person for indefinite leave to remain (Hiam et al., 2018)—and legal costs, often resulting in debt and chronic stress.</w:t>
      </w:r>
    </w:p>
    <w:p w14:paraId="4DDA4C28"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Coping strategies varied, with some relying on community support, remittances, or multiple jobs. Others described withdrawing from social networks due to exhaustion or shame. These findings echo research highlighting the cumulative impact of economic exclusion and labour exploitation on migrant health (Jayaweera, 2019).</w:t>
      </w:r>
    </w:p>
    <w:p w14:paraId="4AA8830E" w14:textId="5756DCE1" w:rsidR="005F20E3" w:rsidRPr="001F3849" w:rsidRDefault="005F20E3" w:rsidP="001F3849">
      <w:pPr>
        <w:spacing w:line="360" w:lineRule="auto"/>
        <w:rPr>
          <w:rFonts w:eastAsia="Times New Roman"/>
          <w:sz w:val="24"/>
          <w:szCs w:val="24"/>
        </w:rPr>
      </w:pPr>
    </w:p>
    <w:p w14:paraId="3DB898D6"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4.6 Theme 5: Discrimination, Social Exclusion, and Collective Resilience</w:t>
      </w:r>
    </w:p>
    <w:p w14:paraId="6DCC2108"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Experiences of racism, xenophobia, and social exclusion were common. Participants reported discrimination in public spaces, workplaces, and even within healthcare settings.</w:t>
      </w:r>
    </w:p>
    <w:p w14:paraId="4B1C2133"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“People look at me like I don’t belong. Sometimes I feel invisible, other times too visible.” (Participant 9, Redbridge)</w:t>
      </w:r>
    </w:p>
    <w:p w14:paraId="11326D95"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“You </w:t>
      </w:r>
      <w:proofErr w:type="gramStart"/>
      <w:r w:rsidRPr="001F3849">
        <w:rPr>
          <w:rFonts w:eastAsia="Times New Roman"/>
          <w:sz w:val="24"/>
          <w:szCs w:val="24"/>
        </w:rPr>
        <w:t>have to</w:t>
      </w:r>
      <w:proofErr w:type="gramEnd"/>
      <w:r w:rsidRPr="001F3849">
        <w:rPr>
          <w:rFonts w:eastAsia="Times New Roman"/>
          <w:sz w:val="24"/>
          <w:szCs w:val="24"/>
        </w:rPr>
        <w:t xml:space="preserve"> be strong. I tell my children to be proud, but it’s not easy when the world makes you feel less.” (Participant 1, Tower Hamlets)</w:t>
      </w:r>
    </w:p>
    <w:p w14:paraId="56A2AE9D"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Despite these challenges, many participants expressed resilience, drawing strength from faith, family, and particularly from community organisations and support groups. This reflects the literature on </w:t>
      </w:r>
      <w:r w:rsidRPr="001F3849">
        <w:rPr>
          <w:rFonts w:eastAsia="Times New Roman"/>
          <w:b/>
          <w:bCs/>
          <w:sz w:val="24"/>
          <w:szCs w:val="24"/>
        </w:rPr>
        <w:t>social capital</w:t>
      </w:r>
      <w:r w:rsidRPr="001F3849">
        <w:rPr>
          <w:rFonts w:eastAsia="Times New Roman"/>
          <w:sz w:val="24"/>
          <w:szCs w:val="24"/>
        </w:rPr>
        <w:t xml:space="preserve"> (Putnam, 2000; Phillimore et al., 2020), demonstrating the importance of collective resources in mitigating the harms of exclusion and marginalisation.</w:t>
      </w:r>
    </w:p>
    <w:p w14:paraId="3A11B3CC"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From a theoretical viewpoint, </w:t>
      </w:r>
      <w:r w:rsidRPr="001F3849">
        <w:rPr>
          <w:rFonts w:eastAsia="Times New Roman"/>
          <w:b/>
          <w:bCs/>
          <w:sz w:val="24"/>
          <w:szCs w:val="24"/>
        </w:rPr>
        <w:t>intersectionality</w:t>
      </w:r>
      <w:r w:rsidRPr="001F3849">
        <w:rPr>
          <w:rFonts w:eastAsia="Times New Roman"/>
          <w:sz w:val="24"/>
          <w:szCs w:val="24"/>
        </w:rPr>
        <w:t xml:space="preserve"> is critical: participants’ experiences of discrimination were shaped not only by ethnicity and migration status but also by gender, religion, and language. The ability to maintain hope and agency amid adversity is significant, but it does not diminish the urgent need for structural reform to address institutional barriers and social injustice.</w:t>
      </w:r>
    </w:p>
    <w:p w14:paraId="542B6F20" w14:textId="0A89A0B3" w:rsidR="005F20E3" w:rsidRPr="001F3849" w:rsidRDefault="005F20E3" w:rsidP="001F3849">
      <w:pPr>
        <w:spacing w:line="360" w:lineRule="auto"/>
        <w:rPr>
          <w:rFonts w:eastAsia="Times New Roman"/>
          <w:sz w:val="24"/>
          <w:szCs w:val="24"/>
        </w:rPr>
      </w:pPr>
    </w:p>
    <w:p w14:paraId="21530C8C"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4.7 Reflexivity and Analytical Commentary</w:t>
      </w:r>
    </w:p>
    <w:p w14:paraId="0A151C3F" w14:textId="724E42AD"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The interpretation of findings was shaped by ongoing reflexive engagement. As a researcher, my positionality—both as an insider familiar with migrant experiences and as an outsider to certain communities</w:t>
      </w:r>
      <w:r w:rsidR="006B539F" w:rsidRPr="001F3849">
        <w:rPr>
          <w:rFonts w:eastAsia="Times New Roman"/>
          <w:sz w:val="24"/>
          <w:szCs w:val="24"/>
        </w:rPr>
        <w:t xml:space="preserve"> </w:t>
      </w:r>
      <w:r w:rsidRPr="001F3849">
        <w:rPr>
          <w:rFonts w:eastAsia="Times New Roman"/>
          <w:sz w:val="24"/>
          <w:szCs w:val="24"/>
        </w:rPr>
        <w:t>created opportunities and challenges. Building rapport was essential, especially around sensitive topics such as legal status and trauma. Regular peer debriefing, engagement with community advisors, and reflexive journaling helped to minimise bias and deepen understanding.</w:t>
      </w:r>
    </w:p>
    <w:p w14:paraId="66E95801"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 findings demonstrate that health inequalities among BAME migrants in East London are rooted not in cultural differences or individual behaviour, but in the intersecting effects of immigration policy, institutional racism, economic exclusion, and social marginalisation. Participant narratives illuminate the lived mechanisms by which </w:t>
      </w:r>
      <w:r w:rsidRPr="001F3849">
        <w:rPr>
          <w:rFonts w:eastAsia="Times New Roman"/>
          <w:b/>
          <w:bCs/>
          <w:sz w:val="24"/>
          <w:szCs w:val="24"/>
        </w:rPr>
        <w:t>structural vulnerability</w:t>
      </w:r>
      <w:r w:rsidRPr="001F3849">
        <w:rPr>
          <w:rFonts w:eastAsia="Times New Roman"/>
          <w:sz w:val="24"/>
          <w:szCs w:val="24"/>
        </w:rPr>
        <w:t xml:space="preserve"> and </w:t>
      </w:r>
      <w:r w:rsidRPr="001F3849">
        <w:rPr>
          <w:rFonts w:eastAsia="Times New Roman"/>
          <w:b/>
          <w:bCs/>
          <w:sz w:val="24"/>
          <w:szCs w:val="24"/>
        </w:rPr>
        <w:t>social exclusion</w:t>
      </w:r>
      <w:r w:rsidRPr="001F3849">
        <w:rPr>
          <w:rFonts w:eastAsia="Times New Roman"/>
          <w:sz w:val="24"/>
          <w:szCs w:val="24"/>
        </w:rPr>
        <w:t xml:space="preserve"> are embodied and reproduced.</w:t>
      </w:r>
    </w:p>
    <w:p w14:paraId="20E20445" w14:textId="4ABBE7A7" w:rsidR="005F20E3" w:rsidRPr="001F3849" w:rsidRDefault="005F20E3" w:rsidP="001F3849">
      <w:pPr>
        <w:spacing w:line="360" w:lineRule="auto"/>
        <w:rPr>
          <w:rFonts w:eastAsia="Times New Roman"/>
          <w:sz w:val="24"/>
          <w:szCs w:val="24"/>
        </w:rPr>
      </w:pPr>
    </w:p>
    <w:p w14:paraId="19CA7FBE" w14:textId="77777777" w:rsidR="005F20E3" w:rsidRPr="001F3849" w:rsidRDefault="005F20E3"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4.8 Chapter Summary and Synthesis</w:t>
      </w:r>
    </w:p>
    <w:p w14:paraId="08936A1A"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This chapter has presented a thematic analysis of interviews with BAME adult migrants in East London, revealing the profound and multifaceted impacts of immigration status on health and wellbeing. Five major themes emerged: (1) legal insecurity and chronic stress; (2) barriers to healthcare and institutional distrust; (3) housing instability and physical health; (4) precarious employment and financial strain; and (5) discrimination, social exclusion, and collective resilience.</w:t>
      </w:r>
    </w:p>
    <w:p w14:paraId="1A5A2544" w14:textId="5766FAF6"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 findings are situated within the Social Determinants of Health framework, with </w:t>
      </w:r>
      <w:r w:rsidRPr="001F3849">
        <w:rPr>
          <w:rFonts w:eastAsia="Times New Roman"/>
          <w:b/>
          <w:bCs/>
          <w:sz w:val="24"/>
          <w:szCs w:val="24"/>
        </w:rPr>
        <w:t>structural vulnerability</w:t>
      </w:r>
      <w:r w:rsidRPr="001F3849">
        <w:rPr>
          <w:rFonts w:eastAsia="Times New Roman"/>
          <w:sz w:val="24"/>
          <w:szCs w:val="24"/>
        </w:rPr>
        <w:t xml:space="preserve"> and </w:t>
      </w:r>
      <w:r w:rsidRPr="001F3849">
        <w:rPr>
          <w:rFonts w:eastAsia="Times New Roman"/>
          <w:b/>
          <w:bCs/>
          <w:sz w:val="24"/>
          <w:szCs w:val="24"/>
        </w:rPr>
        <w:t>structural racism</w:t>
      </w:r>
      <w:r w:rsidRPr="001F3849">
        <w:rPr>
          <w:rFonts w:eastAsia="Times New Roman"/>
          <w:sz w:val="24"/>
          <w:szCs w:val="24"/>
        </w:rPr>
        <w:t xml:space="preserve"> providing further analytic depth. Health inequalities are shown to be produced by upstream factors—policy, housing, labour markets, and institutional practices</w:t>
      </w:r>
      <w:r w:rsidR="00EB32A6" w:rsidRPr="001F3849">
        <w:rPr>
          <w:rFonts w:eastAsia="Times New Roman"/>
          <w:sz w:val="24"/>
          <w:szCs w:val="24"/>
        </w:rPr>
        <w:t xml:space="preserve"> </w:t>
      </w:r>
      <w:r w:rsidRPr="001F3849">
        <w:rPr>
          <w:rFonts w:eastAsia="Times New Roman"/>
          <w:sz w:val="24"/>
          <w:szCs w:val="24"/>
        </w:rPr>
        <w:t>rather than individual choices. Intersectionality highlights the unique experiences of those at the crossroads of multiple oppressions.</w:t>
      </w:r>
    </w:p>
    <w:p w14:paraId="0F544F90"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Importantly, the narratives reveal not only vulnerability but also agency and collective forms of resilience, as participants navigate adversity with creativity and mutual support. However, individual and community strengths cannot compensate for persistent systemic barriers. The chapter underscores the urgency of addressing structural violence and racism through policy reform, equitable access to healthcare, and investment in community support.</w:t>
      </w:r>
    </w:p>
    <w:p w14:paraId="307D0115" w14:textId="77777777" w:rsidR="005F20E3" w:rsidRPr="001F3849" w:rsidRDefault="005F20E3" w:rsidP="001F3849">
      <w:pPr>
        <w:spacing w:before="100" w:beforeAutospacing="1" w:after="100" w:afterAutospacing="1" w:line="360" w:lineRule="auto"/>
        <w:rPr>
          <w:rFonts w:eastAsia="Times New Roman"/>
          <w:sz w:val="24"/>
          <w:szCs w:val="24"/>
        </w:rPr>
      </w:pPr>
      <w:r w:rsidRPr="001F3849">
        <w:rPr>
          <w:rFonts w:eastAsia="Times New Roman"/>
          <w:sz w:val="24"/>
          <w:szCs w:val="24"/>
        </w:rPr>
        <w:t>In sum, the findings extend existing literature by providing in-depth, qualitative insights into the lived realities of BAME migrants facing legal precarity in a super-diverse urban setting. They demonstrate how immigration status, ethnicity, and deprivation interlock to shape health outcomes, and lay the foundation for the subsequent discussion chapter, which will further interpret these findings in relation to public health theory and practice.</w:t>
      </w:r>
    </w:p>
    <w:p w14:paraId="353C12EB" w14:textId="77777777" w:rsidR="00A17015" w:rsidRPr="001F3849" w:rsidRDefault="00A17015" w:rsidP="001F3849">
      <w:pPr>
        <w:spacing w:line="360" w:lineRule="auto"/>
        <w:rPr>
          <w:rFonts w:eastAsia="Times New Roman"/>
          <w:b/>
          <w:bCs/>
          <w:sz w:val="24"/>
          <w:szCs w:val="24"/>
        </w:rPr>
      </w:pPr>
      <w:r w:rsidRPr="001F3849">
        <w:rPr>
          <w:rFonts w:eastAsia="Times New Roman"/>
          <w:b/>
          <w:bCs/>
          <w:sz w:val="24"/>
          <w:szCs w:val="24"/>
        </w:rPr>
        <w:br w:type="page"/>
      </w:r>
    </w:p>
    <w:p w14:paraId="38C4A5DA" w14:textId="7B4F88B2" w:rsidR="00EB32A6" w:rsidRPr="001F3849" w:rsidRDefault="00EB32A6" w:rsidP="001F3849">
      <w:pPr>
        <w:spacing w:before="100" w:beforeAutospacing="1" w:after="100" w:afterAutospacing="1" w:line="360" w:lineRule="auto"/>
        <w:outlineLvl w:val="1"/>
        <w:rPr>
          <w:rFonts w:eastAsia="Times New Roman"/>
          <w:b/>
          <w:bCs/>
          <w:sz w:val="24"/>
          <w:szCs w:val="24"/>
        </w:rPr>
      </w:pPr>
      <w:r w:rsidRPr="001F3849">
        <w:rPr>
          <w:rFonts w:eastAsia="Times New Roman"/>
          <w:b/>
          <w:bCs/>
          <w:sz w:val="24"/>
          <w:szCs w:val="24"/>
        </w:rPr>
        <w:t>Chapter 5: Critical Discussion and Implications</w:t>
      </w:r>
    </w:p>
    <w:p w14:paraId="6B1B72E3" w14:textId="77777777" w:rsidR="00EB32A6" w:rsidRPr="001F3849" w:rsidRDefault="00EB32A6"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5.1 Introduction</w:t>
      </w:r>
    </w:p>
    <w:p w14:paraId="0E8E860A" w14:textId="77777777" w:rsidR="00CA2AF9" w:rsidRPr="001F3849" w:rsidRDefault="00CA2AF9" w:rsidP="001F3849">
      <w:pPr>
        <w:spacing w:before="100" w:beforeAutospacing="1" w:after="100" w:afterAutospacing="1" w:line="360" w:lineRule="auto"/>
        <w:rPr>
          <w:rFonts w:eastAsia="Times New Roman"/>
          <w:sz w:val="24"/>
          <w:szCs w:val="24"/>
        </w:rPr>
      </w:pPr>
      <w:r w:rsidRPr="001F3849">
        <w:rPr>
          <w:rFonts w:eastAsia="Times New Roman"/>
          <w:sz w:val="24"/>
          <w:szCs w:val="24"/>
        </w:rPr>
        <w:t>This chapter provides a critical and integrative discussion of the study’s findings, positioning them within the broader landscape of public health theory and contemporary policy debates in the United Kingdom. Drawing on the Social Determinants of Health (SDH) framework, as well as the concepts of structural vulnerability (Quesada et al., 2011), intersectionality (Crenshaw, 1989), and structural racism (</w:t>
      </w:r>
      <w:proofErr w:type="spellStart"/>
      <w:r w:rsidRPr="001F3849">
        <w:rPr>
          <w:rFonts w:eastAsia="Times New Roman"/>
          <w:sz w:val="24"/>
          <w:szCs w:val="24"/>
        </w:rPr>
        <w:t>Nazroo</w:t>
      </w:r>
      <w:proofErr w:type="spellEnd"/>
      <w:r w:rsidRPr="001F3849">
        <w:rPr>
          <w:rFonts w:eastAsia="Times New Roman"/>
          <w:sz w:val="24"/>
          <w:szCs w:val="24"/>
        </w:rPr>
        <w:t>, 2021), the analysis moves beyond surface-level description to interrogate the root causes and mechanisms by which health inequalities are produced and sustained among BAME adult migrants in East London.</w:t>
      </w:r>
    </w:p>
    <w:p w14:paraId="0CB8D9C5" w14:textId="3018F7E2" w:rsidR="00CA2AF9" w:rsidRPr="001F3849" w:rsidRDefault="00CA2AF9"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In recent decades, the UK’s approach to migration has become increasingly politicised and restrictive, with profound implications for the health and </w:t>
      </w:r>
      <w:r w:rsidR="00E8009E" w:rsidRPr="001F3849">
        <w:rPr>
          <w:rFonts w:eastAsia="Times New Roman"/>
          <w:sz w:val="24"/>
          <w:szCs w:val="24"/>
        </w:rPr>
        <w:t>well-being</w:t>
      </w:r>
      <w:r w:rsidRPr="001F3849">
        <w:rPr>
          <w:rFonts w:eastAsia="Times New Roman"/>
          <w:sz w:val="24"/>
          <w:szCs w:val="24"/>
        </w:rPr>
        <w:t xml:space="preserve"> of migrants and ethnic minorities. The findings of this study</w:t>
      </w:r>
      <w:r w:rsidR="00E8009E" w:rsidRPr="001F3849">
        <w:rPr>
          <w:rFonts w:eastAsia="Times New Roman"/>
          <w:sz w:val="24"/>
          <w:szCs w:val="24"/>
        </w:rPr>
        <w:t xml:space="preserve">, rooted in the lived experiences of participants, </w:t>
      </w:r>
      <w:r w:rsidRPr="001F3849">
        <w:rPr>
          <w:rFonts w:eastAsia="Times New Roman"/>
          <w:sz w:val="24"/>
          <w:szCs w:val="24"/>
        </w:rPr>
        <w:t xml:space="preserve">reveal that immigration status operates not as a neutral bureaucratic category, but as a fundamental axis of social stratification. Through detailed thematic analysis, this chapter reveals how immigration policies, societal structures, and institutional practices conspire to shape not only material conditions, such as housing and employment, but also psychological </w:t>
      </w:r>
      <w:r w:rsidR="00E8009E" w:rsidRPr="001F3849">
        <w:rPr>
          <w:rFonts w:eastAsia="Times New Roman"/>
          <w:sz w:val="24"/>
          <w:szCs w:val="24"/>
        </w:rPr>
        <w:t>well-being</w:t>
      </w:r>
      <w:r w:rsidRPr="001F3849">
        <w:rPr>
          <w:rFonts w:eastAsia="Times New Roman"/>
          <w:sz w:val="24"/>
          <w:szCs w:val="24"/>
        </w:rPr>
        <w:t>, community belonging, and access to healthcare.</w:t>
      </w:r>
    </w:p>
    <w:p w14:paraId="2A870D85" w14:textId="77777777" w:rsidR="00CA2AF9" w:rsidRPr="001F3849" w:rsidRDefault="00CA2AF9" w:rsidP="001F3849">
      <w:pPr>
        <w:spacing w:before="100" w:beforeAutospacing="1" w:after="100" w:afterAutospacing="1" w:line="360" w:lineRule="auto"/>
        <w:rPr>
          <w:rFonts w:eastAsia="Times New Roman"/>
          <w:sz w:val="24"/>
          <w:szCs w:val="24"/>
        </w:rPr>
      </w:pPr>
      <w:r w:rsidRPr="001F3849">
        <w:rPr>
          <w:rFonts w:eastAsia="Times New Roman"/>
          <w:sz w:val="24"/>
          <w:szCs w:val="24"/>
        </w:rPr>
        <w:t>By synthesising participant narratives with the wider literature, this chapter seeks to illuminate the often-invisible processes of marginalisation and resilience. It highlights how the interplay of restrictive policy, social exclusion, and intersecting oppressions perpetuates health disparities, even in a healthcare system founded on principles of universality. The discussion also considers the agency and adaptive strategies of migrant communities, while recognising that individual and collective resilience cannot fully compensate for the entrenched effects of structural disadvantage.</w:t>
      </w:r>
    </w:p>
    <w:p w14:paraId="1A1E6E93" w14:textId="77777777" w:rsidR="00CA2AF9" w:rsidRPr="001F3849" w:rsidRDefault="00CA2AF9" w:rsidP="001F3849">
      <w:pPr>
        <w:spacing w:before="100" w:beforeAutospacing="1" w:after="100" w:afterAutospacing="1" w:line="360" w:lineRule="auto"/>
        <w:rPr>
          <w:rFonts w:eastAsia="Times New Roman"/>
          <w:sz w:val="24"/>
          <w:szCs w:val="24"/>
        </w:rPr>
      </w:pPr>
      <w:r w:rsidRPr="001F3849">
        <w:rPr>
          <w:rFonts w:eastAsia="Times New Roman"/>
          <w:sz w:val="24"/>
          <w:szCs w:val="24"/>
        </w:rPr>
        <w:t>Through this analysis, the chapter addresses the research aims and objectives, offering new insights into the mechanisms and consequences of health inequality in super-diverse urban contexts. It concludes with a critical reflection on policy and practice implications, as well as the broader significance of the findings for public health scholarship and social justice.</w:t>
      </w:r>
    </w:p>
    <w:p w14:paraId="1C84CD47" w14:textId="5E4CDCF3" w:rsidR="00CA2AF9" w:rsidRPr="001F3849" w:rsidRDefault="00CA2AF9" w:rsidP="001F3849">
      <w:pPr>
        <w:spacing w:line="360" w:lineRule="auto"/>
        <w:rPr>
          <w:rFonts w:eastAsia="Times New Roman"/>
          <w:sz w:val="24"/>
          <w:szCs w:val="24"/>
        </w:rPr>
      </w:pPr>
    </w:p>
    <w:p w14:paraId="5AB27F88" w14:textId="4C1B4643" w:rsidR="00EB32A6" w:rsidRPr="001F3849" w:rsidRDefault="00EB32A6" w:rsidP="001F3849">
      <w:pPr>
        <w:spacing w:line="360" w:lineRule="auto"/>
        <w:rPr>
          <w:rFonts w:eastAsia="Times New Roman"/>
          <w:sz w:val="24"/>
          <w:szCs w:val="24"/>
        </w:rPr>
      </w:pPr>
    </w:p>
    <w:p w14:paraId="0CD36943" w14:textId="77777777" w:rsidR="00EB32A6" w:rsidRPr="001F3849" w:rsidRDefault="00EB32A6"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5.2 Revisiting the Research Question, Aim, and Objectives</w:t>
      </w:r>
    </w:p>
    <w:p w14:paraId="2579F58D" w14:textId="11F17413"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 xml:space="preserve">The research asked: </w:t>
      </w:r>
      <w:r w:rsidRPr="001F3849">
        <w:rPr>
          <w:rFonts w:eastAsia="Times New Roman"/>
          <w:b/>
          <w:bCs/>
          <w:sz w:val="24"/>
          <w:szCs w:val="24"/>
        </w:rPr>
        <w:t xml:space="preserve">How does immigration status affect the general health and </w:t>
      </w:r>
      <w:r w:rsidR="00E8009E" w:rsidRPr="001F3849">
        <w:rPr>
          <w:rFonts w:eastAsia="Times New Roman"/>
          <w:b/>
          <w:bCs/>
          <w:sz w:val="24"/>
          <w:szCs w:val="24"/>
        </w:rPr>
        <w:t>well-being</w:t>
      </w:r>
      <w:r w:rsidRPr="001F3849">
        <w:rPr>
          <w:rFonts w:eastAsia="Times New Roman"/>
          <w:b/>
          <w:bCs/>
          <w:sz w:val="24"/>
          <w:szCs w:val="24"/>
        </w:rPr>
        <w:t xml:space="preserve"> of adult BAME migrants living in East London?</w:t>
      </w:r>
      <w:r w:rsidRPr="001F3849">
        <w:rPr>
          <w:rFonts w:eastAsia="Times New Roman"/>
          <w:sz w:val="24"/>
          <w:szCs w:val="24"/>
        </w:rPr>
        <w:t xml:space="preserve"> The findings show that immigration status is not simply an administrative label but a powerful structural position. It fundamentally determines exposure to economic, social, and health risks, as well as capacity for agency and resilience. The research objectives</w:t>
      </w:r>
      <w:r w:rsidR="00E8009E" w:rsidRPr="001F3849">
        <w:rPr>
          <w:rFonts w:eastAsia="Times New Roman"/>
          <w:sz w:val="24"/>
          <w:szCs w:val="24"/>
        </w:rPr>
        <w:t xml:space="preserve"> </w:t>
      </w:r>
      <w:r w:rsidRPr="001F3849">
        <w:rPr>
          <w:rFonts w:eastAsia="Times New Roman"/>
          <w:sz w:val="24"/>
          <w:szCs w:val="24"/>
        </w:rPr>
        <w:t>to explore lived experiences, identify mechanisms of disadvantage, and generate policy-relevant insights</w:t>
      </w:r>
      <w:r w:rsidR="00E8009E" w:rsidRPr="001F3849">
        <w:rPr>
          <w:rFonts w:eastAsia="Times New Roman"/>
          <w:sz w:val="24"/>
          <w:szCs w:val="24"/>
        </w:rPr>
        <w:t xml:space="preserve"> </w:t>
      </w:r>
      <w:r w:rsidRPr="001F3849">
        <w:rPr>
          <w:rFonts w:eastAsia="Times New Roman"/>
          <w:sz w:val="24"/>
          <w:szCs w:val="24"/>
        </w:rPr>
        <w:t>have been comprehensively addressed through in-depth qualitative analysis.</w:t>
      </w:r>
    </w:p>
    <w:p w14:paraId="52CDDD44" w14:textId="52F850B3" w:rsidR="00EB32A6" w:rsidRPr="001F3849" w:rsidRDefault="00EB32A6" w:rsidP="001F3849">
      <w:pPr>
        <w:spacing w:line="360" w:lineRule="auto"/>
        <w:rPr>
          <w:rFonts w:eastAsia="Times New Roman"/>
          <w:sz w:val="24"/>
          <w:szCs w:val="24"/>
        </w:rPr>
      </w:pPr>
    </w:p>
    <w:p w14:paraId="3EAE58A3" w14:textId="77777777" w:rsidR="00EB32A6" w:rsidRPr="001F3849" w:rsidRDefault="00EB32A6"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5.3 Interpreting Key Findings: SDH and Structural Vulnerability</w:t>
      </w:r>
    </w:p>
    <w:p w14:paraId="418B4460" w14:textId="77777777" w:rsidR="00EB32A6" w:rsidRPr="001F3849" w:rsidRDefault="00EB32A6" w:rsidP="001F3849">
      <w:pPr>
        <w:spacing w:before="100" w:beforeAutospacing="1" w:after="100" w:afterAutospacing="1" w:line="360" w:lineRule="auto"/>
        <w:outlineLvl w:val="3"/>
        <w:rPr>
          <w:rFonts w:eastAsia="Times New Roman"/>
          <w:b/>
          <w:bCs/>
          <w:sz w:val="24"/>
          <w:szCs w:val="24"/>
        </w:rPr>
      </w:pPr>
      <w:r w:rsidRPr="001F3849">
        <w:rPr>
          <w:rFonts w:eastAsia="Times New Roman"/>
          <w:b/>
          <w:bCs/>
          <w:sz w:val="24"/>
          <w:szCs w:val="24"/>
        </w:rPr>
        <w:t>5.3.1 Housing Precarity and Environmental Inequality</w:t>
      </w:r>
    </w:p>
    <w:p w14:paraId="16CAE494"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Housing instability and overcrowding were universal in participant narratives, confirming that the SDH domain of the built environment is severely compromised for BAME migrants with insecure status. Participants’ vivid descriptions of “living like birds perching” in overcrowded, inadequate spaces highlight not just material deprivation but also a loss of dignity and agency. This aligns with literature showing that migrants, especially those with limited legal rights, are disproportionately affected by poor housing and exploitative landlords (ONS, 2021; Shelter, 2022).</w:t>
      </w:r>
    </w:p>
    <w:p w14:paraId="00AFC31B" w14:textId="77777777" w:rsidR="00EB32A6" w:rsidRPr="001F3849" w:rsidRDefault="00EB32A6" w:rsidP="001F3849">
      <w:pPr>
        <w:spacing w:before="100" w:beforeAutospacing="1" w:after="100" w:afterAutospacing="1" w:line="360" w:lineRule="auto"/>
        <w:outlineLvl w:val="3"/>
        <w:rPr>
          <w:rFonts w:eastAsia="Times New Roman"/>
          <w:b/>
          <w:bCs/>
          <w:sz w:val="24"/>
          <w:szCs w:val="24"/>
        </w:rPr>
      </w:pPr>
      <w:r w:rsidRPr="001F3849">
        <w:rPr>
          <w:rFonts w:eastAsia="Times New Roman"/>
          <w:b/>
          <w:bCs/>
          <w:sz w:val="24"/>
          <w:szCs w:val="24"/>
        </w:rPr>
        <w:t>5.3.2 Employment Insecurity and Economic Exploitation</w:t>
      </w:r>
    </w:p>
    <w:p w14:paraId="71DCA544"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Employment was both a survival mechanism and a source of harm. Participants described long hours, low pay, and lack of protection—all compounded by the constant pressure of high visa fees and legal costs. This reflects the SDH domain of economic stability and demonstrates how immigration status channels migrants into structurally vulnerable, exploitative labour markets (Jayaweera, 2019). The structural vulnerability concept explains how risk is produced by policy and social position, not individual failings.</w:t>
      </w:r>
    </w:p>
    <w:p w14:paraId="38BD2654" w14:textId="77777777" w:rsidR="00EB32A6" w:rsidRPr="001F3849" w:rsidRDefault="00EB32A6" w:rsidP="001F3849">
      <w:pPr>
        <w:spacing w:before="100" w:beforeAutospacing="1" w:after="100" w:afterAutospacing="1" w:line="360" w:lineRule="auto"/>
        <w:outlineLvl w:val="3"/>
        <w:rPr>
          <w:rFonts w:eastAsia="Times New Roman"/>
          <w:b/>
          <w:bCs/>
          <w:sz w:val="24"/>
          <w:szCs w:val="24"/>
        </w:rPr>
      </w:pPr>
      <w:r w:rsidRPr="001F3849">
        <w:rPr>
          <w:rFonts w:eastAsia="Times New Roman"/>
          <w:b/>
          <w:bCs/>
          <w:sz w:val="24"/>
          <w:szCs w:val="24"/>
        </w:rPr>
        <w:t>5.3.3 Chronic Stress, Social Isolation, and Institutional Distrust</w:t>
      </w:r>
    </w:p>
    <w:p w14:paraId="4B7436DD"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Participants’ accounts of chronic anxiety, self-monitoring, and fear of authority illustrate the SDH domains of social and community context, and health and healthcare access. Trust in public institutions was eroded by the “Hostile Environment” and NRPF conditions, leading to healthcare avoidance and social withdrawal. These findings echo recent studies showing that institutional mistrust, rather than lack of entitlement alone, is a key driver of health inequalities among migrants (Doctors of the World, 2017; Morris, 2021).</w:t>
      </w:r>
    </w:p>
    <w:p w14:paraId="446987AA" w14:textId="77777777" w:rsidR="00EB32A6" w:rsidRPr="001F3849" w:rsidRDefault="00EB32A6" w:rsidP="001F3849">
      <w:pPr>
        <w:spacing w:before="100" w:beforeAutospacing="1" w:after="100" w:afterAutospacing="1" w:line="360" w:lineRule="auto"/>
        <w:outlineLvl w:val="3"/>
        <w:rPr>
          <w:rFonts w:eastAsia="Times New Roman"/>
          <w:b/>
          <w:bCs/>
          <w:sz w:val="24"/>
          <w:szCs w:val="24"/>
        </w:rPr>
      </w:pPr>
      <w:r w:rsidRPr="001F3849">
        <w:rPr>
          <w:rFonts w:eastAsia="Times New Roman"/>
          <w:b/>
          <w:bCs/>
          <w:sz w:val="24"/>
          <w:szCs w:val="24"/>
        </w:rPr>
        <w:t>5.3.4 Discrimination, Social Exclusion, and Intersectionality</w:t>
      </w:r>
    </w:p>
    <w:p w14:paraId="1F865442"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Experiences of racism, xenophobia, and social exclusion intersected with legal status to intensify disadvantage. Intersectionality theory clarifies how overlapping axes of identity and oppression (e.g., race, gender, migration status) shape both risk and resilience. The ability to maintain hope and agency amid adversity is significant, but collective and community forms of resilience are often undermined by systemic exclusion and the erosion of social capital (Phillimore et al., 2020).</w:t>
      </w:r>
    </w:p>
    <w:p w14:paraId="7F5B3719" w14:textId="772EE75B" w:rsidR="00EB32A6" w:rsidRPr="001F3849" w:rsidRDefault="00EB32A6" w:rsidP="001F3849">
      <w:pPr>
        <w:spacing w:line="360" w:lineRule="auto"/>
        <w:rPr>
          <w:rFonts w:eastAsia="Times New Roman"/>
          <w:sz w:val="24"/>
          <w:szCs w:val="24"/>
        </w:rPr>
      </w:pPr>
    </w:p>
    <w:p w14:paraId="695DB317" w14:textId="77777777" w:rsidR="00EB32A6" w:rsidRPr="001F3849" w:rsidRDefault="00EB32A6"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5.4 Integration with Critical Public Health Theory</w:t>
      </w:r>
    </w:p>
    <w:p w14:paraId="4AAC60AE"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The findings reinforce the need to move beyond individual-level explanations of migrant health disparities. Structural racism and vulnerability, embedded in law, policy, and institutional practice, create the conditions for chronic stress, lost opportunity, and poor health. The SDH framework remains central, but the study also demonstrates the importance of political and sociological analysis for understanding how health inequalities are produced and sustained.</w:t>
      </w:r>
    </w:p>
    <w:p w14:paraId="5205DF8E" w14:textId="7BA369E6"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Where previous research has focused on mapping disparities, this study provides qualitative evidence of the lived mechanisms by which structural determinants are embodied</w:t>
      </w:r>
      <w:r w:rsidR="009434F3" w:rsidRPr="001F3849">
        <w:rPr>
          <w:rFonts w:eastAsia="Times New Roman"/>
          <w:sz w:val="24"/>
          <w:szCs w:val="24"/>
        </w:rPr>
        <w:t xml:space="preserve"> </w:t>
      </w:r>
      <w:r w:rsidRPr="001F3849">
        <w:rPr>
          <w:rFonts w:eastAsia="Times New Roman"/>
          <w:sz w:val="24"/>
          <w:szCs w:val="24"/>
        </w:rPr>
        <w:t>through ongoing uncertainty, restricted access to resources, and the psychological toll of constant vigilance. The requirement to perform stability, maintain alternative narratives, and endure exploitative conditions is a form of structural violence, with profound implications for both physical and mental health (Farmer, 2004).</w:t>
      </w:r>
    </w:p>
    <w:p w14:paraId="465E3D73" w14:textId="35D4C4CA" w:rsidR="00EB32A6" w:rsidRPr="001F3849" w:rsidRDefault="00EB32A6" w:rsidP="001F3849">
      <w:pPr>
        <w:spacing w:line="360" w:lineRule="auto"/>
        <w:rPr>
          <w:rFonts w:eastAsia="Times New Roman"/>
          <w:sz w:val="24"/>
          <w:szCs w:val="24"/>
        </w:rPr>
      </w:pPr>
    </w:p>
    <w:p w14:paraId="28685014" w14:textId="77777777" w:rsidR="00EB32A6" w:rsidRPr="001F3849" w:rsidRDefault="00EB32A6"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5.5 Limitations and Reflexivity</w:t>
      </w:r>
    </w:p>
    <w:p w14:paraId="44D4C6F0"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While this study provides a rich, nuanced account of the intersection of immigration status, ethnicity, and health, several limitations must be acknowledged:</w:t>
      </w:r>
    </w:p>
    <w:p w14:paraId="31E0BD74" w14:textId="77777777" w:rsidR="00EB32A6" w:rsidRPr="001F3849" w:rsidRDefault="00EB32A6" w:rsidP="001F3849">
      <w:pPr>
        <w:numPr>
          <w:ilvl w:val="0"/>
          <w:numId w:val="14"/>
        </w:numPr>
        <w:spacing w:before="100" w:beforeAutospacing="1" w:after="100" w:afterAutospacing="1" w:line="360" w:lineRule="auto"/>
        <w:rPr>
          <w:rFonts w:eastAsia="Times New Roman"/>
          <w:sz w:val="24"/>
          <w:szCs w:val="24"/>
        </w:rPr>
      </w:pPr>
      <w:r w:rsidRPr="001F3849">
        <w:rPr>
          <w:rFonts w:eastAsia="Times New Roman"/>
          <w:b/>
          <w:bCs/>
          <w:sz w:val="24"/>
          <w:szCs w:val="24"/>
        </w:rPr>
        <w:t>Sample size and scope:</w:t>
      </w:r>
      <w:r w:rsidRPr="001F3849">
        <w:rPr>
          <w:rFonts w:eastAsia="Times New Roman"/>
          <w:sz w:val="24"/>
          <w:szCs w:val="24"/>
        </w:rPr>
        <w:t xml:space="preserve"> The small, context-specific sample (East London) means findings are not statistically generalizable. However, the aim was analytical, not numerical, generalization.</w:t>
      </w:r>
    </w:p>
    <w:p w14:paraId="15D0E3EF" w14:textId="77777777" w:rsidR="00EB32A6" w:rsidRPr="001F3849" w:rsidRDefault="00EB32A6" w:rsidP="001F3849">
      <w:pPr>
        <w:numPr>
          <w:ilvl w:val="0"/>
          <w:numId w:val="14"/>
        </w:numPr>
        <w:spacing w:before="100" w:beforeAutospacing="1" w:after="100" w:afterAutospacing="1" w:line="360" w:lineRule="auto"/>
        <w:rPr>
          <w:rFonts w:eastAsia="Times New Roman"/>
          <w:sz w:val="24"/>
          <w:szCs w:val="24"/>
        </w:rPr>
      </w:pPr>
      <w:r w:rsidRPr="001F3849">
        <w:rPr>
          <w:rFonts w:eastAsia="Times New Roman"/>
          <w:b/>
          <w:bCs/>
          <w:sz w:val="24"/>
          <w:szCs w:val="24"/>
        </w:rPr>
        <w:t>Recruitment bias:</w:t>
      </w:r>
      <w:r w:rsidRPr="001F3849">
        <w:rPr>
          <w:rFonts w:eastAsia="Times New Roman"/>
          <w:sz w:val="24"/>
          <w:szCs w:val="24"/>
        </w:rPr>
        <w:t xml:space="preserve"> Participants connected to support organisations may differ from the most isolated or undocumented migrants.</w:t>
      </w:r>
    </w:p>
    <w:p w14:paraId="09C504AB" w14:textId="77777777" w:rsidR="00EB32A6" w:rsidRPr="001F3849" w:rsidRDefault="00EB32A6" w:rsidP="001F3849">
      <w:pPr>
        <w:numPr>
          <w:ilvl w:val="0"/>
          <w:numId w:val="14"/>
        </w:numPr>
        <w:spacing w:before="100" w:beforeAutospacing="1" w:after="100" w:afterAutospacing="1" w:line="360" w:lineRule="auto"/>
        <w:rPr>
          <w:rFonts w:eastAsia="Times New Roman"/>
          <w:sz w:val="24"/>
          <w:szCs w:val="24"/>
        </w:rPr>
      </w:pPr>
      <w:r w:rsidRPr="001F3849">
        <w:rPr>
          <w:rFonts w:eastAsia="Times New Roman"/>
          <w:b/>
          <w:bCs/>
          <w:sz w:val="24"/>
          <w:szCs w:val="24"/>
        </w:rPr>
        <w:t>Self-reported data:</w:t>
      </w:r>
      <w:r w:rsidRPr="001F3849">
        <w:rPr>
          <w:rFonts w:eastAsia="Times New Roman"/>
          <w:sz w:val="24"/>
          <w:szCs w:val="24"/>
        </w:rPr>
        <w:t xml:space="preserve"> Experiences may be affected by memory, emotion, or social desirability.</w:t>
      </w:r>
    </w:p>
    <w:p w14:paraId="6650DA7A" w14:textId="77777777" w:rsidR="00EB32A6" w:rsidRPr="001F3849" w:rsidRDefault="00EB32A6" w:rsidP="001F3849">
      <w:pPr>
        <w:numPr>
          <w:ilvl w:val="0"/>
          <w:numId w:val="14"/>
        </w:numPr>
        <w:spacing w:before="100" w:beforeAutospacing="1" w:after="100" w:afterAutospacing="1" w:line="360" w:lineRule="auto"/>
        <w:rPr>
          <w:rFonts w:eastAsia="Times New Roman"/>
          <w:sz w:val="24"/>
          <w:szCs w:val="24"/>
        </w:rPr>
      </w:pPr>
      <w:r w:rsidRPr="001F3849">
        <w:rPr>
          <w:rFonts w:eastAsia="Times New Roman"/>
          <w:b/>
          <w:bCs/>
          <w:sz w:val="24"/>
          <w:szCs w:val="24"/>
        </w:rPr>
        <w:t>Researcher positionality:</w:t>
      </w:r>
      <w:r w:rsidRPr="001F3849">
        <w:rPr>
          <w:rFonts w:eastAsia="Times New Roman"/>
          <w:sz w:val="24"/>
          <w:szCs w:val="24"/>
        </w:rPr>
        <w:t xml:space="preserve"> Although reflexivity and peer debriefing were employed, the researcher’s background and interpretive lens may have influenced analysis.</w:t>
      </w:r>
    </w:p>
    <w:p w14:paraId="46DA69AA"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sz w:val="24"/>
          <w:szCs w:val="24"/>
        </w:rPr>
        <w:t>Despite these limitations, the study’s depth, transparency, and methodological rigour provide a valuable addition to the literature, particularly in the under-researched area of lived experience and structural vulnerability.</w:t>
      </w:r>
    </w:p>
    <w:p w14:paraId="44147573" w14:textId="7EEFA604" w:rsidR="00EB32A6" w:rsidRPr="001F3849" w:rsidRDefault="00EB32A6" w:rsidP="001F3849">
      <w:pPr>
        <w:spacing w:line="360" w:lineRule="auto"/>
        <w:rPr>
          <w:rFonts w:eastAsia="Times New Roman"/>
          <w:sz w:val="24"/>
          <w:szCs w:val="24"/>
        </w:rPr>
      </w:pPr>
    </w:p>
    <w:p w14:paraId="5FEA9CAF" w14:textId="77777777" w:rsidR="00EB32A6" w:rsidRPr="001F3849" w:rsidRDefault="00EB32A6"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5.6 Implications for Policy, Practice, and Research</w:t>
      </w:r>
    </w:p>
    <w:p w14:paraId="4689D298"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Policy Reform:</w:t>
      </w:r>
    </w:p>
    <w:p w14:paraId="3060F613" w14:textId="77777777" w:rsidR="00EB32A6" w:rsidRPr="001F3849" w:rsidRDefault="00EB32A6" w:rsidP="001F3849">
      <w:pPr>
        <w:numPr>
          <w:ilvl w:val="0"/>
          <w:numId w:val="15"/>
        </w:numPr>
        <w:spacing w:before="100" w:beforeAutospacing="1" w:after="100" w:afterAutospacing="1" w:line="360" w:lineRule="auto"/>
        <w:rPr>
          <w:rFonts w:eastAsia="Times New Roman"/>
          <w:sz w:val="24"/>
          <w:szCs w:val="24"/>
        </w:rPr>
      </w:pPr>
      <w:r w:rsidRPr="001F3849">
        <w:rPr>
          <w:rFonts w:eastAsia="Times New Roman"/>
          <w:sz w:val="24"/>
          <w:szCs w:val="24"/>
        </w:rPr>
        <w:t>The findings underscore the urgent need to reform immigration policy. High visa fees, NRPF conditions, and the “Hostile Environment” should be reconsidered or abolished to prevent unnecessary harm and remove structural barriers to health.</w:t>
      </w:r>
    </w:p>
    <w:p w14:paraId="12CCFD1D" w14:textId="77777777" w:rsidR="00EB32A6" w:rsidRPr="001F3849" w:rsidRDefault="00EB32A6" w:rsidP="001F3849">
      <w:pPr>
        <w:numPr>
          <w:ilvl w:val="0"/>
          <w:numId w:val="15"/>
        </w:numPr>
        <w:spacing w:before="100" w:beforeAutospacing="1" w:after="100" w:afterAutospacing="1" w:line="360" w:lineRule="auto"/>
        <w:rPr>
          <w:rFonts w:eastAsia="Times New Roman"/>
          <w:sz w:val="24"/>
          <w:szCs w:val="24"/>
        </w:rPr>
      </w:pPr>
      <w:r w:rsidRPr="001F3849">
        <w:rPr>
          <w:rFonts w:eastAsia="Times New Roman"/>
          <w:sz w:val="24"/>
          <w:szCs w:val="24"/>
        </w:rPr>
        <w:t>Housing and employment protections must be extended to all residents, regardless of status, to prevent exploitation and material deprivation.</w:t>
      </w:r>
    </w:p>
    <w:p w14:paraId="5D16FC94" w14:textId="77777777" w:rsidR="00EB32A6" w:rsidRPr="001F3849" w:rsidRDefault="00EB32A6" w:rsidP="001F3849">
      <w:pPr>
        <w:numPr>
          <w:ilvl w:val="0"/>
          <w:numId w:val="15"/>
        </w:numPr>
        <w:spacing w:before="100" w:beforeAutospacing="1" w:after="100" w:afterAutospacing="1" w:line="360" w:lineRule="auto"/>
        <w:rPr>
          <w:rFonts w:eastAsia="Times New Roman"/>
          <w:sz w:val="24"/>
          <w:szCs w:val="24"/>
        </w:rPr>
      </w:pPr>
      <w:r w:rsidRPr="001F3849">
        <w:rPr>
          <w:rFonts w:eastAsia="Times New Roman"/>
          <w:sz w:val="24"/>
          <w:szCs w:val="24"/>
        </w:rPr>
        <w:t>Anti-racism and anti-discrimination measures should be strengthened across all institutions.</w:t>
      </w:r>
    </w:p>
    <w:p w14:paraId="55E498B3"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Public Health Practice:</w:t>
      </w:r>
    </w:p>
    <w:p w14:paraId="3DC2EA30" w14:textId="77777777" w:rsidR="00EB32A6" w:rsidRPr="001F3849" w:rsidRDefault="00EB32A6" w:rsidP="001F3849">
      <w:pPr>
        <w:numPr>
          <w:ilvl w:val="0"/>
          <w:numId w:val="16"/>
        </w:numPr>
        <w:spacing w:before="100" w:beforeAutospacing="1" w:after="100" w:afterAutospacing="1" w:line="360" w:lineRule="auto"/>
        <w:rPr>
          <w:rFonts w:eastAsia="Times New Roman"/>
          <w:sz w:val="24"/>
          <w:szCs w:val="24"/>
        </w:rPr>
      </w:pPr>
      <w:r w:rsidRPr="001F3849">
        <w:rPr>
          <w:rFonts w:eastAsia="Times New Roman"/>
          <w:sz w:val="24"/>
          <w:szCs w:val="24"/>
        </w:rPr>
        <w:t>Healthcare providers and commissioners must create safe, non-judgmental environments for migrant patients. Training and awareness on migrants’ rights and the impact of structural vulnerability are essential.</w:t>
      </w:r>
    </w:p>
    <w:p w14:paraId="799F0123" w14:textId="77777777" w:rsidR="00EB32A6" w:rsidRPr="001F3849" w:rsidRDefault="00EB32A6" w:rsidP="001F3849">
      <w:pPr>
        <w:numPr>
          <w:ilvl w:val="0"/>
          <w:numId w:val="16"/>
        </w:numPr>
        <w:spacing w:before="100" w:beforeAutospacing="1" w:after="100" w:afterAutospacing="1" w:line="360" w:lineRule="auto"/>
        <w:rPr>
          <w:rFonts w:eastAsia="Times New Roman"/>
          <w:sz w:val="24"/>
          <w:szCs w:val="24"/>
        </w:rPr>
      </w:pPr>
      <w:r w:rsidRPr="001F3849">
        <w:rPr>
          <w:rFonts w:eastAsia="Times New Roman"/>
          <w:sz w:val="24"/>
          <w:szCs w:val="24"/>
        </w:rPr>
        <w:t>Proactive outreach, language support, and partnerships with community organisations can help mitigate distrust and improve access.</w:t>
      </w:r>
    </w:p>
    <w:p w14:paraId="63FB836A"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Community and Social Capital:</w:t>
      </w:r>
    </w:p>
    <w:p w14:paraId="42ED6255" w14:textId="77777777" w:rsidR="00EB32A6" w:rsidRPr="001F3849" w:rsidRDefault="00EB32A6" w:rsidP="001F3849">
      <w:pPr>
        <w:numPr>
          <w:ilvl w:val="0"/>
          <w:numId w:val="17"/>
        </w:numPr>
        <w:spacing w:before="100" w:beforeAutospacing="1" w:after="100" w:afterAutospacing="1" w:line="360" w:lineRule="auto"/>
        <w:rPr>
          <w:rFonts w:eastAsia="Times New Roman"/>
          <w:sz w:val="24"/>
          <w:szCs w:val="24"/>
        </w:rPr>
      </w:pPr>
      <w:r w:rsidRPr="001F3849">
        <w:rPr>
          <w:rFonts w:eastAsia="Times New Roman"/>
          <w:sz w:val="24"/>
          <w:szCs w:val="24"/>
        </w:rPr>
        <w:t>Investment in local and voluntary sector organisations is vital, as they provide essential support, advocacy, and social connection.</w:t>
      </w:r>
    </w:p>
    <w:p w14:paraId="27E23524" w14:textId="77777777" w:rsidR="00EB32A6" w:rsidRPr="001F3849" w:rsidRDefault="00EB32A6" w:rsidP="001F3849">
      <w:pPr>
        <w:numPr>
          <w:ilvl w:val="0"/>
          <w:numId w:val="17"/>
        </w:numPr>
        <w:spacing w:before="100" w:beforeAutospacing="1" w:after="100" w:afterAutospacing="1" w:line="360" w:lineRule="auto"/>
        <w:rPr>
          <w:rFonts w:eastAsia="Times New Roman"/>
          <w:sz w:val="24"/>
          <w:szCs w:val="24"/>
        </w:rPr>
      </w:pPr>
      <w:r w:rsidRPr="001F3849">
        <w:rPr>
          <w:rFonts w:eastAsia="Times New Roman"/>
          <w:sz w:val="24"/>
          <w:szCs w:val="24"/>
        </w:rPr>
        <w:t>Building collective forms of resilience and social capital can buffer the harms of exclusion and marginalisation.</w:t>
      </w:r>
    </w:p>
    <w:p w14:paraId="2C1D6CE3" w14:textId="77777777" w:rsidR="00EB32A6" w:rsidRPr="001F3849" w:rsidRDefault="00EB32A6" w:rsidP="001F3849">
      <w:pPr>
        <w:spacing w:before="100" w:beforeAutospacing="1" w:after="100" w:afterAutospacing="1" w:line="360" w:lineRule="auto"/>
        <w:rPr>
          <w:rFonts w:eastAsia="Times New Roman"/>
          <w:sz w:val="24"/>
          <w:szCs w:val="24"/>
        </w:rPr>
      </w:pPr>
      <w:r w:rsidRPr="001F3849">
        <w:rPr>
          <w:rFonts w:eastAsia="Times New Roman"/>
          <w:b/>
          <w:bCs/>
          <w:sz w:val="24"/>
          <w:szCs w:val="24"/>
        </w:rPr>
        <w:t>Future Research:</w:t>
      </w:r>
    </w:p>
    <w:p w14:paraId="7FE70CE3" w14:textId="77777777" w:rsidR="00EB32A6" w:rsidRPr="001F3849" w:rsidRDefault="00EB32A6" w:rsidP="001F3849">
      <w:pPr>
        <w:numPr>
          <w:ilvl w:val="0"/>
          <w:numId w:val="18"/>
        </w:numPr>
        <w:spacing w:before="100" w:beforeAutospacing="1" w:after="100" w:afterAutospacing="1" w:line="360" w:lineRule="auto"/>
        <w:rPr>
          <w:rFonts w:eastAsia="Times New Roman"/>
          <w:sz w:val="24"/>
          <w:szCs w:val="24"/>
        </w:rPr>
      </w:pPr>
      <w:r w:rsidRPr="001F3849">
        <w:rPr>
          <w:rFonts w:eastAsia="Times New Roman"/>
          <w:sz w:val="24"/>
          <w:szCs w:val="24"/>
        </w:rPr>
        <w:t>Larger qualitative and mixed-methods studies are needed to establish the transferability of findings and explore variations by gender, age, and migration pathway.</w:t>
      </w:r>
    </w:p>
    <w:p w14:paraId="5DE66B28" w14:textId="77777777" w:rsidR="00EB32A6" w:rsidRPr="001F3849" w:rsidRDefault="00EB32A6" w:rsidP="001F3849">
      <w:pPr>
        <w:numPr>
          <w:ilvl w:val="0"/>
          <w:numId w:val="18"/>
        </w:numPr>
        <w:spacing w:before="100" w:beforeAutospacing="1" w:after="100" w:afterAutospacing="1" w:line="360" w:lineRule="auto"/>
        <w:rPr>
          <w:rFonts w:eastAsia="Times New Roman"/>
          <w:sz w:val="24"/>
          <w:szCs w:val="24"/>
        </w:rPr>
      </w:pPr>
      <w:r w:rsidRPr="001F3849">
        <w:rPr>
          <w:rFonts w:eastAsia="Times New Roman"/>
          <w:sz w:val="24"/>
          <w:szCs w:val="24"/>
        </w:rPr>
        <w:t>Intersectional analyses should be expanded to understand the unique experiences of subgroups within BAME migrant communities.</w:t>
      </w:r>
    </w:p>
    <w:p w14:paraId="6BA9BFC3" w14:textId="5C7BCC35" w:rsidR="00EB32A6" w:rsidRPr="001F3849" w:rsidRDefault="00EB32A6" w:rsidP="001F3849">
      <w:pPr>
        <w:spacing w:line="360" w:lineRule="auto"/>
        <w:rPr>
          <w:rFonts w:eastAsia="Times New Roman"/>
          <w:sz w:val="24"/>
          <w:szCs w:val="24"/>
        </w:rPr>
      </w:pPr>
    </w:p>
    <w:p w14:paraId="3B03B892" w14:textId="77777777" w:rsidR="00B91312" w:rsidRPr="001F3849" w:rsidRDefault="00B91312" w:rsidP="001F3849">
      <w:pPr>
        <w:spacing w:before="100" w:beforeAutospacing="1" w:after="100" w:afterAutospacing="1" w:line="360" w:lineRule="auto"/>
        <w:outlineLvl w:val="2"/>
        <w:rPr>
          <w:rFonts w:eastAsia="Times New Roman"/>
          <w:b/>
          <w:bCs/>
          <w:sz w:val="24"/>
          <w:szCs w:val="24"/>
        </w:rPr>
      </w:pPr>
      <w:r w:rsidRPr="001F3849">
        <w:rPr>
          <w:rFonts w:eastAsia="Times New Roman"/>
          <w:b/>
          <w:bCs/>
          <w:sz w:val="24"/>
          <w:szCs w:val="24"/>
        </w:rPr>
        <w:t>5.7 Conclusion</w:t>
      </w:r>
    </w:p>
    <w:p w14:paraId="18CC8C5D" w14:textId="77777777" w:rsidR="00B91312" w:rsidRPr="001F3849" w:rsidRDefault="00B91312" w:rsidP="001F3849">
      <w:pPr>
        <w:spacing w:before="100" w:beforeAutospacing="1" w:after="100" w:afterAutospacing="1" w:line="360" w:lineRule="auto"/>
        <w:rPr>
          <w:rFonts w:eastAsia="Times New Roman"/>
          <w:sz w:val="24"/>
          <w:szCs w:val="24"/>
        </w:rPr>
      </w:pPr>
      <w:r w:rsidRPr="001F3849">
        <w:rPr>
          <w:rFonts w:eastAsia="Times New Roman"/>
          <w:sz w:val="24"/>
          <w:szCs w:val="24"/>
        </w:rPr>
        <w:t>In conclusion, this chapter has critically synthesised the complex and multifaceted ways in which immigration status, structural vulnerability, and intersectionality converge to shape the health trajectories of BAME adult migrants in East London. The evidence presented underscores that health inequalities cannot be understood or addressed through individual-level interventions alone; rather, they are rooted in the systemic and institutional arrangements that govern access to resources, opportunities, and protections.</w:t>
      </w:r>
    </w:p>
    <w:p w14:paraId="7A317EA9" w14:textId="0D8D0CC0" w:rsidR="00B91312" w:rsidRPr="001F3849" w:rsidRDefault="00B91312" w:rsidP="001F3849">
      <w:pPr>
        <w:spacing w:before="100" w:beforeAutospacing="1" w:after="100" w:afterAutospacing="1" w:line="360" w:lineRule="auto"/>
        <w:rPr>
          <w:rFonts w:eastAsia="Times New Roman"/>
          <w:sz w:val="24"/>
          <w:szCs w:val="24"/>
        </w:rPr>
      </w:pPr>
      <w:r w:rsidRPr="001F3849">
        <w:rPr>
          <w:rFonts w:eastAsia="Times New Roman"/>
          <w:sz w:val="24"/>
          <w:szCs w:val="24"/>
        </w:rPr>
        <w:t>The study’s findings make clear that immigration status functions as a central determinant of health, mediating exposure to social risks and constraining the capacity of individuals and communities to maintain wellbeing. Policies such as the “Hostile Environment,” the imposition of ‘No Recourse to Public Funds,’ and exclusionary housing and labour regulations are not merely background conditions</w:t>
      </w:r>
      <w:r w:rsidR="00E8009E" w:rsidRPr="001F3849">
        <w:rPr>
          <w:rFonts w:eastAsia="Times New Roman"/>
          <w:sz w:val="24"/>
          <w:szCs w:val="24"/>
        </w:rPr>
        <w:t xml:space="preserve"> </w:t>
      </w:r>
      <w:r w:rsidRPr="001F3849">
        <w:rPr>
          <w:rFonts w:eastAsia="Times New Roman"/>
          <w:sz w:val="24"/>
          <w:szCs w:val="24"/>
        </w:rPr>
        <w:t>they are active drivers of insecurity, chronic stress, and exclusion. These policies institutionalise forms of structural racism that intersect with other axes of inequality, including ethnicity, gender, and socioeconomic status, to produce cumulative disadvantage.</w:t>
      </w:r>
    </w:p>
    <w:p w14:paraId="57D5000C" w14:textId="77777777" w:rsidR="00B91312" w:rsidRPr="001F3849" w:rsidRDefault="00B91312" w:rsidP="001F3849">
      <w:pPr>
        <w:spacing w:before="100" w:beforeAutospacing="1" w:after="100" w:afterAutospacing="1" w:line="360" w:lineRule="auto"/>
        <w:rPr>
          <w:rFonts w:eastAsia="Times New Roman"/>
          <w:sz w:val="24"/>
          <w:szCs w:val="24"/>
        </w:rPr>
      </w:pPr>
      <w:r w:rsidRPr="001F3849">
        <w:rPr>
          <w:rFonts w:eastAsia="Times New Roman"/>
          <w:sz w:val="24"/>
          <w:szCs w:val="24"/>
        </w:rPr>
        <w:t>Yet, amid these challenges, the research also reveals significant forms of agency, adaptation, and collective resilience. Migrant communities draw on social capital, cultural resources, and mutual support to navigate adversity and assert their right to health. However, the persistence of such strategies should not be interpreted as sufficient compensation for systemic barriers. Instead, their existence further highlights the urgency of addressing the root causes of inequality through comprehensive policy reform, investment in community infrastructure, and a renewed commitment to social justice in public health.</w:t>
      </w:r>
    </w:p>
    <w:p w14:paraId="216FA082" w14:textId="5094AA92" w:rsidR="00B91312" w:rsidRPr="001F3849" w:rsidRDefault="00B91312" w:rsidP="001F3849">
      <w:pPr>
        <w:spacing w:before="100" w:beforeAutospacing="1" w:after="100" w:afterAutospacing="1" w:line="360" w:lineRule="auto"/>
        <w:rPr>
          <w:rFonts w:eastAsia="Times New Roman"/>
          <w:sz w:val="24"/>
          <w:szCs w:val="24"/>
        </w:rPr>
      </w:pPr>
      <w:r w:rsidRPr="001F3849">
        <w:rPr>
          <w:rFonts w:eastAsia="Times New Roman"/>
          <w:sz w:val="24"/>
          <w:szCs w:val="24"/>
        </w:rPr>
        <w:t>By foregrounding the lived realities of BAME migrants, this study contributes to a more nuanced and actionable understanding of health inequality in the UK. It calls for a paradigm shift</w:t>
      </w:r>
      <w:r w:rsidR="009434F3" w:rsidRPr="001F3849">
        <w:rPr>
          <w:rFonts w:eastAsia="Times New Roman"/>
          <w:sz w:val="24"/>
          <w:szCs w:val="24"/>
        </w:rPr>
        <w:t xml:space="preserve"> </w:t>
      </w:r>
      <w:r w:rsidRPr="001F3849">
        <w:rPr>
          <w:rFonts w:eastAsia="Times New Roman"/>
          <w:sz w:val="24"/>
          <w:szCs w:val="24"/>
        </w:rPr>
        <w:t>away from attributing poor health outcomes to culture or behaviour, and toward recognising the decisive role of law, policy, and social structure. The implications extend beyond East London, offering lessons for public health practitioners, policymakers, and researchers working in similarly diverse and unequal urban settings. The following and final chapter will summarise the dissertation’s contributions, reflect on its limitations, and propose directions for future research and action to advance health equity for migrant and minority populations.</w:t>
      </w:r>
    </w:p>
    <w:p w14:paraId="260069AC" w14:textId="77777777" w:rsidR="00373DA6" w:rsidRPr="001F3849" w:rsidRDefault="00373DA6" w:rsidP="001F3849">
      <w:pPr>
        <w:spacing w:line="360" w:lineRule="auto"/>
        <w:rPr>
          <w:rFonts w:eastAsia="Times New Roman"/>
          <w:b/>
          <w:bCs/>
          <w:sz w:val="24"/>
          <w:szCs w:val="24"/>
        </w:rPr>
      </w:pPr>
      <w:r w:rsidRPr="001F3849">
        <w:rPr>
          <w:rFonts w:eastAsia="Times New Roman"/>
          <w:b/>
          <w:bCs/>
          <w:sz w:val="24"/>
          <w:szCs w:val="24"/>
        </w:rPr>
        <w:br w:type="page"/>
      </w:r>
    </w:p>
    <w:p w14:paraId="2454F43D" w14:textId="7831B52D" w:rsidR="00373DA6" w:rsidRPr="00373DA6" w:rsidRDefault="00373DA6" w:rsidP="001F3849">
      <w:pPr>
        <w:spacing w:before="100" w:beforeAutospacing="1" w:after="100" w:afterAutospacing="1" w:line="360" w:lineRule="auto"/>
        <w:outlineLvl w:val="1"/>
        <w:rPr>
          <w:rFonts w:eastAsia="Times New Roman"/>
          <w:b/>
          <w:bCs/>
          <w:sz w:val="24"/>
          <w:szCs w:val="24"/>
        </w:rPr>
      </w:pPr>
      <w:r w:rsidRPr="00373DA6">
        <w:rPr>
          <w:rFonts w:eastAsia="Times New Roman"/>
          <w:b/>
          <w:bCs/>
          <w:sz w:val="24"/>
          <w:szCs w:val="24"/>
        </w:rPr>
        <w:t>CHAPTER 6: CONCLUSION</w:t>
      </w:r>
    </w:p>
    <w:p w14:paraId="6A2A8B12" w14:textId="77777777" w:rsidR="00373DA6" w:rsidRPr="00373DA6" w:rsidRDefault="00373DA6" w:rsidP="001F3849">
      <w:pPr>
        <w:spacing w:before="100" w:beforeAutospacing="1" w:after="100" w:afterAutospacing="1" w:line="360" w:lineRule="auto"/>
        <w:outlineLvl w:val="2"/>
        <w:rPr>
          <w:rFonts w:eastAsia="Times New Roman"/>
          <w:b/>
          <w:bCs/>
          <w:sz w:val="24"/>
          <w:szCs w:val="24"/>
        </w:rPr>
      </w:pPr>
      <w:r w:rsidRPr="00373DA6">
        <w:rPr>
          <w:rFonts w:eastAsia="Times New Roman"/>
          <w:b/>
          <w:bCs/>
          <w:sz w:val="24"/>
          <w:szCs w:val="24"/>
        </w:rPr>
        <w:t>6.1 Introduction</w:t>
      </w:r>
    </w:p>
    <w:p w14:paraId="7D26133E"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This chapter synthesises the overall study, drawing together the theoretical foundation, methodological approach, and empirical findings to answer the core research question: How does immigration status affect the health and well-being of adult migrants from Black, Asian, and other minoritised ethnic (BAME) backgrounds living in East London?</w:t>
      </w:r>
    </w:p>
    <w:p w14:paraId="38BD2C55"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The chapter restates the study’s significance, summarises the key conclusions and master’s degree-level contributions to public health scholarship, reflects transparently on methodological limitations, and presents detailed, evidence-based recommendations for policy, healthcare practice, and future research. Ultimately, this conclusion advocates for a structural approach to migrant health equity, asserting that health is inseparable from an individual’s legal and social position within the UK, and that policy-driven precarity constitutes a form of structural violence that demands public health accountability.</w:t>
      </w:r>
    </w:p>
    <w:p w14:paraId="4C5A87A1" w14:textId="77777777" w:rsidR="00373DA6" w:rsidRPr="00373DA6" w:rsidRDefault="00373DA6" w:rsidP="001F3849">
      <w:pPr>
        <w:spacing w:line="360" w:lineRule="auto"/>
        <w:rPr>
          <w:rFonts w:eastAsia="Times New Roman"/>
          <w:sz w:val="24"/>
          <w:szCs w:val="24"/>
        </w:rPr>
      </w:pPr>
      <w:r w:rsidRPr="00373DA6">
        <w:rPr>
          <w:rFonts w:eastAsia="Times New Roman"/>
          <w:sz w:val="24"/>
          <w:szCs w:val="24"/>
        </w:rPr>
        <w:pict w14:anchorId="540D0D59">
          <v:rect id="_x0000_i1026" style="width:0;height:1.5pt" o:hralign="center" o:hrstd="t" o:hr="t" fillcolor="#a0a0a0" stroked="f"/>
        </w:pict>
      </w:r>
    </w:p>
    <w:p w14:paraId="481201A8" w14:textId="77777777" w:rsidR="00373DA6" w:rsidRPr="00373DA6" w:rsidRDefault="00373DA6" w:rsidP="001F3849">
      <w:pPr>
        <w:spacing w:before="100" w:beforeAutospacing="1" w:after="100" w:afterAutospacing="1" w:line="360" w:lineRule="auto"/>
        <w:outlineLvl w:val="2"/>
        <w:rPr>
          <w:rFonts w:eastAsia="Times New Roman"/>
          <w:b/>
          <w:bCs/>
          <w:sz w:val="24"/>
          <w:szCs w:val="24"/>
        </w:rPr>
      </w:pPr>
      <w:r w:rsidRPr="00373DA6">
        <w:rPr>
          <w:rFonts w:eastAsia="Times New Roman"/>
          <w:b/>
          <w:bCs/>
          <w:sz w:val="24"/>
          <w:szCs w:val="24"/>
        </w:rPr>
        <w:t>6.2 Summary of the Study</w:t>
      </w:r>
    </w:p>
    <w:p w14:paraId="75D65F85"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This research addressed a critical gap in the UK public health literature: the need to understand how immigration status—as a structural determinant—shapes health and wellbeing among BAME adult migrants in super-diverse, deprived settings like East London. Previous research too often conflated ethnicity with migration or relied on descriptive statistics, failing to explain the underlying policy and structural mechanisms that generate inequalities and perpetuate disadvantage.</w:t>
      </w:r>
    </w:p>
    <w:p w14:paraId="3C1B7B2F"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Adopting an interpretivist and social constructionist paradigm, the study foregrounded the lived experiences and subjective interpretations of participants. The Social Determinants of Health (SDH) framework provided the central analytical lens, while qualitative, semi-structured interviews enabled the collection of rich, contextualised narratives. Analysis revealed that immigration status is not merely a bureaucratic category, but a powerful force shaping exposure to chronic stress, housing precarity, employment exploitation, and social isolation—themes that together map the lived realities of structural vulnerability in contemporary urban Britain.</w:t>
      </w:r>
    </w:p>
    <w:p w14:paraId="05519C4F" w14:textId="77777777" w:rsidR="00373DA6" w:rsidRPr="00373DA6" w:rsidRDefault="00373DA6" w:rsidP="001F3849">
      <w:pPr>
        <w:spacing w:line="360" w:lineRule="auto"/>
        <w:rPr>
          <w:rFonts w:eastAsia="Times New Roman"/>
          <w:sz w:val="24"/>
          <w:szCs w:val="24"/>
        </w:rPr>
      </w:pPr>
      <w:r w:rsidRPr="00373DA6">
        <w:rPr>
          <w:rFonts w:eastAsia="Times New Roman"/>
          <w:sz w:val="24"/>
          <w:szCs w:val="24"/>
        </w:rPr>
        <w:pict w14:anchorId="13C5E7FA">
          <v:rect id="_x0000_i1027" style="width:0;height:1.5pt" o:hralign="center" o:hrstd="t" o:hr="t" fillcolor="#a0a0a0" stroked="f"/>
        </w:pict>
      </w:r>
    </w:p>
    <w:p w14:paraId="26E63B32" w14:textId="77777777" w:rsidR="00373DA6" w:rsidRPr="00373DA6" w:rsidRDefault="00373DA6" w:rsidP="001F3849">
      <w:pPr>
        <w:spacing w:before="100" w:beforeAutospacing="1" w:after="100" w:afterAutospacing="1" w:line="360" w:lineRule="auto"/>
        <w:outlineLvl w:val="2"/>
        <w:rPr>
          <w:rFonts w:eastAsia="Times New Roman"/>
          <w:b/>
          <w:bCs/>
          <w:sz w:val="24"/>
          <w:szCs w:val="24"/>
        </w:rPr>
      </w:pPr>
      <w:r w:rsidRPr="00373DA6">
        <w:rPr>
          <w:rFonts w:eastAsia="Times New Roman"/>
          <w:b/>
          <w:bCs/>
          <w:sz w:val="24"/>
          <w:szCs w:val="24"/>
        </w:rPr>
        <w:t>6.3 Key Conclusions in Relation to the Research Question</w:t>
      </w:r>
    </w:p>
    <w:p w14:paraId="6979C55A" w14:textId="77777777" w:rsidR="00373DA6" w:rsidRPr="00373DA6" w:rsidRDefault="00373DA6" w:rsidP="001F3849">
      <w:pPr>
        <w:spacing w:before="100" w:beforeAutospacing="1" w:after="100" w:afterAutospacing="1" w:line="360" w:lineRule="auto"/>
        <w:outlineLvl w:val="3"/>
        <w:rPr>
          <w:rFonts w:eastAsia="Times New Roman"/>
          <w:b/>
          <w:bCs/>
          <w:sz w:val="24"/>
          <w:szCs w:val="24"/>
        </w:rPr>
      </w:pPr>
      <w:r w:rsidRPr="00373DA6">
        <w:rPr>
          <w:rFonts w:eastAsia="Times New Roman"/>
          <w:b/>
          <w:bCs/>
          <w:sz w:val="24"/>
          <w:szCs w:val="24"/>
        </w:rPr>
        <w:t>6.3.1 Immigration Status as a Source of Chronic Stress and Structural Vulnerability</w:t>
      </w:r>
    </w:p>
    <w:p w14:paraId="7F9505E0"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The study concludes that insecure immigration status produces chronic psychological stress, financial strain, and perpetual uncertainty. The constant threat of renewal deadlines, potential refusal, and fear of engagement with authorities forms a persistent backdrop of anxiety and hypervigilance. This state of “living in limbo” is not an individual failing, but a direct policy outcome, confirming the arguments of Hiam et al. (2018) and Quesada et al. (2011) that legal precarity is a primary driver of health disadvantage.</w:t>
      </w:r>
    </w:p>
    <w:p w14:paraId="130F7011" w14:textId="77777777" w:rsidR="00373DA6" w:rsidRPr="00373DA6" w:rsidRDefault="00373DA6" w:rsidP="001F3849">
      <w:pPr>
        <w:spacing w:before="100" w:beforeAutospacing="1" w:after="100" w:afterAutospacing="1" w:line="360" w:lineRule="auto"/>
        <w:outlineLvl w:val="3"/>
        <w:rPr>
          <w:rFonts w:eastAsia="Times New Roman"/>
          <w:b/>
          <w:bCs/>
          <w:sz w:val="24"/>
          <w:szCs w:val="24"/>
        </w:rPr>
      </w:pPr>
      <w:r w:rsidRPr="00373DA6">
        <w:rPr>
          <w:rFonts w:eastAsia="Times New Roman"/>
          <w:b/>
          <w:bCs/>
          <w:sz w:val="24"/>
          <w:szCs w:val="24"/>
        </w:rPr>
        <w:t>6.3.2 Housing Precarity and Environmental Inequality</w:t>
      </w:r>
    </w:p>
    <w:p w14:paraId="524B023C"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Overcrowded, unsafe, and undignified accommodation is not just a reflection of personal income, but of structural exclusion. Legal restrictions and economic constraints exacerbate vulnerability to exploitation by landlords, undermining both physical and mental health. The findings echo Marmot et al. (2020) in showing that housing is a central SDH that is systematically undermined by immigration policy.</w:t>
      </w:r>
    </w:p>
    <w:p w14:paraId="22A18B45" w14:textId="77777777" w:rsidR="00373DA6" w:rsidRPr="00373DA6" w:rsidRDefault="00373DA6" w:rsidP="001F3849">
      <w:pPr>
        <w:spacing w:before="100" w:beforeAutospacing="1" w:after="100" w:afterAutospacing="1" w:line="360" w:lineRule="auto"/>
        <w:outlineLvl w:val="3"/>
        <w:rPr>
          <w:rFonts w:eastAsia="Times New Roman"/>
          <w:b/>
          <w:bCs/>
          <w:sz w:val="24"/>
          <w:szCs w:val="24"/>
        </w:rPr>
      </w:pPr>
      <w:r w:rsidRPr="00373DA6">
        <w:rPr>
          <w:rFonts w:eastAsia="Times New Roman"/>
          <w:b/>
          <w:bCs/>
          <w:sz w:val="24"/>
          <w:szCs w:val="24"/>
        </w:rPr>
        <w:t>6.3.3 Precarious Employment and Economic Exploitation</w:t>
      </w:r>
    </w:p>
    <w:p w14:paraId="2A6896E2"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The necessity to overwork, accept low pay, and endure poor conditions is not freely chosen, but structurally imposed by visa restrictions and the fear of losing legal status. This confirms the thesis of structural violence: policy frameworks not only allow, but compel, migrants to prioritise survival over health, reinforcing cycles of disadvantage and ill-health.</w:t>
      </w:r>
    </w:p>
    <w:p w14:paraId="09711427" w14:textId="77777777" w:rsidR="00373DA6" w:rsidRPr="00373DA6" w:rsidRDefault="00373DA6" w:rsidP="001F3849">
      <w:pPr>
        <w:spacing w:before="100" w:beforeAutospacing="1" w:after="100" w:afterAutospacing="1" w:line="360" w:lineRule="auto"/>
        <w:outlineLvl w:val="3"/>
        <w:rPr>
          <w:rFonts w:eastAsia="Times New Roman"/>
          <w:b/>
          <w:bCs/>
          <w:sz w:val="24"/>
          <w:szCs w:val="24"/>
        </w:rPr>
      </w:pPr>
      <w:r w:rsidRPr="00373DA6">
        <w:rPr>
          <w:rFonts w:eastAsia="Times New Roman"/>
          <w:b/>
          <w:bCs/>
          <w:sz w:val="24"/>
          <w:szCs w:val="24"/>
        </w:rPr>
        <w:t>6.3.4 Social Exclusion, Institutional Mistrust, and Erosion of Social Capital</w:t>
      </w:r>
    </w:p>
    <w:p w14:paraId="521ECA8C" w14:textId="6F9A225E"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Participants’ narratives of isolation and mistrust</w:t>
      </w:r>
      <w:r w:rsidR="005D6448" w:rsidRPr="001F3849">
        <w:rPr>
          <w:rFonts w:eastAsia="Times New Roman"/>
          <w:sz w:val="24"/>
          <w:szCs w:val="24"/>
        </w:rPr>
        <w:t xml:space="preserve"> </w:t>
      </w:r>
      <w:r w:rsidRPr="00373DA6">
        <w:rPr>
          <w:rFonts w:eastAsia="Times New Roman"/>
          <w:sz w:val="24"/>
          <w:szCs w:val="24"/>
        </w:rPr>
        <w:t>of both institutions and even community members</w:t>
      </w:r>
      <w:r w:rsidR="005D6448" w:rsidRPr="001F3849">
        <w:rPr>
          <w:rFonts w:eastAsia="Times New Roman"/>
          <w:sz w:val="24"/>
          <w:szCs w:val="24"/>
        </w:rPr>
        <w:t xml:space="preserve"> </w:t>
      </w:r>
      <w:r w:rsidRPr="00373DA6">
        <w:rPr>
          <w:rFonts w:eastAsia="Times New Roman"/>
          <w:sz w:val="24"/>
          <w:szCs w:val="24"/>
        </w:rPr>
        <w:t>show how “policy-generated fear” fractures social identity and erodes social capital. The Hostile Environment transforms public institutions into sources of anxiety, deterring healthcare use even when formally entitled.</w:t>
      </w:r>
    </w:p>
    <w:p w14:paraId="024D4769" w14:textId="77777777" w:rsidR="00373DA6" w:rsidRPr="00373DA6" w:rsidRDefault="00373DA6" w:rsidP="001F3849">
      <w:pPr>
        <w:spacing w:before="100" w:beforeAutospacing="1" w:after="100" w:afterAutospacing="1" w:line="360" w:lineRule="auto"/>
        <w:outlineLvl w:val="3"/>
        <w:rPr>
          <w:rFonts w:eastAsia="Times New Roman"/>
          <w:b/>
          <w:bCs/>
          <w:sz w:val="24"/>
          <w:szCs w:val="24"/>
        </w:rPr>
      </w:pPr>
      <w:r w:rsidRPr="00373DA6">
        <w:rPr>
          <w:rFonts w:eastAsia="Times New Roman"/>
          <w:b/>
          <w:bCs/>
          <w:sz w:val="24"/>
          <w:szCs w:val="24"/>
        </w:rPr>
        <w:t>6.3.5 Structural Racism and Intersectionality</w:t>
      </w:r>
    </w:p>
    <w:p w14:paraId="69B945DB"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The research demonstrates that health inequalities are not simply about legal status or ethnicity in isolation, but about their intersection. Structural racism operates through the cumulative impact of exclusionary policy, discrimination, and institutional practices that disproportionately target minoritised and migrant groups, reinforcing disadvantage at multiple levels.</w:t>
      </w:r>
    </w:p>
    <w:p w14:paraId="03B9E40B" w14:textId="76E1DF88" w:rsidR="00373DA6" w:rsidRPr="00373DA6" w:rsidRDefault="00373DA6" w:rsidP="001F3849">
      <w:pPr>
        <w:spacing w:line="360" w:lineRule="auto"/>
        <w:rPr>
          <w:rFonts w:eastAsia="Times New Roman"/>
          <w:sz w:val="24"/>
          <w:szCs w:val="24"/>
        </w:rPr>
      </w:pPr>
    </w:p>
    <w:p w14:paraId="0D6E1952" w14:textId="77777777" w:rsidR="00373DA6" w:rsidRPr="00373DA6" w:rsidRDefault="00373DA6" w:rsidP="001F3849">
      <w:pPr>
        <w:spacing w:before="100" w:beforeAutospacing="1" w:after="100" w:afterAutospacing="1" w:line="360" w:lineRule="auto"/>
        <w:outlineLvl w:val="2"/>
        <w:rPr>
          <w:rFonts w:eastAsia="Times New Roman"/>
          <w:b/>
          <w:bCs/>
          <w:sz w:val="24"/>
          <w:szCs w:val="24"/>
        </w:rPr>
      </w:pPr>
      <w:r w:rsidRPr="00373DA6">
        <w:rPr>
          <w:rFonts w:eastAsia="Times New Roman"/>
          <w:b/>
          <w:bCs/>
          <w:sz w:val="24"/>
          <w:szCs w:val="24"/>
        </w:rPr>
        <w:t>6.4 Contributions to Knowledge</w:t>
      </w:r>
    </w:p>
    <w:p w14:paraId="53CE0F6B" w14:textId="77777777" w:rsidR="00373DA6" w:rsidRPr="00373DA6" w:rsidRDefault="00373DA6" w:rsidP="001F3849">
      <w:pPr>
        <w:spacing w:before="100" w:beforeAutospacing="1" w:after="100" w:afterAutospacing="1" w:line="360" w:lineRule="auto"/>
        <w:rPr>
          <w:rFonts w:eastAsia="Times New Roman"/>
          <w:sz w:val="24"/>
          <w:szCs w:val="24"/>
        </w:rPr>
      </w:pPr>
      <w:r w:rsidRPr="00373DA6">
        <w:rPr>
          <w:rFonts w:eastAsia="Times New Roman"/>
          <w:sz w:val="24"/>
          <w:szCs w:val="24"/>
        </w:rPr>
        <w:t>This study advances public health scholarship by:</w:t>
      </w:r>
    </w:p>
    <w:p w14:paraId="2332514B" w14:textId="77777777" w:rsidR="00373DA6" w:rsidRPr="00373DA6" w:rsidRDefault="00373DA6" w:rsidP="001F3849">
      <w:pPr>
        <w:numPr>
          <w:ilvl w:val="0"/>
          <w:numId w:val="19"/>
        </w:numPr>
        <w:spacing w:before="100" w:beforeAutospacing="1" w:after="100" w:afterAutospacing="1" w:line="360" w:lineRule="auto"/>
        <w:rPr>
          <w:rFonts w:eastAsia="Times New Roman"/>
          <w:sz w:val="24"/>
          <w:szCs w:val="24"/>
        </w:rPr>
      </w:pPr>
      <w:r w:rsidRPr="00373DA6">
        <w:rPr>
          <w:rFonts w:eastAsia="Times New Roman"/>
          <w:sz w:val="24"/>
          <w:szCs w:val="24"/>
        </w:rPr>
        <w:t>Providing robust qualitative evidence of how immigration status operates as a structural determinant of health in a super-diverse urban context.</w:t>
      </w:r>
    </w:p>
    <w:p w14:paraId="5C65606B" w14:textId="77777777" w:rsidR="00373DA6" w:rsidRPr="00373DA6" w:rsidRDefault="00373DA6" w:rsidP="001F3849">
      <w:pPr>
        <w:numPr>
          <w:ilvl w:val="0"/>
          <w:numId w:val="19"/>
        </w:numPr>
        <w:spacing w:before="100" w:beforeAutospacing="1" w:after="100" w:afterAutospacing="1" w:line="360" w:lineRule="auto"/>
        <w:rPr>
          <w:rFonts w:eastAsia="Times New Roman"/>
          <w:sz w:val="24"/>
          <w:szCs w:val="24"/>
        </w:rPr>
      </w:pPr>
      <w:r w:rsidRPr="00373DA6">
        <w:rPr>
          <w:rFonts w:eastAsia="Times New Roman"/>
          <w:sz w:val="24"/>
          <w:szCs w:val="24"/>
        </w:rPr>
        <w:t>Demonstrating the mechanisms by which policy and legal precarity are embodied as chronic stress, poor physical health, and social isolation.</w:t>
      </w:r>
    </w:p>
    <w:p w14:paraId="3830CF39" w14:textId="77777777" w:rsidR="00373DA6" w:rsidRPr="00373DA6" w:rsidRDefault="00373DA6" w:rsidP="001F3849">
      <w:pPr>
        <w:numPr>
          <w:ilvl w:val="0"/>
          <w:numId w:val="19"/>
        </w:numPr>
        <w:spacing w:before="100" w:beforeAutospacing="1" w:after="100" w:afterAutospacing="1" w:line="360" w:lineRule="auto"/>
        <w:rPr>
          <w:rFonts w:eastAsia="Times New Roman"/>
          <w:sz w:val="24"/>
          <w:szCs w:val="24"/>
        </w:rPr>
      </w:pPr>
      <w:r w:rsidRPr="00373DA6">
        <w:rPr>
          <w:rFonts w:eastAsia="Times New Roman"/>
          <w:sz w:val="24"/>
          <w:szCs w:val="24"/>
        </w:rPr>
        <w:t>Applying the frameworks of structural vulnerability, intersectionality, and structural racism to the lived experiences of BAME migrants, thereby moving beyond descriptive accounts to explanatory analysis.</w:t>
      </w:r>
    </w:p>
    <w:p w14:paraId="438A9C31" w14:textId="77777777" w:rsidR="00373DA6" w:rsidRPr="00373DA6" w:rsidRDefault="00373DA6" w:rsidP="001F3849">
      <w:pPr>
        <w:numPr>
          <w:ilvl w:val="0"/>
          <w:numId w:val="19"/>
        </w:numPr>
        <w:spacing w:before="100" w:beforeAutospacing="1" w:after="100" w:afterAutospacing="1" w:line="360" w:lineRule="auto"/>
        <w:rPr>
          <w:rFonts w:eastAsia="Times New Roman"/>
          <w:sz w:val="24"/>
          <w:szCs w:val="24"/>
        </w:rPr>
      </w:pPr>
      <w:r w:rsidRPr="00373DA6">
        <w:rPr>
          <w:rFonts w:eastAsia="Times New Roman"/>
          <w:sz w:val="24"/>
          <w:szCs w:val="24"/>
        </w:rPr>
        <w:t>Highlighting the inadequacy of individual-level or “culturally tailored” interventions in the face of systemic policy-driven disadvantage.</w:t>
      </w:r>
    </w:p>
    <w:p w14:paraId="3796DF84" w14:textId="74E097BF" w:rsidR="00373DA6" w:rsidRPr="00373DA6" w:rsidRDefault="00373DA6" w:rsidP="001F3849">
      <w:pPr>
        <w:spacing w:line="360" w:lineRule="auto"/>
        <w:rPr>
          <w:rFonts w:eastAsia="Times New Roman"/>
          <w:sz w:val="24"/>
          <w:szCs w:val="24"/>
        </w:rPr>
      </w:pPr>
    </w:p>
    <w:p w14:paraId="49D82DB6" w14:textId="77777777" w:rsidR="007464EC" w:rsidRPr="007464EC" w:rsidRDefault="007464EC" w:rsidP="001F3849">
      <w:pPr>
        <w:spacing w:before="100" w:beforeAutospacing="1" w:after="100" w:afterAutospacing="1" w:line="360" w:lineRule="auto"/>
        <w:outlineLvl w:val="2"/>
        <w:rPr>
          <w:rFonts w:eastAsia="Times New Roman"/>
          <w:b/>
          <w:bCs/>
          <w:sz w:val="24"/>
          <w:szCs w:val="24"/>
        </w:rPr>
      </w:pPr>
      <w:r w:rsidRPr="007464EC">
        <w:rPr>
          <w:rFonts w:eastAsia="Times New Roman"/>
          <w:b/>
          <w:bCs/>
          <w:sz w:val="24"/>
          <w:szCs w:val="24"/>
        </w:rPr>
        <w:t>6.5 Recommendations for Policy and Practice</w:t>
      </w:r>
    </w:p>
    <w:p w14:paraId="055E80D4" w14:textId="7910EA33"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sz w:val="24"/>
          <w:szCs w:val="24"/>
        </w:rPr>
        <w:t>Building on the study’s findings and critical analysis, this section presents comprehensive recommendations designed to address the root causes of health inequalities among BAME adult migrants in East London and, by extension, similar urban contexts in the UK. These recommendations are grouped by level</w:t>
      </w:r>
      <w:r w:rsidR="00A7435F" w:rsidRPr="001F3849">
        <w:rPr>
          <w:rFonts w:eastAsia="Times New Roman"/>
          <w:sz w:val="24"/>
          <w:szCs w:val="24"/>
        </w:rPr>
        <w:t xml:space="preserve">: </w:t>
      </w:r>
      <w:r w:rsidRPr="007464EC">
        <w:rPr>
          <w:rFonts w:eastAsia="Times New Roman"/>
          <w:sz w:val="24"/>
          <w:szCs w:val="24"/>
        </w:rPr>
        <w:t>structural/national policy, health system and clinical practice, local/community action, and research</w:t>
      </w:r>
      <w:r w:rsidR="00A7435F" w:rsidRPr="001F3849">
        <w:rPr>
          <w:rFonts w:eastAsia="Times New Roman"/>
          <w:sz w:val="24"/>
          <w:szCs w:val="24"/>
        </w:rPr>
        <w:t xml:space="preserve"> </w:t>
      </w:r>
      <w:r w:rsidRPr="007464EC">
        <w:rPr>
          <w:rFonts w:eastAsia="Times New Roman"/>
          <w:sz w:val="24"/>
          <w:szCs w:val="24"/>
        </w:rPr>
        <w:t>reflecting the interconnected nature of the Social Determinants of Health and the importance of a multi-sectoral approach.</w:t>
      </w:r>
    </w:p>
    <w:p w14:paraId="1580F319" w14:textId="77777777" w:rsidR="007464EC" w:rsidRPr="007464EC" w:rsidRDefault="007464EC" w:rsidP="001F3849">
      <w:pPr>
        <w:spacing w:before="100" w:beforeAutospacing="1" w:after="100" w:afterAutospacing="1" w:line="360" w:lineRule="auto"/>
        <w:outlineLvl w:val="3"/>
        <w:rPr>
          <w:rFonts w:eastAsia="Times New Roman"/>
          <w:b/>
          <w:bCs/>
          <w:sz w:val="24"/>
          <w:szCs w:val="24"/>
        </w:rPr>
      </w:pPr>
      <w:r w:rsidRPr="007464EC">
        <w:rPr>
          <w:rFonts w:eastAsia="Times New Roman"/>
          <w:b/>
          <w:bCs/>
          <w:sz w:val="24"/>
          <w:szCs w:val="24"/>
        </w:rPr>
        <w:t>6.5.1 Structural and National Policy Interventions</w:t>
      </w:r>
    </w:p>
    <w:p w14:paraId="0EFAD4C3" w14:textId="6DF69D3E"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a) Reform the Hostile Environment and NRPF policies:</w:t>
      </w:r>
      <w:r w:rsidRPr="007464EC">
        <w:rPr>
          <w:rFonts w:eastAsia="Times New Roman"/>
          <w:sz w:val="24"/>
          <w:szCs w:val="24"/>
        </w:rPr>
        <w:br/>
        <w:t xml:space="preserve">Immediate policy review and reform are required to dismantle the “Hostile Environment,” including the abolition or significant amendment of “No Recourse to Public Funds” conditions. Evidence from this study and the wider literature shows that these policies not only increase hardship but </w:t>
      </w:r>
      <w:r w:rsidR="00A7435F" w:rsidRPr="001F3849">
        <w:rPr>
          <w:rFonts w:eastAsia="Times New Roman"/>
          <w:sz w:val="24"/>
          <w:szCs w:val="24"/>
        </w:rPr>
        <w:t xml:space="preserve">also </w:t>
      </w:r>
      <w:r w:rsidRPr="007464EC">
        <w:rPr>
          <w:rFonts w:eastAsia="Times New Roman"/>
          <w:sz w:val="24"/>
          <w:szCs w:val="24"/>
        </w:rPr>
        <w:t xml:space="preserve">actively impede access to healthcare, stable housing, and social support. </w:t>
      </w:r>
      <w:r w:rsidR="00A7435F" w:rsidRPr="001F3849">
        <w:rPr>
          <w:rFonts w:eastAsia="Times New Roman"/>
          <w:sz w:val="24"/>
          <w:szCs w:val="24"/>
        </w:rPr>
        <w:t>The government</w:t>
      </w:r>
      <w:r w:rsidRPr="007464EC">
        <w:rPr>
          <w:rFonts w:eastAsia="Times New Roman"/>
          <w:sz w:val="24"/>
          <w:szCs w:val="24"/>
        </w:rPr>
        <w:t xml:space="preserve"> should ensure that all residents, regardless of immigration status, have access to a basic safety net</w:t>
      </w:r>
      <w:r w:rsidR="00A7435F" w:rsidRPr="001F3849">
        <w:rPr>
          <w:rFonts w:eastAsia="Times New Roman"/>
          <w:sz w:val="24"/>
          <w:szCs w:val="24"/>
        </w:rPr>
        <w:t xml:space="preserve">, including emergency accommodation, health care, and subsistence support, </w:t>
      </w:r>
      <w:r w:rsidRPr="007464EC">
        <w:rPr>
          <w:rFonts w:eastAsia="Times New Roman"/>
          <w:sz w:val="24"/>
          <w:szCs w:val="24"/>
        </w:rPr>
        <w:t>without fear of immigration enforcement.</w:t>
      </w:r>
    </w:p>
    <w:p w14:paraId="47C0E5AD"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b) Reduce or abolish prohibitive visa and renewal fees:</w:t>
      </w:r>
      <w:r w:rsidRPr="007464EC">
        <w:rPr>
          <w:rFonts w:eastAsia="Times New Roman"/>
          <w:sz w:val="24"/>
          <w:szCs w:val="24"/>
        </w:rPr>
        <w:br/>
        <w:t>Current visa and renewal fees are out of reach for many migrants, forcing families into debt and deterring legal regularisation. The Home Office should urgently review its fee structure to ensure affordability, transparency, and proportionality, with exemptions for low-income households and vulnerable groups. This would reduce financial precarity, improve mental health, and facilitate integration.</w:t>
      </w:r>
    </w:p>
    <w:p w14:paraId="4E37F776"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c) Implement robust anti-racist and anti-discrimination frameworks:</w:t>
      </w:r>
      <w:r w:rsidRPr="007464EC">
        <w:rPr>
          <w:rFonts w:eastAsia="Times New Roman"/>
          <w:sz w:val="24"/>
          <w:szCs w:val="24"/>
        </w:rPr>
        <w:br/>
        <w:t>Structural racism must be addressed through explicit legislative and institutional measures. Policies should mandate anti-racist training, monitoring, and accountability mechanisms across all public services, including housing, employment, education, and healthcare. The Equality Act should be strengthened to provide greater protection for migrants and ethnic minorities, and a national strategy for race equality in health and social care should be enacted, resourced, and rigorously evaluated.</w:t>
      </w:r>
    </w:p>
    <w:p w14:paraId="541D4CFF"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d) Enhance data collection and monitoring:</w:t>
      </w:r>
      <w:r w:rsidRPr="007464EC">
        <w:rPr>
          <w:rFonts w:eastAsia="Times New Roman"/>
          <w:sz w:val="24"/>
          <w:szCs w:val="24"/>
        </w:rPr>
        <w:br/>
        <w:t>Accurate, disaggregated data on ethnicity, migration status, and health outcomes is essential for identifying inequalities and targeting interventions. Government and NHS agencies should invest in data systems that track these indicators while safeguarding privacy and trust.</w:t>
      </w:r>
    </w:p>
    <w:p w14:paraId="031FB865"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e) Foster intersectoral collaboration:</w:t>
      </w:r>
      <w:r w:rsidRPr="007464EC">
        <w:rPr>
          <w:rFonts w:eastAsia="Times New Roman"/>
          <w:sz w:val="24"/>
          <w:szCs w:val="24"/>
        </w:rPr>
        <w:br/>
        <w:t xml:space="preserve">Health, housing, social care, education, and migration authorities must establish formal mechanisms for collaboration to ensure that policy decisions are </w:t>
      </w:r>
      <w:proofErr w:type="gramStart"/>
      <w:r w:rsidRPr="007464EC">
        <w:rPr>
          <w:rFonts w:eastAsia="Times New Roman"/>
          <w:sz w:val="24"/>
          <w:szCs w:val="24"/>
        </w:rPr>
        <w:t>joined-up</w:t>
      </w:r>
      <w:proofErr w:type="gramEnd"/>
      <w:r w:rsidRPr="007464EC">
        <w:rPr>
          <w:rFonts w:eastAsia="Times New Roman"/>
          <w:sz w:val="24"/>
          <w:szCs w:val="24"/>
        </w:rPr>
        <w:t xml:space="preserve"> and do not inadvertently harm vulnerable populations. Multi-agency task forces should be established to address complex cases and develop holistic solutions.</w:t>
      </w:r>
    </w:p>
    <w:p w14:paraId="72F1A16D" w14:textId="445A7A56" w:rsidR="007464EC" w:rsidRPr="007464EC" w:rsidRDefault="007464EC" w:rsidP="001F3849">
      <w:pPr>
        <w:spacing w:line="360" w:lineRule="auto"/>
        <w:rPr>
          <w:rFonts w:eastAsia="Times New Roman"/>
          <w:sz w:val="24"/>
          <w:szCs w:val="24"/>
        </w:rPr>
      </w:pPr>
    </w:p>
    <w:p w14:paraId="3ACACF48" w14:textId="77777777" w:rsidR="007464EC" w:rsidRPr="007464EC" w:rsidRDefault="007464EC" w:rsidP="001F3849">
      <w:pPr>
        <w:spacing w:before="100" w:beforeAutospacing="1" w:after="100" w:afterAutospacing="1" w:line="360" w:lineRule="auto"/>
        <w:outlineLvl w:val="3"/>
        <w:rPr>
          <w:rFonts w:eastAsia="Times New Roman"/>
          <w:b/>
          <w:bCs/>
          <w:sz w:val="24"/>
          <w:szCs w:val="24"/>
        </w:rPr>
      </w:pPr>
      <w:r w:rsidRPr="007464EC">
        <w:rPr>
          <w:rFonts w:eastAsia="Times New Roman"/>
          <w:b/>
          <w:bCs/>
          <w:sz w:val="24"/>
          <w:szCs w:val="24"/>
        </w:rPr>
        <w:t>6.5.2 Health System and Clinical Practice Interventions</w:t>
      </w:r>
    </w:p>
    <w:p w14:paraId="117ED14E"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a) Ensure universal, fear-free access to healthcare:</w:t>
      </w:r>
      <w:r w:rsidRPr="007464EC">
        <w:rPr>
          <w:rFonts w:eastAsia="Times New Roman"/>
          <w:sz w:val="24"/>
          <w:szCs w:val="24"/>
        </w:rPr>
        <w:br/>
        <w:t>All healthcare providers must guarantee that services are accessible regardless of immigration status, removing administrative obstacles and ending any data-sharing with immigration enforcement. Clear guidance should be disseminated to frontline staff, and legal entitlements must be prominently displayed in multiple languages.</w:t>
      </w:r>
    </w:p>
    <w:p w14:paraId="49305023"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b) Deliver trauma-informed and culturally competent care:</w:t>
      </w:r>
      <w:r w:rsidRPr="007464EC">
        <w:rPr>
          <w:rFonts w:eastAsia="Times New Roman"/>
          <w:sz w:val="24"/>
          <w:szCs w:val="24"/>
        </w:rPr>
        <w:br/>
        <w:t>Healthcare professionals should receive regular training on trauma-informed approaches, the impact of structural vulnerability, and the specific needs of migrant and minority patients. This includes awareness of the psychological effects of legal precarity, cultural humility, and the importance of trust-building in clinical encounters.</w:t>
      </w:r>
    </w:p>
    <w:p w14:paraId="5D7F2E66"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c) Expand outreach, advocacy, and navigation services:</w:t>
      </w:r>
      <w:r w:rsidRPr="007464EC">
        <w:rPr>
          <w:rFonts w:eastAsia="Times New Roman"/>
          <w:sz w:val="24"/>
          <w:szCs w:val="24"/>
        </w:rPr>
        <w:br/>
        <w:t>Health services should proactively reach out to marginalised migrant groups through mobile clinics, community health workers, and partnerships with trusted voluntary sector organisations. Patient advocacy and navigation services must be funded to help individuals understand their entitlements, complete paperwork, and overcome barriers to care.</w:t>
      </w:r>
    </w:p>
    <w:p w14:paraId="7323D72B"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d) Improve language and communication support:</w:t>
      </w:r>
      <w:r w:rsidRPr="007464EC">
        <w:rPr>
          <w:rFonts w:eastAsia="Times New Roman"/>
          <w:sz w:val="24"/>
          <w:szCs w:val="24"/>
        </w:rPr>
        <w:br/>
        <w:t>Interpreting and translation services should be universally available and adequately funded, ensuring that language is never a barrier to safe, effective healthcare. Information materials should be co-produced with migrant communities to ensure relevance and accessibility.</w:t>
      </w:r>
    </w:p>
    <w:p w14:paraId="41027DD7"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e) Monitor and address institutional bias:</w:t>
      </w:r>
      <w:r w:rsidRPr="007464EC">
        <w:rPr>
          <w:rFonts w:eastAsia="Times New Roman"/>
          <w:sz w:val="24"/>
          <w:szCs w:val="24"/>
        </w:rPr>
        <w:br/>
        <w:t>Healthcare organisations should implement systems for regular equity audits, monitoring patterns of exclusion, discrimination, and outcomes by migration status and ethnicity. Patient and community feedback mechanisms must be strengthened and acted upon.</w:t>
      </w:r>
    </w:p>
    <w:p w14:paraId="17A26644" w14:textId="4DCCBDAD" w:rsidR="007464EC" w:rsidRPr="007464EC" w:rsidRDefault="007464EC" w:rsidP="001F3849">
      <w:pPr>
        <w:spacing w:line="360" w:lineRule="auto"/>
        <w:rPr>
          <w:rFonts w:eastAsia="Times New Roman"/>
          <w:sz w:val="24"/>
          <w:szCs w:val="24"/>
        </w:rPr>
      </w:pPr>
    </w:p>
    <w:p w14:paraId="4C3A0B48" w14:textId="77777777" w:rsidR="007464EC" w:rsidRPr="007464EC" w:rsidRDefault="007464EC" w:rsidP="001F3849">
      <w:pPr>
        <w:spacing w:before="100" w:beforeAutospacing="1" w:after="100" w:afterAutospacing="1" w:line="360" w:lineRule="auto"/>
        <w:outlineLvl w:val="3"/>
        <w:rPr>
          <w:rFonts w:eastAsia="Times New Roman"/>
          <w:b/>
          <w:bCs/>
          <w:sz w:val="24"/>
          <w:szCs w:val="24"/>
        </w:rPr>
      </w:pPr>
      <w:r w:rsidRPr="007464EC">
        <w:rPr>
          <w:rFonts w:eastAsia="Times New Roman"/>
          <w:b/>
          <w:bCs/>
          <w:sz w:val="24"/>
          <w:szCs w:val="24"/>
        </w:rPr>
        <w:t>6.5.3 Local and Community Resilience Interventions</w:t>
      </w:r>
    </w:p>
    <w:p w14:paraId="69CF950E"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a) Invest in and empower community and voluntary sector organisations (VSOs):</w:t>
      </w:r>
      <w:r w:rsidRPr="007464EC">
        <w:rPr>
          <w:rFonts w:eastAsia="Times New Roman"/>
          <w:sz w:val="24"/>
          <w:szCs w:val="24"/>
        </w:rPr>
        <w:br/>
        <w:t>Local authorities and funders must recognise VSOs as essential partners in promoting migrant health and wellbeing. Sustainable, long-term funding should be provided for organisations offering advice, advocacy, social support, and crisis intervention.</w:t>
      </w:r>
    </w:p>
    <w:p w14:paraId="5B963A5D"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b) Facilitate social capital and community-building initiatives:</w:t>
      </w:r>
      <w:r w:rsidRPr="007464EC">
        <w:rPr>
          <w:rFonts w:eastAsia="Times New Roman"/>
          <w:sz w:val="24"/>
          <w:szCs w:val="24"/>
        </w:rPr>
        <w:br/>
        <w:t>Programs that foster peer support, mutual aid, and community-building have a protective effect on mental health and social integration. Councils should encourage and resource initiatives such as community kitchens, language exchanges, cultural celebrations, and peer mentoring for new arrivals.</w:t>
      </w:r>
    </w:p>
    <w:p w14:paraId="2D49DA6D" w14:textId="3A076B6F"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c) Develop safe spaces for marginalised groups:</w:t>
      </w:r>
      <w:r w:rsidRPr="007464EC">
        <w:rPr>
          <w:rFonts w:eastAsia="Times New Roman"/>
          <w:sz w:val="24"/>
          <w:szCs w:val="24"/>
        </w:rPr>
        <w:br/>
        <w:t>Community centres and safe spaces</w:t>
      </w:r>
      <w:r w:rsidR="00D6512A" w:rsidRPr="001F3849">
        <w:rPr>
          <w:rFonts w:eastAsia="Times New Roman"/>
          <w:sz w:val="24"/>
          <w:szCs w:val="24"/>
        </w:rPr>
        <w:t>, particularly for women,</w:t>
      </w:r>
      <w:r w:rsidR="008701BB" w:rsidRPr="001F3849">
        <w:rPr>
          <w:rFonts w:eastAsia="Times New Roman"/>
          <w:sz w:val="24"/>
          <w:szCs w:val="24"/>
        </w:rPr>
        <w:t xml:space="preserve"> </w:t>
      </w:r>
      <w:r w:rsidR="00D6512A" w:rsidRPr="001F3849">
        <w:rPr>
          <w:rFonts w:eastAsia="Times New Roman"/>
          <w:sz w:val="24"/>
          <w:szCs w:val="24"/>
        </w:rPr>
        <w:t xml:space="preserve">migrants, and those with insecure status, </w:t>
      </w:r>
      <w:r w:rsidRPr="007464EC">
        <w:rPr>
          <w:rFonts w:eastAsia="Times New Roman"/>
          <w:sz w:val="24"/>
          <w:szCs w:val="24"/>
        </w:rPr>
        <w:t>are vital for building trust, reducing isolation, and empowering advocacy. Local authorities should support the creation and protection of such spaces in partnership with grassroots organisations.</w:t>
      </w:r>
    </w:p>
    <w:p w14:paraId="054D5CDF"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d) Promote digital inclusion and access:</w:t>
      </w:r>
      <w:r w:rsidRPr="007464EC">
        <w:rPr>
          <w:rFonts w:eastAsia="Times New Roman"/>
          <w:sz w:val="24"/>
          <w:szCs w:val="24"/>
        </w:rPr>
        <w:br/>
        <w:t>The COVID-19 pandemic has shown that digital exclusion compounds vulnerability, especially among migrants. Councils and VSOs should prioritise digital literacy training, access to affordable devices, and translation of online services to ensure all communities can connect to health, social, and legal support.</w:t>
      </w:r>
    </w:p>
    <w:p w14:paraId="03F07F41" w14:textId="757B8842" w:rsidR="007464EC" w:rsidRPr="007464EC" w:rsidRDefault="007464EC" w:rsidP="001F3849">
      <w:pPr>
        <w:spacing w:line="360" w:lineRule="auto"/>
        <w:rPr>
          <w:rFonts w:eastAsia="Times New Roman"/>
          <w:sz w:val="24"/>
          <w:szCs w:val="24"/>
        </w:rPr>
      </w:pPr>
    </w:p>
    <w:p w14:paraId="3C4E827B" w14:textId="77777777" w:rsidR="007464EC" w:rsidRPr="007464EC" w:rsidRDefault="007464EC" w:rsidP="001F3849">
      <w:pPr>
        <w:spacing w:before="100" w:beforeAutospacing="1" w:after="100" w:afterAutospacing="1" w:line="360" w:lineRule="auto"/>
        <w:outlineLvl w:val="3"/>
        <w:rPr>
          <w:rFonts w:eastAsia="Times New Roman"/>
          <w:b/>
          <w:bCs/>
          <w:sz w:val="24"/>
          <w:szCs w:val="24"/>
        </w:rPr>
      </w:pPr>
      <w:r w:rsidRPr="007464EC">
        <w:rPr>
          <w:rFonts w:eastAsia="Times New Roman"/>
          <w:b/>
          <w:bCs/>
          <w:sz w:val="24"/>
          <w:szCs w:val="24"/>
        </w:rPr>
        <w:t>6.5.4 Further Research</w:t>
      </w:r>
    </w:p>
    <w:p w14:paraId="2AF0866C" w14:textId="1EADB61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a) Expand qualitative and participatory research:</w:t>
      </w:r>
      <w:r w:rsidRPr="007464EC">
        <w:rPr>
          <w:rFonts w:eastAsia="Times New Roman"/>
          <w:sz w:val="24"/>
          <w:szCs w:val="24"/>
        </w:rPr>
        <w:br/>
        <w:t xml:space="preserve">There is a pressing need for further qualitative and participatory action research that gives voice to </w:t>
      </w:r>
      <w:proofErr w:type="gramStart"/>
      <w:r w:rsidRPr="007464EC">
        <w:rPr>
          <w:rFonts w:eastAsia="Times New Roman"/>
          <w:sz w:val="24"/>
          <w:szCs w:val="24"/>
        </w:rPr>
        <w:t>migrants’</w:t>
      </w:r>
      <w:proofErr w:type="gramEnd"/>
      <w:r w:rsidRPr="007464EC">
        <w:rPr>
          <w:rFonts w:eastAsia="Times New Roman"/>
          <w:sz w:val="24"/>
          <w:szCs w:val="24"/>
        </w:rPr>
        <w:t xml:space="preserve"> lived experiences, especially among isolated, undocumented, and </w:t>
      </w:r>
      <w:proofErr w:type="spellStart"/>
      <w:r w:rsidRPr="007464EC">
        <w:rPr>
          <w:rFonts w:eastAsia="Times New Roman"/>
          <w:sz w:val="24"/>
          <w:szCs w:val="24"/>
        </w:rPr>
        <w:t>intersectionally</w:t>
      </w:r>
      <w:proofErr w:type="spellEnd"/>
      <w:r w:rsidRPr="007464EC">
        <w:rPr>
          <w:rFonts w:eastAsia="Times New Roman"/>
          <w:sz w:val="24"/>
          <w:szCs w:val="24"/>
        </w:rPr>
        <w:t xml:space="preserve"> marginalised groups. Researchers should adopt co-production methodologies</w:t>
      </w:r>
      <w:r w:rsidR="00D6512A" w:rsidRPr="001F3849">
        <w:rPr>
          <w:rFonts w:eastAsia="Times New Roman"/>
          <w:sz w:val="24"/>
          <w:szCs w:val="24"/>
        </w:rPr>
        <w:t xml:space="preserve"> that involve</w:t>
      </w:r>
      <w:r w:rsidRPr="007464EC">
        <w:rPr>
          <w:rFonts w:eastAsia="Times New Roman"/>
          <w:sz w:val="24"/>
          <w:szCs w:val="24"/>
        </w:rPr>
        <w:t xml:space="preserve"> migrant communities in the design, conduct, and dissemination of studies.</w:t>
      </w:r>
    </w:p>
    <w:p w14:paraId="686199A0" w14:textId="402BA43B"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b) Integrate intersectional and longitudinal analysis:</w:t>
      </w:r>
      <w:r w:rsidRPr="007464EC">
        <w:rPr>
          <w:rFonts w:eastAsia="Times New Roman"/>
          <w:sz w:val="24"/>
          <w:szCs w:val="24"/>
        </w:rPr>
        <w:br/>
        <w:t>Future studies should analyse how overlapping identities</w:t>
      </w:r>
      <w:r w:rsidR="00D6512A" w:rsidRPr="001F3849">
        <w:rPr>
          <w:rFonts w:eastAsia="Times New Roman"/>
          <w:sz w:val="24"/>
          <w:szCs w:val="24"/>
        </w:rPr>
        <w:t xml:space="preserve"> </w:t>
      </w:r>
      <w:r w:rsidRPr="007464EC">
        <w:rPr>
          <w:rFonts w:eastAsia="Times New Roman"/>
          <w:sz w:val="24"/>
          <w:szCs w:val="24"/>
        </w:rPr>
        <w:t>such as gender, age, disability, sexuality, and religion</w:t>
      </w:r>
      <w:r w:rsidR="00D6512A" w:rsidRPr="001F3849">
        <w:rPr>
          <w:rFonts w:eastAsia="Times New Roman"/>
          <w:sz w:val="24"/>
          <w:szCs w:val="24"/>
        </w:rPr>
        <w:t xml:space="preserve"> </w:t>
      </w:r>
      <w:r w:rsidRPr="007464EC">
        <w:rPr>
          <w:rFonts w:eastAsia="Times New Roman"/>
          <w:sz w:val="24"/>
          <w:szCs w:val="24"/>
        </w:rPr>
        <w:t>interact with migration status to shape health outcomes over time. Longitudinal research can illuminate the cumulative and evolving effects of policy and social context.</w:t>
      </w:r>
    </w:p>
    <w:p w14:paraId="034F7867"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c) Evaluate interventions and share good practice:</w:t>
      </w:r>
      <w:r w:rsidRPr="007464EC">
        <w:rPr>
          <w:rFonts w:eastAsia="Times New Roman"/>
          <w:sz w:val="24"/>
          <w:szCs w:val="24"/>
        </w:rPr>
        <w:br/>
        <w:t>Pilot and rigorously evaluate interventions designed to improve migrant health equity—such as community health worker programmes, legal advice in clinical settings, and anti-racist training. Disseminate effective models for national scale-up.</w:t>
      </w:r>
    </w:p>
    <w:p w14:paraId="6F9E8749" w14:textId="332E90C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b/>
          <w:bCs/>
          <w:sz w:val="24"/>
          <w:szCs w:val="24"/>
        </w:rPr>
        <w:t>d) Build research-policy-practice partnerships:</w:t>
      </w:r>
      <w:r w:rsidRPr="007464EC">
        <w:rPr>
          <w:rFonts w:eastAsia="Times New Roman"/>
          <w:sz w:val="24"/>
          <w:szCs w:val="24"/>
        </w:rPr>
        <w:br/>
        <w:t>Universities, NHS trusts, and local authorities should develop collaborative networks to ensure that research findings directly inform policy and practice, and that policies are continually evaluated for equity impacts.</w:t>
      </w:r>
    </w:p>
    <w:p w14:paraId="2FB8E133" w14:textId="77777777" w:rsidR="007464EC" w:rsidRPr="007464EC" w:rsidRDefault="007464EC" w:rsidP="001F3849">
      <w:pPr>
        <w:spacing w:before="100" w:beforeAutospacing="1" w:after="100" w:afterAutospacing="1" w:line="360" w:lineRule="auto"/>
        <w:rPr>
          <w:rFonts w:eastAsia="Times New Roman"/>
          <w:sz w:val="24"/>
          <w:szCs w:val="24"/>
        </w:rPr>
      </w:pPr>
      <w:r w:rsidRPr="007464EC">
        <w:rPr>
          <w:rFonts w:eastAsia="Times New Roman"/>
          <w:sz w:val="24"/>
          <w:szCs w:val="24"/>
        </w:rPr>
        <w:t xml:space="preserve">By enacting these recommendations, policymakers, practitioners, and community leaders can begin to address the structural and systemic barriers that underpin health inequalities for BAME migrants. The recommendations emphasise not only immediate, practical steps but also the need for </w:t>
      </w:r>
      <w:proofErr w:type="gramStart"/>
      <w:r w:rsidRPr="007464EC">
        <w:rPr>
          <w:rFonts w:eastAsia="Times New Roman"/>
          <w:sz w:val="24"/>
          <w:szCs w:val="24"/>
        </w:rPr>
        <w:t>sustained,</w:t>
      </w:r>
      <w:proofErr w:type="gramEnd"/>
      <w:r w:rsidRPr="007464EC">
        <w:rPr>
          <w:rFonts w:eastAsia="Times New Roman"/>
          <w:sz w:val="24"/>
          <w:szCs w:val="24"/>
        </w:rPr>
        <w:t xml:space="preserve"> structural change and a public health approach rooted in justice, solidarity, and the protection of fundamental rights.</w:t>
      </w:r>
    </w:p>
    <w:p w14:paraId="58C18926" w14:textId="77777777" w:rsidR="00D6512A" w:rsidRPr="001F3849" w:rsidRDefault="00D6512A" w:rsidP="001F3849">
      <w:pPr>
        <w:spacing w:before="100" w:beforeAutospacing="1" w:after="100" w:afterAutospacing="1" w:line="360" w:lineRule="auto"/>
        <w:outlineLvl w:val="2"/>
        <w:rPr>
          <w:rFonts w:eastAsia="Times New Roman"/>
          <w:b/>
          <w:bCs/>
          <w:sz w:val="24"/>
          <w:szCs w:val="24"/>
        </w:rPr>
      </w:pPr>
    </w:p>
    <w:p w14:paraId="6CD667E5" w14:textId="5D7E7E56" w:rsidR="00D6512A" w:rsidRPr="00D6512A" w:rsidRDefault="00D6512A" w:rsidP="001F3849">
      <w:pPr>
        <w:spacing w:before="100" w:beforeAutospacing="1" w:after="100" w:afterAutospacing="1" w:line="360" w:lineRule="auto"/>
        <w:outlineLvl w:val="2"/>
        <w:rPr>
          <w:rFonts w:eastAsia="Times New Roman"/>
          <w:b/>
          <w:bCs/>
          <w:sz w:val="24"/>
          <w:szCs w:val="24"/>
        </w:rPr>
      </w:pPr>
      <w:r w:rsidRPr="00D6512A">
        <w:rPr>
          <w:rFonts w:eastAsia="Times New Roman"/>
          <w:b/>
          <w:bCs/>
          <w:sz w:val="24"/>
          <w:szCs w:val="24"/>
        </w:rPr>
        <w:t>6.6 Limitations of the Study</w:t>
      </w:r>
    </w:p>
    <w:p w14:paraId="785CAE3B" w14:textId="77777777"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While this research offers valuable insights into the lived realities of BAME migrants in East London, it is essential to acknowledge its methodological and contextual limitations, both to ensure transparency and to inform future research directions.</w:t>
      </w:r>
    </w:p>
    <w:p w14:paraId="16950459" w14:textId="77777777"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Firstly, the study’s qualitative design, while well-suited to exploring nuanced experiences and perceptions, inherently limits generalisability. The purposive and snowball sampling strategies, though effective in reaching diverse participants, may have resulted in the overrepresentation of individuals with stronger community ties or greater willingness to share their experiences. Those most marginalised—such as undocumented migrants living in extreme precarity, or those who are deeply distrustful of institutions—may remain underrepresented, and their unique perspectives may not be fully captured.</w:t>
      </w:r>
    </w:p>
    <w:p w14:paraId="6DD487FF" w14:textId="77777777"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Secondly, the research was conducted in a specific socio-geographic context—East London, a region notable for its super-diversity and established migrant support infrastructure. While this setting provides rich ground for examining the intersection of migration, ethnicity, and deprivation, it also means that findings may not be fully transferable to less diverse, rural, or differently resourced settings within the UK or internationally. The complex interplay between local policy, community resources, and individual experience must be considered when applying these findings elsewhere.</w:t>
      </w:r>
    </w:p>
    <w:p w14:paraId="0D722E49" w14:textId="77777777"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Thirdly, the reliance on in-depth interviews as the sole data collection method introduces potential biases, including recall bias and social desirability bias. Despite rigorous efforts to ensure a safe and confidential environment, some participants may have withheld sensitive details or presented their experiences in ways shaped by perceived expectations. The use of interpreters, while crucial for inclusivity, may have affected the nuance and depth of some responses due to translation or cultural mediation.</w:t>
      </w:r>
    </w:p>
    <w:p w14:paraId="706668AE" w14:textId="77777777" w:rsidR="00D6512A" w:rsidRPr="001F3849"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Fourthly, the study was conducted during a period of ongoing social and policy change, including the COVID-19 pandemic. This context may have heightened awareness of health vulnerabilities, altered access to services, and shaped the daily realities of participants in ways that differ from more stable periods.</w:t>
      </w:r>
    </w:p>
    <w:p w14:paraId="38A5A475" w14:textId="17EE931C" w:rsidR="0080146D" w:rsidRPr="00D6512A" w:rsidRDefault="0080146D" w:rsidP="001F3849">
      <w:pPr>
        <w:spacing w:before="100" w:beforeAutospacing="1" w:after="100" w:afterAutospacing="1" w:line="360" w:lineRule="auto"/>
        <w:rPr>
          <w:rFonts w:eastAsia="Times New Roman"/>
          <w:sz w:val="24"/>
          <w:szCs w:val="24"/>
        </w:rPr>
      </w:pPr>
      <w:r w:rsidRPr="001F3849">
        <w:rPr>
          <w:sz w:val="24"/>
          <w:szCs w:val="24"/>
        </w:rPr>
        <w:t>It is also important to acknowledge the role of the broader policy environment in shaping both the context and outcomes of this research. While the UK government has recognised the importance of migrant health through specific policy mechanisms—most notably, the introduction of the NHS surcharge for migrants—this approach reflects a tension between addressing health service usage and advancing health equity. The NHS surcharge, which requires many migrants to pay an additional fee as part of their visa application to access NHS services, is intended to ensure that migrants contribute to the cost of their healthcare and to support the sustainability of the health system. However, evidence from this study and wider research suggests that such financial barriers can deter timely healthcare access, exacerbate financial hardship, and deepen health inequalities, particularly for the most vulnerable and low-income migrants. While the policy acknowledges the reality that migrants have health needs, it risks framing access to care as a privilege contingent on ability to pay, rather than as a fundamental right and public health imperative. As such, any genuine commitment to migrant health should prioritise universal, equitable access and address the structural drivers of exclusion, rather than relying solely on cost-recovery measures.</w:t>
      </w:r>
    </w:p>
    <w:p w14:paraId="23CAC3F6" w14:textId="7011EACE"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Finally, the researcher’s own positionality</w:t>
      </w:r>
      <w:r w:rsidRPr="001F3849">
        <w:rPr>
          <w:rFonts w:eastAsia="Times New Roman"/>
          <w:sz w:val="24"/>
          <w:szCs w:val="24"/>
        </w:rPr>
        <w:t xml:space="preserve">, shaped by professional background, cultural identity, and personal assumptions, </w:t>
      </w:r>
      <w:r w:rsidRPr="00D6512A">
        <w:rPr>
          <w:rFonts w:eastAsia="Times New Roman"/>
          <w:sz w:val="24"/>
          <w:szCs w:val="24"/>
        </w:rPr>
        <w:t>inevitably influenced data collection, analysis, and interpretation. While reflexive practices, peer debriefing, and transparent documentation were employed to enhance rigour, complete objectivity is neither achievable nor desirable in qualitative research. Instead, the study’s credibility rests on its reflexivity, methodological transparency, and the richness of its participant voices.</w:t>
      </w:r>
    </w:p>
    <w:p w14:paraId="34CC8BCF" w14:textId="18CCFFB4"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In sum</w:t>
      </w:r>
      <w:r w:rsidR="00197DDE" w:rsidRPr="001F3849">
        <w:rPr>
          <w:rFonts w:eastAsia="Times New Roman"/>
          <w:sz w:val="24"/>
          <w:szCs w:val="24"/>
        </w:rPr>
        <w:t>mary</w:t>
      </w:r>
      <w:r w:rsidRPr="00D6512A">
        <w:rPr>
          <w:rFonts w:eastAsia="Times New Roman"/>
          <w:sz w:val="24"/>
          <w:szCs w:val="24"/>
        </w:rPr>
        <w:t>, these limitations do not undermine the validity or importance of the findings, but rather highlight the need for continued, context-sensitive, and participatory research that seeks out the most marginalised voices and tests the transferability of insights across diverse settings.</w:t>
      </w:r>
    </w:p>
    <w:p w14:paraId="261C5D11" w14:textId="7DB612CC" w:rsidR="00D6512A" w:rsidRPr="00D6512A" w:rsidRDefault="00D6512A" w:rsidP="001F3849">
      <w:pPr>
        <w:spacing w:line="360" w:lineRule="auto"/>
        <w:rPr>
          <w:rFonts w:eastAsia="Times New Roman"/>
          <w:sz w:val="24"/>
          <w:szCs w:val="24"/>
        </w:rPr>
      </w:pPr>
    </w:p>
    <w:p w14:paraId="292B18FD" w14:textId="77777777" w:rsidR="00D6512A" w:rsidRPr="00D6512A" w:rsidRDefault="00D6512A" w:rsidP="001F3849">
      <w:pPr>
        <w:spacing w:before="100" w:beforeAutospacing="1" w:after="100" w:afterAutospacing="1" w:line="360" w:lineRule="auto"/>
        <w:outlineLvl w:val="2"/>
        <w:rPr>
          <w:rFonts w:eastAsia="Times New Roman"/>
          <w:b/>
          <w:bCs/>
          <w:sz w:val="24"/>
          <w:szCs w:val="24"/>
        </w:rPr>
      </w:pPr>
      <w:r w:rsidRPr="00D6512A">
        <w:rPr>
          <w:rFonts w:eastAsia="Times New Roman"/>
          <w:b/>
          <w:bCs/>
          <w:sz w:val="24"/>
          <w:szCs w:val="24"/>
        </w:rPr>
        <w:t>6.7 Final Reflection</w:t>
      </w:r>
    </w:p>
    <w:p w14:paraId="756A6425" w14:textId="380B2A8B"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This dissertation set out to illuminate the ways in which immigration status operates as a structural determinant of health for BAME adult migrants in East London</w:t>
      </w:r>
      <w:r w:rsidRPr="001F3849">
        <w:rPr>
          <w:rFonts w:eastAsia="Times New Roman"/>
          <w:sz w:val="24"/>
          <w:szCs w:val="24"/>
        </w:rPr>
        <w:t xml:space="preserve">, </w:t>
      </w:r>
      <w:r w:rsidRPr="00D6512A">
        <w:rPr>
          <w:rFonts w:eastAsia="Times New Roman"/>
          <w:sz w:val="24"/>
          <w:szCs w:val="24"/>
        </w:rPr>
        <w:t>a question of increasing urgency in contemporary UK public health. Through the analysis of rich, in-depth narratives, the study has uncovered not only the profound challenges faced by migrants navigating legal precarity, discrimination, and systemic exclusion, but also the remarkable strategies of adaptation, resistance, and resilience that emerge in response.</w:t>
      </w:r>
    </w:p>
    <w:p w14:paraId="0D90CF2A" w14:textId="2F66386B"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The findings reinforce and extend critical public health theory, offering concrete evidence of how policy-driven structural vulnerability and racism are embodied in everyday life. They challenge simplistic explanations that attribute poor health outcomes to individual behaviour or cultural difference, instead foregrounding the decisive role of law, policy, and social structure in producing and perpetuating health inequalities. In doing so, the research calls upon public health practitioners, policymakers, and researchers to reframe the discourse on migrant health</w:t>
      </w:r>
      <w:r w:rsidRPr="001F3849">
        <w:rPr>
          <w:rFonts w:eastAsia="Times New Roman"/>
          <w:sz w:val="24"/>
          <w:szCs w:val="24"/>
        </w:rPr>
        <w:t xml:space="preserve">, </w:t>
      </w:r>
      <w:r w:rsidRPr="00D6512A">
        <w:rPr>
          <w:rFonts w:eastAsia="Times New Roman"/>
          <w:sz w:val="24"/>
          <w:szCs w:val="24"/>
        </w:rPr>
        <w:t>moving away from narratives of deficit and deservingness, and toward a justice-oriented vision rooted in human rights and solidarity.</w:t>
      </w:r>
    </w:p>
    <w:p w14:paraId="07682B25" w14:textId="77777777"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 xml:space="preserve">As the UK and other high-income countries grapple with the challenges of migration, inequality, and social cohesion, the lessons from this study are clear. Achieving health equity for migrants and minoritised communities is not merely a matter of targeted interventions or service </w:t>
      </w:r>
      <w:proofErr w:type="gramStart"/>
      <w:r w:rsidRPr="00D6512A">
        <w:rPr>
          <w:rFonts w:eastAsia="Times New Roman"/>
          <w:sz w:val="24"/>
          <w:szCs w:val="24"/>
        </w:rPr>
        <w:t>provision, but</w:t>
      </w:r>
      <w:proofErr w:type="gramEnd"/>
      <w:r w:rsidRPr="00D6512A">
        <w:rPr>
          <w:rFonts w:eastAsia="Times New Roman"/>
          <w:sz w:val="24"/>
          <w:szCs w:val="24"/>
        </w:rPr>
        <w:t xml:space="preserve"> requires a fundamental reckoning with the structural drivers of exclusion and harm. This includes reforming restrictive and punitive immigration policies, investing in inclusive and culturally competent public services, and empowering communities to participate fully in the decisions that affect their lives.</w:t>
      </w:r>
    </w:p>
    <w:p w14:paraId="424BD659" w14:textId="20096416" w:rsidR="00D6512A" w:rsidRPr="00D6512A" w:rsidRDefault="00D6512A" w:rsidP="001F3849">
      <w:pPr>
        <w:spacing w:before="100" w:beforeAutospacing="1" w:after="100" w:afterAutospacing="1" w:line="360" w:lineRule="auto"/>
        <w:rPr>
          <w:rFonts w:eastAsia="Times New Roman"/>
          <w:sz w:val="24"/>
          <w:szCs w:val="24"/>
        </w:rPr>
      </w:pPr>
      <w:r w:rsidRPr="00D6512A">
        <w:rPr>
          <w:rFonts w:eastAsia="Times New Roman"/>
          <w:sz w:val="24"/>
          <w:szCs w:val="24"/>
        </w:rPr>
        <w:t>The voices of participants in this research</w:t>
      </w:r>
      <w:r w:rsidRPr="001F3849">
        <w:rPr>
          <w:rFonts w:eastAsia="Times New Roman"/>
          <w:sz w:val="24"/>
          <w:szCs w:val="24"/>
        </w:rPr>
        <w:t xml:space="preserve">, often marginalised and unheard in mainstream policy debates, </w:t>
      </w:r>
      <w:r w:rsidRPr="00D6512A">
        <w:rPr>
          <w:rFonts w:eastAsia="Times New Roman"/>
          <w:sz w:val="24"/>
          <w:szCs w:val="24"/>
        </w:rPr>
        <w:t>offer not only testimony to adversity but also a vision for a more just and compassionate society. By centring these lived experiences, the dissertation aspires to contribute meaningfully to ongoing efforts to dismantle structural barriers, advance health equity, and uphold the dignity and rights of all migrants. The challenge ahead is to ensure that these insights are translated into sustained policy, practice, and social change.</w:t>
      </w:r>
    </w:p>
    <w:p w14:paraId="41969648" w14:textId="6D88F560" w:rsidR="00FC1179" w:rsidRPr="001F3849" w:rsidRDefault="00FC1179" w:rsidP="001F3849">
      <w:pPr>
        <w:spacing w:line="360" w:lineRule="auto"/>
        <w:rPr>
          <w:rFonts w:eastAsia="Times New Roman"/>
          <w:sz w:val="24"/>
          <w:szCs w:val="24"/>
        </w:rPr>
      </w:pPr>
    </w:p>
    <w:sectPr w:rsidR="00FC1179" w:rsidRPr="001F384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7B828" w14:textId="77777777" w:rsidR="0074779B" w:rsidRDefault="0074779B" w:rsidP="00F2479E">
      <w:pPr>
        <w:spacing w:line="240" w:lineRule="auto"/>
      </w:pPr>
      <w:r>
        <w:separator/>
      </w:r>
    </w:p>
  </w:endnote>
  <w:endnote w:type="continuationSeparator" w:id="0">
    <w:p w14:paraId="0F659391" w14:textId="77777777" w:rsidR="0074779B" w:rsidRDefault="0074779B" w:rsidP="00F247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560471"/>
      <w:docPartObj>
        <w:docPartGallery w:val="Page Numbers (Bottom of Page)"/>
        <w:docPartUnique/>
      </w:docPartObj>
    </w:sdtPr>
    <w:sdtEndPr>
      <w:rPr>
        <w:noProof/>
      </w:rPr>
    </w:sdtEndPr>
    <w:sdtContent>
      <w:p w14:paraId="35941228" w14:textId="0B25A3FE" w:rsidR="00F2479E" w:rsidRDefault="00F247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B55440" w14:textId="77777777" w:rsidR="00F2479E" w:rsidRDefault="00F24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80358" w14:textId="77777777" w:rsidR="0074779B" w:rsidRDefault="0074779B" w:rsidP="00F2479E">
      <w:pPr>
        <w:spacing w:line="240" w:lineRule="auto"/>
      </w:pPr>
      <w:r>
        <w:separator/>
      </w:r>
    </w:p>
  </w:footnote>
  <w:footnote w:type="continuationSeparator" w:id="0">
    <w:p w14:paraId="6FE4622D" w14:textId="77777777" w:rsidR="0074779B" w:rsidRDefault="0074779B" w:rsidP="00F247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587"/>
    <w:multiLevelType w:val="multilevel"/>
    <w:tmpl w:val="1ED0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72CD6"/>
    <w:multiLevelType w:val="multilevel"/>
    <w:tmpl w:val="9DFE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C71F3"/>
    <w:multiLevelType w:val="multilevel"/>
    <w:tmpl w:val="9906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84445"/>
    <w:multiLevelType w:val="multilevel"/>
    <w:tmpl w:val="7736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B47A4"/>
    <w:multiLevelType w:val="multilevel"/>
    <w:tmpl w:val="5EB2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E1577"/>
    <w:multiLevelType w:val="multilevel"/>
    <w:tmpl w:val="6D96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6642C"/>
    <w:multiLevelType w:val="multilevel"/>
    <w:tmpl w:val="5C5A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BA1609"/>
    <w:multiLevelType w:val="multilevel"/>
    <w:tmpl w:val="005A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AD1AEB"/>
    <w:multiLevelType w:val="multilevel"/>
    <w:tmpl w:val="E0E8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517217"/>
    <w:multiLevelType w:val="multilevel"/>
    <w:tmpl w:val="378C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862068"/>
    <w:multiLevelType w:val="multilevel"/>
    <w:tmpl w:val="E2CE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AF3FC4"/>
    <w:multiLevelType w:val="multilevel"/>
    <w:tmpl w:val="12162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474019"/>
    <w:multiLevelType w:val="multilevel"/>
    <w:tmpl w:val="8D4E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D37C9A"/>
    <w:multiLevelType w:val="multilevel"/>
    <w:tmpl w:val="0926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095332"/>
    <w:multiLevelType w:val="multilevel"/>
    <w:tmpl w:val="C4AA3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B550F5"/>
    <w:multiLevelType w:val="multilevel"/>
    <w:tmpl w:val="F998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D06652"/>
    <w:multiLevelType w:val="multilevel"/>
    <w:tmpl w:val="4F7A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9C6237"/>
    <w:multiLevelType w:val="multilevel"/>
    <w:tmpl w:val="2FA2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5C664A"/>
    <w:multiLevelType w:val="multilevel"/>
    <w:tmpl w:val="D3CA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8B13A8"/>
    <w:multiLevelType w:val="multilevel"/>
    <w:tmpl w:val="9E220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746EE5"/>
    <w:multiLevelType w:val="multilevel"/>
    <w:tmpl w:val="3164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7919EE"/>
    <w:multiLevelType w:val="multilevel"/>
    <w:tmpl w:val="CB3C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6477D4"/>
    <w:multiLevelType w:val="multilevel"/>
    <w:tmpl w:val="C82A8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E66735"/>
    <w:multiLevelType w:val="multilevel"/>
    <w:tmpl w:val="50F40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8443585">
    <w:abstractNumId w:val="20"/>
  </w:num>
  <w:num w:numId="2" w16cid:durableId="1085952350">
    <w:abstractNumId w:val="13"/>
  </w:num>
  <w:num w:numId="3" w16cid:durableId="2135830289">
    <w:abstractNumId w:val="9"/>
  </w:num>
  <w:num w:numId="4" w16cid:durableId="1318147697">
    <w:abstractNumId w:val="17"/>
  </w:num>
  <w:num w:numId="5" w16cid:durableId="2140953251">
    <w:abstractNumId w:val="22"/>
  </w:num>
  <w:num w:numId="6" w16cid:durableId="1126045184">
    <w:abstractNumId w:val="19"/>
  </w:num>
  <w:num w:numId="7" w16cid:durableId="216816969">
    <w:abstractNumId w:val="11"/>
  </w:num>
  <w:num w:numId="8" w16cid:durableId="741105336">
    <w:abstractNumId w:val="12"/>
  </w:num>
  <w:num w:numId="9" w16cid:durableId="1864242843">
    <w:abstractNumId w:val="1"/>
  </w:num>
  <w:num w:numId="10" w16cid:durableId="1768041036">
    <w:abstractNumId w:val="21"/>
  </w:num>
  <w:num w:numId="11" w16cid:durableId="1137989844">
    <w:abstractNumId w:val="16"/>
  </w:num>
  <w:num w:numId="12" w16cid:durableId="2009940133">
    <w:abstractNumId w:val="23"/>
  </w:num>
  <w:num w:numId="13" w16cid:durableId="1194657905">
    <w:abstractNumId w:val="10"/>
  </w:num>
  <w:num w:numId="14" w16cid:durableId="1687513278">
    <w:abstractNumId w:val="7"/>
  </w:num>
  <w:num w:numId="15" w16cid:durableId="1850100904">
    <w:abstractNumId w:val="0"/>
  </w:num>
  <w:num w:numId="16" w16cid:durableId="779760670">
    <w:abstractNumId w:val="2"/>
  </w:num>
  <w:num w:numId="17" w16cid:durableId="502627990">
    <w:abstractNumId w:val="5"/>
  </w:num>
  <w:num w:numId="18" w16cid:durableId="700787648">
    <w:abstractNumId w:val="6"/>
  </w:num>
  <w:num w:numId="19" w16cid:durableId="956525475">
    <w:abstractNumId w:val="14"/>
  </w:num>
  <w:num w:numId="20" w16cid:durableId="413626804">
    <w:abstractNumId w:val="4"/>
  </w:num>
  <w:num w:numId="21" w16cid:durableId="2064408582">
    <w:abstractNumId w:val="15"/>
  </w:num>
  <w:num w:numId="22" w16cid:durableId="2102337522">
    <w:abstractNumId w:val="3"/>
  </w:num>
  <w:num w:numId="23" w16cid:durableId="1490901518">
    <w:abstractNumId w:val="8"/>
  </w:num>
  <w:num w:numId="24" w16cid:durableId="14899077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0D"/>
    <w:rsid w:val="00013DE7"/>
    <w:rsid w:val="000453AE"/>
    <w:rsid w:val="00061B3C"/>
    <w:rsid w:val="00092F25"/>
    <w:rsid w:val="000C6451"/>
    <w:rsid w:val="000C6E15"/>
    <w:rsid w:val="000D139E"/>
    <w:rsid w:val="000D1F2A"/>
    <w:rsid w:val="000E2A53"/>
    <w:rsid w:val="000F21B5"/>
    <w:rsid w:val="00143564"/>
    <w:rsid w:val="00174177"/>
    <w:rsid w:val="001833F9"/>
    <w:rsid w:val="00197DDE"/>
    <w:rsid w:val="001D7CA6"/>
    <w:rsid w:val="001F3849"/>
    <w:rsid w:val="002230B7"/>
    <w:rsid w:val="002271F7"/>
    <w:rsid w:val="00255314"/>
    <w:rsid w:val="00260AD7"/>
    <w:rsid w:val="00270EB2"/>
    <w:rsid w:val="0027211B"/>
    <w:rsid w:val="002F65F6"/>
    <w:rsid w:val="003038AB"/>
    <w:rsid w:val="00373DA6"/>
    <w:rsid w:val="003A43A2"/>
    <w:rsid w:val="003B0BFF"/>
    <w:rsid w:val="003B6B09"/>
    <w:rsid w:val="004512E2"/>
    <w:rsid w:val="00472A26"/>
    <w:rsid w:val="004E22AD"/>
    <w:rsid w:val="00506C4F"/>
    <w:rsid w:val="00530918"/>
    <w:rsid w:val="00532EE8"/>
    <w:rsid w:val="0056371F"/>
    <w:rsid w:val="0058407B"/>
    <w:rsid w:val="005B34B3"/>
    <w:rsid w:val="005D6448"/>
    <w:rsid w:val="005F20E3"/>
    <w:rsid w:val="00600DF7"/>
    <w:rsid w:val="00615D1F"/>
    <w:rsid w:val="006311D1"/>
    <w:rsid w:val="0069609B"/>
    <w:rsid w:val="006B539F"/>
    <w:rsid w:val="00721D88"/>
    <w:rsid w:val="00740928"/>
    <w:rsid w:val="007464EC"/>
    <w:rsid w:val="0074779B"/>
    <w:rsid w:val="0077443F"/>
    <w:rsid w:val="00786E7A"/>
    <w:rsid w:val="007A700F"/>
    <w:rsid w:val="007B45EC"/>
    <w:rsid w:val="0080146D"/>
    <w:rsid w:val="00825661"/>
    <w:rsid w:val="008354BA"/>
    <w:rsid w:val="008701BB"/>
    <w:rsid w:val="00886656"/>
    <w:rsid w:val="008A4FE6"/>
    <w:rsid w:val="008A6BD3"/>
    <w:rsid w:val="008C56AF"/>
    <w:rsid w:val="008E1DA1"/>
    <w:rsid w:val="00924B01"/>
    <w:rsid w:val="0093476E"/>
    <w:rsid w:val="009434F3"/>
    <w:rsid w:val="0094456F"/>
    <w:rsid w:val="009E014F"/>
    <w:rsid w:val="00A022E0"/>
    <w:rsid w:val="00A17015"/>
    <w:rsid w:val="00A20DDE"/>
    <w:rsid w:val="00A33369"/>
    <w:rsid w:val="00A54F0D"/>
    <w:rsid w:val="00A57CA7"/>
    <w:rsid w:val="00A7435F"/>
    <w:rsid w:val="00A85218"/>
    <w:rsid w:val="00AB3CD5"/>
    <w:rsid w:val="00AF4DC8"/>
    <w:rsid w:val="00B57B9E"/>
    <w:rsid w:val="00B731D1"/>
    <w:rsid w:val="00B91312"/>
    <w:rsid w:val="00C00E3E"/>
    <w:rsid w:val="00C70B6C"/>
    <w:rsid w:val="00C93A87"/>
    <w:rsid w:val="00CA2AF9"/>
    <w:rsid w:val="00CE28A4"/>
    <w:rsid w:val="00CF3F5B"/>
    <w:rsid w:val="00D002E6"/>
    <w:rsid w:val="00D17CFF"/>
    <w:rsid w:val="00D50A12"/>
    <w:rsid w:val="00D562A3"/>
    <w:rsid w:val="00D6335E"/>
    <w:rsid w:val="00D6512A"/>
    <w:rsid w:val="00DC226E"/>
    <w:rsid w:val="00DD0D47"/>
    <w:rsid w:val="00DD3ED8"/>
    <w:rsid w:val="00DF4741"/>
    <w:rsid w:val="00E44A10"/>
    <w:rsid w:val="00E60EF0"/>
    <w:rsid w:val="00E67D90"/>
    <w:rsid w:val="00E75066"/>
    <w:rsid w:val="00E8009E"/>
    <w:rsid w:val="00EB32A6"/>
    <w:rsid w:val="00EB7578"/>
    <w:rsid w:val="00EC6F00"/>
    <w:rsid w:val="00ED3349"/>
    <w:rsid w:val="00F1719E"/>
    <w:rsid w:val="00F2479E"/>
    <w:rsid w:val="00F4560E"/>
    <w:rsid w:val="00F661AE"/>
    <w:rsid w:val="00F9416A"/>
    <w:rsid w:val="00F97F54"/>
    <w:rsid w:val="00FC1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43387"/>
  <w15:chartTrackingRefBased/>
  <w15:docId w15:val="{F5EF25D9-6ECF-48A0-8231-F3AE50C7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2A3"/>
    <w:rPr>
      <w:lang w:val="en-GB"/>
    </w:rPr>
  </w:style>
  <w:style w:type="paragraph" w:styleId="Heading1">
    <w:name w:val="heading 1"/>
    <w:basedOn w:val="Normal"/>
    <w:next w:val="Normal"/>
    <w:link w:val="Heading1Char"/>
    <w:uiPriority w:val="9"/>
    <w:qFormat/>
    <w:rsid w:val="00D562A3"/>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D562A3"/>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rsid w:val="00D562A3"/>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rsid w:val="00D562A3"/>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rsid w:val="00D562A3"/>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rsid w:val="00D562A3"/>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A54F0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4F0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4F0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2A3"/>
    <w:rPr>
      <w:sz w:val="40"/>
      <w:szCs w:val="40"/>
    </w:rPr>
  </w:style>
  <w:style w:type="character" w:customStyle="1" w:styleId="Heading2Char">
    <w:name w:val="Heading 2 Char"/>
    <w:basedOn w:val="DefaultParagraphFont"/>
    <w:link w:val="Heading2"/>
    <w:uiPriority w:val="9"/>
    <w:rsid w:val="00D562A3"/>
    <w:rPr>
      <w:sz w:val="32"/>
      <w:szCs w:val="32"/>
    </w:rPr>
  </w:style>
  <w:style w:type="character" w:customStyle="1" w:styleId="Heading3Char">
    <w:name w:val="Heading 3 Char"/>
    <w:basedOn w:val="DefaultParagraphFont"/>
    <w:link w:val="Heading3"/>
    <w:uiPriority w:val="9"/>
    <w:semiHidden/>
    <w:rsid w:val="00D562A3"/>
    <w:rPr>
      <w:color w:val="434343"/>
      <w:sz w:val="28"/>
      <w:szCs w:val="28"/>
    </w:rPr>
  </w:style>
  <w:style w:type="character" w:customStyle="1" w:styleId="Heading4Char">
    <w:name w:val="Heading 4 Char"/>
    <w:basedOn w:val="DefaultParagraphFont"/>
    <w:link w:val="Heading4"/>
    <w:uiPriority w:val="9"/>
    <w:semiHidden/>
    <w:rsid w:val="00D562A3"/>
    <w:rPr>
      <w:color w:val="666666"/>
      <w:sz w:val="24"/>
      <w:szCs w:val="24"/>
    </w:rPr>
  </w:style>
  <w:style w:type="character" w:customStyle="1" w:styleId="Heading5Char">
    <w:name w:val="Heading 5 Char"/>
    <w:basedOn w:val="DefaultParagraphFont"/>
    <w:link w:val="Heading5"/>
    <w:uiPriority w:val="9"/>
    <w:semiHidden/>
    <w:rsid w:val="00D562A3"/>
    <w:rPr>
      <w:color w:val="666666"/>
    </w:rPr>
  </w:style>
  <w:style w:type="character" w:customStyle="1" w:styleId="Heading6Char">
    <w:name w:val="Heading 6 Char"/>
    <w:basedOn w:val="DefaultParagraphFont"/>
    <w:link w:val="Heading6"/>
    <w:uiPriority w:val="9"/>
    <w:semiHidden/>
    <w:rsid w:val="00D562A3"/>
    <w:rPr>
      <w:i/>
      <w:color w:val="666666"/>
    </w:rPr>
  </w:style>
  <w:style w:type="paragraph" w:styleId="Title">
    <w:name w:val="Title"/>
    <w:basedOn w:val="Normal"/>
    <w:next w:val="Normal"/>
    <w:link w:val="TitleChar"/>
    <w:uiPriority w:val="10"/>
    <w:qFormat/>
    <w:rsid w:val="00D562A3"/>
    <w:pPr>
      <w:keepNext/>
      <w:keepLines/>
      <w:spacing w:after="60"/>
    </w:pPr>
    <w:rPr>
      <w:sz w:val="52"/>
      <w:szCs w:val="52"/>
    </w:rPr>
  </w:style>
  <w:style w:type="character" w:customStyle="1" w:styleId="TitleChar">
    <w:name w:val="Title Char"/>
    <w:basedOn w:val="DefaultParagraphFont"/>
    <w:link w:val="Title"/>
    <w:uiPriority w:val="10"/>
    <w:rsid w:val="00D562A3"/>
    <w:rPr>
      <w:sz w:val="52"/>
      <w:szCs w:val="52"/>
    </w:rPr>
  </w:style>
  <w:style w:type="paragraph" w:styleId="Subtitle">
    <w:name w:val="Subtitle"/>
    <w:basedOn w:val="Normal"/>
    <w:next w:val="Normal"/>
    <w:link w:val="SubtitleChar"/>
    <w:uiPriority w:val="11"/>
    <w:qFormat/>
    <w:rsid w:val="00D562A3"/>
    <w:pPr>
      <w:keepNext/>
      <w:keepLines/>
      <w:spacing w:after="320"/>
    </w:pPr>
    <w:rPr>
      <w:color w:val="666666"/>
      <w:sz w:val="30"/>
      <w:szCs w:val="30"/>
    </w:rPr>
  </w:style>
  <w:style w:type="character" w:customStyle="1" w:styleId="SubtitleChar">
    <w:name w:val="Subtitle Char"/>
    <w:basedOn w:val="DefaultParagraphFont"/>
    <w:link w:val="Subtitle"/>
    <w:uiPriority w:val="11"/>
    <w:rsid w:val="00D562A3"/>
    <w:rPr>
      <w:color w:val="666666"/>
      <w:sz w:val="30"/>
      <w:szCs w:val="30"/>
    </w:rPr>
  </w:style>
  <w:style w:type="character" w:styleId="Emphasis">
    <w:name w:val="Emphasis"/>
    <w:basedOn w:val="DefaultParagraphFont"/>
    <w:uiPriority w:val="20"/>
    <w:qFormat/>
    <w:rsid w:val="00D562A3"/>
    <w:rPr>
      <w:i/>
      <w:iCs/>
    </w:rPr>
  </w:style>
  <w:style w:type="paragraph" w:styleId="NoSpacing">
    <w:name w:val="No Spacing"/>
    <w:link w:val="NoSpacingChar"/>
    <w:uiPriority w:val="1"/>
    <w:qFormat/>
    <w:rsid w:val="00D562A3"/>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D562A3"/>
    <w:rPr>
      <w:rFonts w:asciiTheme="minorHAnsi" w:eastAsiaTheme="minorEastAsia" w:hAnsiTheme="minorHAnsi" w:cstheme="minorBidi"/>
    </w:rPr>
  </w:style>
  <w:style w:type="paragraph" w:styleId="ListParagraph">
    <w:name w:val="List Paragraph"/>
    <w:basedOn w:val="Normal"/>
    <w:uiPriority w:val="34"/>
    <w:qFormat/>
    <w:rsid w:val="00D562A3"/>
    <w:pPr>
      <w:ind w:left="720"/>
      <w:contextualSpacing/>
    </w:pPr>
  </w:style>
  <w:style w:type="paragraph" w:styleId="TOCHeading">
    <w:name w:val="TOC Heading"/>
    <w:basedOn w:val="Heading1"/>
    <w:next w:val="Normal"/>
    <w:uiPriority w:val="39"/>
    <w:unhideWhenUsed/>
    <w:qFormat/>
    <w:rsid w:val="00D562A3"/>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character" w:customStyle="1" w:styleId="Heading7Char">
    <w:name w:val="Heading 7 Char"/>
    <w:basedOn w:val="DefaultParagraphFont"/>
    <w:link w:val="Heading7"/>
    <w:uiPriority w:val="9"/>
    <w:semiHidden/>
    <w:rsid w:val="00A54F0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4F0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4F0D"/>
    <w:rPr>
      <w:rFonts w:asciiTheme="minorHAnsi" w:eastAsiaTheme="majorEastAsia" w:hAnsiTheme="minorHAnsi" w:cstheme="majorBidi"/>
      <w:color w:val="272727" w:themeColor="text1" w:themeTint="D8"/>
    </w:rPr>
  </w:style>
  <w:style w:type="paragraph" w:styleId="Quote">
    <w:name w:val="Quote"/>
    <w:basedOn w:val="Normal"/>
    <w:next w:val="Normal"/>
    <w:link w:val="QuoteChar"/>
    <w:uiPriority w:val="29"/>
    <w:qFormat/>
    <w:rsid w:val="00A54F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4F0D"/>
    <w:rPr>
      <w:i/>
      <w:iCs/>
      <w:color w:val="404040" w:themeColor="text1" w:themeTint="BF"/>
    </w:rPr>
  </w:style>
  <w:style w:type="character" w:styleId="IntenseEmphasis">
    <w:name w:val="Intense Emphasis"/>
    <w:basedOn w:val="DefaultParagraphFont"/>
    <w:uiPriority w:val="21"/>
    <w:qFormat/>
    <w:rsid w:val="00A54F0D"/>
    <w:rPr>
      <w:i/>
      <w:iCs/>
      <w:color w:val="365F91" w:themeColor="accent1" w:themeShade="BF"/>
    </w:rPr>
  </w:style>
  <w:style w:type="paragraph" w:styleId="IntenseQuote">
    <w:name w:val="Intense Quote"/>
    <w:basedOn w:val="Normal"/>
    <w:next w:val="Normal"/>
    <w:link w:val="IntenseQuoteChar"/>
    <w:uiPriority w:val="30"/>
    <w:qFormat/>
    <w:rsid w:val="00A54F0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54F0D"/>
    <w:rPr>
      <w:i/>
      <w:iCs/>
      <w:color w:val="365F91" w:themeColor="accent1" w:themeShade="BF"/>
    </w:rPr>
  </w:style>
  <w:style w:type="character" w:styleId="IntenseReference">
    <w:name w:val="Intense Reference"/>
    <w:basedOn w:val="DefaultParagraphFont"/>
    <w:uiPriority w:val="32"/>
    <w:qFormat/>
    <w:rsid w:val="00A54F0D"/>
    <w:rPr>
      <w:b/>
      <w:bCs/>
      <w:smallCaps/>
      <w:color w:val="365F91" w:themeColor="accent1" w:themeShade="BF"/>
      <w:spacing w:val="5"/>
    </w:rPr>
  </w:style>
  <w:style w:type="paragraph" w:customStyle="1" w:styleId="gds-typography">
    <w:name w:val="gds-typography"/>
    <w:basedOn w:val="Normal"/>
    <w:rsid w:val="006311D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70B6C"/>
    <w:rPr>
      <w:b/>
      <w:bCs/>
    </w:rPr>
  </w:style>
  <w:style w:type="paragraph" w:styleId="Header">
    <w:name w:val="header"/>
    <w:basedOn w:val="Normal"/>
    <w:link w:val="HeaderChar"/>
    <w:uiPriority w:val="99"/>
    <w:unhideWhenUsed/>
    <w:rsid w:val="00F2479E"/>
    <w:pPr>
      <w:tabs>
        <w:tab w:val="center" w:pos="4680"/>
        <w:tab w:val="right" w:pos="9360"/>
      </w:tabs>
      <w:spacing w:line="240" w:lineRule="auto"/>
    </w:pPr>
  </w:style>
  <w:style w:type="character" w:customStyle="1" w:styleId="HeaderChar">
    <w:name w:val="Header Char"/>
    <w:basedOn w:val="DefaultParagraphFont"/>
    <w:link w:val="Header"/>
    <w:uiPriority w:val="99"/>
    <w:rsid w:val="00F2479E"/>
    <w:rPr>
      <w:lang w:val="en-GB"/>
    </w:rPr>
  </w:style>
  <w:style w:type="paragraph" w:styleId="Footer">
    <w:name w:val="footer"/>
    <w:basedOn w:val="Normal"/>
    <w:link w:val="FooterChar"/>
    <w:uiPriority w:val="99"/>
    <w:unhideWhenUsed/>
    <w:rsid w:val="00F2479E"/>
    <w:pPr>
      <w:tabs>
        <w:tab w:val="center" w:pos="4680"/>
        <w:tab w:val="right" w:pos="9360"/>
      </w:tabs>
      <w:spacing w:line="240" w:lineRule="auto"/>
    </w:pPr>
  </w:style>
  <w:style w:type="character" w:customStyle="1" w:styleId="FooterChar">
    <w:name w:val="Footer Char"/>
    <w:basedOn w:val="DefaultParagraphFont"/>
    <w:link w:val="Footer"/>
    <w:uiPriority w:val="99"/>
    <w:rsid w:val="00F2479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a78fa9f10eadba29bc99d82709f846bb">
  <xsd:schema xmlns:xsd="http://www.w3.org/2001/XMLSchema" xmlns:xs="http://www.w3.org/2001/XMLSchema" xmlns:p="http://schemas.microsoft.com/office/2006/metadata/properties" xmlns:ns3="37a0acea-1511-41cc-bfdb-5619dd373231" targetNamespace="http://schemas.microsoft.com/office/2006/metadata/properties" ma:root="true" ma:fieldsID="0032e50309323c4536b5eef1df892f2a" ns3:_="">
    <xsd:import namespace="37a0acea-1511-41cc-bfdb-5619dd37323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B1500E-C3F4-42C8-8A71-13410D4CB1BA}">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720E7627-718A-4604-88E5-29D6D26F36A3}">
  <ds:schemaRefs>
    <ds:schemaRef ds:uri="http://schemas.microsoft.com/sharepoint/v3/contenttype/forms"/>
  </ds:schemaRefs>
</ds:datastoreItem>
</file>

<file path=customXml/itemProps3.xml><?xml version="1.0" encoding="utf-8"?>
<ds:datastoreItem xmlns:ds="http://schemas.openxmlformats.org/officeDocument/2006/customXml" ds:itemID="{C5E0C7B6-6A43-4590-BAC7-162B675BD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53</Pages>
  <Words>12985</Words>
  <Characters>81808</Characters>
  <Application>Microsoft Office Word</Application>
  <DocSecurity>0</DocSecurity>
  <Lines>1341</Lines>
  <Paragraphs>391</Paragraphs>
  <ScaleCrop>false</ScaleCrop>
  <Company/>
  <LinksUpToDate>false</LinksUpToDate>
  <CharactersWithSpaces>94402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Augustina Afi Acheampong (2424172)</dc:creator>
  <cp:keywords/>
  <dc:description/>
  <cp:lastModifiedBy>Augustina Afi Acheampong (2424172)</cp:lastModifiedBy>
  <cp:revision>2</cp:revision>
  <dcterms:created xsi:type="dcterms:W3CDTF">2026-01-08T17:05:00Z</dcterms:created>
  <dcterms:modified xsi:type="dcterms:W3CDTF">2026-01-08T17:05:00Z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938ff3a6-0bcf-4225-8590-05c095e037f8</vt:lpwstr>
  </property>
  <property fmtid="{D5CDD505-2E9C-101B-9397-08002B2CF9AE}" pid="3" name="ContentTypeId">
    <vt:lpwstr>0x0101002D38C5239C7AD241AEBCE7A5605A517A</vt:lpwstr>
  </property>
</Properties>
</file>