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B6927AF" w14:textId="77777777" w:rsidR="0094553F" w:rsidRPr="00B8164B" w:rsidRDefault="0094553F">
      <w:pPr>
        <w:rPr>
          <w:sz w:val="32"/>
          <w:szCs w:val="32"/>
        </w:rPr>
      </w:pPr>
    </w:p>
    <w:p w14:paraId="75BCFE56" w14:textId="70948361" w:rsidR="008778C0" w:rsidRPr="00B8164B" w:rsidRDefault="00B8164B">
      <w:pPr>
        <w:rPr>
          <w:rFonts w:ascii="Arial" w:hAnsi="Arial" w:cs="Arial"/>
          <w:sz w:val="72"/>
          <w:szCs w:val="72"/>
        </w:rPr>
      </w:pPr>
      <w:r w:rsidRPr="00B8164B">
        <w:rPr>
          <w:rFonts w:ascii="Arial" w:hAnsi="Arial" w:cs="Arial"/>
          <w:sz w:val="72"/>
          <w:szCs w:val="72"/>
        </w:rPr>
        <w:t xml:space="preserve">ASSIGNMENT TITLE: </w:t>
      </w:r>
      <w:r w:rsidRPr="00B8164B">
        <w:rPr>
          <w:rFonts w:ascii="Arial" w:hAnsi="Arial" w:cs="Arial"/>
          <w:b/>
          <w:sz w:val="72"/>
          <w:szCs w:val="72"/>
        </w:rPr>
        <w:t xml:space="preserve">Bibliography &amp; </w:t>
      </w:r>
      <w:r>
        <w:rPr>
          <w:rFonts w:ascii="Arial" w:hAnsi="Arial" w:cs="Arial"/>
          <w:b/>
          <w:sz w:val="72"/>
          <w:szCs w:val="72"/>
        </w:rPr>
        <w:t>R</w:t>
      </w:r>
      <w:r w:rsidRPr="00B8164B">
        <w:rPr>
          <w:rFonts w:ascii="Arial" w:hAnsi="Arial" w:cs="Arial"/>
          <w:b/>
          <w:sz w:val="72"/>
          <w:szCs w:val="72"/>
        </w:rPr>
        <w:t>eport</w:t>
      </w:r>
    </w:p>
    <w:p w14:paraId="3D6AB817" w14:textId="6223AB0D" w:rsidR="00B8164B" w:rsidRPr="00B8164B" w:rsidRDefault="00B8164B">
      <w:pPr>
        <w:rPr>
          <w:rFonts w:ascii="Arial" w:hAnsi="Arial" w:cs="Arial"/>
          <w:sz w:val="72"/>
          <w:szCs w:val="72"/>
        </w:rPr>
      </w:pPr>
      <w:r w:rsidRPr="00B8164B">
        <w:rPr>
          <w:rFonts w:ascii="Arial" w:hAnsi="Arial" w:cs="Arial"/>
          <w:sz w:val="72"/>
          <w:szCs w:val="72"/>
        </w:rPr>
        <w:t>NAME: MARYAM BANO</w:t>
      </w:r>
    </w:p>
    <w:p w14:paraId="7D31E413" w14:textId="091C8BDA" w:rsidR="00B8164B" w:rsidRPr="00B8164B" w:rsidRDefault="00B8164B">
      <w:pPr>
        <w:rPr>
          <w:rFonts w:ascii="Arial" w:hAnsi="Arial" w:cs="Arial"/>
          <w:sz w:val="72"/>
          <w:szCs w:val="72"/>
        </w:rPr>
      </w:pPr>
      <w:r w:rsidRPr="00B8164B">
        <w:rPr>
          <w:rFonts w:ascii="Arial" w:hAnsi="Arial" w:cs="Arial"/>
          <w:sz w:val="72"/>
          <w:szCs w:val="72"/>
        </w:rPr>
        <w:t>STUDENT NUMBER: 2432283</w:t>
      </w:r>
    </w:p>
    <w:p w14:paraId="0FB4A8B9" w14:textId="28C23DE1" w:rsidR="00B8164B" w:rsidRPr="00B8164B" w:rsidRDefault="00B8164B">
      <w:pPr>
        <w:rPr>
          <w:rFonts w:ascii="Arial" w:hAnsi="Arial" w:cs="Arial"/>
          <w:b/>
          <w:bCs/>
          <w:sz w:val="72"/>
          <w:szCs w:val="72"/>
        </w:rPr>
      </w:pPr>
      <w:r w:rsidRPr="00B8164B">
        <w:rPr>
          <w:rFonts w:ascii="Arial" w:hAnsi="Arial" w:cs="Arial"/>
          <w:sz w:val="72"/>
          <w:szCs w:val="72"/>
        </w:rPr>
        <w:t xml:space="preserve">MODULE: </w:t>
      </w:r>
      <w:r w:rsidRPr="00B8164B">
        <w:rPr>
          <w:rFonts w:ascii="Arial" w:hAnsi="Arial" w:cs="Arial"/>
          <w:b/>
          <w:bCs/>
          <w:sz w:val="72"/>
          <w:szCs w:val="72"/>
        </w:rPr>
        <w:t>Psychology in Health &amp; Social Care</w:t>
      </w:r>
    </w:p>
    <w:p w14:paraId="2816E028" w14:textId="7509FEDF" w:rsidR="00B8164B" w:rsidRPr="00B8164B" w:rsidRDefault="00B8164B">
      <w:pPr>
        <w:rPr>
          <w:rFonts w:ascii="Arial" w:hAnsi="Arial" w:cs="Arial"/>
          <w:sz w:val="72"/>
          <w:szCs w:val="72"/>
        </w:rPr>
      </w:pPr>
      <w:r w:rsidRPr="00B8164B">
        <w:rPr>
          <w:rFonts w:ascii="Arial" w:hAnsi="Arial" w:cs="Arial"/>
          <w:sz w:val="72"/>
          <w:szCs w:val="72"/>
        </w:rPr>
        <w:t>MODULE CODE: LCHS4010</w:t>
      </w:r>
    </w:p>
    <w:p w14:paraId="68345C93" w14:textId="5860D7D1" w:rsidR="00B8164B" w:rsidRPr="00B8164B" w:rsidRDefault="00B8164B">
      <w:pPr>
        <w:rPr>
          <w:rFonts w:ascii="Arial" w:hAnsi="Arial" w:cs="Arial"/>
          <w:sz w:val="72"/>
          <w:szCs w:val="72"/>
        </w:rPr>
      </w:pPr>
      <w:r w:rsidRPr="00B8164B">
        <w:rPr>
          <w:rFonts w:ascii="Arial" w:hAnsi="Arial" w:cs="Arial"/>
          <w:sz w:val="72"/>
          <w:szCs w:val="72"/>
        </w:rPr>
        <w:t>LECTURERS NAME: ALICE CLAYTON</w:t>
      </w:r>
    </w:p>
    <w:p w14:paraId="4568D470" w14:textId="77777777" w:rsidR="008778C0" w:rsidRPr="00B8164B" w:rsidRDefault="008778C0">
      <w:pPr>
        <w:rPr>
          <w:sz w:val="72"/>
          <w:szCs w:val="72"/>
        </w:rPr>
      </w:pPr>
    </w:p>
    <w:p w14:paraId="0BCD176E" w14:textId="77777777" w:rsidR="00B8164B" w:rsidRDefault="00B8164B" w:rsidP="008778C0"/>
    <w:p w14:paraId="7F1FB874" w14:textId="2C45C616" w:rsidR="003D643A" w:rsidRPr="00B8164B" w:rsidRDefault="003D643A" w:rsidP="008778C0">
      <w:pPr>
        <w:rPr>
          <w:rFonts w:ascii="Arial" w:hAnsi="Arial" w:cs="Arial"/>
          <w:sz w:val="22"/>
          <w:szCs w:val="22"/>
        </w:rPr>
      </w:pPr>
      <w:r w:rsidRPr="00B8164B">
        <w:rPr>
          <w:rFonts w:ascii="Arial" w:hAnsi="Arial" w:cs="Arial"/>
          <w:sz w:val="22"/>
          <w:szCs w:val="22"/>
        </w:rPr>
        <w:t>PART A: Bibliography</w:t>
      </w:r>
    </w:p>
    <w:p w14:paraId="321A7679" w14:textId="7EF4352B" w:rsidR="008778C0" w:rsidRPr="00B8164B" w:rsidRDefault="008778C0" w:rsidP="008778C0">
      <w:pPr>
        <w:rPr>
          <w:rFonts w:ascii="Arial" w:hAnsi="Arial" w:cs="Arial"/>
          <w:sz w:val="22"/>
          <w:szCs w:val="22"/>
        </w:rPr>
      </w:pPr>
      <w:r w:rsidRPr="00B8164B">
        <w:rPr>
          <w:rFonts w:ascii="Arial" w:hAnsi="Arial" w:cs="Arial"/>
          <w:sz w:val="22"/>
          <w:szCs w:val="22"/>
        </w:rPr>
        <w:t>Source 1</w:t>
      </w:r>
    </w:p>
    <w:p w14:paraId="782BBD6F" w14:textId="5C95C61F" w:rsidR="008778C0" w:rsidRPr="008778C0" w:rsidRDefault="008778C0" w:rsidP="008778C0">
      <w:pPr>
        <w:rPr>
          <w:rFonts w:ascii="Arial" w:hAnsi="Arial" w:cs="Arial"/>
          <w:sz w:val="22"/>
          <w:szCs w:val="22"/>
        </w:rPr>
      </w:pPr>
      <w:r w:rsidRPr="008778C0">
        <w:rPr>
          <w:rFonts w:ascii="Arial" w:hAnsi="Arial" w:cs="Arial"/>
          <w:sz w:val="22"/>
          <w:szCs w:val="22"/>
        </w:rPr>
        <w:t>Reference:</w:t>
      </w:r>
      <w:r w:rsidRPr="00B8164B">
        <w:rPr>
          <w:rFonts w:ascii="Arial" w:hAnsi="Arial" w:cs="Arial"/>
          <w:sz w:val="22"/>
          <w:szCs w:val="22"/>
        </w:rPr>
        <w:t xml:space="preserve"> </w:t>
      </w:r>
      <w:r w:rsidRPr="008778C0">
        <w:rPr>
          <w:rFonts w:ascii="Arial" w:hAnsi="Arial" w:cs="Arial"/>
          <w:sz w:val="22"/>
          <w:szCs w:val="22"/>
        </w:rPr>
        <w:t>Dezutter, J., Toussaint, L. and Dewitte, L. (2020) ‘Finding a balance between integrity and despair: A challenging task for older adults in residential care’, Journal of Adult Development, 27(2), pp. 147–156.</w:t>
      </w:r>
    </w:p>
    <w:p w14:paraId="01FC955D" w14:textId="0C1161D2" w:rsidR="008778C0" w:rsidRPr="008778C0" w:rsidRDefault="008778C0" w:rsidP="008778C0">
      <w:pPr>
        <w:rPr>
          <w:rFonts w:ascii="Arial" w:hAnsi="Arial" w:cs="Arial"/>
          <w:sz w:val="22"/>
          <w:szCs w:val="22"/>
        </w:rPr>
      </w:pPr>
      <w:r w:rsidRPr="008778C0">
        <w:rPr>
          <w:rFonts w:ascii="Arial" w:hAnsi="Arial" w:cs="Arial"/>
          <w:sz w:val="22"/>
          <w:szCs w:val="22"/>
        </w:rPr>
        <w:t>Summary:</w:t>
      </w:r>
      <w:r w:rsidRPr="00B8164B">
        <w:rPr>
          <w:rFonts w:ascii="Arial" w:hAnsi="Arial" w:cs="Arial"/>
          <w:sz w:val="22"/>
          <w:szCs w:val="22"/>
        </w:rPr>
        <w:t xml:space="preserve"> </w:t>
      </w:r>
      <w:r w:rsidRPr="008778C0">
        <w:rPr>
          <w:rFonts w:ascii="Arial" w:hAnsi="Arial" w:cs="Arial"/>
          <w:sz w:val="22"/>
          <w:szCs w:val="22"/>
        </w:rPr>
        <w:t>This article looks at Erikson’s psychosocial theory, especially the stage of integrity versus despair in older age. It explains how older adults often reflect on their past and life experiences. The study shows that people who accept their life and feel satisfied are more likely to feel peaceful and emotionally stable. On the other hand, those who focus on regrets may feel unhappy or develop low mood. The article focuses on people living in care settings, showing how their environment can affect these feelings.</w:t>
      </w:r>
    </w:p>
    <w:p w14:paraId="1CF76821" w14:textId="38E7D5B3" w:rsidR="008778C0" w:rsidRPr="008778C0" w:rsidRDefault="008778C0" w:rsidP="008778C0">
      <w:pPr>
        <w:rPr>
          <w:rFonts w:ascii="Arial" w:hAnsi="Arial" w:cs="Arial"/>
          <w:sz w:val="22"/>
          <w:szCs w:val="22"/>
        </w:rPr>
      </w:pPr>
      <w:r w:rsidRPr="008778C0">
        <w:rPr>
          <w:rFonts w:ascii="Arial" w:hAnsi="Arial" w:cs="Arial"/>
          <w:sz w:val="22"/>
          <w:szCs w:val="22"/>
        </w:rPr>
        <w:t>Critical comment:</w:t>
      </w:r>
      <w:r w:rsidRPr="00B8164B">
        <w:rPr>
          <w:rFonts w:ascii="Arial" w:hAnsi="Arial" w:cs="Arial"/>
          <w:sz w:val="22"/>
          <w:szCs w:val="22"/>
        </w:rPr>
        <w:t xml:space="preserve"> </w:t>
      </w:r>
      <w:r w:rsidRPr="008778C0">
        <w:rPr>
          <w:rFonts w:ascii="Arial" w:hAnsi="Arial" w:cs="Arial"/>
          <w:sz w:val="22"/>
          <w:szCs w:val="22"/>
        </w:rPr>
        <w:t>This source is very useful in health and social care because it helps staff understand the emotional needs of older people. For example, activities like talking about memories can help people feel more positive about their life. A strength of this study is that it is based in real care settings, so it is practical. However, it may not apply to everyone, as people from different backgrounds may think about their life in different ways.</w:t>
      </w:r>
    </w:p>
    <w:p w14:paraId="5A626ED0" w14:textId="77777777" w:rsidR="008778C0" w:rsidRPr="008778C0" w:rsidRDefault="008778C0" w:rsidP="008778C0">
      <w:pPr>
        <w:rPr>
          <w:rFonts w:ascii="Arial" w:hAnsi="Arial" w:cs="Arial"/>
          <w:sz w:val="22"/>
          <w:szCs w:val="22"/>
        </w:rPr>
      </w:pPr>
      <w:r w:rsidRPr="008778C0">
        <w:rPr>
          <w:rFonts w:ascii="Arial" w:hAnsi="Arial" w:cs="Arial"/>
          <w:sz w:val="22"/>
          <w:szCs w:val="22"/>
        </w:rPr>
        <w:t>Source 2</w:t>
      </w:r>
    </w:p>
    <w:p w14:paraId="37A9CC57" w14:textId="1C139E95" w:rsidR="008778C0" w:rsidRPr="008778C0" w:rsidRDefault="008778C0" w:rsidP="008778C0">
      <w:pPr>
        <w:rPr>
          <w:rFonts w:ascii="Arial" w:hAnsi="Arial" w:cs="Arial"/>
          <w:sz w:val="22"/>
          <w:szCs w:val="22"/>
        </w:rPr>
      </w:pPr>
      <w:r w:rsidRPr="008778C0">
        <w:rPr>
          <w:rFonts w:ascii="Arial" w:hAnsi="Arial" w:cs="Arial"/>
          <w:sz w:val="22"/>
          <w:szCs w:val="22"/>
        </w:rPr>
        <w:t>Reference:</w:t>
      </w:r>
      <w:r w:rsidRPr="00B8164B">
        <w:rPr>
          <w:rFonts w:ascii="Arial" w:hAnsi="Arial" w:cs="Arial"/>
          <w:sz w:val="22"/>
          <w:szCs w:val="22"/>
        </w:rPr>
        <w:t xml:space="preserve"> </w:t>
      </w:r>
      <w:r w:rsidRPr="008778C0">
        <w:rPr>
          <w:rFonts w:ascii="Arial" w:hAnsi="Arial" w:cs="Arial"/>
          <w:sz w:val="22"/>
          <w:szCs w:val="22"/>
        </w:rPr>
        <w:t>Erber, J.T. (2013) ‘Social interaction and social ties’, in Aging and older adulthood. Wiley-Blackwell, pp. 265–297.</w:t>
      </w:r>
    </w:p>
    <w:p w14:paraId="0E69B27F" w14:textId="16C5F903" w:rsidR="008778C0" w:rsidRPr="008778C0" w:rsidRDefault="008778C0" w:rsidP="008778C0">
      <w:pPr>
        <w:rPr>
          <w:rFonts w:ascii="Arial" w:hAnsi="Arial" w:cs="Arial"/>
          <w:sz w:val="22"/>
          <w:szCs w:val="22"/>
        </w:rPr>
      </w:pPr>
      <w:r w:rsidRPr="008778C0">
        <w:rPr>
          <w:rFonts w:ascii="Arial" w:hAnsi="Arial" w:cs="Arial"/>
          <w:sz w:val="22"/>
          <w:szCs w:val="22"/>
        </w:rPr>
        <w:t>Summary:</w:t>
      </w:r>
      <w:r w:rsidRPr="00B8164B">
        <w:rPr>
          <w:rFonts w:ascii="Arial" w:hAnsi="Arial" w:cs="Arial"/>
          <w:sz w:val="22"/>
          <w:szCs w:val="22"/>
        </w:rPr>
        <w:t xml:space="preserve"> </w:t>
      </w:r>
      <w:r w:rsidRPr="008778C0">
        <w:rPr>
          <w:rFonts w:ascii="Arial" w:hAnsi="Arial" w:cs="Arial"/>
          <w:sz w:val="22"/>
          <w:szCs w:val="22"/>
        </w:rPr>
        <w:t>This chapter explains Activity theory and how staying active can improve wellbeing in older adults. It says that when people get older and stop working, they can lose important roles in life. To replace this, they should stay involved in activities like social groups, hobbies, or volunteering. Doing this helps them feel useful and keeps their self-esteem high. The chapter also mentions disengagement theory, which suggests that stepping away from society is a normal part of ageing, but this idea is less supported.</w:t>
      </w:r>
    </w:p>
    <w:p w14:paraId="52A8EBA5" w14:textId="367EFC92" w:rsidR="008778C0" w:rsidRPr="008778C0" w:rsidRDefault="008778C0" w:rsidP="008778C0">
      <w:pPr>
        <w:rPr>
          <w:rFonts w:ascii="Arial" w:hAnsi="Arial" w:cs="Arial"/>
          <w:sz w:val="22"/>
          <w:szCs w:val="22"/>
        </w:rPr>
      </w:pPr>
      <w:r w:rsidRPr="008778C0">
        <w:rPr>
          <w:rFonts w:ascii="Arial" w:hAnsi="Arial" w:cs="Arial"/>
          <w:sz w:val="22"/>
          <w:szCs w:val="22"/>
        </w:rPr>
        <w:t>Critical comment:</w:t>
      </w:r>
      <w:r w:rsidRPr="00B8164B">
        <w:rPr>
          <w:rFonts w:ascii="Arial" w:hAnsi="Arial" w:cs="Arial"/>
          <w:sz w:val="22"/>
          <w:szCs w:val="22"/>
        </w:rPr>
        <w:t xml:space="preserve"> </w:t>
      </w:r>
      <w:r w:rsidRPr="008778C0">
        <w:rPr>
          <w:rFonts w:ascii="Arial" w:hAnsi="Arial" w:cs="Arial"/>
          <w:sz w:val="22"/>
          <w:szCs w:val="22"/>
        </w:rPr>
        <w:t>This source is important because it shows how keeping older people active can improve their mental health and reduce loneliness. Health and social care workers can use this by encouraging social activities in care homes or communities. A strength is that it clearly links activity to wellbeing. However, a limitation is that not all older adults are able to stay active, especially those with illnesses or mobility problems.</w:t>
      </w:r>
    </w:p>
    <w:p w14:paraId="356509C9" w14:textId="77777777" w:rsidR="008778C0" w:rsidRPr="008778C0" w:rsidRDefault="008778C0" w:rsidP="008778C0">
      <w:pPr>
        <w:rPr>
          <w:rFonts w:ascii="Arial" w:hAnsi="Arial" w:cs="Arial"/>
          <w:sz w:val="22"/>
          <w:szCs w:val="22"/>
        </w:rPr>
      </w:pPr>
      <w:r w:rsidRPr="008778C0">
        <w:rPr>
          <w:rFonts w:ascii="Arial" w:hAnsi="Arial" w:cs="Arial"/>
          <w:sz w:val="22"/>
          <w:szCs w:val="22"/>
        </w:rPr>
        <w:t>Source 3</w:t>
      </w:r>
    </w:p>
    <w:p w14:paraId="12FDD057" w14:textId="6FA835D8" w:rsidR="008778C0" w:rsidRPr="008778C0" w:rsidRDefault="008778C0" w:rsidP="008778C0">
      <w:pPr>
        <w:rPr>
          <w:rFonts w:ascii="Arial" w:hAnsi="Arial" w:cs="Arial"/>
          <w:sz w:val="22"/>
          <w:szCs w:val="22"/>
        </w:rPr>
      </w:pPr>
      <w:r w:rsidRPr="008778C0">
        <w:rPr>
          <w:rFonts w:ascii="Arial" w:hAnsi="Arial" w:cs="Arial"/>
          <w:sz w:val="22"/>
          <w:szCs w:val="22"/>
        </w:rPr>
        <w:t>Reference:</w:t>
      </w:r>
      <w:r w:rsidRPr="00B8164B">
        <w:rPr>
          <w:rFonts w:ascii="Arial" w:hAnsi="Arial" w:cs="Arial"/>
          <w:sz w:val="22"/>
          <w:szCs w:val="22"/>
        </w:rPr>
        <w:t xml:space="preserve"> </w:t>
      </w:r>
      <w:r w:rsidRPr="008778C0">
        <w:rPr>
          <w:rFonts w:ascii="Arial" w:hAnsi="Arial" w:cs="Arial"/>
          <w:sz w:val="22"/>
          <w:szCs w:val="22"/>
        </w:rPr>
        <w:t>Perez-Blasco, J., Sales, A., Meléndez, J.C. and Mayordomo, T. (2016) ‘The effects of mindfulness and self-compassion on improving the capacity to adapt to stress situations in elderly people living in the community’, Clinical Gerontologist, 39(2), pp. 90–103.</w:t>
      </w:r>
    </w:p>
    <w:p w14:paraId="454F50A1" w14:textId="5820A9FA" w:rsidR="008778C0" w:rsidRPr="008778C0" w:rsidRDefault="008778C0" w:rsidP="008778C0">
      <w:pPr>
        <w:rPr>
          <w:rFonts w:ascii="Arial" w:hAnsi="Arial" w:cs="Arial"/>
          <w:sz w:val="22"/>
          <w:szCs w:val="22"/>
        </w:rPr>
      </w:pPr>
      <w:r w:rsidRPr="008778C0">
        <w:rPr>
          <w:rFonts w:ascii="Arial" w:hAnsi="Arial" w:cs="Arial"/>
          <w:sz w:val="22"/>
          <w:szCs w:val="22"/>
        </w:rPr>
        <w:t>Summary:</w:t>
      </w:r>
      <w:r w:rsidRPr="00B8164B">
        <w:rPr>
          <w:rFonts w:ascii="Arial" w:hAnsi="Arial" w:cs="Arial"/>
          <w:sz w:val="22"/>
          <w:szCs w:val="22"/>
        </w:rPr>
        <w:t xml:space="preserve"> </w:t>
      </w:r>
      <w:r w:rsidRPr="008778C0">
        <w:rPr>
          <w:rFonts w:ascii="Arial" w:hAnsi="Arial" w:cs="Arial"/>
          <w:sz w:val="22"/>
          <w:szCs w:val="22"/>
        </w:rPr>
        <w:t>This study links to Resilience and looks at how older adults deal with stress. It focuses on mindfulness and self-compassion and how these can help people stay calm and cope better with difficult situations. The results show that older adults who practiced these techniques were better at managing their emotions and felt less stressed. This helped improve their overall wellbeing and ability to handle challenges in daily life.</w:t>
      </w:r>
    </w:p>
    <w:p w14:paraId="1CFA35B3" w14:textId="0CCAE359" w:rsidR="008778C0" w:rsidRPr="008778C0" w:rsidRDefault="008778C0" w:rsidP="008778C0">
      <w:pPr>
        <w:rPr>
          <w:rFonts w:ascii="Arial" w:hAnsi="Arial" w:cs="Arial"/>
          <w:sz w:val="22"/>
          <w:szCs w:val="22"/>
        </w:rPr>
      </w:pPr>
      <w:r w:rsidRPr="008778C0">
        <w:rPr>
          <w:rFonts w:ascii="Arial" w:hAnsi="Arial" w:cs="Arial"/>
          <w:sz w:val="22"/>
          <w:szCs w:val="22"/>
        </w:rPr>
        <w:t>Critical comment:</w:t>
      </w:r>
      <w:r w:rsidRPr="00B8164B">
        <w:rPr>
          <w:rFonts w:ascii="Arial" w:hAnsi="Arial" w:cs="Arial"/>
          <w:sz w:val="22"/>
          <w:szCs w:val="22"/>
        </w:rPr>
        <w:t xml:space="preserve"> </w:t>
      </w:r>
      <w:r w:rsidRPr="008778C0">
        <w:rPr>
          <w:rFonts w:ascii="Arial" w:hAnsi="Arial" w:cs="Arial"/>
          <w:sz w:val="22"/>
          <w:szCs w:val="22"/>
        </w:rPr>
        <w:t>This source is useful because it gives practical ways to support mental health in older adults. For example, simple relaxation or mindfulness activities could be used in care settings. A strength is that it is based on research evidence, making it more reliable.</w:t>
      </w:r>
      <w:r w:rsidR="003D643A" w:rsidRPr="00B8164B">
        <w:rPr>
          <w:rFonts w:ascii="Arial" w:hAnsi="Arial" w:cs="Arial"/>
          <w:sz w:val="22"/>
          <w:szCs w:val="22"/>
        </w:rPr>
        <w:t xml:space="preserve"> </w:t>
      </w:r>
      <w:r w:rsidRPr="008778C0">
        <w:rPr>
          <w:rFonts w:ascii="Arial" w:hAnsi="Arial" w:cs="Arial"/>
          <w:sz w:val="22"/>
          <w:szCs w:val="22"/>
        </w:rPr>
        <w:t>However, not all older adults may be interested in or able to take part in mindfulness, especially if they have memory problems or find it difficult to concentrate.</w:t>
      </w:r>
    </w:p>
    <w:p w14:paraId="45EADC8F" w14:textId="77777777" w:rsidR="008778C0" w:rsidRPr="008778C0" w:rsidRDefault="008778C0" w:rsidP="008778C0">
      <w:pPr>
        <w:rPr>
          <w:rFonts w:ascii="Arial" w:hAnsi="Arial" w:cs="Arial"/>
          <w:sz w:val="22"/>
          <w:szCs w:val="22"/>
        </w:rPr>
      </w:pPr>
      <w:r w:rsidRPr="008778C0">
        <w:rPr>
          <w:rFonts w:ascii="Arial" w:hAnsi="Arial" w:cs="Arial"/>
          <w:sz w:val="22"/>
          <w:szCs w:val="22"/>
        </w:rPr>
        <w:t>Source 4</w:t>
      </w:r>
    </w:p>
    <w:p w14:paraId="482A5B27" w14:textId="02E5D65C" w:rsidR="003D643A" w:rsidRPr="00B8164B" w:rsidRDefault="008778C0" w:rsidP="008778C0">
      <w:pPr>
        <w:rPr>
          <w:rFonts w:ascii="Arial" w:hAnsi="Arial" w:cs="Arial"/>
          <w:sz w:val="22"/>
          <w:szCs w:val="22"/>
        </w:rPr>
      </w:pPr>
      <w:r w:rsidRPr="008778C0">
        <w:rPr>
          <w:rFonts w:ascii="Arial" w:hAnsi="Arial" w:cs="Arial"/>
          <w:sz w:val="22"/>
          <w:szCs w:val="22"/>
        </w:rPr>
        <w:t>Reference:</w:t>
      </w:r>
      <w:r w:rsidRPr="00B8164B">
        <w:rPr>
          <w:rFonts w:ascii="Arial" w:hAnsi="Arial" w:cs="Arial"/>
          <w:sz w:val="22"/>
          <w:szCs w:val="22"/>
        </w:rPr>
        <w:t xml:space="preserve"> </w:t>
      </w:r>
      <w:r w:rsidRPr="008778C0">
        <w:rPr>
          <w:rFonts w:ascii="Arial" w:hAnsi="Arial" w:cs="Arial"/>
          <w:sz w:val="22"/>
          <w:szCs w:val="22"/>
        </w:rPr>
        <w:t>Stuart-Hamilton, I. (2012) ‘Measuring intellectual change in later life’, in The</w:t>
      </w:r>
      <w:r w:rsidR="003D643A" w:rsidRPr="00B8164B">
        <w:rPr>
          <w:rFonts w:ascii="Arial" w:hAnsi="Arial" w:cs="Arial"/>
          <w:sz w:val="22"/>
          <w:szCs w:val="22"/>
        </w:rPr>
        <w:t xml:space="preserve">  </w:t>
      </w:r>
      <w:r w:rsidRPr="008778C0">
        <w:rPr>
          <w:rFonts w:ascii="Arial" w:hAnsi="Arial" w:cs="Arial"/>
          <w:sz w:val="22"/>
          <w:szCs w:val="22"/>
        </w:rPr>
        <w:t xml:space="preserve"> psychology of ageing: An introduction. Jessica Kingsley Publishers, pp. 54–114.</w:t>
      </w:r>
    </w:p>
    <w:p w14:paraId="3A727CC7" w14:textId="428374F3" w:rsidR="008778C0" w:rsidRPr="008778C0" w:rsidRDefault="008778C0" w:rsidP="008778C0">
      <w:pPr>
        <w:rPr>
          <w:rFonts w:ascii="Arial" w:hAnsi="Arial" w:cs="Arial"/>
          <w:sz w:val="22"/>
          <w:szCs w:val="22"/>
        </w:rPr>
      </w:pPr>
      <w:r w:rsidRPr="008778C0">
        <w:rPr>
          <w:rFonts w:ascii="Arial" w:hAnsi="Arial" w:cs="Arial"/>
          <w:sz w:val="22"/>
          <w:szCs w:val="22"/>
        </w:rPr>
        <w:t>Summary:</w:t>
      </w:r>
      <w:r w:rsidRPr="00B8164B">
        <w:rPr>
          <w:rFonts w:ascii="Arial" w:hAnsi="Arial" w:cs="Arial"/>
          <w:sz w:val="22"/>
          <w:szCs w:val="22"/>
        </w:rPr>
        <w:t xml:space="preserve"> </w:t>
      </w:r>
      <w:r w:rsidRPr="008778C0">
        <w:rPr>
          <w:rFonts w:ascii="Arial" w:hAnsi="Arial" w:cs="Arial"/>
          <w:sz w:val="22"/>
          <w:szCs w:val="22"/>
        </w:rPr>
        <w:t>This chapter looks at how thinking and memory change as people get older. It explains that some abilities, like reaction time or short-term memory, may become weaker. However, other abilities such as knowledge and life experience can stay the same or even improve. The author explains that ageing is not just about decline, but also about strengths that older people still have.</w:t>
      </w:r>
    </w:p>
    <w:p w14:paraId="7A444CB9" w14:textId="0D0AAE78" w:rsidR="008778C0" w:rsidRPr="00B8164B" w:rsidRDefault="008778C0">
      <w:pPr>
        <w:rPr>
          <w:rFonts w:ascii="Arial" w:hAnsi="Arial" w:cs="Arial"/>
          <w:sz w:val="22"/>
          <w:szCs w:val="22"/>
        </w:rPr>
      </w:pPr>
      <w:r w:rsidRPr="008778C0">
        <w:rPr>
          <w:rFonts w:ascii="Arial" w:hAnsi="Arial" w:cs="Arial"/>
          <w:sz w:val="22"/>
          <w:szCs w:val="22"/>
        </w:rPr>
        <w:t>Critical comment:</w:t>
      </w:r>
      <w:r w:rsidRPr="00B8164B">
        <w:rPr>
          <w:rFonts w:ascii="Arial" w:hAnsi="Arial" w:cs="Arial"/>
          <w:sz w:val="22"/>
          <w:szCs w:val="22"/>
        </w:rPr>
        <w:t xml:space="preserve"> </w:t>
      </w:r>
      <w:r w:rsidRPr="008778C0">
        <w:rPr>
          <w:rFonts w:ascii="Arial" w:hAnsi="Arial" w:cs="Arial"/>
          <w:sz w:val="22"/>
          <w:szCs w:val="22"/>
        </w:rPr>
        <w:t>This source is helpful because it gives a balanced view of ageing, which is important in health and social care. It reminds professionals to focus on what older people can still do, not just what they have lost. This can help provide more respectful and person-centred care. A strength is that it challenges negative stereotypes about ageing. However, it is quite general and does not give many specific examples of how to apply this in real care settings.</w:t>
      </w:r>
    </w:p>
    <w:p w14:paraId="56B644EC" w14:textId="77777777" w:rsidR="003D643A" w:rsidRPr="00B8164B" w:rsidRDefault="003D643A">
      <w:pPr>
        <w:rPr>
          <w:rFonts w:ascii="Arial" w:hAnsi="Arial" w:cs="Arial"/>
          <w:sz w:val="22"/>
          <w:szCs w:val="22"/>
        </w:rPr>
      </w:pPr>
    </w:p>
    <w:p w14:paraId="086D520E" w14:textId="3836D6EE" w:rsidR="003D643A" w:rsidRPr="00B8164B" w:rsidRDefault="003D643A">
      <w:pPr>
        <w:rPr>
          <w:rFonts w:ascii="Arial" w:hAnsi="Arial" w:cs="Arial"/>
          <w:sz w:val="22"/>
          <w:szCs w:val="22"/>
        </w:rPr>
      </w:pPr>
      <w:r w:rsidRPr="00B8164B">
        <w:rPr>
          <w:rFonts w:ascii="Arial" w:hAnsi="Arial" w:cs="Arial"/>
          <w:sz w:val="22"/>
          <w:szCs w:val="22"/>
        </w:rPr>
        <w:t>PART B: Short Report</w:t>
      </w:r>
    </w:p>
    <w:p w14:paraId="55EA8349" w14:textId="77777777" w:rsidR="003A5CD5" w:rsidRPr="003A5CD5" w:rsidRDefault="003A5CD5" w:rsidP="003A5CD5">
      <w:pPr>
        <w:rPr>
          <w:rFonts w:ascii="Arial" w:hAnsi="Arial" w:cs="Arial"/>
          <w:sz w:val="22"/>
          <w:szCs w:val="22"/>
        </w:rPr>
      </w:pPr>
      <w:r w:rsidRPr="003A5CD5">
        <w:rPr>
          <w:rFonts w:ascii="Arial" w:hAnsi="Arial" w:cs="Arial"/>
          <w:sz w:val="22"/>
          <w:szCs w:val="22"/>
        </w:rPr>
        <w:t>Introduction</w:t>
      </w:r>
    </w:p>
    <w:p w14:paraId="20BB69FA" w14:textId="75160BB7" w:rsidR="003A5CD5" w:rsidRPr="003A5CD5" w:rsidRDefault="003A5CD5" w:rsidP="003A5CD5">
      <w:pPr>
        <w:rPr>
          <w:rFonts w:ascii="Arial" w:hAnsi="Arial" w:cs="Arial"/>
          <w:sz w:val="22"/>
          <w:szCs w:val="22"/>
        </w:rPr>
      </w:pPr>
      <w:r w:rsidRPr="003A5CD5">
        <w:rPr>
          <w:rFonts w:ascii="Arial" w:hAnsi="Arial" w:cs="Arial"/>
          <w:sz w:val="22"/>
          <w:szCs w:val="22"/>
        </w:rPr>
        <w:t>This report will explore how psychological theories can help professionals support older adults in a care home setting. It will focus on Erikson’s psychosocial theory, which explains emotional development in later life</w:t>
      </w:r>
      <w:r w:rsidR="002532F7">
        <w:rPr>
          <w:rFonts w:ascii="Arial" w:hAnsi="Arial" w:cs="Arial"/>
          <w:sz w:val="22"/>
          <w:szCs w:val="22"/>
        </w:rPr>
        <w:t xml:space="preserve"> (Dezutter, Toussaint and Dewitte, 2020).</w:t>
      </w:r>
      <w:r w:rsidRPr="003A5CD5">
        <w:rPr>
          <w:rFonts w:ascii="Arial" w:hAnsi="Arial" w:cs="Arial"/>
          <w:sz w:val="22"/>
          <w:szCs w:val="22"/>
        </w:rPr>
        <w:t xml:space="preserve"> This theory is useful because it helps care workers understand how older people feel about their lives and experiences. The report will explain the theory, show how it can be applied in practice, and discuss its benefits and challenges.</w:t>
      </w:r>
    </w:p>
    <w:p w14:paraId="50DD6938" w14:textId="77777777" w:rsidR="003A5CD5" w:rsidRPr="003A5CD5" w:rsidRDefault="003A5CD5" w:rsidP="003A5CD5">
      <w:pPr>
        <w:rPr>
          <w:rFonts w:ascii="Arial" w:hAnsi="Arial" w:cs="Arial"/>
          <w:sz w:val="22"/>
          <w:szCs w:val="22"/>
        </w:rPr>
      </w:pPr>
      <w:r w:rsidRPr="003A5CD5">
        <w:rPr>
          <w:rFonts w:ascii="Arial" w:hAnsi="Arial" w:cs="Arial"/>
          <w:sz w:val="22"/>
          <w:szCs w:val="22"/>
        </w:rPr>
        <w:t>Explanation of the theory</w:t>
      </w:r>
    </w:p>
    <w:p w14:paraId="591A7B89" w14:textId="77777777" w:rsidR="003A5CD5" w:rsidRPr="003A5CD5" w:rsidRDefault="003A5CD5" w:rsidP="003A5CD5">
      <w:pPr>
        <w:rPr>
          <w:rFonts w:ascii="Arial" w:hAnsi="Arial" w:cs="Arial"/>
          <w:sz w:val="22"/>
          <w:szCs w:val="22"/>
        </w:rPr>
      </w:pPr>
      <w:r w:rsidRPr="003A5CD5">
        <w:rPr>
          <w:rFonts w:ascii="Arial" w:hAnsi="Arial" w:cs="Arial"/>
          <w:sz w:val="22"/>
          <w:szCs w:val="22"/>
        </w:rPr>
        <w:t>Erikson’s psychosocial theory explains that people go through different stages of development across their life. The final stage, which applies to older adults, is called integrity versus despair. At this stage, individuals reflect on their life and think about their past experiences. If they feel proud and satisfied with their life, they develop a sense of integrity. This leads to feelings of peace, acceptance, and emotional wellbeing.</w:t>
      </w:r>
    </w:p>
    <w:p w14:paraId="680209B7" w14:textId="77777777" w:rsidR="003A5CD5" w:rsidRPr="003A5CD5" w:rsidRDefault="003A5CD5" w:rsidP="003A5CD5">
      <w:pPr>
        <w:rPr>
          <w:rFonts w:ascii="Arial" w:hAnsi="Arial" w:cs="Arial"/>
          <w:sz w:val="22"/>
          <w:szCs w:val="22"/>
        </w:rPr>
      </w:pPr>
      <w:r w:rsidRPr="003A5CD5">
        <w:rPr>
          <w:rFonts w:ascii="Arial" w:hAnsi="Arial" w:cs="Arial"/>
          <w:sz w:val="22"/>
          <w:szCs w:val="22"/>
        </w:rPr>
        <w:t>However, if individuals feel regret or believe they have made poor choices, they may experience despair. This can lead to sadness, anxiety, or even depression. This stage is important because it affects how older adults feel about themselves and their life overall. The theory shows that emotional support is just as important as physical care in later life.</w:t>
      </w:r>
    </w:p>
    <w:p w14:paraId="313B8E3E" w14:textId="77777777" w:rsidR="003A5CD5" w:rsidRPr="003A5CD5" w:rsidRDefault="003A5CD5" w:rsidP="003A5CD5">
      <w:pPr>
        <w:rPr>
          <w:rFonts w:ascii="Arial" w:hAnsi="Arial" w:cs="Arial"/>
          <w:sz w:val="22"/>
          <w:szCs w:val="22"/>
        </w:rPr>
      </w:pPr>
      <w:r w:rsidRPr="003A5CD5">
        <w:rPr>
          <w:rFonts w:ascii="Arial" w:hAnsi="Arial" w:cs="Arial"/>
          <w:sz w:val="22"/>
          <w:szCs w:val="22"/>
        </w:rPr>
        <w:t>Application of the theory</w:t>
      </w:r>
    </w:p>
    <w:p w14:paraId="54CCB56B" w14:textId="77777777" w:rsidR="003A5CD5" w:rsidRPr="003A5CD5" w:rsidRDefault="003A5CD5" w:rsidP="003A5CD5">
      <w:pPr>
        <w:rPr>
          <w:rFonts w:ascii="Arial" w:hAnsi="Arial" w:cs="Arial"/>
          <w:sz w:val="22"/>
          <w:szCs w:val="22"/>
        </w:rPr>
      </w:pPr>
      <w:r w:rsidRPr="003A5CD5">
        <w:rPr>
          <w:rFonts w:ascii="Arial" w:hAnsi="Arial" w:cs="Arial"/>
          <w:sz w:val="22"/>
          <w:szCs w:val="22"/>
        </w:rPr>
        <w:t>Health and social care professionals can use this theory to better support older adults in care homes. By understanding that many older people reflect on their lives, staff can create opportunities for positive reflection. For example, they can encourage conversations about past achievements, family, and happy memories.</w:t>
      </w:r>
    </w:p>
    <w:p w14:paraId="4C589BFE" w14:textId="0C6E08F6" w:rsidR="003A5CD5" w:rsidRPr="003A5CD5" w:rsidRDefault="003A5CD5" w:rsidP="003A5CD5">
      <w:pPr>
        <w:rPr>
          <w:rFonts w:ascii="Arial" w:hAnsi="Arial" w:cs="Arial"/>
          <w:sz w:val="22"/>
          <w:szCs w:val="22"/>
        </w:rPr>
      </w:pPr>
      <w:r w:rsidRPr="003A5CD5">
        <w:rPr>
          <w:rFonts w:ascii="Arial" w:hAnsi="Arial" w:cs="Arial"/>
          <w:sz w:val="22"/>
          <w:szCs w:val="22"/>
        </w:rPr>
        <w:t>This can be done through activities such as storytelling, memory books, or group discussions. These activities can help older adults feel valued and respected. It also helps professionals understand behaviours, such as sadness or withdrawal, as part of emotional struggles rather than just ageing</w:t>
      </w:r>
      <w:r w:rsidR="00175473">
        <w:rPr>
          <w:rFonts w:ascii="Arial" w:hAnsi="Arial" w:cs="Arial"/>
          <w:sz w:val="22"/>
          <w:szCs w:val="22"/>
        </w:rPr>
        <w:t xml:space="preserve"> (Erber, 2013).</w:t>
      </w:r>
      <w:r w:rsidRPr="003A5CD5">
        <w:rPr>
          <w:rFonts w:ascii="Arial" w:hAnsi="Arial" w:cs="Arial"/>
          <w:sz w:val="22"/>
          <w:szCs w:val="22"/>
        </w:rPr>
        <w:t>. Overall, using this theory can improve emotional wellbeing and help provide more person-centred care.</w:t>
      </w:r>
    </w:p>
    <w:p w14:paraId="7E653C1B" w14:textId="77777777" w:rsidR="003A5CD5" w:rsidRPr="003A5CD5" w:rsidRDefault="003A5CD5" w:rsidP="003A5CD5">
      <w:pPr>
        <w:rPr>
          <w:rFonts w:ascii="Arial" w:hAnsi="Arial" w:cs="Arial"/>
          <w:sz w:val="22"/>
          <w:szCs w:val="22"/>
        </w:rPr>
      </w:pPr>
      <w:r w:rsidRPr="003A5CD5">
        <w:rPr>
          <w:rFonts w:ascii="Arial" w:hAnsi="Arial" w:cs="Arial"/>
          <w:sz w:val="22"/>
          <w:szCs w:val="22"/>
        </w:rPr>
        <w:t>Real-world example</w:t>
      </w:r>
    </w:p>
    <w:p w14:paraId="0CBFDA0A" w14:textId="77777777" w:rsidR="003A5CD5" w:rsidRPr="003A5CD5" w:rsidRDefault="003A5CD5" w:rsidP="003A5CD5">
      <w:pPr>
        <w:rPr>
          <w:rFonts w:ascii="Arial" w:hAnsi="Arial" w:cs="Arial"/>
          <w:sz w:val="22"/>
          <w:szCs w:val="22"/>
        </w:rPr>
      </w:pPr>
      <w:r w:rsidRPr="003A5CD5">
        <w:rPr>
          <w:rFonts w:ascii="Arial" w:hAnsi="Arial" w:cs="Arial"/>
          <w:sz w:val="22"/>
          <w:szCs w:val="22"/>
        </w:rPr>
        <w:t>For example, in a care home, an older woman may often talk about her past and express regret about missed opportunities. A care worker who understands Erikson’s theory would recognise that she may be experiencing despair. Instead of ignoring these feelings, the care worker could support her by encouraging her to talk about positive memories and achievements.</w:t>
      </w:r>
    </w:p>
    <w:p w14:paraId="371C596C" w14:textId="77777777" w:rsidR="003A5CD5" w:rsidRPr="003A5CD5" w:rsidRDefault="003A5CD5" w:rsidP="003A5CD5">
      <w:pPr>
        <w:rPr>
          <w:rFonts w:ascii="Arial" w:hAnsi="Arial" w:cs="Arial"/>
          <w:sz w:val="22"/>
          <w:szCs w:val="22"/>
        </w:rPr>
      </w:pPr>
      <w:r w:rsidRPr="003A5CD5">
        <w:rPr>
          <w:rFonts w:ascii="Arial" w:hAnsi="Arial" w:cs="Arial"/>
          <w:sz w:val="22"/>
          <w:szCs w:val="22"/>
        </w:rPr>
        <w:t>They could help her create a memory book with photos and stories from her life. They might also involve her in group activities where she can share her experiences with others. Over time, this may help her focus more on the positive aspects of her life and feel a greater sense of peace and acceptance.</w:t>
      </w:r>
    </w:p>
    <w:p w14:paraId="559F4904" w14:textId="77777777" w:rsidR="003A5CD5" w:rsidRPr="003A5CD5" w:rsidRDefault="003A5CD5" w:rsidP="003A5CD5">
      <w:pPr>
        <w:rPr>
          <w:rFonts w:ascii="Arial" w:hAnsi="Arial" w:cs="Arial"/>
          <w:sz w:val="22"/>
          <w:szCs w:val="22"/>
        </w:rPr>
      </w:pPr>
      <w:r w:rsidRPr="003A5CD5">
        <w:rPr>
          <w:rFonts w:ascii="Arial" w:hAnsi="Arial" w:cs="Arial"/>
          <w:sz w:val="22"/>
          <w:szCs w:val="22"/>
        </w:rPr>
        <w:t>Challenges</w:t>
      </w:r>
    </w:p>
    <w:p w14:paraId="5AC114EA" w14:textId="6F8EFC74" w:rsidR="003A5CD5" w:rsidRPr="003A5CD5" w:rsidRDefault="003A5CD5" w:rsidP="003A5CD5">
      <w:pPr>
        <w:rPr>
          <w:rFonts w:ascii="Arial" w:hAnsi="Arial" w:cs="Arial"/>
          <w:sz w:val="22"/>
          <w:szCs w:val="22"/>
        </w:rPr>
      </w:pPr>
      <w:r w:rsidRPr="003A5CD5">
        <w:rPr>
          <w:rFonts w:ascii="Arial" w:hAnsi="Arial" w:cs="Arial"/>
          <w:sz w:val="22"/>
          <w:szCs w:val="22"/>
        </w:rPr>
        <w:t>One challenge of using this theory is that not all older adults are willing to talk about their past. Some may find it upsetting or uncomfortable. In addition, individuals with conditions such as dementia may struggle to remember or reflect clearly on their life</w:t>
      </w:r>
      <w:r w:rsidR="006137D1">
        <w:rPr>
          <w:rFonts w:ascii="Arial" w:hAnsi="Arial" w:cs="Arial"/>
          <w:sz w:val="22"/>
          <w:szCs w:val="22"/>
        </w:rPr>
        <w:t xml:space="preserve"> (Stuart-Hamilton, 2012).</w:t>
      </w:r>
    </w:p>
    <w:p w14:paraId="3C4C3584" w14:textId="1D20B3D3" w:rsidR="003A5CD5" w:rsidRPr="003A5CD5" w:rsidRDefault="003A5CD5" w:rsidP="003A5CD5">
      <w:pPr>
        <w:rPr>
          <w:rFonts w:ascii="Arial" w:hAnsi="Arial" w:cs="Arial"/>
          <w:sz w:val="22"/>
          <w:szCs w:val="22"/>
        </w:rPr>
      </w:pPr>
      <w:r w:rsidRPr="003A5CD5">
        <w:rPr>
          <w:rFonts w:ascii="Arial" w:hAnsi="Arial" w:cs="Arial"/>
          <w:sz w:val="22"/>
          <w:szCs w:val="22"/>
        </w:rPr>
        <w:t>Another limitation is that the theory is quite general and does not consider cultural differences. People from different backgrounds may view their life and experiences in different ways. This means professionals need to adapt their approach to suit each individual</w:t>
      </w:r>
      <w:r w:rsidR="007D005C">
        <w:rPr>
          <w:rFonts w:ascii="Arial" w:hAnsi="Arial" w:cs="Arial"/>
          <w:sz w:val="22"/>
          <w:szCs w:val="22"/>
        </w:rPr>
        <w:t xml:space="preserve"> </w:t>
      </w:r>
      <w:r w:rsidR="00EA55DF" w:rsidRPr="00EA55DF">
        <w:rPr>
          <w:rFonts w:ascii="Arial" w:hAnsi="Arial" w:cs="Arial"/>
          <w:sz w:val="22"/>
          <w:szCs w:val="22"/>
        </w:rPr>
        <w:t>(Perez-Blasco et al., 2016).</w:t>
      </w:r>
    </w:p>
    <w:p w14:paraId="52ADE0FE" w14:textId="77777777" w:rsidR="003A5CD5" w:rsidRPr="003A5CD5" w:rsidRDefault="003A5CD5" w:rsidP="003A5CD5">
      <w:pPr>
        <w:rPr>
          <w:rFonts w:ascii="Arial" w:hAnsi="Arial" w:cs="Arial"/>
          <w:sz w:val="22"/>
          <w:szCs w:val="22"/>
        </w:rPr>
      </w:pPr>
      <w:r w:rsidRPr="003A5CD5">
        <w:rPr>
          <w:rFonts w:ascii="Arial" w:hAnsi="Arial" w:cs="Arial"/>
          <w:sz w:val="22"/>
          <w:szCs w:val="22"/>
        </w:rPr>
        <w:t>Conclusion</w:t>
      </w:r>
    </w:p>
    <w:p w14:paraId="739D5A85" w14:textId="27D6C924" w:rsidR="003A5CD5" w:rsidRDefault="003A5CD5" w:rsidP="003A5CD5">
      <w:pPr>
        <w:rPr>
          <w:rFonts w:ascii="Arial" w:hAnsi="Arial" w:cs="Arial"/>
          <w:sz w:val="22"/>
          <w:szCs w:val="22"/>
        </w:rPr>
      </w:pPr>
      <w:r w:rsidRPr="003A5CD5">
        <w:rPr>
          <w:rFonts w:ascii="Arial" w:hAnsi="Arial" w:cs="Arial"/>
          <w:sz w:val="22"/>
          <w:szCs w:val="22"/>
        </w:rPr>
        <w:t>In conclusion, Erikson’s psychosocial theory is useful for understanding the emotional needs of older adults. It shows the importance of helping individuals feel satisfied with their life</w:t>
      </w:r>
      <w:r w:rsidR="003602D9" w:rsidRPr="00B8164B">
        <w:rPr>
          <w:rFonts w:ascii="Arial" w:hAnsi="Arial" w:cs="Arial"/>
          <w:sz w:val="22"/>
          <w:szCs w:val="22"/>
        </w:rPr>
        <w:t xml:space="preserve"> in order</w:t>
      </w:r>
      <w:r w:rsidRPr="003A5CD5">
        <w:rPr>
          <w:rFonts w:ascii="Arial" w:hAnsi="Arial" w:cs="Arial"/>
          <w:sz w:val="22"/>
          <w:szCs w:val="22"/>
        </w:rPr>
        <w:t xml:space="preserve"> </w:t>
      </w:r>
      <w:r w:rsidR="003602D9" w:rsidRPr="00B8164B">
        <w:rPr>
          <w:rFonts w:ascii="Arial" w:hAnsi="Arial" w:cs="Arial"/>
          <w:sz w:val="22"/>
          <w:szCs w:val="22"/>
        </w:rPr>
        <w:t>to</w:t>
      </w:r>
      <w:r w:rsidRPr="003A5CD5">
        <w:rPr>
          <w:rFonts w:ascii="Arial" w:hAnsi="Arial" w:cs="Arial"/>
          <w:sz w:val="22"/>
          <w:szCs w:val="22"/>
        </w:rPr>
        <w:t xml:space="preserve"> improve wellbeing. Although there are some challenges, the theory can support more person-centred care when used carefully. Overall, it highlights that emotional support is just as important as physical care in health and social care settings.</w:t>
      </w:r>
    </w:p>
    <w:p w14:paraId="1F92CBD1" w14:textId="3AB6E55C" w:rsidR="000601B4" w:rsidRDefault="000601B4" w:rsidP="003A5CD5">
      <w:pPr>
        <w:rPr>
          <w:rFonts w:ascii="Arial" w:hAnsi="Arial" w:cs="Arial"/>
          <w:sz w:val="22"/>
          <w:szCs w:val="22"/>
        </w:rPr>
      </w:pPr>
      <w:r>
        <w:rPr>
          <w:rFonts w:ascii="Arial" w:hAnsi="Arial" w:cs="Arial"/>
          <w:sz w:val="22"/>
          <w:szCs w:val="22"/>
        </w:rPr>
        <w:t>Refrences</w:t>
      </w:r>
    </w:p>
    <w:p w14:paraId="18C1F03E" w14:textId="1B731AC2" w:rsidR="001F697D" w:rsidRDefault="001F697D" w:rsidP="003A5CD5">
      <w:pPr>
        <w:rPr>
          <w:rFonts w:ascii="Arial" w:hAnsi="Arial" w:cs="Arial"/>
          <w:sz w:val="22"/>
          <w:szCs w:val="22"/>
        </w:rPr>
      </w:pPr>
      <w:r>
        <w:rPr>
          <w:rFonts w:ascii="Arial" w:hAnsi="Arial" w:cs="Arial"/>
          <w:sz w:val="22"/>
          <w:szCs w:val="22"/>
        </w:rPr>
        <w:t>Dezutter, J., Toussaint, L. And Dewitte, L. (2020) ‘Finding a balance between integrity and despair: A challenging task for older adults in residential care’, Journal of Adult Development, 27(2), pp. 147–156.</w:t>
      </w:r>
    </w:p>
    <w:p w14:paraId="632A4321" w14:textId="77777777" w:rsidR="001F697D" w:rsidRDefault="001F697D" w:rsidP="003A5CD5">
      <w:pPr>
        <w:rPr>
          <w:rFonts w:ascii="Arial" w:hAnsi="Arial" w:cs="Arial"/>
          <w:sz w:val="22"/>
          <w:szCs w:val="22"/>
        </w:rPr>
      </w:pPr>
      <w:r>
        <w:rPr>
          <w:rFonts w:ascii="Arial" w:hAnsi="Arial" w:cs="Arial"/>
          <w:sz w:val="22"/>
          <w:szCs w:val="22"/>
        </w:rPr>
        <w:t>Erber, J.T. (2013) ‘Social interaction and social ties’, in Aging and older adulthood. Oxford: Wiley-Blackwell, pp. 265–297.</w:t>
      </w:r>
    </w:p>
    <w:p w14:paraId="2179500B" w14:textId="77777777" w:rsidR="001F697D" w:rsidRDefault="001F697D" w:rsidP="003A5CD5">
      <w:pPr>
        <w:rPr>
          <w:rFonts w:ascii="Arial" w:hAnsi="Arial" w:cs="Arial"/>
          <w:sz w:val="22"/>
          <w:szCs w:val="22"/>
        </w:rPr>
      </w:pPr>
      <w:r>
        <w:rPr>
          <w:rFonts w:ascii="Arial" w:hAnsi="Arial" w:cs="Arial"/>
          <w:sz w:val="22"/>
          <w:szCs w:val="22"/>
        </w:rPr>
        <w:t>Stuart-Hamilton, I. (2012) ‘Measuring intellectual change in later life’, in The psychology of ageing: An introduction. London: Jessica Kingsley Publishers, pp. 54–114.</w:t>
      </w:r>
    </w:p>
    <w:p w14:paraId="07DF99E0" w14:textId="281EEBD6" w:rsidR="00567AE9" w:rsidRPr="00B8164B" w:rsidRDefault="00567AE9" w:rsidP="003A5CD5">
      <w:pPr>
        <w:rPr>
          <w:rFonts w:ascii="Arial" w:hAnsi="Arial" w:cs="Arial"/>
          <w:sz w:val="22"/>
          <w:szCs w:val="22"/>
        </w:rPr>
      </w:pPr>
      <w:r>
        <w:rPr>
          <w:rFonts w:ascii="Arial" w:hAnsi="Arial" w:cs="Arial"/>
          <w:sz w:val="22"/>
          <w:szCs w:val="22"/>
        </w:rPr>
        <w:t>Perez-Blasco, J., Sales, A., Meléndez, J.C. and Mayordomo, T. (2016) ‘The effects of mindfulness and self-compassion on improving the capacity to adapt to stress situations in elderly people living in the community’, Clinical Gerontologist, 39(2), pp. 90–103.</w:t>
      </w:r>
    </w:p>
    <w:p w14:paraId="5B0FEA53" w14:textId="718A1F1D" w:rsidR="0076603F" w:rsidRPr="00B8164B" w:rsidRDefault="0076603F" w:rsidP="003A5CD5">
      <w:pPr>
        <w:rPr>
          <w:rFonts w:ascii="Arial" w:hAnsi="Arial" w:cs="Arial"/>
          <w:sz w:val="22"/>
          <w:szCs w:val="22"/>
        </w:rPr>
      </w:pPr>
    </w:p>
    <w:sectPr w:rsidR="0076603F" w:rsidRPr="00B8164B">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panose1 w:val="020B0004020202020204"/>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web"/>
  <w:zoom w:percent="45"/>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778C0"/>
    <w:rsid w:val="000601B4"/>
    <w:rsid w:val="00175473"/>
    <w:rsid w:val="001E0233"/>
    <w:rsid w:val="001F697D"/>
    <w:rsid w:val="0025112A"/>
    <w:rsid w:val="002532F7"/>
    <w:rsid w:val="003602D9"/>
    <w:rsid w:val="003A5CD5"/>
    <w:rsid w:val="003D643A"/>
    <w:rsid w:val="00567AE9"/>
    <w:rsid w:val="006137D1"/>
    <w:rsid w:val="0076603F"/>
    <w:rsid w:val="007D005C"/>
    <w:rsid w:val="008778C0"/>
    <w:rsid w:val="0094553F"/>
    <w:rsid w:val="00962A43"/>
    <w:rsid w:val="009D7B49"/>
    <w:rsid w:val="00B8164B"/>
    <w:rsid w:val="00BC7CBC"/>
    <w:rsid w:val="00CA6B34"/>
    <w:rsid w:val="00DF2469"/>
    <w:rsid w:val="00E115B2"/>
    <w:rsid w:val="00EA55DF"/>
    <w:rsid w:val="00FF678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5781301"/>
  <w15:chartTrackingRefBased/>
  <w15:docId w15:val="{5E2E99D1-D1F4-4860-B53E-48A9135BC38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8778C0"/>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8778C0"/>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8778C0"/>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8778C0"/>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8778C0"/>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8778C0"/>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8778C0"/>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8778C0"/>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8778C0"/>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778C0"/>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8778C0"/>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8778C0"/>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8778C0"/>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8778C0"/>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8778C0"/>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8778C0"/>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8778C0"/>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8778C0"/>
    <w:rPr>
      <w:rFonts w:eastAsiaTheme="majorEastAsia" w:cstheme="majorBidi"/>
      <w:color w:val="272727" w:themeColor="text1" w:themeTint="D8"/>
    </w:rPr>
  </w:style>
  <w:style w:type="paragraph" w:styleId="Title">
    <w:name w:val="Title"/>
    <w:basedOn w:val="Normal"/>
    <w:next w:val="Normal"/>
    <w:link w:val="TitleChar"/>
    <w:uiPriority w:val="10"/>
    <w:qFormat/>
    <w:rsid w:val="008778C0"/>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8778C0"/>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8778C0"/>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8778C0"/>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8778C0"/>
    <w:pPr>
      <w:spacing w:before="160"/>
      <w:jc w:val="center"/>
    </w:pPr>
    <w:rPr>
      <w:i/>
      <w:iCs/>
      <w:color w:val="404040" w:themeColor="text1" w:themeTint="BF"/>
    </w:rPr>
  </w:style>
  <w:style w:type="character" w:customStyle="1" w:styleId="QuoteChar">
    <w:name w:val="Quote Char"/>
    <w:basedOn w:val="DefaultParagraphFont"/>
    <w:link w:val="Quote"/>
    <w:uiPriority w:val="29"/>
    <w:rsid w:val="008778C0"/>
    <w:rPr>
      <w:i/>
      <w:iCs/>
      <w:color w:val="404040" w:themeColor="text1" w:themeTint="BF"/>
    </w:rPr>
  </w:style>
  <w:style w:type="paragraph" w:styleId="ListParagraph">
    <w:name w:val="List Paragraph"/>
    <w:basedOn w:val="Normal"/>
    <w:uiPriority w:val="34"/>
    <w:qFormat/>
    <w:rsid w:val="008778C0"/>
    <w:pPr>
      <w:ind w:left="720"/>
      <w:contextualSpacing/>
    </w:pPr>
  </w:style>
  <w:style w:type="character" w:styleId="IntenseEmphasis">
    <w:name w:val="Intense Emphasis"/>
    <w:basedOn w:val="DefaultParagraphFont"/>
    <w:uiPriority w:val="21"/>
    <w:qFormat/>
    <w:rsid w:val="008778C0"/>
    <w:rPr>
      <w:i/>
      <w:iCs/>
      <w:color w:val="0F4761" w:themeColor="accent1" w:themeShade="BF"/>
    </w:rPr>
  </w:style>
  <w:style w:type="paragraph" w:styleId="IntenseQuote">
    <w:name w:val="Intense Quote"/>
    <w:basedOn w:val="Normal"/>
    <w:next w:val="Normal"/>
    <w:link w:val="IntenseQuoteChar"/>
    <w:uiPriority w:val="30"/>
    <w:qFormat/>
    <w:rsid w:val="008778C0"/>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8778C0"/>
    <w:rPr>
      <w:i/>
      <w:iCs/>
      <w:color w:val="0F4761" w:themeColor="accent1" w:themeShade="BF"/>
    </w:rPr>
  </w:style>
  <w:style w:type="character" w:styleId="IntenseReference">
    <w:name w:val="Intense Reference"/>
    <w:basedOn w:val="DefaultParagraphFont"/>
    <w:uiPriority w:val="32"/>
    <w:qFormat/>
    <w:rsid w:val="008778C0"/>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 /><Relationship Id="rId3" Type="http://schemas.openxmlformats.org/officeDocument/2006/relationships/customXml" Target="../customXml/item3.xml" /><Relationship Id="rId7" Type="http://schemas.openxmlformats.org/officeDocument/2006/relationships/fontTable" Target="fontTable.xml" /><Relationship Id="rId2" Type="http://schemas.openxmlformats.org/officeDocument/2006/relationships/customXml" Target="../customXml/item2.xml" /><Relationship Id="rId1" Type="http://schemas.openxmlformats.org/officeDocument/2006/relationships/customXml" Target="../customXml/item1.xml" /><Relationship Id="rId6" Type="http://schemas.openxmlformats.org/officeDocument/2006/relationships/webSettings" Target="webSettings.xml" /><Relationship Id="rId5" Type="http://schemas.openxmlformats.org/officeDocument/2006/relationships/settings" Target="settings.xml" /><Relationship Id="rId4"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 /></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 /></Relationships>
</file>

<file path=customXml/item1.xml><?xml version="1.0" encoding="utf-8"?>
<p:properties xmlns:p="http://schemas.microsoft.com/office/2006/metadata/properties" xmlns:xsi="http://www.w3.org/2001/XMLSchema-instance" xmlns:pc="http://schemas.microsoft.com/office/infopath/2007/PartnerControls">
  <documentManagement>
    <_activity xmlns="f799553d-1ac0-48da-9ae3-fe400ced9c3b"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CA43605AFCE4AD44AFD2866DE116F034" ma:contentTypeVersion="5" ma:contentTypeDescription="Create a new document." ma:contentTypeScope="" ma:versionID="059415a53cbb4d0b4606741da894c511">
  <xsd:schema xmlns:xsd="http://www.w3.org/2001/XMLSchema" xmlns:xs="http://www.w3.org/2001/XMLSchema" xmlns:p="http://schemas.microsoft.com/office/2006/metadata/properties" xmlns:ns3="f799553d-1ac0-48da-9ae3-fe400ced9c3b" targetNamespace="http://schemas.microsoft.com/office/2006/metadata/properties" ma:root="true" ma:fieldsID="49ba284f630c4a61118145cfe5abe65d" ns3:_="">
    <xsd:import namespace="f799553d-1ac0-48da-9ae3-fe400ced9c3b"/>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element ref="ns3: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799553d-1ac0-48da-9ae3-fe400ced9c3b"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_activity" ma:index="12" nillable="true" ma:displayName="_activity" ma:hidden="true" ma:internalName="_activity">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04C400F9-3EDC-4DD2-9977-04C38A4080FB}">
  <ds:schemaRefs>
    <ds:schemaRef ds:uri="http://schemas.microsoft.com/office/2006/metadata/properties"/>
    <ds:schemaRef ds:uri="http://www.w3.org/2000/xmlns/"/>
    <ds:schemaRef ds:uri="f799553d-1ac0-48da-9ae3-fe400ced9c3b"/>
    <ds:schemaRef ds:uri="http://www.w3.org/2001/XMLSchema-instance"/>
  </ds:schemaRefs>
</ds:datastoreItem>
</file>

<file path=customXml/itemProps2.xml><?xml version="1.0" encoding="utf-8"?>
<ds:datastoreItem xmlns:ds="http://schemas.openxmlformats.org/officeDocument/2006/customXml" ds:itemID="{9DBE6762-A85C-4862-88AE-4E23BCC5875B}">
  <ds:schemaRefs>
    <ds:schemaRef ds:uri="http://schemas.microsoft.com/sharepoint/v3/contenttype/forms"/>
  </ds:schemaRefs>
</ds:datastoreItem>
</file>

<file path=customXml/itemProps3.xml><?xml version="1.0" encoding="utf-8"?>
<ds:datastoreItem xmlns:ds="http://schemas.openxmlformats.org/officeDocument/2006/customXml" ds:itemID="{D5646D86-EC57-4B4B-A286-364A9F47E8D8}">
  <ds:schemaRefs>
    <ds:schemaRef ds:uri="http://schemas.microsoft.com/office/2006/metadata/contentType"/>
    <ds:schemaRef ds:uri="http://schemas.microsoft.com/office/2006/metadata/properties/metaAttributes"/>
    <ds:schemaRef ds:uri="http://www.w3.org/2000/xmlns/"/>
    <ds:schemaRef ds:uri="http://www.w3.org/2001/XMLSchema"/>
    <ds:schemaRef ds:uri="f799553d-1ac0-48da-9ae3-fe400ced9c3b"/>
  </ds:schemaRefs>
</ds:datastoreItem>
</file>

<file path=docProps/app.xml><?xml version="1.0" encoding="utf-8"?>
<Properties xmlns="http://schemas.openxmlformats.org/officeDocument/2006/extended-properties" xmlns:vt="http://schemas.openxmlformats.org/officeDocument/2006/docPropsVTypes">
  <Template>Normal</Template>
  <TotalTime>68</TotalTime>
  <Pages>1</Pages>
  <Words>1396</Words>
  <Characters>7962</Characters>
  <Application>Microsoft Office Word</Application>
  <DocSecurity>0</DocSecurity>
  <Lines>66</Lines>
  <Paragraphs>18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9340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Maryam Bano (2432283)</dc:creator>
  <cp:keywords/>
  <dc:description/>
  <cp:lastModifiedBy>Maryam Bano</cp:lastModifiedBy>
  <cp:revision>15</cp:revision>
  <dcterms:created xsi:type="dcterms:W3CDTF">2026-03-18T21:18:00Z</dcterms:created>
  <dcterms:modified xsi:type="dcterms:W3CDTF">2026-03-19T10:15:00Z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0x010100CA43605AFCE4AD44AFD2866DE116F034</vt:lpwstr>
  </property>
</Properties>
</file>