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B7756" w14:textId="35B2AD55" w:rsidR="0083383E" w:rsidRPr="0083383E" w:rsidRDefault="00212B17" w:rsidP="00A91882">
      <w:pPr>
        <w:pStyle w:val="Normal1"/>
        <w:spacing w:line="360" w:lineRule="auto"/>
        <w:jc w:val="center"/>
        <w:rPr>
          <w:rFonts w:ascii="Times New Roman" w:eastAsia="Times New Roman" w:hAnsi="Times New Roman" w:cs="Times New Roman"/>
          <w:b/>
          <w:sz w:val="32"/>
          <w:szCs w:val="32"/>
          <w:lang w:val="en-GB"/>
        </w:rPr>
      </w:pPr>
      <w:r>
        <w:rPr>
          <w:noProof/>
        </w:rPr>
        <w:drawing>
          <wp:inline distT="0" distB="0" distL="0" distR="0" wp14:anchorId="22B06322" wp14:editId="63D7CD3E">
            <wp:extent cx="2529236" cy="1001920"/>
            <wp:effectExtent l="0" t="0" r="0" b="1905"/>
            <wp:docPr id="157247385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73858" name="Picture 1" descr="A close up of black text&#10;&#10;Description automatically generated"/>
                    <pic:cNvPicPr/>
                  </pic:nvPicPr>
                  <pic:blipFill>
                    <a:blip r:embed="rId8"/>
                    <a:stretch>
                      <a:fillRect/>
                    </a:stretch>
                  </pic:blipFill>
                  <pic:spPr>
                    <a:xfrm>
                      <a:off x="0" y="0"/>
                      <a:ext cx="2548530" cy="1009563"/>
                    </a:xfrm>
                    <a:prstGeom prst="rect">
                      <a:avLst/>
                    </a:prstGeom>
                  </pic:spPr>
                </pic:pic>
              </a:graphicData>
            </a:graphic>
          </wp:inline>
        </w:drawing>
      </w:r>
    </w:p>
    <w:p w14:paraId="43CE0D96" w14:textId="77777777" w:rsidR="0083383E" w:rsidRPr="0083383E" w:rsidRDefault="0083383E" w:rsidP="00A91882">
      <w:pPr>
        <w:pStyle w:val="Normal1"/>
        <w:spacing w:line="360" w:lineRule="auto"/>
        <w:jc w:val="center"/>
        <w:rPr>
          <w:rFonts w:ascii="Times New Roman" w:eastAsia="Times New Roman" w:hAnsi="Times New Roman" w:cs="Times New Roman"/>
          <w:b/>
          <w:sz w:val="32"/>
          <w:szCs w:val="32"/>
          <w:lang w:val="en-GB"/>
        </w:rPr>
      </w:pPr>
    </w:p>
    <w:p w14:paraId="52EC0A2F" w14:textId="77777777" w:rsidR="0083383E" w:rsidRPr="0083383E" w:rsidRDefault="0083383E" w:rsidP="00A91882">
      <w:pPr>
        <w:pStyle w:val="Normal1"/>
        <w:spacing w:line="360" w:lineRule="auto"/>
        <w:jc w:val="center"/>
        <w:rPr>
          <w:rFonts w:ascii="Times New Roman" w:eastAsia="Times New Roman" w:hAnsi="Times New Roman" w:cs="Times New Roman"/>
          <w:b/>
          <w:sz w:val="32"/>
          <w:szCs w:val="32"/>
          <w:lang w:val="en-GB"/>
        </w:rPr>
      </w:pPr>
    </w:p>
    <w:p w14:paraId="444F8CFC" w14:textId="77777777" w:rsidR="0083383E" w:rsidRPr="0083383E" w:rsidRDefault="0083383E" w:rsidP="00A91882">
      <w:pPr>
        <w:pStyle w:val="Normal1"/>
        <w:spacing w:line="360" w:lineRule="auto"/>
        <w:jc w:val="center"/>
        <w:rPr>
          <w:rFonts w:ascii="Times New Roman" w:eastAsia="Times New Roman" w:hAnsi="Times New Roman" w:cs="Times New Roman"/>
          <w:b/>
          <w:sz w:val="32"/>
          <w:szCs w:val="32"/>
          <w:lang w:val="en-GB"/>
        </w:rPr>
      </w:pPr>
    </w:p>
    <w:p w14:paraId="3AE06634" w14:textId="77777777" w:rsidR="0083383E" w:rsidRDefault="0083383E" w:rsidP="00A91882">
      <w:pPr>
        <w:pStyle w:val="Normal1"/>
        <w:spacing w:line="360" w:lineRule="auto"/>
        <w:jc w:val="center"/>
        <w:rPr>
          <w:rFonts w:ascii="Times New Roman" w:eastAsia="Times New Roman" w:hAnsi="Times New Roman" w:cs="Times New Roman"/>
          <w:b/>
          <w:sz w:val="32"/>
          <w:szCs w:val="32"/>
          <w:lang w:val="en-GB"/>
        </w:rPr>
      </w:pPr>
    </w:p>
    <w:p w14:paraId="7B6A4870" w14:textId="77777777" w:rsidR="00001086" w:rsidRDefault="00001086" w:rsidP="00E36D2C">
      <w:pPr>
        <w:pStyle w:val="Normal1"/>
        <w:spacing w:line="360" w:lineRule="auto"/>
        <w:rPr>
          <w:rFonts w:ascii="Times New Roman" w:eastAsia="Times New Roman" w:hAnsi="Times New Roman" w:cs="Times New Roman"/>
          <w:b/>
          <w:sz w:val="32"/>
          <w:szCs w:val="32"/>
          <w:lang w:val="en-GB"/>
        </w:rPr>
      </w:pPr>
    </w:p>
    <w:p w14:paraId="75BB730A" w14:textId="77777777" w:rsidR="00001086" w:rsidRPr="0083383E" w:rsidRDefault="00001086" w:rsidP="00A91882">
      <w:pPr>
        <w:pStyle w:val="Normal1"/>
        <w:spacing w:line="360" w:lineRule="auto"/>
        <w:jc w:val="center"/>
        <w:rPr>
          <w:rFonts w:ascii="Times New Roman" w:eastAsia="Times New Roman" w:hAnsi="Times New Roman" w:cs="Times New Roman"/>
          <w:b/>
          <w:sz w:val="32"/>
          <w:szCs w:val="32"/>
          <w:lang w:val="en-GB"/>
        </w:rPr>
      </w:pPr>
    </w:p>
    <w:p w14:paraId="4DBDBDBE" w14:textId="77777777" w:rsidR="0083383E" w:rsidRPr="0083383E" w:rsidRDefault="0083383E" w:rsidP="00A91882">
      <w:pPr>
        <w:pStyle w:val="Normal1"/>
        <w:spacing w:line="360" w:lineRule="auto"/>
        <w:jc w:val="center"/>
        <w:rPr>
          <w:rFonts w:ascii="Times New Roman" w:eastAsia="Times New Roman" w:hAnsi="Times New Roman" w:cs="Times New Roman"/>
          <w:b/>
          <w:sz w:val="32"/>
          <w:szCs w:val="32"/>
          <w:lang w:val="en-GB"/>
        </w:rPr>
      </w:pPr>
    </w:p>
    <w:p w14:paraId="03250E99" w14:textId="77777777" w:rsidR="0083383E" w:rsidRPr="0083383E" w:rsidRDefault="0083383E" w:rsidP="00A91882">
      <w:pPr>
        <w:pStyle w:val="Normal1"/>
        <w:spacing w:line="360" w:lineRule="auto"/>
        <w:jc w:val="center"/>
        <w:rPr>
          <w:rFonts w:ascii="Times New Roman" w:eastAsia="Times New Roman" w:hAnsi="Times New Roman" w:cs="Times New Roman"/>
          <w:b/>
          <w:sz w:val="32"/>
          <w:szCs w:val="32"/>
          <w:lang w:val="en-GB"/>
        </w:rPr>
      </w:pPr>
    </w:p>
    <w:p w14:paraId="3FADBEA0" w14:textId="77777777" w:rsidR="00A57F4B" w:rsidRPr="0083383E" w:rsidRDefault="002F24DE" w:rsidP="00A91882">
      <w:pPr>
        <w:pStyle w:val="Normal1"/>
        <w:spacing w:line="360" w:lineRule="auto"/>
        <w:jc w:val="center"/>
        <w:rPr>
          <w:rFonts w:ascii="Times New Roman" w:eastAsia="Times New Roman" w:hAnsi="Times New Roman" w:cs="Times New Roman"/>
          <w:b/>
          <w:sz w:val="32"/>
          <w:szCs w:val="32"/>
          <w:lang w:val="en-GB"/>
        </w:rPr>
      </w:pPr>
      <w:r w:rsidRPr="0083383E">
        <w:rPr>
          <w:rFonts w:ascii="Times New Roman" w:eastAsia="Times New Roman" w:hAnsi="Times New Roman" w:cs="Times New Roman"/>
          <w:b/>
          <w:sz w:val="32"/>
          <w:szCs w:val="32"/>
          <w:lang w:val="en-GB"/>
        </w:rPr>
        <w:t>ENTREPRENEURSHIP</w:t>
      </w:r>
    </w:p>
    <w:p w14:paraId="0776DF11" w14:textId="5505D80B" w:rsidR="0083383E" w:rsidRPr="0083383E" w:rsidRDefault="004325FD" w:rsidP="00A91882">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Assignment 1</w:t>
      </w:r>
    </w:p>
    <w:p w14:paraId="7658389C" w14:textId="77777777" w:rsidR="0083383E" w:rsidRDefault="0083383E" w:rsidP="00A91882">
      <w:pPr>
        <w:pStyle w:val="Normal1"/>
        <w:spacing w:line="360" w:lineRule="auto"/>
        <w:jc w:val="center"/>
        <w:rPr>
          <w:rFonts w:ascii="Times New Roman" w:eastAsia="Times New Roman" w:hAnsi="Times New Roman" w:cs="Times New Roman"/>
          <w:b/>
          <w:sz w:val="28"/>
          <w:szCs w:val="28"/>
          <w:lang w:val="en-GB"/>
        </w:rPr>
      </w:pPr>
    </w:p>
    <w:p w14:paraId="5153B329" w14:textId="77777777" w:rsidR="004325FD" w:rsidRDefault="004325FD" w:rsidP="00A91882">
      <w:pPr>
        <w:pStyle w:val="Normal1"/>
        <w:spacing w:line="360" w:lineRule="auto"/>
        <w:jc w:val="center"/>
        <w:rPr>
          <w:rFonts w:ascii="Times New Roman" w:eastAsia="Times New Roman" w:hAnsi="Times New Roman" w:cs="Times New Roman"/>
          <w:b/>
          <w:sz w:val="28"/>
          <w:szCs w:val="28"/>
          <w:lang w:val="en-GB"/>
        </w:rPr>
      </w:pPr>
    </w:p>
    <w:p w14:paraId="28F04AFC" w14:textId="77777777" w:rsidR="004325FD" w:rsidRDefault="004325FD" w:rsidP="00A91882">
      <w:pPr>
        <w:pStyle w:val="Normal1"/>
        <w:spacing w:line="360" w:lineRule="auto"/>
        <w:jc w:val="center"/>
        <w:rPr>
          <w:rFonts w:ascii="Times New Roman" w:eastAsia="Times New Roman" w:hAnsi="Times New Roman" w:cs="Times New Roman"/>
          <w:b/>
          <w:sz w:val="28"/>
          <w:szCs w:val="28"/>
          <w:lang w:val="en-GB"/>
        </w:rPr>
      </w:pPr>
    </w:p>
    <w:p w14:paraId="3DD45045" w14:textId="77777777" w:rsidR="004325FD" w:rsidRDefault="004325FD" w:rsidP="00A91882">
      <w:pPr>
        <w:pStyle w:val="Normal1"/>
        <w:spacing w:line="360" w:lineRule="auto"/>
        <w:jc w:val="center"/>
        <w:rPr>
          <w:rFonts w:ascii="Times New Roman" w:eastAsia="Times New Roman" w:hAnsi="Times New Roman" w:cs="Times New Roman"/>
          <w:b/>
          <w:sz w:val="28"/>
          <w:szCs w:val="28"/>
          <w:lang w:val="en-GB"/>
        </w:rPr>
      </w:pPr>
    </w:p>
    <w:p w14:paraId="7953846B" w14:textId="77777777" w:rsidR="004325FD" w:rsidRPr="0083383E" w:rsidRDefault="004325FD" w:rsidP="00A91882">
      <w:pPr>
        <w:pStyle w:val="Normal1"/>
        <w:spacing w:line="360" w:lineRule="auto"/>
        <w:jc w:val="center"/>
        <w:rPr>
          <w:rFonts w:ascii="Times New Roman" w:eastAsia="Times New Roman" w:hAnsi="Times New Roman" w:cs="Times New Roman"/>
          <w:b/>
          <w:sz w:val="28"/>
          <w:szCs w:val="28"/>
          <w:lang w:val="en-GB"/>
        </w:rPr>
      </w:pPr>
    </w:p>
    <w:p w14:paraId="3180A3AC" w14:textId="77777777" w:rsidR="0083383E" w:rsidRPr="0083383E" w:rsidRDefault="0083383E" w:rsidP="00A91882">
      <w:pPr>
        <w:pStyle w:val="Normal1"/>
        <w:spacing w:line="360" w:lineRule="auto"/>
        <w:jc w:val="center"/>
        <w:rPr>
          <w:rFonts w:ascii="Times New Roman" w:eastAsia="Times New Roman" w:hAnsi="Times New Roman" w:cs="Times New Roman"/>
          <w:b/>
          <w:sz w:val="28"/>
          <w:szCs w:val="28"/>
          <w:lang w:val="en-GB"/>
        </w:rPr>
      </w:pPr>
    </w:p>
    <w:p w14:paraId="5B39A4E7" w14:textId="2002F407" w:rsidR="000667A1" w:rsidRPr="00C66902" w:rsidRDefault="000667A1" w:rsidP="000667A1">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 xml:space="preserve">Module: </w:t>
      </w:r>
      <w:r w:rsidR="009C65E7">
        <w:rPr>
          <w:rFonts w:ascii="Times New Roman" w:hAnsi="Times New Roman" w:cs="Times New Roman"/>
          <w:b/>
          <w:bCs/>
          <w:i/>
          <w:iCs/>
          <w:color w:val="000000" w:themeColor="text1"/>
        </w:rPr>
        <w:t>Entrepreneur</w:t>
      </w:r>
      <w:r w:rsidR="00CF14D0">
        <w:rPr>
          <w:rFonts w:ascii="Times New Roman" w:hAnsi="Times New Roman" w:cs="Times New Roman"/>
          <w:b/>
          <w:bCs/>
          <w:i/>
          <w:iCs/>
          <w:color w:val="000000" w:themeColor="text1"/>
        </w:rPr>
        <w:t>ship</w:t>
      </w:r>
    </w:p>
    <w:p w14:paraId="4D782096" w14:textId="77E669A4" w:rsidR="000667A1" w:rsidRPr="00C66902" w:rsidRDefault="000667A1" w:rsidP="000667A1">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Code: LCBB500</w:t>
      </w:r>
      <w:r>
        <w:rPr>
          <w:rFonts w:ascii="Times New Roman" w:hAnsi="Times New Roman" w:cs="Times New Roman"/>
          <w:b/>
          <w:bCs/>
          <w:i/>
          <w:iCs/>
          <w:color w:val="000000" w:themeColor="text1"/>
        </w:rPr>
        <w:t>1</w:t>
      </w:r>
    </w:p>
    <w:p w14:paraId="1486FF33" w14:textId="4FF8A8A5" w:rsidR="000667A1" w:rsidRPr="00C66902" w:rsidRDefault="000667A1" w:rsidP="000667A1">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 xml:space="preserve">Lecturer:  Dr </w:t>
      </w:r>
      <w:r w:rsidR="00F46F42">
        <w:rPr>
          <w:rFonts w:ascii="Times New Roman" w:hAnsi="Times New Roman" w:cs="Times New Roman"/>
          <w:b/>
          <w:bCs/>
          <w:i/>
          <w:iCs/>
          <w:color w:val="000000" w:themeColor="text1"/>
        </w:rPr>
        <w:t>Nishi</w:t>
      </w:r>
      <w:r w:rsidR="00E8382F">
        <w:rPr>
          <w:rFonts w:ascii="Times New Roman" w:hAnsi="Times New Roman" w:cs="Times New Roman"/>
          <w:b/>
          <w:bCs/>
          <w:i/>
          <w:iCs/>
          <w:color w:val="000000" w:themeColor="text1"/>
        </w:rPr>
        <w:t xml:space="preserve"> Ramsurrun</w:t>
      </w:r>
    </w:p>
    <w:p w14:paraId="19F8FFCD" w14:textId="77777777" w:rsidR="000667A1" w:rsidRPr="00C66902" w:rsidRDefault="000667A1" w:rsidP="000667A1">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Name: Simona Vitelaru</w:t>
      </w:r>
    </w:p>
    <w:p w14:paraId="76D73AE2" w14:textId="77777777" w:rsidR="004325FD" w:rsidRDefault="000667A1" w:rsidP="000667A1">
      <w:pPr>
        <w:spacing w:line="360" w:lineRule="auto"/>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Student ID: 2133624</w:t>
      </w:r>
    </w:p>
    <w:p w14:paraId="2F13BFA6" w14:textId="3F5A3D30" w:rsidR="0083383E" w:rsidRPr="004325FD" w:rsidRDefault="002F24DE" w:rsidP="000667A1">
      <w:pPr>
        <w:spacing w:line="360" w:lineRule="auto"/>
        <w:rPr>
          <w:rFonts w:ascii="Times New Roman" w:hAnsi="Times New Roman" w:cs="Times New Roman"/>
          <w:b/>
          <w:bCs/>
          <w:i/>
          <w:iCs/>
          <w:color w:val="000000" w:themeColor="text1"/>
        </w:rPr>
      </w:pPr>
      <w:r w:rsidRPr="0083383E">
        <w:rPr>
          <w:rFonts w:ascii="Times New Roman" w:eastAsia="Times New Roman" w:hAnsi="Times New Roman" w:cs="Times New Roman"/>
          <w:b/>
          <w:sz w:val="28"/>
          <w:szCs w:val="28"/>
          <w:lang w:val="en-GB"/>
        </w:rPr>
        <w:br w:type="page"/>
      </w:r>
    </w:p>
    <w:p w14:paraId="23AC05B1" w14:textId="77777777" w:rsidR="00A57F4B" w:rsidRDefault="002F24DE" w:rsidP="00A91882">
      <w:pPr>
        <w:pStyle w:val="Normal1"/>
        <w:spacing w:line="360" w:lineRule="auto"/>
        <w:jc w:val="center"/>
        <w:rPr>
          <w:rFonts w:ascii="Times New Roman" w:eastAsia="Times New Roman" w:hAnsi="Times New Roman" w:cs="Times New Roman"/>
          <w:b/>
          <w:sz w:val="28"/>
          <w:szCs w:val="28"/>
          <w:lang w:val="en-GB"/>
        </w:rPr>
      </w:pPr>
      <w:r w:rsidRPr="0083383E">
        <w:rPr>
          <w:rFonts w:ascii="Times New Roman" w:eastAsia="Times New Roman" w:hAnsi="Times New Roman" w:cs="Times New Roman"/>
          <w:b/>
          <w:sz w:val="28"/>
          <w:szCs w:val="28"/>
          <w:lang w:val="en-GB"/>
        </w:rPr>
        <w:lastRenderedPageBreak/>
        <w:t>Executive summary</w:t>
      </w:r>
    </w:p>
    <w:p w14:paraId="7149B06B" w14:textId="77777777" w:rsidR="00675016" w:rsidRPr="0083383E" w:rsidRDefault="00675016" w:rsidP="00A91882">
      <w:pPr>
        <w:pStyle w:val="Normal1"/>
        <w:spacing w:line="360" w:lineRule="auto"/>
        <w:jc w:val="center"/>
        <w:rPr>
          <w:rFonts w:ascii="Times New Roman" w:eastAsia="Times New Roman" w:hAnsi="Times New Roman" w:cs="Times New Roman"/>
          <w:b/>
          <w:sz w:val="28"/>
          <w:szCs w:val="28"/>
          <w:lang w:val="en-GB"/>
        </w:rPr>
      </w:pPr>
    </w:p>
    <w:p w14:paraId="19632E98" w14:textId="77777777" w:rsid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The discussion below mentions the business plan linked to the setting up of the busine</w:t>
      </w:r>
      <w:r w:rsidR="00227FAA">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xml:space="preserve">s venture of </w:t>
      </w:r>
      <w:r w:rsidRPr="0083383E">
        <w:rPr>
          <w:rFonts w:ascii="Times New Roman" w:eastAsia="Times New Roman" w:hAnsi="Times New Roman" w:cs="Times New Roman"/>
          <w:b/>
          <w:sz w:val="24"/>
          <w:szCs w:val="24"/>
          <w:lang w:val="en-GB"/>
        </w:rPr>
        <w:t xml:space="preserve">GreenWave Electronics, Inc. </w:t>
      </w:r>
      <w:r w:rsidRPr="0083383E">
        <w:rPr>
          <w:rFonts w:ascii="Times New Roman" w:eastAsia="Times New Roman" w:hAnsi="Times New Roman" w:cs="Times New Roman"/>
          <w:sz w:val="24"/>
          <w:szCs w:val="24"/>
          <w:lang w:val="en-GB"/>
        </w:rPr>
        <w:t>in the UK. The discussion mentions the mission and the products of the busines</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It also mentions the market-based analysis of the consumer electronics-based market of the UK to be judged suitable for setting up the new business-based venture. Further, it talks about the operations-based plan linked to core principles of business process to be followed by the business along with the marketing plan of the future busine</w:t>
      </w:r>
      <w:r w:rsidR="00227FAA">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s based on discounted offerings of the products. Lastly</w:t>
      </w:r>
      <w:r w:rsidR="00227FAA" w:rsidRPr="0083383E">
        <w:rPr>
          <w:rFonts w:ascii="Times New Roman" w:eastAsia="Times New Roman" w:hAnsi="Times New Roman" w:cs="Times New Roman"/>
          <w:sz w:val="24"/>
          <w:szCs w:val="24"/>
          <w:lang w:val="en-GB"/>
        </w:rPr>
        <w:t>, it</w:t>
      </w:r>
      <w:r w:rsidRPr="0083383E">
        <w:rPr>
          <w:rFonts w:ascii="Times New Roman" w:eastAsia="Times New Roman" w:hAnsi="Times New Roman" w:cs="Times New Roman"/>
          <w:sz w:val="24"/>
          <w:szCs w:val="24"/>
          <w:lang w:val="en-GB"/>
        </w:rPr>
        <w:t xml:space="preserve"> provides the financial plan as expected for the new business in terms of a funds statement and a six-month-based cash budget-oriented analysis followed by a conclusive summary</w:t>
      </w:r>
      <w:r>
        <w:rPr>
          <w:rFonts w:ascii="Times New Roman" w:eastAsia="Times New Roman" w:hAnsi="Times New Roman" w:cs="Times New Roman"/>
          <w:sz w:val="24"/>
          <w:szCs w:val="24"/>
          <w:lang w:val="en-GB"/>
        </w:rPr>
        <w:t>.</w:t>
      </w:r>
    </w:p>
    <w:p w14:paraId="0CFF4827" w14:textId="77777777" w:rsidR="0083383E" w:rsidRDefault="002F24DE" w:rsidP="00A91882">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rPr>
        <w:id w:val="1214473380"/>
        <w:docPartObj>
          <w:docPartGallery w:val="Table of Contents"/>
          <w:docPartUnique/>
        </w:docPartObj>
      </w:sdtPr>
      <w:sdtEndPr/>
      <w:sdtContent>
        <w:p w14:paraId="387FA5DC" w14:textId="77777777" w:rsidR="0083383E" w:rsidRDefault="002578F8" w:rsidP="00A91882">
          <w:pPr>
            <w:pStyle w:val="TOCHeading"/>
            <w:spacing w:line="360" w:lineRule="auto"/>
            <w:jc w:val="center"/>
            <w:rPr>
              <w:rFonts w:ascii="Times New Roman" w:hAnsi="Times New Roman" w:cs="Times New Roman"/>
              <w:i/>
              <w:iCs/>
              <w:color w:val="auto"/>
            </w:rPr>
          </w:pPr>
          <w:r w:rsidRPr="00675016">
            <w:rPr>
              <w:rFonts w:ascii="Times New Roman" w:hAnsi="Times New Roman" w:cs="Times New Roman"/>
              <w:i/>
              <w:iCs/>
              <w:color w:val="auto"/>
            </w:rPr>
            <w:t>Table of C</w:t>
          </w:r>
          <w:r w:rsidR="002F24DE" w:rsidRPr="00675016">
            <w:rPr>
              <w:rFonts w:ascii="Times New Roman" w:hAnsi="Times New Roman" w:cs="Times New Roman"/>
              <w:i/>
              <w:iCs/>
              <w:color w:val="auto"/>
            </w:rPr>
            <w:t>ontents</w:t>
          </w:r>
        </w:p>
        <w:p w14:paraId="1E5C737E" w14:textId="77777777" w:rsidR="00675016" w:rsidRPr="00675016" w:rsidRDefault="00675016" w:rsidP="00675016"/>
        <w:p w14:paraId="140AAA6A" w14:textId="77777777" w:rsidR="00E639DC" w:rsidRPr="00675016" w:rsidRDefault="0055204E"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r w:rsidRPr="00675016">
            <w:rPr>
              <w:b/>
              <w:bCs/>
              <w:i/>
              <w:iCs/>
            </w:rPr>
            <w:fldChar w:fldCharType="begin"/>
          </w:r>
          <w:r w:rsidR="002F24DE" w:rsidRPr="00675016">
            <w:rPr>
              <w:b/>
              <w:bCs/>
              <w:i/>
              <w:iCs/>
            </w:rPr>
            <w:instrText xml:space="preserve"> TOC \o "1-3" \h \z \u </w:instrText>
          </w:r>
          <w:r w:rsidRPr="00675016">
            <w:rPr>
              <w:b/>
              <w:bCs/>
              <w:i/>
              <w:iCs/>
            </w:rPr>
            <w:fldChar w:fldCharType="separate"/>
          </w:r>
          <w:hyperlink w:anchor="_Toc149406253" w:history="1">
            <w:r w:rsidR="00E639DC" w:rsidRPr="00675016">
              <w:rPr>
                <w:rStyle w:val="Hyperlink"/>
                <w:rFonts w:ascii="Times New Roman" w:hAnsi="Times New Roman" w:cs="Times New Roman"/>
                <w:b/>
                <w:bCs/>
                <w:i/>
                <w:iCs/>
                <w:noProof/>
                <w:sz w:val="24"/>
                <w:szCs w:val="24"/>
                <w:lang w:val="en-GB"/>
              </w:rPr>
              <w:t>1. Business description or the market opportunity</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_Toc149406253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4</w:t>
            </w:r>
            <w:r w:rsidR="00E639DC" w:rsidRPr="00675016">
              <w:rPr>
                <w:rFonts w:ascii="Times New Roman" w:hAnsi="Times New Roman" w:cs="Times New Roman"/>
                <w:b/>
                <w:bCs/>
                <w:i/>
                <w:iCs/>
                <w:noProof/>
                <w:webHidden/>
                <w:sz w:val="24"/>
                <w:szCs w:val="24"/>
              </w:rPr>
              <w:fldChar w:fldCharType="end"/>
            </w:r>
          </w:hyperlink>
        </w:p>
        <w:p w14:paraId="78384E8A" w14:textId="77777777" w:rsidR="00E639DC" w:rsidRPr="00675016" w:rsidRDefault="00117FD4"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hyperlink w:anchor="_Toc149406254" w:history="1">
            <w:r w:rsidR="00E639DC" w:rsidRPr="00675016">
              <w:rPr>
                <w:rStyle w:val="Hyperlink"/>
                <w:rFonts w:ascii="Times New Roman" w:hAnsi="Times New Roman" w:cs="Times New Roman"/>
                <w:b/>
                <w:bCs/>
                <w:i/>
                <w:iCs/>
                <w:noProof/>
                <w:sz w:val="24"/>
                <w:szCs w:val="24"/>
                <w:lang w:val="en-GB"/>
              </w:rPr>
              <w:t>2. Industry-based analysis</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_Toc149406254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6</w:t>
            </w:r>
            <w:r w:rsidR="00E639DC" w:rsidRPr="00675016">
              <w:rPr>
                <w:rFonts w:ascii="Times New Roman" w:hAnsi="Times New Roman" w:cs="Times New Roman"/>
                <w:b/>
                <w:bCs/>
                <w:i/>
                <w:iCs/>
                <w:noProof/>
                <w:webHidden/>
                <w:sz w:val="24"/>
                <w:szCs w:val="24"/>
              </w:rPr>
              <w:fldChar w:fldCharType="end"/>
            </w:r>
          </w:hyperlink>
        </w:p>
        <w:p w14:paraId="232A0084" w14:textId="77777777" w:rsidR="00E639DC" w:rsidRPr="00675016" w:rsidRDefault="00117FD4"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hyperlink w:anchor="_Toc149406255" w:history="1">
            <w:r w:rsidR="00E639DC" w:rsidRPr="00675016">
              <w:rPr>
                <w:rStyle w:val="Hyperlink"/>
                <w:rFonts w:ascii="Times New Roman" w:hAnsi="Times New Roman" w:cs="Times New Roman"/>
                <w:b/>
                <w:bCs/>
                <w:i/>
                <w:iCs/>
                <w:noProof/>
                <w:sz w:val="24"/>
                <w:szCs w:val="24"/>
                <w:lang w:val="en-GB"/>
              </w:rPr>
              <w:t>3. Operation and the management team-based plan</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_Toc149406255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8</w:t>
            </w:r>
            <w:r w:rsidR="00E639DC" w:rsidRPr="00675016">
              <w:rPr>
                <w:rFonts w:ascii="Times New Roman" w:hAnsi="Times New Roman" w:cs="Times New Roman"/>
                <w:b/>
                <w:bCs/>
                <w:i/>
                <w:iCs/>
                <w:noProof/>
                <w:webHidden/>
                <w:sz w:val="24"/>
                <w:szCs w:val="24"/>
              </w:rPr>
              <w:fldChar w:fldCharType="end"/>
            </w:r>
          </w:hyperlink>
        </w:p>
        <w:p w14:paraId="1D628F83" w14:textId="77777777" w:rsidR="00E639DC" w:rsidRPr="00675016" w:rsidRDefault="00117FD4"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hyperlink w:anchor="_Toc149406256" w:history="1">
            <w:r w:rsidR="00E639DC" w:rsidRPr="00675016">
              <w:rPr>
                <w:rStyle w:val="Hyperlink"/>
                <w:rFonts w:ascii="Times New Roman" w:hAnsi="Times New Roman" w:cs="Times New Roman"/>
                <w:b/>
                <w:bCs/>
                <w:i/>
                <w:iCs/>
                <w:noProof/>
                <w:sz w:val="24"/>
                <w:szCs w:val="24"/>
                <w:lang w:val="en-GB"/>
              </w:rPr>
              <w:t>4. Marketing plan and the strategy</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_Toc149406256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11</w:t>
            </w:r>
            <w:r w:rsidR="00E639DC" w:rsidRPr="00675016">
              <w:rPr>
                <w:rFonts w:ascii="Times New Roman" w:hAnsi="Times New Roman" w:cs="Times New Roman"/>
                <w:b/>
                <w:bCs/>
                <w:i/>
                <w:iCs/>
                <w:noProof/>
                <w:webHidden/>
                <w:sz w:val="24"/>
                <w:szCs w:val="24"/>
              </w:rPr>
              <w:fldChar w:fldCharType="end"/>
            </w:r>
          </w:hyperlink>
        </w:p>
        <w:p w14:paraId="692859F9" w14:textId="77777777" w:rsidR="00E639DC" w:rsidRPr="00675016" w:rsidRDefault="00117FD4"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hyperlink w:anchor="_Toc149406257" w:history="1">
            <w:r w:rsidR="00E639DC" w:rsidRPr="00675016">
              <w:rPr>
                <w:rStyle w:val="Hyperlink"/>
                <w:rFonts w:ascii="Times New Roman" w:hAnsi="Times New Roman" w:cs="Times New Roman"/>
                <w:b/>
                <w:bCs/>
                <w:i/>
                <w:iCs/>
                <w:noProof/>
                <w:sz w:val="24"/>
                <w:szCs w:val="24"/>
                <w:lang w:val="en-GB"/>
              </w:rPr>
              <w:t>5. Financial plan</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_Toc149406257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12</w:t>
            </w:r>
            <w:r w:rsidR="00E639DC" w:rsidRPr="00675016">
              <w:rPr>
                <w:rFonts w:ascii="Times New Roman" w:hAnsi="Times New Roman" w:cs="Times New Roman"/>
                <w:b/>
                <w:bCs/>
                <w:i/>
                <w:iCs/>
                <w:noProof/>
                <w:webHidden/>
                <w:sz w:val="24"/>
                <w:szCs w:val="24"/>
              </w:rPr>
              <w:fldChar w:fldCharType="end"/>
            </w:r>
          </w:hyperlink>
        </w:p>
        <w:p w14:paraId="4C1086F0" w14:textId="77777777" w:rsidR="00E639DC" w:rsidRPr="00675016" w:rsidRDefault="00117FD4"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hyperlink w:anchor="_Toc149406258" w:history="1">
            <w:r w:rsidR="00E639DC" w:rsidRPr="00675016">
              <w:rPr>
                <w:rStyle w:val="Hyperlink"/>
                <w:rFonts w:ascii="Times New Roman" w:hAnsi="Times New Roman" w:cs="Times New Roman"/>
                <w:b/>
                <w:bCs/>
                <w:i/>
                <w:iCs/>
                <w:noProof/>
                <w:sz w:val="24"/>
                <w:szCs w:val="24"/>
              </w:rPr>
              <w:t>6. Closing summary</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_Toc149406258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15</w:t>
            </w:r>
            <w:r w:rsidR="00E639DC" w:rsidRPr="00675016">
              <w:rPr>
                <w:rFonts w:ascii="Times New Roman" w:hAnsi="Times New Roman" w:cs="Times New Roman"/>
                <w:b/>
                <w:bCs/>
                <w:i/>
                <w:iCs/>
                <w:noProof/>
                <w:webHidden/>
                <w:sz w:val="24"/>
                <w:szCs w:val="24"/>
              </w:rPr>
              <w:fldChar w:fldCharType="end"/>
            </w:r>
          </w:hyperlink>
        </w:p>
        <w:p w14:paraId="31158B17" w14:textId="77777777" w:rsidR="00E639DC" w:rsidRPr="00675016" w:rsidRDefault="00117FD4" w:rsidP="00E639DC">
          <w:pPr>
            <w:pStyle w:val="TOC1"/>
            <w:tabs>
              <w:tab w:val="right" w:leader="dot" w:pos="9350"/>
            </w:tabs>
            <w:spacing w:line="360" w:lineRule="auto"/>
            <w:jc w:val="both"/>
            <w:rPr>
              <w:rFonts w:ascii="Times New Roman" w:eastAsiaTheme="minorEastAsia" w:hAnsi="Times New Roman" w:cs="Times New Roman"/>
              <w:b/>
              <w:bCs/>
              <w:i/>
              <w:iCs/>
              <w:noProof/>
              <w:sz w:val="24"/>
              <w:szCs w:val="24"/>
            </w:rPr>
          </w:pPr>
          <w:hyperlink w:anchor="_Toc149406259" w:history="1">
            <w:r w:rsidR="00E639DC" w:rsidRPr="00675016">
              <w:rPr>
                <w:rStyle w:val="Hyperlink"/>
                <w:rFonts w:ascii="Times New Roman" w:hAnsi="Times New Roman" w:cs="Times New Roman"/>
                <w:b/>
                <w:bCs/>
                <w:i/>
                <w:iCs/>
                <w:noProof/>
                <w:sz w:val="24"/>
                <w:szCs w:val="24"/>
                <w:lang w:val="en-GB"/>
              </w:rPr>
              <w:t>Reference list</w:t>
            </w:r>
            <w:r w:rsidR="00E639DC" w:rsidRPr="00675016">
              <w:rPr>
                <w:rFonts w:ascii="Times New Roman" w:hAnsi="Times New Roman" w:cs="Times New Roman"/>
                <w:b/>
                <w:bCs/>
                <w:i/>
                <w:iCs/>
                <w:noProof/>
                <w:webHidden/>
                <w:sz w:val="24"/>
                <w:szCs w:val="24"/>
              </w:rPr>
              <w:tab/>
            </w:r>
            <w:r w:rsidR="00E639DC" w:rsidRPr="00675016">
              <w:rPr>
                <w:rFonts w:ascii="Times New Roman" w:hAnsi="Times New Roman" w:cs="Times New Roman"/>
                <w:b/>
                <w:bCs/>
                <w:i/>
                <w:iCs/>
                <w:noProof/>
                <w:webHidden/>
                <w:sz w:val="24"/>
                <w:szCs w:val="24"/>
              </w:rPr>
              <w:fldChar w:fldCharType="begin"/>
            </w:r>
            <w:r w:rsidR="00E639DC" w:rsidRPr="00675016">
              <w:rPr>
                <w:rFonts w:ascii="Times New Roman" w:hAnsi="Times New Roman" w:cs="Times New Roman"/>
                <w:b/>
                <w:bCs/>
                <w:i/>
                <w:iCs/>
                <w:noProof/>
                <w:webHidden/>
                <w:sz w:val="24"/>
                <w:szCs w:val="24"/>
              </w:rPr>
              <w:instrText xml:space="preserve"> PAGEREF _Toc149406259 \h </w:instrText>
            </w:r>
            <w:r w:rsidR="00E639DC" w:rsidRPr="00675016">
              <w:rPr>
                <w:rFonts w:ascii="Times New Roman" w:hAnsi="Times New Roman" w:cs="Times New Roman"/>
                <w:b/>
                <w:bCs/>
                <w:i/>
                <w:iCs/>
                <w:noProof/>
                <w:webHidden/>
                <w:sz w:val="24"/>
                <w:szCs w:val="24"/>
              </w:rPr>
            </w:r>
            <w:r w:rsidR="00E639DC" w:rsidRPr="00675016">
              <w:rPr>
                <w:rFonts w:ascii="Times New Roman" w:hAnsi="Times New Roman" w:cs="Times New Roman"/>
                <w:b/>
                <w:bCs/>
                <w:i/>
                <w:iCs/>
                <w:noProof/>
                <w:webHidden/>
                <w:sz w:val="24"/>
                <w:szCs w:val="24"/>
              </w:rPr>
              <w:fldChar w:fldCharType="separate"/>
            </w:r>
            <w:r w:rsidR="00E639DC" w:rsidRPr="00675016">
              <w:rPr>
                <w:rFonts w:ascii="Times New Roman" w:hAnsi="Times New Roman" w:cs="Times New Roman"/>
                <w:b/>
                <w:bCs/>
                <w:i/>
                <w:iCs/>
                <w:noProof/>
                <w:webHidden/>
                <w:sz w:val="24"/>
                <w:szCs w:val="24"/>
              </w:rPr>
              <w:t>16</w:t>
            </w:r>
            <w:r w:rsidR="00E639DC" w:rsidRPr="00675016">
              <w:rPr>
                <w:rFonts w:ascii="Times New Roman" w:hAnsi="Times New Roman" w:cs="Times New Roman"/>
                <w:b/>
                <w:bCs/>
                <w:i/>
                <w:iCs/>
                <w:noProof/>
                <w:webHidden/>
                <w:sz w:val="24"/>
                <w:szCs w:val="24"/>
              </w:rPr>
              <w:fldChar w:fldCharType="end"/>
            </w:r>
          </w:hyperlink>
        </w:p>
        <w:p w14:paraId="2285CC65" w14:textId="77777777" w:rsidR="0083383E" w:rsidRDefault="0055204E" w:rsidP="00A91882">
          <w:pPr>
            <w:spacing w:line="360" w:lineRule="auto"/>
          </w:pPr>
          <w:r w:rsidRPr="00675016">
            <w:rPr>
              <w:b/>
              <w:bCs/>
              <w:i/>
              <w:iCs/>
            </w:rPr>
            <w:fldChar w:fldCharType="end"/>
          </w:r>
        </w:p>
      </w:sdtContent>
    </w:sdt>
    <w:p w14:paraId="01FF0CC5" w14:textId="77777777" w:rsidR="00A57F4B" w:rsidRPr="0083383E" w:rsidRDefault="002F24DE" w:rsidP="00A91882">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0999F62" w14:textId="77777777" w:rsidR="00A57F4B" w:rsidRPr="0083383E" w:rsidRDefault="002F24DE" w:rsidP="00A91882">
      <w:pPr>
        <w:pStyle w:val="Heading1"/>
        <w:spacing w:line="360" w:lineRule="auto"/>
        <w:rPr>
          <w:lang w:val="en-GB"/>
        </w:rPr>
      </w:pPr>
      <w:bookmarkStart w:id="0" w:name="_Toc149406253"/>
      <w:r w:rsidRPr="0083383E">
        <w:rPr>
          <w:lang w:val="en-GB"/>
        </w:rPr>
        <w:lastRenderedPageBreak/>
        <w:t>1. Business description or the market opportunity</w:t>
      </w:r>
      <w:bookmarkEnd w:id="0"/>
      <w:r w:rsidRPr="0083383E">
        <w:rPr>
          <w:lang w:val="en-GB"/>
        </w:rPr>
        <w:t xml:space="preserve"> </w:t>
      </w:r>
    </w:p>
    <w:p w14:paraId="108446D4"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Mission statement</w:t>
      </w:r>
    </w:p>
    <w:p w14:paraId="3D9DDD6D"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The business plan linked to the launching of the business of </w:t>
      </w:r>
      <w:r w:rsidRPr="0083383E">
        <w:rPr>
          <w:rFonts w:ascii="Times New Roman" w:eastAsia="Times New Roman" w:hAnsi="Times New Roman" w:cs="Times New Roman"/>
          <w:b/>
          <w:sz w:val="24"/>
          <w:szCs w:val="24"/>
          <w:lang w:val="en-GB"/>
        </w:rPr>
        <w:t>GreenWave Electronics, Inc</w:t>
      </w:r>
      <w:r w:rsidRPr="0083383E">
        <w:rPr>
          <w:rFonts w:ascii="Times New Roman" w:eastAsia="Times New Roman" w:hAnsi="Times New Roman" w:cs="Times New Roman"/>
          <w:sz w:val="24"/>
          <w:szCs w:val="24"/>
          <w:lang w:val="en-GB"/>
        </w:rPr>
        <w:t>. can be linked to the development of the mission of a safe and sustainable business in terms of the provision of prominent electronics-based products or services associated with the consumer electronics-based market of the UK. Internet-based usage technology can be connected with the consumer electronics busi</w:t>
      </w:r>
      <w:r w:rsidR="00C92738">
        <w:rPr>
          <w:rFonts w:ascii="Times New Roman" w:eastAsia="Times New Roman" w:hAnsi="Times New Roman" w:cs="Times New Roman"/>
          <w:sz w:val="24"/>
          <w:szCs w:val="24"/>
          <w:lang w:val="en-GB"/>
        </w:rPr>
        <w:t xml:space="preserve">ness in rich and vivid manners </w:t>
      </w:r>
      <w:r w:rsidRPr="0083383E">
        <w:rPr>
          <w:rFonts w:ascii="Times New Roman" w:eastAsia="Times New Roman" w:hAnsi="Times New Roman" w:cs="Times New Roman"/>
          <w:sz w:val="24"/>
          <w:szCs w:val="24"/>
          <w:lang w:val="en-GB"/>
        </w:rPr>
        <w:t>(</w:t>
      </w:r>
      <w:r w:rsidRPr="0083383E">
        <w:rPr>
          <w:rFonts w:ascii="Times New Roman" w:eastAsia="Times New Roman" w:hAnsi="Times New Roman" w:cs="Times New Roman"/>
          <w:color w:val="222222"/>
          <w:sz w:val="24"/>
          <w:szCs w:val="24"/>
          <w:highlight w:val="white"/>
          <w:lang w:val="en-GB"/>
        </w:rPr>
        <w:t xml:space="preserve">Abdel-Basset </w:t>
      </w:r>
      <w:r w:rsidRPr="0083383E">
        <w:rPr>
          <w:rFonts w:ascii="Times New Roman" w:eastAsia="Times New Roman" w:hAnsi="Times New Roman" w:cs="Times New Roman"/>
          <w:i/>
          <w:color w:val="222222"/>
          <w:sz w:val="24"/>
          <w:szCs w:val="24"/>
          <w:highlight w:val="white"/>
          <w:lang w:val="en-GB"/>
        </w:rPr>
        <w:t>et al.</w:t>
      </w:r>
      <w:r w:rsidRPr="0083383E">
        <w:rPr>
          <w:rFonts w:ascii="Times New Roman" w:eastAsia="Times New Roman" w:hAnsi="Times New Roman" w:cs="Times New Roman"/>
          <w:color w:val="222222"/>
          <w:sz w:val="24"/>
          <w:szCs w:val="24"/>
          <w:highlight w:val="white"/>
          <w:lang w:val="en-GB"/>
        </w:rPr>
        <w:t xml:space="preserve"> 2019</w:t>
      </w:r>
      <w:r w:rsidRPr="0083383E">
        <w:rPr>
          <w:rFonts w:ascii="Times New Roman" w:eastAsia="Times New Roman" w:hAnsi="Times New Roman" w:cs="Times New Roman"/>
          <w:sz w:val="24"/>
          <w:szCs w:val="24"/>
          <w:lang w:val="en-GB"/>
        </w:rPr>
        <w:t xml:space="preserve">). The use of green technology to assist and support the development of the new business in the consumer electronics-based market of the developed economy will be connected with the mission of the new business-based venture. </w:t>
      </w:r>
    </w:p>
    <w:p w14:paraId="6C447117"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Product or services</w:t>
      </w:r>
    </w:p>
    <w:p w14:paraId="18B37F09"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The products or services of consumer electronics-based businesses are linked to the new business of GreenWave Electronics, Inc. which is to be set up in the consumer electronics-based market of the UK includes the </w:t>
      </w:r>
      <w:r w:rsidRPr="0083383E">
        <w:rPr>
          <w:rFonts w:ascii="Times New Roman" w:eastAsia="Times New Roman" w:hAnsi="Times New Roman" w:cs="Times New Roman"/>
          <w:b/>
          <w:sz w:val="24"/>
          <w:szCs w:val="24"/>
          <w:lang w:val="en-GB"/>
        </w:rPr>
        <w:t>android-based modern technological products or services</w:t>
      </w:r>
      <w:r w:rsidRPr="0083383E">
        <w:rPr>
          <w:rFonts w:ascii="Times New Roman" w:eastAsia="Times New Roman" w:hAnsi="Times New Roman" w:cs="Times New Roman"/>
          <w:sz w:val="24"/>
          <w:szCs w:val="24"/>
          <w:lang w:val="en-GB"/>
        </w:rPr>
        <w:t xml:space="preserve"> along with other products or services, for instance, as connected with smart homes and smart CCTV-based camera as others can be linked to the business. </w:t>
      </w:r>
    </w:p>
    <w:p w14:paraId="391D4387"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noProof/>
          <w:sz w:val="24"/>
          <w:szCs w:val="24"/>
        </w:rPr>
        <w:drawing>
          <wp:inline distT="114300" distB="114300" distL="114300" distR="114300" wp14:anchorId="0176D217" wp14:editId="46667E71">
            <wp:extent cx="6285085" cy="3690938"/>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a:stretch>
                      <a:fillRect/>
                    </a:stretch>
                  </pic:blipFill>
                  <pic:spPr>
                    <a:xfrm>
                      <a:off x="0" y="0"/>
                      <a:ext cx="6285085" cy="3690938"/>
                    </a:xfrm>
                    <a:prstGeom prst="rect">
                      <a:avLst/>
                    </a:prstGeom>
                  </pic:spPr>
                </pic:pic>
              </a:graphicData>
            </a:graphic>
          </wp:inline>
        </w:drawing>
      </w:r>
    </w:p>
    <w:p w14:paraId="32B461EB" w14:textId="77777777" w:rsidR="00A57F4B" w:rsidRPr="0083383E" w:rsidRDefault="002F24DE" w:rsidP="00A91882">
      <w:pPr>
        <w:pStyle w:val="Normal1"/>
        <w:spacing w:line="360" w:lineRule="auto"/>
        <w:jc w:val="center"/>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lastRenderedPageBreak/>
        <w:t>Figure 1: Aspects of consumer electronics-based business</w:t>
      </w:r>
    </w:p>
    <w:p w14:paraId="4D1D3FF9" w14:textId="2ACE5C1C"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(Source:</w:t>
      </w:r>
      <w:r w:rsidR="00C92738">
        <w:rPr>
          <w:rFonts w:ascii="Times New Roman" w:eastAsia="Times New Roman" w:hAnsi="Times New Roman" w:cs="Times New Roman"/>
          <w:sz w:val="24"/>
          <w:szCs w:val="24"/>
          <w:lang w:val="en-GB"/>
        </w:rPr>
        <w:t xml:space="preserve"> </w:t>
      </w:r>
      <w:r w:rsidR="003372C0" w:rsidRPr="0083383E">
        <w:rPr>
          <w:rFonts w:ascii="Times New Roman" w:eastAsia="Times New Roman" w:hAnsi="Times New Roman" w:cs="Times New Roman"/>
          <w:color w:val="222222"/>
          <w:sz w:val="24"/>
          <w:szCs w:val="24"/>
          <w:highlight w:val="white"/>
          <w:lang w:val="en-GB"/>
        </w:rPr>
        <w:t>Venkatesh 2023</w:t>
      </w:r>
      <w:r w:rsidRPr="0083383E">
        <w:rPr>
          <w:rFonts w:ascii="Times New Roman" w:eastAsia="Times New Roman" w:hAnsi="Times New Roman" w:cs="Times New Roman"/>
          <w:sz w:val="24"/>
          <w:szCs w:val="24"/>
          <w:lang w:val="en-GB"/>
        </w:rPr>
        <w:t>)</w:t>
      </w:r>
    </w:p>
    <w:p w14:paraId="762C17DC" w14:textId="77777777" w:rsidR="00A57F4B"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Further, AI-powered technologies can be linked to consumer goods-based products (</w:t>
      </w:r>
      <w:r w:rsidR="00C92738" w:rsidRPr="0083383E">
        <w:rPr>
          <w:rFonts w:ascii="Times New Roman" w:eastAsia="Times New Roman" w:hAnsi="Times New Roman" w:cs="Times New Roman"/>
          <w:color w:val="222222"/>
          <w:sz w:val="24"/>
          <w:szCs w:val="24"/>
          <w:highlight w:val="white"/>
          <w:lang w:val="en-GB"/>
        </w:rPr>
        <w:t>Venkatesh 2023</w:t>
      </w:r>
      <w:r w:rsidRPr="0083383E">
        <w:rPr>
          <w:rFonts w:ascii="Times New Roman" w:eastAsia="Times New Roman" w:hAnsi="Times New Roman" w:cs="Times New Roman"/>
          <w:sz w:val="24"/>
          <w:szCs w:val="24"/>
          <w:lang w:val="en-GB"/>
        </w:rPr>
        <w:t>). The sustainable prospects of development of the new consumer electronics-based business in the UK can be linked to the aspect.</w:t>
      </w:r>
    </w:p>
    <w:p w14:paraId="5BA84AE8" w14:textId="77777777" w:rsidR="00E714F6" w:rsidRPr="0083383E" w:rsidRDefault="00E714F6" w:rsidP="00A91882">
      <w:pPr>
        <w:pStyle w:val="Normal1"/>
        <w:spacing w:line="360" w:lineRule="auto"/>
        <w:jc w:val="both"/>
        <w:rPr>
          <w:rFonts w:ascii="Times New Roman" w:eastAsia="Times New Roman" w:hAnsi="Times New Roman" w:cs="Times New Roman"/>
          <w:sz w:val="24"/>
          <w:szCs w:val="24"/>
          <w:lang w:val="en-GB"/>
        </w:rPr>
      </w:pPr>
    </w:p>
    <w:p w14:paraId="149C3C0D"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Intellectual property-based considerations</w:t>
      </w:r>
    </w:p>
    <w:p w14:paraId="48B86C34"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 xml:space="preserve">The intellectual property-based legal considerations </w:t>
      </w:r>
      <w:r w:rsidRPr="0083383E">
        <w:rPr>
          <w:rFonts w:ascii="Times New Roman" w:eastAsia="Times New Roman" w:hAnsi="Times New Roman" w:cs="Times New Roman"/>
          <w:b/>
          <w:sz w:val="24"/>
          <w:szCs w:val="24"/>
          <w:lang w:val="en-GB"/>
        </w:rPr>
        <w:t>based on designs in terms of patents, trademarks, and copyrights</w:t>
      </w:r>
      <w:r w:rsidRPr="0083383E">
        <w:rPr>
          <w:rFonts w:ascii="Times New Roman" w:eastAsia="Times New Roman" w:hAnsi="Times New Roman" w:cs="Times New Roman"/>
          <w:sz w:val="24"/>
          <w:szCs w:val="24"/>
          <w:lang w:val="en-GB"/>
        </w:rPr>
        <w:t xml:space="preserve"> can be linked to the development of the new business to be launched in consumer electronics-based market segments of the UK. The use of orders of preferences-based criteria is significant for the launching of consumer electronics-based businesses (</w:t>
      </w:r>
      <w:r w:rsidRPr="0083383E">
        <w:rPr>
          <w:rFonts w:ascii="Times New Roman" w:eastAsia="Times New Roman" w:hAnsi="Times New Roman" w:cs="Times New Roman"/>
          <w:color w:val="222222"/>
          <w:sz w:val="24"/>
          <w:szCs w:val="24"/>
          <w:highlight w:val="white"/>
          <w:lang w:val="en-GB"/>
        </w:rPr>
        <w:t xml:space="preserve">Abdel-Basset </w:t>
      </w:r>
      <w:r w:rsidRPr="0083383E">
        <w:rPr>
          <w:rFonts w:ascii="Times New Roman" w:eastAsia="Times New Roman" w:hAnsi="Times New Roman" w:cs="Times New Roman"/>
          <w:i/>
          <w:color w:val="222222"/>
          <w:sz w:val="24"/>
          <w:szCs w:val="24"/>
          <w:highlight w:val="white"/>
          <w:lang w:val="en-GB"/>
        </w:rPr>
        <w:t>et al.</w:t>
      </w:r>
      <w:r w:rsidRPr="0083383E">
        <w:rPr>
          <w:rFonts w:ascii="Times New Roman" w:eastAsia="Times New Roman" w:hAnsi="Times New Roman" w:cs="Times New Roman"/>
          <w:color w:val="222222"/>
          <w:sz w:val="24"/>
          <w:szCs w:val="24"/>
          <w:highlight w:val="white"/>
          <w:lang w:val="en-GB"/>
        </w:rPr>
        <w:t xml:space="preserve"> 2019</w:t>
      </w:r>
      <w:r w:rsidRPr="0083383E">
        <w:rPr>
          <w:rFonts w:ascii="Times New Roman" w:eastAsia="Times New Roman" w:hAnsi="Times New Roman" w:cs="Times New Roman"/>
          <w:sz w:val="24"/>
          <w:szCs w:val="24"/>
          <w:lang w:val="en-GB"/>
        </w:rPr>
        <w:t xml:space="preserve">). Moreover, the outcomes that will be obtained in terms of launching the new business are to be linked to the ownership-based considerations in terms of the development of designs-based aspects of the products or services based on the intellectual property-based frights in connection with the venture in the UK. </w:t>
      </w:r>
    </w:p>
    <w:p w14:paraId="661BEA8B" w14:textId="77777777" w:rsidR="00A57F4B" w:rsidRPr="0083383E" w:rsidRDefault="002F24DE" w:rsidP="00A91882">
      <w:pPr>
        <w:pStyle w:val="Normal1"/>
        <w:spacing w:line="360" w:lineRule="auto"/>
        <w:jc w:val="both"/>
        <w:rPr>
          <w:rFonts w:ascii="Times New Roman" w:eastAsia="Times New Roman" w:hAnsi="Times New Roman" w:cs="Times New Roman"/>
          <w:b/>
          <w:sz w:val="28"/>
          <w:szCs w:val="28"/>
          <w:lang w:val="en-GB"/>
        </w:rPr>
      </w:pPr>
      <w:r w:rsidRPr="0083383E">
        <w:rPr>
          <w:lang w:val="en-GB"/>
        </w:rPr>
        <w:br w:type="page"/>
      </w:r>
    </w:p>
    <w:p w14:paraId="5801C6AA" w14:textId="77777777" w:rsidR="00A57F4B" w:rsidRPr="0083383E" w:rsidRDefault="002F24DE" w:rsidP="00A91882">
      <w:pPr>
        <w:pStyle w:val="Heading1"/>
        <w:spacing w:line="360" w:lineRule="auto"/>
        <w:rPr>
          <w:lang w:val="en-GB"/>
        </w:rPr>
      </w:pPr>
      <w:bookmarkStart w:id="1" w:name="_Toc149406254"/>
      <w:r w:rsidRPr="0083383E">
        <w:rPr>
          <w:lang w:val="en-GB"/>
        </w:rPr>
        <w:lastRenderedPageBreak/>
        <w:t>2. Industry-based analysis</w:t>
      </w:r>
      <w:bookmarkEnd w:id="1"/>
      <w:r w:rsidRPr="0083383E">
        <w:rPr>
          <w:lang w:val="en-GB"/>
        </w:rPr>
        <w:t xml:space="preserve"> </w:t>
      </w:r>
    </w:p>
    <w:p w14:paraId="572F3E60"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VRIO analysis</w:t>
      </w:r>
    </w:p>
    <w:p w14:paraId="4A78C1D1" w14:textId="77777777" w:rsidR="00A57F4B" w:rsidRPr="0083383E" w:rsidRDefault="00A57F4B" w:rsidP="00A91882">
      <w:pPr>
        <w:pStyle w:val="Normal1"/>
        <w:spacing w:line="360" w:lineRule="auto"/>
        <w:jc w:val="both"/>
        <w:rPr>
          <w:rFonts w:ascii="Times New Roman" w:eastAsia="Times New Roman" w:hAnsi="Times New Roman" w:cs="Times New Roman"/>
          <w:b/>
          <w:i/>
          <w:sz w:val="24"/>
          <w:szCs w:val="24"/>
          <w:lang w:val="en-GB"/>
        </w:rPr>
      </w:pPr>
    </w:p>
    <w:tbl>
      <w:tblPr>
        <w:tblStyle w:val="a"/>
        <w:tblW w:w="98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2025"/>
        <w:gridCol w:w="1560"/>
      </w:tblGrid>
      <w:tr w:rsidR="00FB2F95" w14:paraId="5FB28457" w14:textId="77777777">
        <w:trPr>
          <w:cantSplit/>
          <w:tblHeader/>
        </w:trPr>
        <w:tc>
          <w:tcPr>
            <w:tcW w:w="1560" w:type="dxa"/>
            <w:shd w:val="clear" w:color="auto" w:fill="auto"/>
            <w:tcMar>
              <w:top w:w="100" w:type="dxa"/>
              <w:left w:w="100" w:type="dxa"/>
              <w:bottom w:w="100" w:type="dxa"/>
              <w:right w:w="100" w:type="dxa"/>
            </w:tcMar>
          </w:tcPr>
          <w:p w14:paraId="15B039B5"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Categorical variables</w:t>
            </w:r>
          </w:p>
        </w:tc>
        <w:tc>
          <w:tcPr>
            <w:tcW w:w="1560" w:type="dxa"/>
            <w:shd w:val="clear" w:color="auto" w:fill="auto"/>
            <w:tcMar>
              <w:top w:w="100" w:type="dxa"/>
              <w:left w:w="100" w:type="dxa"/>
              <w:bottom w:w="100" w:type="dxa"/>
              <w:right w:w="100" w:type="dxa"/>
            </w:tcMar>
          </w:tcPr>
          <w:p w14:paraId="24A292D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 V (Values)</w:t>
            </w:r>
          </w:p>
        </w:tc>
        <w:tc>
          <w:tcPr>
            <w:tcW w:w="1560" w:type="dxa"/>
            <w:shd w:val="clear" w:color="auto" w:fill="auto"/>
            <w:tcMar>
              <w:top w:w="100" w:type="dxa"/>
              <w:left w:w="100" w:type="dxa"/>
              <w:bottom w:w="100" w:type="dxa"/>
              <w:right w:w="100" w:type="dxa"/>
            </w:tcMar>
          </w:tcPr>
          <w:p w14:paraId="0BE93EB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R (Rarity)</w:t>
            </w:r>
          </w:p>
        </w:tc>
        <w:tc>
          <w:tcPr>
            <w:tcW w:w="1560" w:type="dxa"/>
            <w:shd w:val="clear" w:color="auto" w:fill="auto"/>
            <w:tcMar>
              <w:top w:w="100" w:type="dxa"/>
              <w:left w:w="100" w:type="dxa"/>
              <w:bottom w:w="100" w:type="dxa"/>
              <w:right w:w="100" w:type="dxa"/>
            </w:tcMar>
          </w:tcPr>
          <w:p w14:paraId="0E18CEA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Imitability (I)</w:t>
            </w:r>
          </w:p>
        </w:tc>
        <w:tc>
          <w:tcPr>
            <w:tcW w:w="2025" w:type="dxa"/>
            <w:shd w:val="clear" w:color="auto" w:fill="auto"/>
            <w:tcMar>
              <w:top w:w="100" w:type="dxa"/>
              <w:left w:w="100" w:type="dxa"/>
              <w:bottom w:w="100" w:type="dxa"/>
              <w:right w:w="100" w:type="dxa"/>
            </w:tcMar>
          </w:tcPr>
          <w:p w14:paraId="68BD798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Organization (O)</w:t>
            </w:r>
          </w:p>
        </w:tc>
        <w:tc>
          <w:tcPr>
            <w:tcW w:w="1560" w:type="dxa"/>
            <w:shd w:val="clear" w:color="auto" w:fill="auto"/>
            <w:tcMar>
              <w:top w:w="100" w:type="dxa"/>
              <w:left w:w="100" w:type="dxa"/>
              <w:bottom w:w="100" w:type="dxa"/>
              <w:right w:w="100" w:type="dxa"/>
            </w:tcMar>
          </w:tcPr>
          <w:p w14:paraId="47ECBA4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Merits</w:t>
            </w:r>
          </w:p>
        </w:tc>
      </w:tr>
      <w:tr w:rsidR="00FB2F95" w14:paraId="259EBBA6" w14:textId="77777777">
        <w:trPr>
          <w:cantSplit/>
          <w:tblHeader/>
        </w:trPr>
        <w:tc>
          <w:tcPr>
            <w:tcW w:w="1560" w:type="dxa"/>
            <w:shd w:val="clear" w:color="auto" w:fill="auto"/>
            <w:tcMar>
              <w:top w:w="100" w:type="dxa"/>
              <w:left w:w="100" w:type="dxa"/>
              <w:bottom w:w="100" w:type="dxa"/>
              <w:right w:w="100" w:type="dxa"/>
            </w:tcMar>
          </w:tcPr>
          <w:p w14:paraId="5E8BDBF0"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Supply chains</w:t>
            </w:r>
          </w:p>
        </w:tc>
        <w:tc>
          <w:tcPr>
            <w:tcW w:w="1560" w:type="dxa"/>
            <w:shd w:val="clear" w:color="auto" w:fill="auto"/>
            <w:tcMar>
              <w:top w:w="100" w:type="dxa"/>
              <w:left w:w="100" w:type="dxa"/>
              <w:bottom w:w="100" w:type="dxa"/>
              <w:right w:w="100" w:type="dxa"/>
            </w:tcMar>
          </w:tcPr>
          <w:p w14:paraId="36817A54"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650D96D5" wp14:editId="55605041">
                  <wp:extent cx="171450" cy="28575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16"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203EB0D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6AF3B683" wp14:editId="22ADA4D2">
                  <wp:extent cx="171450" cy="28575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13"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20124CFF"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2025" w:type="dxa"/>
            <w:shd w:val="clear" w:color="auto" w:fill="auto"/>
            <w:tcMar>
              <w:top w:w="100" w:type="dxa"/>
              <w:left w:w="100" w:type="dxa"/>
              <w:bottom w:w="100" w:type="dxa"/>
              <w:right w:w="100" w:type="dxa"/>
            </w:tcMar>
          </w:tcPr>
          <w:p w14:paraId="79208AE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7A98CF0C" wp14:editId="534BF97E">
                  <wp:extent cx="171450" cy="285750"/>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22"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707DCFE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Competitive parity</w:t>
            </w:r>
          </w:p>
        </w:tc>
      </w:tr>
      <w:tr w:rsidR="00FB2F95" w14:paraId="62AAC749" w14:textId="77777777">
        <w:trPr>
          <w:cantSplit/>
          <w:tblHeader/>
        </w:trPr>
        <w:tc>
          <w:tcPr>
            <w:tcW w:w="1560" w:type="dxa"/>
            <w:shd w:val="clear" w:color="auto" w:fill="auto"/>
            <w:tcMar>
              <w:top w:w="100" w:type="dxa"/>
              <w:left w:w="100" w:type="dxa"/>
              <w:bottom w:w="100" w:type="dxa"/>
              <w:right w:w="100" w:type="dxa"/>
            </w:tcMar>
          </w:tcPr>
          <w:p w14:paraId="55918F3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Bargaining powers</w:t>
            </w:r>
          </w:p>
        </w:tc>
        <w:tc>
          <w:tcPr>
            <w:tcW w:w="1560" w:type="dxa"/>
            <w:shd w:val="clear" w:color="auto" w:fill="auto"/>
            <w:tcMar>
              <w:top w:w="100" w:type="dxa"/>
              <w:left w:w="100" w:type="dxa"/>
              <w:bottom w:w="100" w:type="dxa"/>
              <w:right w:w="100" w:type="dxa"/>
            </w:tcMar>
          </w:tcPr>
          <w:p w14:paraId="4C302EDC"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4AF3376" wp14:editId="705603CA">
                  <wp:extent cx="171450" cy="285750"/>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18"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6F828DC1"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EDC58FD" wp14:editId="564EBE72">
                  <wp:extent cx="171450" cy="2857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7E850B2A" w14:textId="77777777" w:rsidR="00A57F4B" w:rsidRPr="0083383E" w:rsidRDefault="00A57F4B" w:rsidP="00A91882">
            <w:pPr>
              <w:pStyle w:val="Normal1"/>
              <w:widowControl w:val="0"/>
              <w:spacing w:line="360" w:lineRule="auto"/>
              <w:jc w:val="both"/>
              <w:rPr>
                <w:rFonts w:ascii="Times New Roman" w:eastAsia="Times New Roman" w:hAnsi="Times New Roman" w:cs="Times New Roman"/>
                <w:b/>
                <w:i/>
                <w:sz w:val="24"/>
                <w:szCs w:val="24"/>
                <w:lang w:val="en-GB"/>
              </w:rPr>
            </w:pPr>
          </w:p>
        </w:tc>
        <w:tc>
          <w:tcPr>
            <w:tcW w:w="2025" w:type="dxa"/>
            <w:shd w:val="clear" w:color="auto" w:fill="auto"/>
            <w:tcMar>
              <w:top w:w="100" w:type="dxa"/>
              <w:left w:w="100" w:type="dxa"/>
              <w:bottom w:w="100" w:type="dxa"/>
              <w:right w:w="100" w:type="dxa"/>
            </w:tcMar>
          </w:tcPr>
          <w:p w14:paraId="510A333B"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5ED01C5" wp14:editId="10699AB1">
                  <wp:extent cx="171450" cy="2857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0F5C4AB5"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sz w:val="24"/>
                <w:szCs w:val="24"/>
                <w:lang w:val="en-GB"/>
              </w:rPr>
              <w:t>Competitive parity</w:t>
            </w:r>
          </w:p>
        </w:tc>
      </w:tr>
      <w:tr w:rsidR="00FB2F95" w14:paraId="5A200AB6" w14:textId="77777777">
        <w:trPr>
          <w:cantSplit/>
          <w:tblHeader/>
        </w:trPr>
        <w:tc>
          <w:tcPr>
            <w:tcW w:w="1560" w:type="dxa"/>
            <w:shd w:val="clear" w:color="auto" w:fill="auto"/>
            <w:tcMar>
              <w:top w:w="100" w:type="dxa"/>
              <w:left w:w="100" w:type="dxa"/>
              <w:bottom w:w="100" w:type="dxa"/>
              <w:right w:w="100" w:type="dxa"/>
            </w:tcMar>
          </w:tcPr>
          <w:p w14:paraId="4CAC2AF0"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sz w:val="24"/>
                <w:szCs w:val="24"/>
                <w:lang w:val="en-GB"/>
              </w:rPr>
              <w:t>Inventory management</w:t>
            </w:r>
            <w:r w:rsidRPr="0083383E">
              <w:rPr>
                <w:rFonts w:ascii="Times New Roman" w:eastAsia="Times New Roman" w:hAnsi="Times New Roman" w:cs="Times New Roman"/>
                <w:b/>
                <w:i/>
                <w:sz w:val="24"/>
                <w:szCs w:val="24"/>
                <w:lang w:val="en-GB"/>
              </w:rPr>
              <w:t xml:space="preserve"> </w:t>
            </w:r>
          </w:p>
        </w:tc>
        <w:tc>
          <w:tcPr>
            <w:tcW w:w="1560" w:type="dxa"/>
            <w:shd w:val="clear" w:color="auto" w:fill="auto"/>
            <w:tcMar>
              <w:top w:w="100" w:type="dxa"/>
              <w:left w:w="100" w:type="dxa"/>
              <w:bottom w:w="100" w:type="dxa"/>
              <w:right w:w="100" w:type="dxa"/>
            </w:tcMar>
          </w:tcPr>
          <w:p w14:paraId="03F816DA"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3E602DA6" wp14:editId="0AC41FBC">
                  <wp:extent cx="171450" cy="285750"/>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5F915E9E"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1022E64" wp14:editId="6BBA638E">
                  <wp:extent cx="171450" cy="285750"/>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21"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66E7C0CB"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688A2563" wp14:editId="16C928E6">
                  <wp:extent cx="171450" cy="285750"/>
                  <wp:effectExtent l="0" t="0" r="0" b="0"/>
                  <wp:docPr id="23" name="image1.png"/>
                  <wp:cNvGraphicFramePr/>
                  <a:graphic xmlns:a="http://schemas.openxmlformats.org/drawingml/2006/main">
                    <a:graphicData uri="http://schemas.openxmlformats.org/drawingml/2006/picture">
                      <pic:pic xmlns:pic="http://schemas.openxmlformats.org/drawingml/2006/picture">
                        <pic:nvPicPr>
                          <pic:cNvPr id="23"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2025" w:type="dxa"/>
            <w:shd w:val="clear" w:color="auto" w:fill="auto"/>
            <w:tcMar>
              <w:top w:w="100" w:type="dxa"/>
              <w:left w:w="100" w:type="dxa"/>
              <w:bottom w:w="100" w:type="dxa"/>
              <w:right w:w="100" w:type="dxa"/>
            </w:tcMar>
          </w:tcPr>
          <w:p w14:paraId="63DC0D13"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3E32C28B" wp14:editId="3C5E10CF">
                  <wp:extent cx="171450" cy="28575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15"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0BEE903C"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Sustainable advantage</w:t>
            </w:r>
          </w:p>
        </w:tc>
      </w:tr>
      <w:tr w:rsidR="00FB2F95" w14:paraId="69ABFE75" w14:textId="77777777">
        <w:trPr>
          <w:cantSplit/>
          <w:tblHeader/>
        </w:trPr>
        <w:tc>
          <w:tcPr>
            <w:tcW w:w="1560" w:type="dxa"/>
            <w:shd w:val="clear" w:color="auto" w:fill="auto"/>
            <w:tcMar>
              <w:top w:w="100" w:type="dxa"/>
              <w:left w:w="100" w:type="dxa"/>
              <w:bottom w:w="100" w:type="dxa"/>
              <w:right w:w="100" w:type="dxa"/>
            </w:tcMar>
          </w:tcPr>
          <w:p w14:paraId="1A47DBC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Brand equities</w:t>
            </w:r>
          </w:p>
        </w:tc>
        <w:tc>
          <w:tcPr>
            <w:tcW w:w="1560" w:type="dxa"/>
            <w:shd w:val="clear" w:color="auto" w:fill="auto"/>
            <w:tcMar>
              <w:top w:w="100" w:type="dxa"/>
              <w:left w:w="100" w:type="dxa"/>
              <w:bottom w:w="100" w:type="dxa"/>
              <w:right w:w="100" w:type="dxa"/>
            </w:tcMar>
          </w:tcPr>
          <w:p w14:paraId="51C8590F"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7FB7A585" wp14:editId="4355D4BB">
                  <wp:extent cx="171450" cy="2857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0E0D6B85"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4ECED5AF" wp14:editId="6FE88CEA">
                  <wp:extent cx="171450" cy="285750"/>
                  <wp:effectExtent l="0" t="0" r="0" b="0"/>
                  <wp:docPr id="19" name="image2.png"/>
                  <wp:cNvGraphicFramePr/>
                  <a:graphic xmlns:a="http://schemas.openxmlformats.org/drawingml/2006/main">
                    <a:graphicData uri="http://schemas.openxmlformats.org/drawingml/2006/picture">
                      <pic:pic xmlns:pic="http://schemas.openxmlformats.org/drawingml/2006/picture">
                        <pic:nvPicPr>
                          <pic:cNvPr id="19"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33E28357"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4772CDE4" wp14:editId="1A51786D">
                  <wp:extent cx="171450" cy="285750"/>
                  <wp:effectExtent l="0" t="0" r="0" b="0"/>
                  <wp:docPr id="30" name="image1.png"/>
                  <wp:cNvGraphicFramePr/>
                  <a:graphic xmlns:a="http://schemas.openxmlformats.org/drawingml/2006/main">
                    <a:graphicData uri="http://schemas.openxmlformats.org/drawingml/2006/picture">
                      <pic:pic xmlns:pic="http://schemas.openxmlformats.org/drawingml/2006/picture">
                        <pic:nvPicPr>
                          <pic:cNvPr id="30"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2025" w:type="dxa"/>
            <w:shd w:val="clear" w:color="auto" w:fill="auto"/>
            <w:tcMar>
              <w:top w:w="100" w:type="dxa"/>
              <w:left w:w="100" w:type="dxa"/>
              <w:bottom w:w="100" w:type="dxa"/>
              <w:right w:w="100" w:type="dxa"/>
            </w:tcMar>
          </w:tcPr>
          <w:p w14:paraId="13D57906"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4285A3D9" wp14:editId="1BEB82CB">
                  <wp:extent cx="171450" cy="28575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20"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7F909B8A"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sz w:val="24"/>
                <w:szCs w:val="24"/>
                <w:lang w:val="en-GB"/>
              </w:rPr>
              <w:t>Sustainable advantage</w:t>
            </w:r>
          </w:p>
        </w:tc>
      </w:tr>
      <w:tr w:rsidR="00FB2F95" w14:paraId="7270F182" w14:textId="77777777">
        <w:trPr>
          <w:cantSplit/>
          <w:tblHeader/>
        </w:trPr>
        <w:tc>
          <w:tcPr>
            <w:tcW w:w="1560" w:type="dxa"/>
            <w:shd w:val="clear" w:color="auto" w:fill="auto"/>
            <w:tcMar>
              <w:top w:w="100" w:type="dxa"/>
              <w:left w:w="100" w:type="dxa"/>
              <w:bottom w:w="100" w:type="dxa"/>
              <w:right w:w="100" w:type="dxa"/>
            </w:tcMar>
          </w:tcPr>
          <w:p w14:paraId="064DBBFA"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Marketing </w:t>
            </w:r>
          </w:p>
        </w:tc>
        <w:tc>
          <w:tcPr>
            <w:tcW w:w="1560" w:type="dxa"/>
            <w:shd w:val="clear" w:color="auto" w:fill="auto"/>
            <w:tcMar>
              <w:top w:w="100" w:type="dxa"/>
              <w:left w:w="100" w:type="dxa"/>
              <w:bottom w:w="100" w:type="dxa"/>
              <w:right w:w="100" w:type="dxa"/>
            </w:tcMar>
          </w:tcPr>
          <w:p w14:paraId="6F3127C1"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350559BF" wp14:editId="2950D07A">
                  <wp:extent cx="171450" cy="28575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11"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4BCF1152"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1C5A94DD" wp14:editId="5A0DB322">
                  <wp:extent cx="171450" cy="285750"/>
                  <wp:effectExtent l="0" t="0" r="0" b="0"/>
                  <wp:docPr id="25" name="image2.png"/>
                  <wp:cNvGraphicFramePr/>
                  <a:graphic xmlns:a="http://schemas.openxmlformats.org/drawingml/2006/main">
                    <a:graphicData uri="http://schemas.openxmlformats.org/drawingml/2006/picture">
                      <pic:pic xmlns:pic="http://schemas.openxmlformats.org/drawingml/2006/picture">
                        <pic:nvPicPr>
                          <pic:cNvPr id="25"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61D85A84"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5A9DF8D1" wp14:editId="795F3F1E">
                  <wp:extent cx="171450" cy="28575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12"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2025" w:type="dxa"/>
            <w:shd w:val="clear" w:color="auto" w:fill="auto"/>
            <w:tcMar>
              <w:top w:w="100" w:type="dxa"/>
              <w:left w:w="100" w:type="dxa"/>
              <w:bottom w:w="100" w:type="dxa"/>
              <w:right w:w="100" w:type="dxa"/>
            </w:tcMar>
          </w:tcPr>
          <w:p w14:paraId="44157117"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56054FE4" wp14:editId="24D6D08C">
                  <wp:extent cx="171450" cy="285750"/>
                  <wp:effectExtent l="0" t="0" r="0" b="0"/>
                  <wp:docPr id="34" name="image1.png"/>
                  <wp:cNvGraphicFramePr/>
                  <a:graphic xmlns:a="http://schemas.openxmlformats.org/drawingml/2006/main">
                    <a:graphicData uri="http://schemas.openxmlformats.org/drawingml/2006/picture">
                      <pic:pic xmlns:pic="http://schemas.openxmlformats.org/drawingml/2006/picture">
                        <pic:nvPicPr>
                          <pic:cNvPr id="34"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05A051DB"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sz w:val="24"/>
                <w:szCs w:val="24"/>
                <w:lang w:val="en-GB"/>
              </w:rPr>
              <w:t>Sustainable advantage</w:t>
            </w:r>
          </w:p>
        </w:tc>
      </w:tr>
      <w:tr w:rsidR="00FB2F95" w14:paraId="4EFE2EF5" w14:textId="77777777">
        <w:trPr>
          <w:cantSplit/>
          <w:tblHeader/>
        </w:trPr>
        <w:tc>
          <w:tcPr>
            <w:tcW w:w="1560" w:type="dxa"/>
            <w:shd w:val="clear" w:color="auto" w:fill="auto"/>
            <w:tcMar>
              <w:top w:w="100" w:type="dxa"/>
              <w:left w:w="100" w:type="dxa"/>
              <w:bottom w:w="100" w:type="dxa"/>
              <w:right w:w="100" w:type="dxa"/>
            </w:tcMar>
          </w:tcPr>
          <w:p w14:paraId="71EDF5D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Product qualities</w:t>
            </w:r>
          </w:p>
        </w:tc>
        <w:tc>
          <w:tcPr>
            <w:tcW w:w="1560" w:type="dxa"/>
            <w:shd w:val="clear" w:color="auto" w:fill="auto"/>
            <w:tcMar>
              <w:top w:w="100" w:type="dxa"/>
              <w:left w:w="100" w:type="dxa"/>
              <w:bottom w:w="100" w:type="dxa"/>
              <w:right w:w="100" w:type="dxa"/>
            </w:tcMar>
          </w:tcPr>
          <w:p w14:paraId="50FD55C8"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600B41DB" wp14:editId="2AEA54D6">
                  <wp:extent cx="171450" cy="285750"/>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24"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21D0AC4E"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7AC56D41" wp14:editId="02FD5CD0">
                  <wp:extent cx="171450" cy="285750"/>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27"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5D6EED39"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4CDE5753" wp14:editId="08C8FB1A">
                  <wp:extent cx="171450" cy="2857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2025" w:type="dxa"/>
            <w:shd w:val="clear" w:color="auto" w:fill="auto"/>
            <w:tcMar>
              <w:top w:w="100" w:type="dxa"/>
              <w:left w:w="100" w:type="dxa"/>
              <w:bottom w:w="100" w:type="dxa"/>
              <w:right w:w="100" w:type="dxa"/>
            </w:tcMar>
          </w:tcPr>
          <w:p w14:paraId="038F8917"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155C6CD" wp14:editId="72B85C58">
                  <wp:extent cx="171450" cy="285750"/>
                  <wp:effectExtent l="0" t="0" r="0" b="0"/>
                  <wp:docPr id="31" name="image1.png"/>
                  <wp:cNvGraphicFramePr/>
                  <a:graphic xmlns:a="http://schemas.openxmlformats.org/drawingml/2006/main">
                    <a:graphicData uri="http://schemas.openxmlformats.org/drawingml/2006/picture">
                      <pic:pic xmlns:pic="http://schemas.openxmlformats.org/drawingml/2006/picture">
                        <pic:nvPicPr>
                          <pic:cNvPr id="31"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348AE19E"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sz w:val="24"/>
                <w:szCs w:val="24"/>
                <w:lang w:val="en-GB"/>
              </w:rPr>
              <w:t>Sustainable advantage</w:t>
            </w:r>
          </w:p>
        </w:tc>
      </w:tr>
      <w:tr w:rsidR="00FB2F95" w14:paraId="58400D02" w14:textId="77777777">
        <w:trPr>
          <w:cantSplit/>
          <w:tblHeader/>
        </w:trPr>
        <w:tc>
          <w:tcPr>
            <w:tcW w:w="1560" w:type="dxa"/>
            <w:shd w:val="clear" w:color="auto" w:fill="auto"/>
            <w:tcMar>
              <w:top w:w="100" w:type="dxa"/>
              <w:left w:w="100" w:type="dxa"/>
              <w:bottom w:w="100" w:type="dxa"/>
              <w:right w:w="100" w:type="dxa"/>
            </w:tcMar>
          </w:tcPr>
          <w:p w14:paraId="085C4E90"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Product ranges</w:t>
            </w:r>
          </w:p>
        </w:tc>
        <w:tc>
          <w:tcPr>
            <w:tcW w:w="1560" w:type="dxa"/>
            <w:shd w:val="clear" w:color="auto" w:fill="auto"/>
            <w:tcMar>
              <w:top w:w="100" w:type="dxa"/>
              <w:left w:w="100" w:type="dxa"/>
              <w:bottom w:w="100" w:type="dxa"/>
              <w:right w:w="100" w:type="dxa"/>
            </w:tcMar>
          </w:tcPr>
          <w:p w14:paraId="583EB0D2"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5BB8CD0" wp14:editId="2715D02B">
                  <wp:extent cx="171450" cy="28575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78123F34"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0ADFDBD7" wp14:editId="49016EE4">
                  <wp:extent cx="171450" cy="285750"/>
                  <wp:effectExtent l="0" t="0" r="0" b="0"/>
                  <wp:docPr id="29" name="image2.png"/>
                  <wp:cNvGraphicFramePr/>
                  <a:graphic xmlns:a="http://schemas.openxmlformats.org/drawingml/2006/main">
                    <a:graphicData uri="http://schemas.openxmlformats.org/drawingml/2006/picture">
                      <pic:pic xmlns:pic="http://schemas.openxmlformats.org/drawingml/2006/picture">
                        <pic:nvPicPr>
                          <pic:cNvPr id="29"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6F0FA2B4"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57080BF9" wp14:editId="6AC045EB">
                  <wp:extent cx="171450" cy="28575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14"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2025" w:type="dxa"/>
            <w:shd w:val="clear" w:color="auto" w:fill="auto"/>
            <w:tcMar>
              <w:top w:w="100" w:type="dxa"/>
              <w:left w:w="100" w:type="dxa"/>
              <w:bottom w:w="100" w:type="dxa"/>
              <w:right w:w="100" w:type="dxa"/>
            </w:tcMar>
          </w:tcPr>
          <w:p w14:paraId="45E1B41F"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6D4728E0" wp14:editId="5DF817C7">
                  <wp:extent cx="171450" cy="28575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7EC7F647"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sz w:val="24"/>
                <w:szCs w:val="24"/>
                <w:lang w:val="en-GB"/>
              </w:rPr>
              <w:t>Sustainable advantage</w:t>
            </w:r>
          </w:p>
        </w:tc>
      </w:tr>
      <w:tr w:rsidR="00FB2F95" w14:paraId="484E5405" w14:textId="77777777">
        <w:trPr>
          <w:cantSplit/>
          <w:tblHeader/>
        </w:trPr>
        <w:tc>
          <w:tcPr>
            <w:tcW w:w="1560" w:type="dxa"/>
            <w:shd w:val="clear" w:color="auto" w:fill="auto"/>
            <w:tcMar>
              <w:top w:w="100" w:type="dxa"/>
              <w:left w:w="100" w:type="dxa"/>
              <w:bottom w:w="100" w:type="dxa"/>
              <w:right w:w="100" w:type="dxa"/>
            </w:tcMar>
          </w:tcPr>
          <w:p w14:paraId="2C3FF24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Talented HR</w:t>
            </w:r>
          </w:p>
        </w:tc>
        <w:tc>
          <w:tcPr>
            <w:tcW w:w="1560" w:type="dxa"/>
            <w:shd w:val="clear" w:color="auto" w:fill="auto"/>
            <w:tcMar>
              <w:top w:w="100" w:type="dxa"/>
              <w:left w:w="100" w:type="dxa"/>
              <w:bottom w:w="100" w:type="dxa"/>
              <w:right w:w="100" w:type="dxa"/>
            </w:tcMar>
          </w:tcPr>
          <w:p w14:paraId="2C3F2F05"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11B5179F" wp14:editId="6B57D892">
                  <wp:extent cx="171450" cy="285750"/>
                  <wp:effectExtent l="0" t="0" r="0" b="0"/>
                  <wp:docPr id="26" name="image3.png"/>
                  <wp:cNvGraphicFramePr/>
                  <a:graphic xmlns:a="http://schemas.openxmlformats.org/drawingml/2006/main">
                    <a:graphicData uri="http://schemas.openxmlformats.org/drawingml/2006/picture">
                      <pic:pic xmlns:pic="http://schemas.openxmlformats.org/drawingml/2006/picture">
                        <pic:nvPicPr>
                          <pic:cNvPr id="26" name="image3.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0EFB8B64"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241C4084" wp14:editId="6AE3DBF2">
                  <wp:extent cx="171450" cy="285750"/>
                  <wp:effectExtent l="0" t="0" r="0" b="0"/>
                  <wp:docPr id="32" name="image2.png"/>
                  <wp:cNvGraphicFramePr/>
                  <a:graphic xmlns:a="http://schemas.openxmlformats.org/drawingml/2006/main">
                    <a:graphicData uri="http://schemas.openxmlformats.org/drawingml/2006/picture">
                      <pic:pic xmlns:pic="http://schemas.openxmlformats.org/drawingml/2006/picture">
                        <pic:nvPicPr>
                          <pic:cNvPr id="32" name="image2.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631F341F"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4279C481" wp14:editId="547470CA">
                  <wp:extent cx="171450" cy="285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2025" w:type="dxa"/>
            <w:shd w:val="clear" w:color="auto" w:fill="auto"/>
            <w:tcMar>
              <w:top w:w="100" w:type="dxa"/>
              <w:left w:w="100" w:type="dxa"/>
              <w:bottom w:w="100" w:type="dxa"/>
              <w:right w:w="100" w:type="dxa"/>
            </w:tcMar>
          </w:tcPr>
          <w:p w14:paraId="3F1F7D53"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noProof/>
                <w:sz w:val="24"/>
                <w:szCs w:val="24"/>
              </w:rPr>
              <w:drawing>
                <wp:inline distT="114300" distB="114300" distL="114300" distR="114300" wp14:anchorId="1217CCC1" wp14:editId="3616B3A6">
                  <wp:extent cx="171450" cy="28575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0"/>
                          <a:stretch>
                            <a:fillRect/>
                          </a:stretch>
                        </pic:blipFill>
                        <pic:spPr>
                          <a:xfrm>
                            <a:off x="0" y="0"/>
                            <a:ext cx="171450" cy="285750"/>
                          </a:xfrm>
                          <a:prstGeom prst="rect">
                            <a:avLst/>
                          </a:prstGeom>
                        </pic:spPr>
                      </pic:pic>
                    </a:graphicData>
                  </a:graphic>
                </wp:inline>
              </w:drawing>
            </w:r>
          </w:p>
        </w:tc>
        <w:tc>
          <w:tcPr>
            <w:tcW w:w="1560" w:type="dxa"/>
            <w:shd w:val="clear" w:color="auto" w:fill="auto"/>
            <w:tcMar>
              <w:top w:w="100" w:type="dxa"/>
              <w:left w:w="100" w:type="dxa"/>
              <w:bottom w:w="100" w:type="dxa"/>
              <w:right w:w="100" w:type="dxa"/>
            </w:tcMar>
          </w:tcPr>
          <w:p w14:paraId="3617C0D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Competitive parity</w:t>
            </w:r>
          </w:p>
        </w:tc>
      </w:tr>
    </w:tbl>
    <w:p w14:paraId="7FFA2213" w14:textId="77777777" w:rsidR="00A57F4B" w:rsidRPr="0083383E" w:rsidRDefault="00A57F4B" w:rsidP="00A91882">
      <w:pPr>
        <w:pStyle w:val="Normal1"/>
        <w:spacing w:line="360" w:lineRule="auto"/>
        <w:jc w:val="both"/>
        <w:rPr>
          <w:rFonts w:ascii="Times New Roman" w:eastAsia="Times New Roman" w:hAnsi="Times New Roman" w:cs="Times New Roman"/>
          <w:b/>
          <w:i/>
          <w:sz w:val="24"/>
          <w:szCs w:val="24"/>
          <w:lang w:val="en-GB"/>
        </w:rPr>
      </w:pPr>
    </w:p>
    <w:p w14:paraId="39FA2013" w14:textId="77777777" w:rsidR="00A57F4B" w:rsidRPr="0083383E" w:rsidRDefault="002F24DE" w:rsidP="00A91882">
      <w:pPr>
        <w:pStyle w:val="Normal1"/>
        <w:spacing w:line="360" w:lineRule="auto"/>
        <w:jc w:val="center"/>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Table 1: VRIO analysis of consumer electronics-based industry in the UK</w:t>
      </w:r>
    </w:p>
    <w:p w14:paraId="4BAD4567"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(Source: Self-developed)</w:t>
      </w:r>
    </w:p>
    <w:p w14:paraId="514C6BB7"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As per the above analysis, the supply chains-based process and the bargaining powers of the consumer electronics market in the UK meet competitive parity in terms of values, rarity, and </w:t>
      </w:r>
      <w:r w:rsidRPr="0083383E">
        <w:rPr>
          <w:rFonts w:ascii="Times New Roman" w:eastAsia="Times New Roman" w:hAnsi="Times New Roman" w:cs="Times New Roman"/>
          <w:sz w:val="24"/>
          <w:szCs w:val="24"/>
          <w:lang w:val="en-GB"/>
        </w:rPr>
        <w:lastRenderedPageBreak/>
        <w:t>organization-based criteria. On the other hand, the inventory management process, marketing, brand equities, product-based qualities, and ranges meet sustainable merits-based criteria in terms of all the variables of the VRIO. Revenue-based base in the consumer electronics market which is expected to</w:t>
      </w:r>
      <w:r w:rsidR="00C92738">
        <w:rPr>
          <w:rFonts w:ascii="Times New Roman" w:eastAsia="Times New Roman" w:hAnsi="Times New Roman" w:cs="Times New Roman"/>
          <w:sz w:val="24"/>
          <w:szCs w:val="24"/>
          <w:lang w:val="en-GB"/>
        </w:rPr>
        <w:t xml:space="preserve"> grow by 0.</w:t>
      </w:r>
      <w:r w:rsidRPr="0083383E">
        <w:rPr>
          <w:rFonts w:ascii="Times New Roman" w:eastAsia="Times New Roman" w:hAnsi="Times New Roman" w:cs="Times New Roman"/>
          <w:sz w:val="24"/>
          <w:szCs w:val="24"/>
          <w:lang w:val="en-GB"/>
        </w:rPr>
        <w:t>47% has stood at 33.5 billion dollars in 2023 (Statista.com</w:t>
      </w:r>
      <w:r w:rsidRPr="0083383E">
        <w:rPr>
          <w:rFonts w:ascii="Times New Roman" w:eastAsia="Times New Roman" w:hAnsi="Times New Roman" w:cs="Times New Roman"/>
          <w:sz w:val="24"/>
          <w:szCs w:val="24"/>
          <w:highlight w:val="white"/>
          <w:lang w:val="en-GB"/>
        </w:rPr>
        <w:t xml:space="preserve"> 2023</w:t>
      </w:r>
      <w:r w:rsidRPr="0083383E">
        <w:rPr>
          <w:rFonts w:ascii="Times New Roman" w:eastAsia="Times New Roman" w:hAnsi="Times New Roman" w:cs="Times New Roman"/>
          <w:sz w:val="24"/>
          <w:szCs w:val="24"/>
          <w:lang w:val="en-GB"/>
        </w:rPr>
        <w:t xml:space="preserve">). The aspect can be linked to the analysis Talented HR-based aspects of the markets also meet all the criteria of the analysis in terms of competitive parity. </w:t>
      </w:r>
    </w:p>
    <w:p w14:paraId="7BCD2983"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Porter’s five forces-based </w:t>
      </w:r>
      <w:r w:rsidR="00C92738">
        <w:rPr>
          <w:rFonts w:ascii="Times New Roman" w:eastAsia="Times New Roman" w:hAnsi="Times New Roman" w:cs="Times New Roman"/>
          <w:b/>
          <w:i/>
          <w:sz w:val="24"/>
          <w:szCs w:val="24"/>
          <w:lang w:val="en-GB"/>
        </w:rPr>
        <w:t>analysi</w:t>
      </w:r>
      <w:r w:rsidR="00C92738" w:rsidRPr="0083383E">
        <w:rPr>
          <w:rFonts w:ascii="Times New Roman" w:eastAsia="Times New Roman" w:hAnsi="Times New Roman" w:cs="Times New Roman"/>
          <w:b/>
          <w:i/>
          <w:sz w:val="24"/>
          <w:szCs w:val="24"/>
          <w:lang w:val="en-GB"/>
        </w:rPr>
        <w:t>s</w:t>
      </w:r>
    </w:p>
    <w:p w14:paraId="08BE8539" w14:textId="321BBFE5"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lang w:val="en-GB"/>
        </w:rPr>
        <w:t xml:space="preserve">Bargaining power connected with the buyers- </w:t>
      </w:r>
      <w:r w:rsidRPr="0083383E">
        <w:rPr>
          <w:rFonts w:ascii="Times New Roman" w:eastAsia="Times New Roman" w:hAnsi="Times New Roman" w:cs="Times New Roman"/>
          <w:sz w:val="24"/>
          <w:szCs w:val="24"/>
          <w:lang w:val="en-GB"/>
        </w:rPr>
        <w:t xml:space="preserve">Bargaining power associated with the buyers in the consumer electronics-based market in the UK based on </w:t>
      </w:r>
      <w:r w:rsidRPr="0083383E">
        <w:rPr>
          <w:rFonts w:ascii="Times New Roman" w:eastAsia="Times New Roman" w:hAnsi="Times New Roman" w:cs="Times New Roman"/>
          <w:b/>
          <w:sz w:val="24"/>
          <w:szCs w:val="24"/>
          <w:lang w:val="en-GB"/>
        </w:rPr>
        <w:t>demographic targeting and positioning of customers-based business</w:t>
      </w:r>
      <w:r w:rsidRPr="0083383E">
        <w:rPr>
          <w:rFonts w:ascii="Times New Roman" w:eastAsia="Times New Roman" w:hAnsi="Times New Roman" w:cs="Times New Roman"/>
          <w:sz w:val="24"/>
          <w:szCs w:val="24"/>
          <w:lang w:val="en-GB"/>
        </w:rPr>
        <w:t xml:space="preserve"> is quite high. </w:t>
      </w:r>
      <w:r w:rsidR="00A91882">
        <w:rPr>
          <w:rFonts w:ascii="Times New Roman" w:eastAsia="Times New Roman" w:hAnsi="Times New Roman" w:cs="Times New Roman"/>
          <w:sz w:val="24"/>
          <w:szCs w:val="24"/>
          <w:lang w:val="en-GB"/>
        </w:rPr>
        <w:t xml:space="preserve">The reason for this high bargaining power linked to the buyers is </w:t>
      </w:r>
      <w:r w:rsidR="00675016">
        <w:rPr>
          <w:rFonts w:ascii="Times New Roman" w:eastAsia="Times New Roman" w:hAnsi="Times New Roman" w:cs="Times New Roman"/>
          <w:sz w:val="24"/>
          <w:szCs w:val="24"/>
          <w:lang w:val="en-GB"/>
        </w:rPr>
        <w:t xml:space="preserve">the </w:t>
      </w:r>
      <w:r w:rsidR="00A91882">
        <w:rPr>
          <w:rFonts w:ascii="Times New Roman" w:eastAsia="Times New Roman" w:hAnsi="Times New Roman" w:cs="Times New Roman"/>
          <w:sz w:val="24"/>
          <w:szCs w:val="24"/>
          <w:lang w:val="en-GB"/>
        </w:rPr>
        <w:t>presence of low switching costs in the market (</w:t>
      </w:r>
      <w:r w:rsidR="00A91882">
        <w:rPr>
          <w:rFonts w:ascii="Times New Roman" w:hAnsi="Times New Roman" w:cs="Times New Roman"/>
          <w:sz w:val="24"/>
          <w:szCs w:val="24"/>
          <w:shd w:val="clear" w:color="auto" w:fill="FFFFFF"/>
        </w:rPr>
        <w:t>T</w:t>
      </w:r>
      <w:r w:rsidR="00A91882" w:rsidRPr="00A91882">
        <w:rPr>
          <w:rFonts w:ascii="Times New Roman" w:hAnsi="Times New Roman" w:cs="Times New Roman"/>
          <w:sz w:val="24"/>
          <w:szCs w:val="24"/>
          <w:shd w:val="clear" w:color="auto" w:fill="FFFFFF"/>
        </w:rPr>
        <w:t>ipalti.com</w:t>
      </w:r>
      <w:r w:rsidR="00474A0D">
        <w:rPr>
          <w:rFonts w:ascii="Times New Roman" w:hAnsi="Times New Roman" w:cs="Times New Roman"/>
          <w:i/>
          <w:sz w:val="24"/>
          <w:szCs w:val="24"/>
          <w:shd w:val="clear" w:color="auto" w:fill="FFFFFF"/>
        </w:rPr>
        <w:t xml:space="preserve"> </w:t>
      </w:r>
      <w:r w:rsidR="00A91882" w:rsidRPr="00A91882">
        <w:rPr>
          <w:rFonts w:ascii="Times New Roman" w:hAnsi="Times New Roman" w:cs="Times New Roman"/>
          <w:sz w:val="24"/>
          <w:szCs w:val="24"/>
          <w:shd w:val="clear" w:color="auto" w:fill="FFFFFF"/>
        </w:rPr>
        <w:t>2023</w:t>
      </w:r>
      <w:r w:rsidR="00A91882">
        <w:rPr>
          <w:rFonts w:ascii="Times New Roman" w:hAnsi="Times New Roman" w:cs="Times New Roman"/>
          <w:sz w:val="24"/>
          <w:szCs w:val="24"/>
          <w:shd w:val="clear" w:color="auto" w:fill="FFFFFF"/>
        </w:rPr>
        <w:t>).</w:t>
      </w:r>
      <w:r w:rsidRPr="0083383E">
        <w:rPr>
          <w:rFonts w:ascii="Times New Roman" w:eastAsia="Times New Roman" w:hAnsi="Times New Roman" w:cs="Times New Roman"/>
          <w:sz w:val="24"/>
          <w:szCs w:val="24"/>
          <w:lang w:val="en-GB"/>
        </w:rPr>
        <w:t xml:space="preserve"> Therefore, it is difficult for most businesses to meet the demands of consumers in varied manners. </w:t>
      </w:r>
    </w:p>
    <w:p w14:paraId="10098E23" w14:textId="5D6E7468"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lang w:val="en-GB"/>
        </w:rPr>
        <w:t xml:space="preserve">Bargaining power connected with the sellers- </w:t>
      </w:r>
      <w:r w:rsidRPr="0083383E">
        <w:rPr>
          <w:rFonts w:ascii="Times New Roman" w:eastAsia="Times New Roman" w:hAnsi="Times New Roman" w:cs="Times New Roman"/>
          <w:sz w:val="24"/>
          <w:szCs w:val="24"/>
          <w:lang w:val="en-GB"/>
        </w:rPr>
        <w:t xml:space="preserve">Bargaining power associated with the sellers in the market is quite low which makes the business </w:t>
      </w:r>
      <w:proofErr w:type="gramStart"/>
      <w:r w:rsidR="00497D36">
        <w:rPr>
          <w:rFonts w:ascii="Times New Roman" w:eastAsia="Times New Roman" w:hAnsi="Times New Roman" w:cs="Times New Roman"/>
          <w:sz w:val="24"/>
          <w:szCs w:val="24"/>
          <w:lang w:val="en-GB"/>
        </w:rPr>
        <w:t>weak</w:t>
      </w:r>
      <w:proofErr w:type="gramEnd"/>
      <w:r w:rsidRPr="0083383E">
        <w:rPr>
          <w:rFonts w:ascii="Times New Roman" w:eastAsia="Times New Roman" w:hAnsi="Times New Roman" w:cs="Times New Roman"/>
          <w:sz w:val="24"/>
          <w:szCs w:val="24"/>
          <w:lang w:val="en-GB"/>
        </w:rPr>
        <w:t xml:space="preserve"> in terms of lags in supply chain-based networks of the business based on the segmentation and positioning process</w:t>
      </w:r>
      <w:r w:rsidR="008A37BF">
        <w:rPr>
          <w:rFonts w:ascii="Times New Roman" w:eastAsia="Times New Roman" w:hAnsi="Times New Roman" w:cs="Times New Roman"/>
          <w:sz w:val="24"/>
          <w:szCs w:val="24"/>
          <w:lang w:val="en-GB"/>
        </w:rPr>
        <w:t xml:space="preserve">. </w:t>
      </w:r>
      <w:r w:rsidR="00497D36">
        <w:rPr>
          <w:rFonts w:ascii="Times New Roman" w:eastAsia="Times New Roman" w:hAnsi="Times New Roman" w:cs="Times New Roman"/>
          <w:sz w:val="24"/>
          <w:szCs w:val="24"/>
          <w:lang w:val="en-GB"/>
        </w:rPr>
        <w:t>The low</w:t>
      </w:r>
      <w:r w:rsidR="008A37BF">
        <w:rPr>
          <w:rFonts w:ascii="Times New Roman" w:eastAsia="Times New Roman" w:hAnsi="Times New Roman" w:cs="Times New Roman"/>
          <w:sz w:val="24"/>
          <w:szCs w:val="24"/>
          <w:lang w:val="en-GB"/>
        </w:rPr>
        <w:t xml:space="preserve"> bargaining power of sellers can be linked to low product differentiation-based criteria in the market (</w:t>
      </w:r>
      <w:r w:rsidR="00474A0D">
        <w:rPr>
          <w:rFonts w:ascii="Times New Roman" w:hAnsi="Times New Roman" w:cs="Times New Roman"/>
          <w:sz w:val="24"/>
          <w:szCs w:val="24"/>
        </w:rPr>
        <w:t>Ivan</w:t>
      </w:r>
      <w:r w:rsidR="008A37BF">
        <w:rPr>
          <w:rFonts w:ascii="Times New Roman" w:hAnsi="Times New Roman" w:cs="Times New Roman"/>
          <w:sz w:val="24"/>
          <w:szCs w:val="24"/>
        </w:rPr>
        <w:t xml:space="preserve"> 2023). </w:t>
      </w:r>
    </w:p>
    <w:p w14:paraId="599E918E" w14:textId="2EF3D2EC" w:rsidR="00A57F4B" w:rsidRPr="0083383E" w:rsidRDefault="00497D36" w:rsidP="00A9188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The threat</w:t>
      </w:r>
      <w:r w:rsidR="002F24DE" w:rsidRPr="0083383E">
        <w:rPr>
          <w:rFonts w:ascii="Times New Roman" w:eastAsia="Times New Roman" w:hAnsi="Times New Roman" w:cs="Times New Roman"/>
          <w:b/>
          <w:sz w:val="24"/>
          <w:szCs w:val="24"/>
          <w:lang w:val="en-GB"/>
        </w:rPr>
        <w:t xml:space="preserve"> of competition- </w:t>
      </w:r>
      <w:r w:rsidR="002F24DE" w:rsidRPr="0083383E">
        <w:rPr>
          <w:rFonts w:ascii="Times New Roman" w:eastAsia="Times New Roman" w:hAnsi="Times New Roman" w:cs="Times New Roman"/>
          <w:sz w:val="24"/>
          <w:szCs w:val="24"/>
          <w:lang w:val="en-GB"/>
        </w:rPr>
        <w:t xml:space="preserve">Rivalry or competition among the presently existing firms is high in the market. </w:t>
      </w:r>
      <w:r w:rsidR="00E8104B">
        <w:rPr>
          <w:rFonts w:ascii="Times New Roman" w:eastAsia="Times New Roman" w:hAnsi="Times New Roman" w:cs="Times New Roman"/>
          <w:sz w:val="24"/>
          <w:szCs w:val="24"/>
          <w:lang w:val="en-GB"/>
        </w:rPr>
        <w:t>The presence</w:t>
      </w:r>
      <w:r w:rsidR="008A37BF">
        <w:rPr>
          <w:rFonts w:ascii="Times New Roman" w:eastAsia="Times New Roman" w:hAnsi="Times New Roman" w:cs="Times New Roman"/>
          <w:sz w:val="24"/>
          <w:szCs w:val="24"/>
          <w:lang w:val="en-GB"/>
        </w:rPr>
        <w:t xml:space="preserve"> of numerous competitors is linked to its high competition-based intensities in the market </w:t>
      </w:r>
      <w:r w:rsidR="008A37BF" w:rsidRPr="008A37BF">
        <w:rPr>
          <w:rFonts w:ascii="Times New Roman" w:eastAsia="Times New Roman" w:hAnsi="Times New Roman" w:cs="Times New Roman"/>
          <w:sz w:val="24"/>
          <w:szCs w:val="24"/>
          <w:lang w:val="en-GB"/>
        </w:rPr>
        <w:t>(</w:t>
      </w:r>
      <w:r w:rsidR="008A37BF" w:rsidRPr="008A37BF">
        <w:rPr>
          <w:rFonts w:ascii="Times New Roman" w:hAnsi="Times New Roman" w:cs="Times New Roman"/>
          <w:sz w:val="24"/>
          <w:szCs w:val="24"/>
        </w:rPr>
        <w:t>Learn.marsdd.com</w:t>
      </w:r>
      <w:r w:rsidR="00474A0D">
        <w:rPr>
          <w:rFonts w:ascii="Times New Roman" w:hAnsi="Times New Roman" w:cs="Times New Roman"/>
          <w:bCs/>
          <w:color w:val="000000"/>
          <w:sz w:val="24"/>
          <w:szCs w:val="24"/>
        </w:rPr>
        <w:t xml:space="preserve"> </w:t>
      </w:r>
      <w:r w:rsidR="008A37BF" w:rsidRPr="008A37BF">
        <w:rPr>
          <w:rFonts w:ascii="Times New Roman" w:hAnsi="Times New Roman" w:cs="Times New Roman"/>
          <w:bCs/>
          <w:color w:val="000000"/>
          <w:sz w:val="24"/>
          <w:szCs w:val="24"/>
        </w:rPr>
        <w:t>2023).</w:t>
      </w:r>
      <w:r w:rsidR="008A37BF">
        <w:rPr>
          <w:rFonts w:cs="Times New Roman"/>
          <w:bCs/>
          <w:color w:val="000000"/>
          <w:sz w:val="24"/>
          <w:szCs w:val="24"/>
        </w:rPr>
        <w:t xml:space="preserve"> </w:t>
      </w:r>
      <w:r w:rsidR="002F24DE" w:rsidRPr="0083383E">
        <w:rPr>
          <w:rFonts w:ascii="Times New Roman" w:eastAsia="Times New Roman" w:hAnsi="Times New Roman" w:cs="Times New Roman"/>
          <w:sz w:val="24"/>
          <w:szCs w:val="24"/>
          <w:lang w:val="en-GB"/>
        </w:rPr>
        <w:t xml:space="preserve">This creates an intense scope of advancements in the development of marketing processes linked to the industry. </w:t>
      </w:r>
    </w:p>
    <w:p w14:paraId="3342E14F" w14:textId="2FA1493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lang w:val="en-GB"/>
        </w:rPr>
        <w:t xml:space="preserve">Threat of substitutes- </w:t>
      </w:r>
      <w:r w:rsidRPr="0083383E">
        <w:rPr>
          <w:rFonts w:ascii="Times New Roman" w:eastAsia="Times New Roman" w:hAnsi="Times New Roman" w:cs="Times New Roman"/>
          <w:sz w:val="24"/>
          <w:szCs w:val="24"/>
          <w:lang w:val="en-GB"/>
        </w:rPr>
        <w:t>Threats associated with substitute products are high in the market making it difficult for the business to diversify its production operations.</w:t>
      </w:r>
      <w:r w:rsidR="00474A0D">
        <w:rPr>
          <w:rFonts w:ascii="Times New Roman" w:eastAsia="Times New Roman" w:hAnsi="Times New Roman" w:cs="Times New Roman"/>
          <w:sz w:val="24"/>
          <w:szCs w:val="24"/>
          <w:lang w:val="en-GB"/>
        </w:rPr>
        <w:t xml:space="preserve"> </w:t>
      </w:r>
      <w:r w:rsidR="00E8104B">
        <w:rPr>
          <w:rFonts w:ascii="Times New Roman" w:eastAsia="Times New Roman" w:hAnsi="Times New Roman" w:cs="Times New Roman"/>
          <w:sz w:val="24"/>
          <w:szCs w:val="24"/>
          <w:lang w:val="en-GB"/>
        </w:rPr>
        <w:t>The offering</w:t>
      </w:r>
      <w:r w:rsidR="00474A0D">
        <w:rPr>
          <w:rFonts w:ascii="Times New Roman" w:eastAsia="Times New Roman" w:hAnsi="Times New Roman" w:cs="Times New Roman"/>
          <w:sz w:val="24"/>
          <w:szCs w:val="24"/>
          <w:lang w:val="en-GB"/>
        </w:rPr>
        <w:t xml:space="preserve"> of cheaper budgeted products by rivals can be cited as the main cause for greater threats from substitutes in the market </w:t>
      </w:r>
      <w:r w:rsidR="00474A0D" w:rsidRPr="00474A0D">
        <w:rPr>
          <w:rFonts w:ascii="Times New Roman" w:eastAsia="Times New Roman" w:hAnsi="Times New Roman" w:cs="Times New Roman"/>
          <w:sz w:val="24"/>
          <w:szCs w:val="24"/>
          <w:lang w:val="en-GB"/>
        </w:rPr>
        <w:t>(</w:t>
      </w:r>
      <w:r w:rsidR="00474A0D" w:rsidRPr="00474A0D">
        <w:rPr>
          <w:rFonts w:ascii="Times New Roman" w:hAnsi="Times New Roman" w:cs="Times New Roman"/>
          <w:sz w:val="24"/>
          <w:szCs w:val="24"/>
        </w:rPr>
        <w:t>Liu.cwp.libguides.com</w:t>
      </w:r>
      <w:r w:rsidR="00474A0D" w:rsidRPr="00474A0D">
        <w:rPr>
          <w:rFonts w:ascii="Times New Roman" w:hAnsi="Times New Roman" w:cs="Times New Roman"/>
          <w:bCs/>
          <w:color w:val="000000"/>
          <w:sz w:val="24"/>
          <w:szCs w:val="24"/>
        </w:rPr>
        <w:t xml:space="preserve"> 2022)</w:t>
      </w:r>
    </w:p>
    <w:p w14:paraId="27CA5CAE" w14:textId="4ECC96DE" w:rsidR="00DB44BC"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lang w:val="en-GB"/>
        </w:rPr>
        <w:t xml:space="preserve">Threats of new market entrants- </w:t>
      </w:r>
      <w:r w:rsidRPr="0083383E">
        <w:rPr>
          <w:rFonts w:ascii="Times New Roman" w:eastAsia="Times New Roman" w:hAnsi="Times New Roman" w:cs="Times New Roman"/>
          <w:sz w:val="24"/>
          <w:szCs w:val="24"/>
          <w:lang w:val="en-GB"/>
        </w:rPr>
        <w:t>The threat associated with new entrant firms is quite low in the market creating chances of better business survival for the existing firms.</w:t>
      </w:r>
      <w:r w:rsidR="00DB44BC">
        <w:rPr>
          <w:rFonts w:ascii="Times New Roman" w:eastAsia="Times New Roman" w:hAnsi="Times New Roman" w:cs="Times New Roman"/>
          <w:sz w:val="24"/>
          <w:szCs w:val="24"/>
          <w:lang w:val="en-GB"/>
        </w:rPr>
        <w:t xml:space="preserve"> </w:t>
      </w:r>
      <w:r w:rsidR="00E8104B">
        <w:rPr>
          <w:rFonts w:ascii="Times New Roman" w:eastAsia="Times New Roman" w:hAnsi="Times New Roman" w:cs="Times New Roman"/>
          <w:sz w:val="24"/>
          <w:szCs w:val="24"/>
          <w:lang w:val="en-GB"/>
        </w:rPr>
        <w:t>A greater</w:t>
      </w:r>
      <w:r w:rsidR="00DB44BC">
        <w:rPr>
          <w:rFonts w:ascii="Times New Roman" w:eastAsia="Times New Roman" w:hAnsi="Times New Roman" w:cs="Times New Roman"/>
          <w:sz w:val="24"/>
          <w:szCs w:val="24"/>
          <w:lang w:val="en-GB"/>
        </w:rPr>
        <w:t xml:space="preserve"> presence of brand loyalties in the existing businesses of the market can be linked to low threats from market-based entrants </w:t>
      </w:r>
      <w:r w:rsidR="00DB44BC" w:rsidRPr="00DB44BC">
        <w:rPr>
          <w:rFonts w:ascii="Times New Roman" w:eastAsia="Times New Roman" w:hAnsi="Times New Roman" w:cs="Times New Roman"/>
          <w:sz w:val="24"/>
          <w:szCs w:val="24"/>
          <w:lang w:val="en-GB"/>
        </w:rPr>
        <w:t>(</w:t>
      </w:r>
      <w:r w:rsidR="00DB44BC" w:rsidRPr="00DB44BC">
        <w:rPr>
          <w:rFonts w:ascii="Times New Roman" w:hAnsi="Times New Roman" w:cs="Times New Roman"/>
          <w:sz w:val="24"/>
          <w:szCs w:val="24"/>
          <w:shd w:val="clear" w:color="auto" w:fill="FFFFFF"/>
        </w:rPr>
        <w:t>Corporatefinanceinstitute.com.2023).</w:t>
      </w:r>
    </w:p>
    <w:p w14:paraId="195255E8" w14:textId="77777777" w:rsidR="003F5F5F" w:rsidRDefault="003F5F5F" w:rsidP="00A91882">
      <w:pPr>
        <w:pStyle w:val="Normal1"/>
        <w:spacing w:line="360" w:lineRule="auto"/>
        <w:jc w:val="both"/>
        <w:rPr>
          <w:rFonts w:ascii="Times New Roman" w:eastAsia="Times New Roman" w:hAnsi="Times New Roman" w:cs="Times New Roman"/>
          <w:sz w:val="24"/>
          <w:szCs w:val="24"/>
          <w:lang w:val="en-GB"/>
        </w:rPr>
      </w:pPr>
    </w:p>
    <w:p w14:paraId="53AEFB8C" w14:textId="77777777" w:rsidR="00E36D2C" w:rsidRPr="003F5F5F" w:rsidRDefault="00E36D2C" w:rsidP="00A91882">
      <w:pPr>
        <w:pStyle w:val="Normal1"/>
        <w:spacing w:line="360" w:lineRule="auto"/>
        <w:jc w:val="both"/>
        <w:rPr>
          <w:rFonts w:ascii="Times New Roman" w:eastAsia="Times New Roman" w:hAnsi="Times New Roman" w:cs="Times New Roman"/>
          <w:sz w:val="24"/>
          <w:szCs w:val="24"/>
          <w:lang w:val="en-GB"/>
        </w:rPr>
      </w:pPr>
    </w:p>
    <w:p w14:paraId="06B65ED4"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lastRenderedPageBreak/>
        <w:t>Competitors’</w:t>
      </w:r>
    </w:p>
    <w:p w14:paraId="67679B8C" w14:textId="77777777" w:rsidR="00322237" w:rsidRDefault="002F24DE" w:rsidP="00A91882">
      <w:pPr>
        <w:pStyle w:val="Normal1"/>
        <w:spacing w:line="360" w:lineRule="auto"/>
        <w:jc w:val="both"/>
        <w:rPr>
          <w:rFonts w:ascii="Times New Roman" w:eastAsia="Times New Roman" w:hAnsi="Times New Roman" w:cs="Times New Roman"/>
          <w:sz w:val="24"/>
          <w:szCs w:val="24"/>
          <w:highlight w:val="white"/>
          <w:lang w:val="en-GB"/>
        </w:rPr>
      </w:pPr>
      <w:r w:rsidRPr="0083383E">
        <w:rPr>
          <w:rFonts w:ascii="Times New Roman" w:eastAsia="Times New Roman" w:hAnsi="Times New Roman" w:cs="Times New Roman"/>
          <w:sz w:val="24"/>
          <w:szCs w:val="24"/>
          <w:lang w:val="en-GB"/>
        </w:rPr>
        <w:t>Competitive rivalry based on competitors such as</w:t>
      </w:r>
      <w:r w:rsidRPr="0083383E">
        <w:rPr>
          <w:rFonts w:ascii="Times New Roman" w:eastAsia="Times New Roman" w:hAnsi="Times New Roman" w:cs="Times New Roman"/>
          <w:b/>
          <w:sz w:val="24"/>
          <w:szCs w:val="24"/>
          <w:lang w:val="en-GB"/>
        </w:rPr>
        <w:t xml:space="preserve"> Knexus Verv Energy and other firms</w:t>
      </w:r>
      <w:r w:rsidRPr="0083383E">
        <w:rPr>
          <w:rFonts w:ascii="Times New Roman" w:eastAsia="Times New Roman" w:hAnsi="Times New Roman" w:cs="Times New Roman"/>
          <w:sz w:val="24"/>
          <w:szCs w:val="24"/>
          <w:lang w:val="en-GB"/>
        </w:rPr>
        <w:t xml:space="preserve"> in terms of production of </w:t>
      </w:r>
      <w:r w:rsidR="00C92738" w:rsidRPr="0083383E">
        <w:rPr>
          <w:rFonts w:ascii="Times New Roman" w:eastAsia="Times New Roman" w:hAnsi="Times New Roman" w:cs="Times New Roman"/>
          <w:sz w:val="24"/>
          <w:szCs w:val="24"/>
          <w:lang w:val="en-GB"/>
        </w:rPr>
        <w:t>electronics</w:t>
      </w:r>
      <w:r w:rsidRPr="0083383E">
        <w:rPr>
          <w:rFonts w:ascii="Times New Roman" w:eastAsia="Times New Roman" w:hAnsi="Times New Roman" w:cs="Times New Roman"/>
          <w:sz w:val="24"/>
          <w:szCs w:val="24"/>
          <w:lang w:val="en-GB"/>
        </w:rPr>
        <w:t>-based products which are distinctly different from existing in the industry can pose threats to the new business venture to be set up in the UK. 43% of the gross revenues of the UK-based consumer electronics industry is generated from digital sales-based operations (Statista.com</w:t>
      </w:r>
      <w:r w:rsidRPr="0083383E">
        <w:rPr>
          <w:rFonts w:ascii="Times New Roman" w:eastAsia="Times New Roman" w:hAnsi="Times New Roman" w:cs="Times New Roman"/>
          <w:sz w:val="24"/>
          <w:szCs w:val="24"/>
          <w:highlight w:val="white"/>
          <w:lang w:val="en-GB"/>
        </w:rPr>
        <w:t xml:space="preserve"> 2023). The aspect can be linked to the competitive attitudes of the consumer electronics-based market of the UK. </w:t>
      </w:r>
    </w:p>
    <w:p w14:paraId="1D60B1AD" w14:textId="56B8151F" w:rsidR="00A57F4B" w:rsidRPr="00322237" w:rsidRDefault="00322237" w:rsidP="00A91882">
      <w:pPr>
        <w:pStyle w:val="Normal1"/>
        <w:spacing w:line="360" w:lineRule="auto"/>
        <w:jc w:val="both"/>
        <w:rPr>
          <w:rFonts w:ascii="Times New Roman" w:eastAsia="Times New Roman" w:hAnsi="Times New Roman" w:cs="Times New Roman"/>
          <w:sz w:val="24"/>
          <w:szCs w:val="24"/>
          <w:lang w:val="en-GB"/>
        </w:rPr>
      </w:pPr>
      <w:r w:rsidRPr="00C91CBA">
        <w:rPr>
          <w:rFonts w:ascii="Times New Roman" w:eastAsia="Times New Roman" w:hAnsi="Times New Roman" w:cs="Times New Roman"/>
          <w:sz w:val="24"/>
          <w:szCs w:val="24"/>
          <w:lang w:val="en-GB"/>
        </w:rPr>
        <w:t xml:space="preserve">By utilising internet-based technologies, GreenWave Electronics, Inc. hopes to create a secure and long-lasting presence in the UK consumer electronics market. </w:t>
      </w:r>
      <w:r w:rsidR="00C91CBA">
        <w:rPr>
          <w:rFonts w:ascii="Times New Roman" w:eastAsia="Times New Roman" w:hAnsi="Times New Roman" w:cs="Times New Roman"/>
          <w:sz w:val="24"/>
          <w:szCs w:val="24"/>
          <w:lang w:val="en-GB"/>
        </w:rPr>
        <w:t>The aim is to promote environmentally responsible behaviour through the use of green technologies. However, competitors such as Knexus Verv Energy pose challenges with their product lines</w:t>
      </w:r>
      <w:r w:rsidRPr="00C91CBA">
        <w:rPr>
          <w:rFonts w:ascii="Times New Roman" w:eastAsia="Times New Roman" w:hAnsi="Times New Roman" w:cs="Times New Roman"/>
          <w:sz w:val="24"/>
          <w:szCs w:val="24"/>
          <w:lang w:val="en-GB"/>
        </w:rPr>
        <w:t>. Digital sales generate revenue for the consumer electronics industry in the UK, which affects the dynamics of competition. Among rivals' differentiators are novel product features, state-of-the-art design, and improved user interfaces. Comprehending and manoeuvring through this competitive terrain will be crucial for GreenWave's triumph in the dynamic consumer electronics arena of the United Kingdom.</w:t>
      </w:r>
      <w:r w:rsidR="002F24DE" w:rsidRPr="00C91CBA">
        <w:rPr>
          <w:rFonts w:ascii="Times New Roman" w:eastAsia="Times New Roman" w:hAnsi="Times New Roman" w:cs="Times New Roman"/>
          <w:sz w:val="24"/>
          <w:szCs w:val="24"/>
          <w:lang w:val="en-GB"/>
        </w:rPr>
        <w:t xml:space="preserve"> </w:t>
      </w:r>
    </w:p>
    <w:p w14:paraId="381FE7D0" w14:textId="77777777" w:rsidR="00A57F4B" w:rsidRPr="0083383E" w:rsidRDefault="002F24DE" w:rsidP="00A91882">
      <w:pPr>
        <w:pStyle w:val="Heading1"/>
        <w:spacing w:line="360" w:lineRule="auto"/>
        <w:rPr>
          <w:lang w:val="en-GB"/>
        </w:rPr>
      </w:pPr>
      <w:bookmarkStart w:id="2" w:name="_Toc149406255"/>
      <w:r w:rsidRPr="0083383E">
        <w:rPr>
          <w:lang w:val="en-GB"/>
        </w:rPr>
        <w:t>3. Operation and the management team-based plan</w:t>
      </w:r>
      <w:bookmarkEnd w:id="2"/>
      <w:r w:rsidRPr="0083383E">
        <w:rPr>
          <w:lang w:val="en-GB"/>
        </w:rPr>
        <w:t xml:space="preserve">  </w:t>
      </w:r>
    </w:p>
    <w:p w14:paraId="3B0CF7F8"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Business process</w:t>
      </w:r>
    </w:p>
    <w:p w14:paraId="7B91C406" w14:textId="77777777" w:rsidR="00A57F4B"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The </w:t>
      </w:r>
      <w:r w:rsidRPr="0083383E">
        <w:rPr>
          <w:rFonts w:ascii="Times New Roman" w:eastAsia="Times New Roman" w:hAnsi="Times New Roman" w:cs="Times New Roman"/>
          <w:b/>
          <w:sz w:val="24"/>
          <w:szCs w:val="24"/>
          <w:lang w:val="en-GB"/>
        </w:rPr>
        <w:t>core and support-oriented business process</w:t>
      </w:r>
      <w:r w:rsidRPr="0083383E">
        <w:rPr>
          <w:rFonts w:ascii="Times New Roman" w:eastAsia="Times New Roman" w:hAnsi="Times New Roman" w:cs="Times New Roman"/>
          <w:sz w:val="24"/>
          <w:szCs w:val="24"/>
          <w:lang w:val="en-GB"/>
        </w:rPr>
        <w:t xml:space="preserve"> is to be linked to GreenWave Electronics, Inc. as to be developed in the UK. The aspects linked to production, operations, deliveries, and other aspects of business mechanisms as linked to marketing promotions can be associated with the cores of the process. Digital business processes bring the transformation of </w:t>
      </w:r>
      <w:r w:rsidR="00C92738" w:rsidRPr="0083383E">
        <w:rPr>
          <w:rFonts w:ascii="Times New Roman" w:eastAsia="Times New Roman" w:hAnsi="Times New Roman" w:cs="Times New Roman"/>
          <w:sz w:val="24"/>
          <w:szCs w:val="24"/>
          <w:lang w:val="en-GB"/>
        </w:rPr>
        <w:t>businesses (</w:t>
      </w:r>
      <w:r w:rsidRPr="0083383E">
        <w:rPr>
          <w:rFonts w:ascii="Times New Roman" w:eastAsia="Times New Roman" w:hAnsi="Times New Roman" w:cs="Times New Roman"/>
          <w:sz w:val="24"/>
          <w:szCs w:val="24"/>
          <w:highlight w:val="white"/>
          <w:lang w:val="en-GB"/>
        </w:rPr>
        <w:t xml:space="preserve">Barmuta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xml:space="preserve"> 2020).</w:t>
      </w:r>
      <w:r w:rsidRPr="0083383E">
        <w:rPr>
          <w:rFonts w:ascii="Times New Roman" w:eastAsia="Times New Roman" w:hAnsi="Times New Roman" w:cs="Times New Roman"/>
          <w:sz w:val="24"/>
          <w:szCs w:val="24"/>
          <w:lang w:val="en-GB"/>
        </w:rPr>
        <w:t xml:space="preserve"> The core and the supports-based process as linked to the development of the digital operations and the management-based plan of the new business can be associated with the primary requirements of developing the business fit with the needs of the customers. The sales development process in association with the key principles of marketing is the main feature of the process in connection with the basic ideals of the development of the business. Further, the merit associated with the streamlining criteria can be associated with the concerned business to be used by the new business-based venture in the UK. Moreover, the support-based processes in terms of bolstering </w:t>
      </w:r>
      <w:r w:rsidRPr="0083383E">
        <w:rPr>
          <w:rFonts w:ascii="Times New Roman" w:eastAsia="Times New Roman" w:hAnsi="Times New Roman" w:cs="Times New Roman"/>
          <w:sz w:val="24"/>
          <w:szCs w:val="24"/>
          <w:lang w:val="en-GB"/>
        </w:rPr>
        <w:lastRenderedPageBreak/>
        <w:t xml:space="preserve">the human resources, finances, IT, and other sectors can be deeply linked to the operations-based mechanisms of the process.  </w:t>
      </w:r>
    </w:p>
    <w:p w14:paraId="6DAB9427" w14:textId="6F0F1B9A" w:rsidR="00322237" w:rsidRDefault="00322237" w:rsidP="00A91882">
      <w:pPr>
        <w:pStyle w:val="Normal1"/>
        <w:spacing w:line="360" w:lineRule="auto"/>
        <w:jc w:val="both"/>
        <w:rPr>
          <w:rFonts w:ascii="Times New Roman" w:eastAsia="Times New Roman" w:hAnsi="Times New Roman" w:cs="Times New Roman"/>
          <w:sz w:val="24"/>
          <w:szCs w:val="24"/>
          <w:lang w:val="en-GB"/>
        </w:rPr>
      </w:pPr>
      <w:r w:rsidRPr="00C91CBA">
        <w:rPr>
          <w:rFonts w:ascii="Times New Roman" w:eastAsia="Times New Roman" w:hAnsi="Times New Roman" w:cs="Times New Roman"/>
          <w:sz w:val="24"/>
          <w:szCs w:val="24"/>
          <w:lang w:val="en-GB"/>
        </w:rPr>
        <w:t>The business processes of GreenWave Electronics, Inc. integrate digital operations for company transformation and are focused on key services such as production, operations, delivery, and marketing promotions. Customer-centricity is ensured by the sales development process' alignment with fundamental marketing principles. Reducing the number of criteria improves efficiency, which is important for the UK consumer electronics market. Operations and support functions—which include IT, finance, and human resources—are closely related. Strategic planning is needed for sourcing, manufacturing, and on-time delivery through the supply chain and distribution channels, which promote smooth relationships between clients and vendors. Through outlining these procedures, GreenWave Electronics hopes to create a flexible and customer-oriented business strategy in the UK's cutthroat market.</w:t>
      </w:r>
    </w:p>
    <w:p w14:paraId="156458AC" w14:textId="77777777" w:rsidR="00322237" w:rsidRDefault="00322237" w:rsidP="00A91882">
      <w:pPr>
        <w:pStyle w:val="Normal1"/>
        <w:spacing w:line="360" w:lineRule="auto"/>
        <w:jc w:val="both"/>
        <w:rPr>
          <w:rFonts w:ascii="Times New Roman" w:eastAsia="Times New Roman" w:hAnsi="Times New Roman" w:cs="Times New Roman"/>
          <w:sz w:val="24"/>
          <w:szCs w:val="24"/>
          <w:lang w:val="en-GB"/>
        </w:rPr>
      </w:pPr>
    </w:p>
    <w:p w14:paraId="221A1FB4"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noProof/>
          <w:sz w:val="24"/>
          <w:szCs w:val="24"/>
        </w:rPr>
        <w:drawing>
          <wp:inline distT="114300" distB="114300" distL="114300" distR="114300" wp14:anchorId="1FF6AF3D" wp14:editId="55AD7905">
            <wp:extent cx="5943600" cy="3119754"/>
            <wp:effectExtent l="0" t="0" r="0" b="0"/>
            <wp:docPr id="28" name="image6.png"/>
            <wp:cNvGraphicFramePr/>
            <a:graphic xmlns:a="http://schemas.openxmlformats.org/drawingml/2006/main">
              <a:graphicData uri="http://schemas.openxmlformats.org/drawingml/2006/picture">
                <pic:pic xmlns:pic="http://schemas.openxmlformats.org/drawingml/2006/picture">
                  <pic:nvPicPr>
                    <pic:cNvPr id="28" name="image6.png"/>
                    <pic:cNvPicPr/>
                  </pic:nvPicPr>
                  <pic:blipFill>
                    <a:blip r:embed="rId11"/>
                    <a:stretch>
                      <a:fillRect/>
                    </a:stretch>
                  </pic:blipFill>
                  <pic:spPr>
                    <a:xfrm>
                      <a:off x="0" y="0"/>
                      <a:ext cx="5943600" cy="3119754"/>
                    </a:xfrm>
                    <a:prstGeom prst="rect">
                      <a:avLst/>
                    </a:prstGeom>
                  </pic:spPr>
                </pic:pic>
              </a:graphicData>
            </a:graphic>
          </wp:inline>
        </w:drawing>
      </w:r>
    </w:p>
    <w:p w14:paraId="5F3F0A17" w14:textId="77777777" w:rsidR="00A57F4B" w:rsidRPr="0083383E" w:rsidRDefault="002F24DE" w:rsidP="00A91882">
      <w:pPr>
        <w:pStyle w:val="Normal1"/>
        <w:spacing w:line="360" w:lineRule="auto"/>
        <w:jc w:val="center"/>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Figure 2: Revenue in terms of segments in the consumer electronics-based market in the UK </w:t>
      </w:r>
    </w:p>
    <w:p w14:paraId="1072FC0F"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(Source:</w:t>
      </w:r>
      <w:r w:rsidR="00C92738">
        <w:rPr>
          <w:rFonts w:ascii="Times New Roman" w:eastAsia="Times New Roman" w:hAnsi="Times New Roman" w:cs="Times New Roman"/>
          <w:sz w:val="24"/>
          <w:szCs w:val="24"/>
          <w:lang w:val="en-GB"/>
        </w:rPr>
        <w:t xml:space="preserve"> </w:t>
      </w:r>
      <w:r w:rsidRPr="0083383E">
        <w:rPr>
          <w:rFonts w:ascii="Times New Roman" w:eastAsia="Times New Roman" w:hAnsi="Times New Roman" w:cs="Times New Roman"/>
          <w:sz w:val="24"/>
          <w:szCs w:val="24"/>
          <w:lang w:val="en-GB"/>
        </w:rPr>
        <w:t>Statista.com</w:t>
      </w:r>
      <w:r w:rsidRPr="0083383E">
        <w:rPr>
          <w:rFonts w:ascii="Times New Roman" w:eastAsia="Times New Roman" w:hAnsi="Times New Roman" w:cs="Times New Roman"/>
          <w:sz w:val="24"/>
          <w:szCs w:val="24"/>
          <w:highlight w:val="white"/>
          <w:lang w:val="en-GB"/>
        </w:rPr>
        <w:t xml:space="preserve"> 2023</w:t>
      </w:r>
      <w:r w:rsidRPr="0083383E">
        <w:rPr>
          <w:rFonts w:ascii="Times New Roman" w:eastAsia="Times New Roman" w:hAnsi="Times New Roman" w:cs="Times New Roman"/>
          <w:sz w:val="24"/>
          <w:szCs w:val="24"/>
          <w:lang w:val="en-GB"/>
        </w:rPr>
        <w:t>)</w:t>
      </w:r>
    </w:p>
    <w:p w14:paraId="263C8DEA" w14:textId="73DE1FBE"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In addition, the average volume of consumption as per person-based criteria is about 2.5 pieces per person as in the UK-based consumer electronics market in 2023 (Statista.com</w:t>
      </w:r>
      <w:r w:rsidRPr="0083383E">
        <w:rPr>
          <w:rFonts w:ascii="Times New Roman" w:eastAsia="Times New Roman" w:hAnsi="Times New Roman" w:cs="Times New Roman"/>
          <w:sz w:val="24"/>
          <w:szCs w:val="24"/>
          <w:highlight w:val="white"/>
          <w:lang w:val="en-GB"/>
        </w:rPr>
        <w:t xml:space="preserve"> 2023</w:t>
      </w:r>
      <w:r w:rsidRPr="0083383E">
        <w:rPr>
          <w:rFonts w:ascii="Times New Roman" w:eastAsia="Times New Roman" w:hAnsi="Times New Roman" w:cs="Times New Roman"/>
          <w:sz w:val="24"/>
          <w:szCs w:val="24"/>
          <w:lang w:val="en-GB"/>
        </w:rPr>
        <w:t xml:space="preserve">). </w:t>
      </w:r>
      <w:r w:rsidR="00E8104B">
        <w:rPr>
          <w:rFonts w:ascii="Times New Roman" w:eastAsia="Times New Roman" w:hAnsi="Times New Roman" w:cs="Times New Roman"/>
          <w:sz w:val="24"/>
          <w:szCs w:val="24"/>
          <w:lang w:val="en-GB"/>
        </w:rPr>
        <w:t>The development</w:t>
      </w:r>
      <w:r w:rsidRPr="0083383E">
        <w:rPr>
          <w:rFonts w:ascii="Times New Roman" w:eastAsia="Times New Roman" w:hAnsi="Times New Roman" w:cs="Times New Roman"/>
          <w:sz w:val="24"/>
          <w:szCs w:val="24"/>
          <w:lang w:val="en-GB"/>
        </w:rPr>
        <w:t xml:space="preserve"> of the busines</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xml:space="preserve"> proces</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xml:space="preserve"> can be associated with this perspective.  The addition of </w:t>
      </w:r>
      <w:r w:rsidRPr="0083383E">
        <w:rPr>
          <w:rFonts w:ascii="Times New Roman" w:eastAsia="Times New Roman" w:hAnsi="Times New Roman" w:cs="Times New Roman"/>
          <w:sz w:val="24"/>
          <w:szCs w:val="24"/>
          <w:lang w:val="en-GB"/>
        </w:rPr>
        <w:lastRenderedPageBreak/>
        <w:t xml:space="preserve">values to the business can be inherently linked with the intensities of the use of the process for supporting the business operations-linked management infrastructure. </w:t>
      </w:r>
    </w:p>
    <w:p w14:paraId="7C1D01E7"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Revenue generation-based process from business </w:t>
      </w:r>
    </w:p>
    <w:p w14:paraId="7FDEE816"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highlight w:val="white"/>
          <w:lang w:val="en-GB"/>
        </w:rPr>
      </w:pPr>
      <w:r w:rsidRPr="0083383E">
        <w:rPr>
          <w:rFonts w:ascii="Times New Roman" w:eastAsia="Times New Roman" w:hAnsi="Times New Roman" w:cs="Times New Roman"/>
          <w:sz w:val="24"/>
          <w:szCs w:val="24"/>
          <w:lang w:val="en-GB"/>
        </w:rPr>
        <w:t xml:space="preserve">The revenue generation process to be chosen appropriately for the development of the new business of </w:t>
      </w:r>
      <w:r w:rsidRPr="0083383E">
        <w:rPr>
          <w:rFonts w:ascii="Times New Roman" w:eastAsia="Times New Roman" w:hAnsi="Times New Roman" w:cs="Times New Roman"/>
          <w:b/>
          <w:sz w:val="24"/>
          <w:szCs w:val="24"/>
          <w:lang w:val="en-GB"/>
        </w:rPr>
        <w:t>GreenWave Electronics, Inc</w:t>
      </w:r>
      <w:r w:rsidRPr="0083383E">
        <w:rPr>
          <w:rFonts w:ascii="Times New Roman" w:eastAsia="Times New Roman" w:hAnsi="Times New Roman" w:cs="Times New Roman"/>
          <w:sz w:val="24"/>
          <w:szCs w:val="24"/>
          <w:lang w:val="en-GB"/>
        </w:rPr>
        <w:t xml:space="preserve">. in the UK is to be primarily based on the </w:t>
      </w:r>
      <w:r w:rsidRPr="0083383E">
        <w:rPr>
          <w:rFonts w:ascii="Times New Roman" w:eastAsia="Times New Roman" w:hAnsi="Times New Roman" w:cs="Times New Roman"/>
          <w:b/>
          <w:sz w:val="24"/>
          <w:szCs w:val="24"/>
          <w:lang w:val="en-GB"/>
        </w:rPr>
        <w:t>upselling process</w:t>
      </w:r>
      <w:r w:rsidRPr="0083383E">
        <w:rPr>
          <w:rFonts w:ascii="Times New Roman" w:eastAsia="Times New Roman" w:hAnsi="Times New Roman" w:cs="Times New Roman"/>
          <w:sz w:val="24"/>
          <w:szCs w:val="24"/>
          <w:lang w:val="en-GB"/>
        </w:rPr>
        <w:t>. Motivating the buyers to buy a high range or version of the business products in comparison with what they desire is the main prospect of the proce</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xml:space="preserve">s to be used in the new business venture in the consumer electronics-based market in the UK. The CAGR rate of the consumer electronics-based goods market in the </w:t>
      </w:r>
      <w:r w:rsidR="00C92738" w:rsidRPr="0083383E">
        <w:rPr>
          <w:rFonts w:ascii="Times New Roman" w:eastAsia="Times New Roman" w:hAnsi="Times New Roman" w:cs="Times New Roman"/>
          <w:sz w:val="24"/>
          <w:szCs w:val="24"/>
          <w:lang w:val="en-GB"/>
        </w:rPr>
        <w:t>UK stood</w:t>
      </w:r>
      <w:r w:rsidRPr="0083383E">
        <w:rPr>
          <w:rFonts w:ascii="Times New Roman" w:eastAsia="Times New Roman" w:hAnsi="Times New Roman" w:cs="Times New Roman"/>
          <w:sz w:val="24"/>
          <w:szCs w:val="24"/>
          <w:lang w:val="en-GB"/>
        </w:rPr>
        <w:t xml:space="preserve"> at 8% between 2017 and 2021 (Globaldata.com</w:t>
      </w:r>
      <w:r w:rsidRPr="0083383E">
        <w:rPr>
          <w:rFonts w:ascii="Times New Roman" w:eastAsia="Times New Roman" w:hAnsi="Times New Roman" w:cs="Times New Roman"/>
          <w:sz w:val="24"/>
          <w:szCs w:val="24"/>
          <w:highlight w:val="white"/>
          <w:lang w:val="en-GB"/>
        </w:rPr>
        <w:t xml:space="preserve"> 2023). Further, the process of future upgradation of the business activities about the development of economies or the scale or increasing returns to the scale-based business process can be associated with this prospect. </w:t>
      </w:r>
    </w:p>
    <w:p w14:paraId="257A86DC"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highlight w:val="white"/>
          <w:lang w:val="en-GB"/>
        </w:rPr>
      </w:pPr>
      <w:r w:rsidRPr="0083383E">
        <w:rPr>
          <w:rFonts w:ascii="Times New Roman" w:eastAsia="Times New Roman" w:hAnsi="Times New Roman" w:cs="Times New Roman"/>
          <w:noProof/>
          <w:sz w:val="24"/>
          <w:szCs w:val="24"/>
          <w:highlight w:val="white"/>
        </w:rPr>
        <w:drawing>
          <wp:inline distT="114300" distB="114300" distL="114300" distR="114300" wp14:anchorId="7B08A80E" wp14:editId="162408DD">
            <wp:extent cx="6562725" cy="2491122"/>
            <wp:effectExtent l="0" t="0" r="0" b="0"/>
            <wp:docPr id="33" name="image7.png"/>
            <wp:cNvGraphicFramePr/>
            <a:graphic xmlns:a="http://schemas.openxmlformats.org/drawingml/2006/main">
              <a:graphicData uri="http://schemas.openxmlformats.org/drawingml/2006/picture">
                <pic:pic xmlns:pic="http://schemas.openxmlformats.org/drawingml/2006/picture">
                  <pic:nvPicPr>
                    <pic:cNvPr id="33" name="image7.png"/>
                    <pic:cNvPicPr/>
                  </pic:nvPicPr>
                  <pic:blipFill>
                    <a:blip r:embed="rId12"/>
                    <a:stretch>
                      <a:fillRect/>
                    </a:stretch>
                  </pic:blipFill>
                  <pic:spPr>
                    <a:xfrm>
                      <a:off x="0" y="0"/>
                      <a:ext cx="6562725" cy="2491122"/>
                    </a:xfrm>
                    <a:prstGeom prst="rect">
                      <a:avLst/>
                    </a:prstGeom>
                  </pic:spPr>
                </pic:pic>
              </a:graphicData>
            </a:graphic>
          </wp:inline>
        </w:drawing>
      </w:r>
    </w:p>
    <w:p w14:paraId="68946AEE" w14:textId="77777777" w:rsidR="00A57F4B" w:rsidRPr="0083383E" w:rsidRDefault="002F24DE" w:rsidP="00A91882">
      <w:pPr>
        <w:pStyle w:val="Normal1"/>
        <w:spacing w:line="360" w:lineRule="auto"/>
        <w:jc w:val="center"/>
        <w:rPr>
          <w:rFonts w:ascii="Times New Roman" w:eastAsia="Times New Roman" w:hAnsi="Times New Roman" w:cs="Times New Roman"/>
          <w:b/>
          <w:sz w:val="24"/>
          <w:szCs w:val="24"/>
          <w:highlight w:val="white"/>
          <w:lang w:val="en-GB"/>
        </w:rPr>
      </w:pPr>
      <w:r w:rsidRPr="0083383E">
        <w:rPr>
          <w:rFonts w:ascii="Times New Roman" w:eastAsia="Times New Roman" w:hAnsi="Times New Roman" w:cs="Times New Roman"/>
          <w:b/>
          <w:sz w:val="24"/>
          <w:szCs w:val="24"/>
          <w:highlight w:val="white"/>
          <w:lang w:val="en-GB"/>
        </w:rPr>
        <w:t>Figure 3: Market sizes of the consumer electronics-based market of the UK in different periods</w:t>
      </w:r>
    </w:p>
    <w:p w14:paraId="20D71177"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highlight w:val="white"/>
          <w:lang w:val="en-GB"/>
        </w:rPr>
      </w:pPr>
      <w:r w:rsidRPr="0083383E">
        <w:rPr>
          <w:rFonts w:ascii="Times New Roman" w:eastAsia="Times New Roman" w:hAnsi="Times New Roman" w:cs="Times New Roman"/>
          <w:sz w:val="24"/>
          <w:szCs w:val="24"/>
          <w:highlight w:val="white"/>
          <w:lang w:val="en-GB"/>
        </w:rPr>
        <w:t xml:space="preserve">(Source: </w:t>
      </w:r>
      <w:r w:rsidRPr="0083383E">
        <w:rPr>
          <w:rFonts w:ascii="Times New Roman" w:eastAsia="Times New Roman" w:hAnsi="Times New Roman" w:cs="Times New Roman"/>
          <w:sz w:val="24"/>
          <w:szCs w:val="24"/>
          <w:lang w:val="en-GB"/>
        </w:rPr>
        <w:t>Globaldata.com</w:t>
      </w:r>
      <w:r w:rsidRPr="0083383E">
        <w:rPr>
          <w:rFonts w:ascii="Times New Roman" w:eastAsia="Times New Roman" w:hAnsi="Times New Roman" w:cs="Times New Roman"/>
          <w:sz w:val="24"/>
          <w:szCs w:val="24"/>
          <w:highlight w:val="white"/>
          <w:lang w:val="en-GB"/>
        </w:rPr>
        <w:t xml:space="preserve"> 2023)</w:t>
      </w:r>
    </w:p>
    <w:p w14:paraId="75C5D65F" w14:textId="7E05B935"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highlight w:val="white"/>
          <w:lang w:val="en-GB"/>
        </w:rPr>
        <w:t>Moreover, the proce</w:t>
      </w:r>
      <w:r w:rsidR="00C92738">
        <w:rPr>
          <w:rFonts w:ascii="Times New Roman" w:eastAsia="Times New Roman" w:hAnsi="Times New Roman" w:cs="Times New Roman"/>
          <w:sz w:val="24"/>
          <w:szCs w:val="24"/>
          <w:highlight w:val="white"/>
          <w:lang w:val="en-GB"/>
        </w:rPr>
        <w:t>s</w:t>
      </w:r>
      <w:r w:rsidRPr="0083383E">
        <w:rPr>
          <w:rFonts w:ascii="Times New Roman" w:eastAsia="Times New Roman" w:hAnsi="Times New Roman" w:cs="Times New Roman"/>
          <w:sz w:val="24"/>
          <w:szCs w:val="24"/>
          <w:highlight w:val="white"/>
          <w:lang w:val="en-GB"/>
        </w:rPr>
        <w:t xml:space="preserve">s of encouraging the buyers in the UK to purchase the upgraded items to be manufactured by the new business can be directly linked to the efficiency of the operation of demographic segmentation while the development of the marketing process </w:t>
      </w:r>
      <w:r w:rsidR="00E8104B">
        <w:rPr>
          <w:rFonts w:ascii="Times New Roman" w:eastAsia="Times New Roman" w:hAnsi="Times New Roman" w:cs="Times New Roman"/>
          <w:sz w:val="24"/>
          <w:szCs w:val="24"/>
          <w:highlight w:val="white"/>
          <w:lang w:val="en-GB"/>
        </w:rPr>
        <w:t xml:space="preserve">is </w:t>
      </w:r>
      <w:r w:rsidRPr="0083383E">
        <w:rPr>
          <w:rFonts w:ascii="Times New Roman" w:eastAsia="Times New Roman" w:hAnsi="Times New Roman" w:cs="Times New Roman"/>
          <w:sz w:val="24"/>
          <w:szCs w:val="24"/>
          <w:highlight w:val="white"/>
          <w:lang w:val="en-GB"/>
        </w:rPr>
        <w:t xml:space="preserve">linked to the customers. The greater the intensity of the plausible scope of upgradation of the business, the more suitable the process of upselling for the generation of increasing scale or scope of revenues as to be earned by the business which is to be set up in the consumer electronics-based market in the </w:t>
      </w:r>
      <w:r w:rsidRPr="0083383E">
        <w:rPr>
          <w:rFonts w:ascii="Times New Roman" w:eastAsia="Times New Roman" w:hAnsi="Times New Roman" w:cs="Times New Roman"/>
          <w:sz w:val="24"/>
          <w:szCs w:val="24"/>
          <w:highlight w:val="white"/>
          <w:lang w:val="en-GB"/>
        </w:rPr>
        <w:lastRenderedPageBreak/>
        <w:t>UK. Technological processes favo</w:t>
      </w:r>
      <w:r w:rsidR="00C92738">
        <w:rPr>
          <w:rFonts w:ascii="Times New Roman" w:eastAsia="Times New Roman" w:hAnsi="Times New Roman" w:cs="Times New Roman"/>
          <w:sz w:val="24"/>
          <w:szCs w:val="24"/>
          <w:highlight w:val="white"/>
          <w:lang w:val="en-GB"/>
        </w:rPr>
        <w:t>u</w:t>
      </w:r>
      <w:r w:rsidRPr="0083383E">
        <w:rPr>
          <w:rFonts w:ascii="Times New Roman" w:eastAsia="Times New Roman" w:hAnsi="Times New Roman" w:cs="Times New Roman"/>
          <w:sz w:val="24"/>
          <w:szCs w:val="24"/>
          <w:highlight w:val="white"/>
          <w:lang w:val="en-GB"/>
        </w:rPr>
        <w:t xml:space="preserve">r business promotions (Seiler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xml:space="preserve"> 2022). The strength of demographics segmentation based on the process of appropriate targeting of varied customer gaps can aid in this regard in developing superior business positioning processes in the future. Moreover, any plausible losses in the earned revenues can be prevented via the appropriate use of monitoring and supervision linked to the business process. </w:t>
      </w:r>
    </w:p>
    <w:p w14:paraId="41BDFA0A"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Operation-based activity </w:t>
      </w:r>
    </w:p>
    <w:p w14:paraId="70BF233C" w14:textId="6777DA3E" w:rsidR="00322237" w:rsidRDefault="002F24DE" w:rsidP="00322237">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The education-based criteria, industrial experiences criteria, and achievements-based criteria can be linked to skills in dealing with</w:t>
      </w:r>
      <w:r w:rsidRPr="0083383E">
        <w:rPr>
          <w:rFonts w:ascii="Times New Roman" w:eastAsia="Times New Roman" w:hAnsi="Times New Roman" w:cs="Times New Roman"/>
          <w:b/>
          <w:sz w:val="24"/>
          <w:szCs w:val="24"/>
          <w:lang w:val="en-GB"/>
        </w:rPr>
        <w:t xml:space="preserve"> leadership</w:t>
      </w:r>
      <w:r w:rsidRPr="0083383E">
        <w:rPr>
          <w:rFonts w:ascii="Times New Roman" w:eastAsia="Times New Roman" w:hAnsi="Times New Roman" w:cs="Times New Roman"/>
          <w:sz w:val="24"/>
          <w:szCs w:val="24"/>
          <w:lang w:val="en-GB"/>
        </w:rPr>
        <w:t xml:space="preserve"> as expected to be present in the apex management-based personnel in the new business. The criteria for the development of entrepreneurship-based capabilities and the competencies can be linked to this aspect. Business motivation is an important criterion for transforming a business (</w:t>
      </w:r>
      <w:r w:rsidRPr="0083383E">
        <w:rPr>
          <w:rFonts w:ascii="Times New Roman" w:eastAsia="Times New Roman" w:hAnsi="Times New Roman" w:cs="Times New Roman"/>
          <w:sz w:val="24"/>
          <w:szCs w:val="24"/>
          <w:highlight w:val="white"/>
          <w:lang w:val="en-GB"/>
        </w:rPr>
        <w:t xml:space="preserve">Barmuta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xml:space="preserve"> 2020). The aspect can be linked to the development of operations to be done in the new business venture of </w:t>
      </w:r>
      <w:r w:rsidRPr="0083383E">
        <w:rPr>
          <w:rFonts w:ascii="Times New Roman" w:eastAsia="Times New Roman" w:hAnsi="Times New Roman" w:cs="Times New Roman"/>
          <w:b/>
          <w:sz w:val="24"/>
          <w:szCs w:val="24"/>
          <w:lang w:val="en-GB"/>
        </w:rPr>
        <w:t>GreenWave Electronics, Inc</w:t>
      </w:r>
      <w:r w:rsidRPr="0083383E">
        <w:rPr>
          <w:rFonts w:ascii="Times New Roman" w:eastAsia="Times New Roman" w:hAnsi="Times New Roman" w:cs="Times New Roman"/>
          <w:sz w:val="24"/>
          <w:szCs w:val="24"/>
          <w:lang w:val="en-GB"/>
        </w:rPr>
        <w:t xml:space="preserve">. in the UK. Multi-skilled-oriented workforce is necessary for business development in a practical </w:t>
      </w:r>
      <w:r w:rsidR="003372C0" w:rsidRPr="0083383E">
        <w:rPr>
          <w:rFonts w:ascii="Times New Roman" w:eastAsia="Times New Roman" w:hAnsi="Times New Roman" w:cs="Times New Roman"/>
          <w:sz w:val="24"/>
          <w:szCs w:val="24"/>
          <w:lang w:val="en-GB"/>
        </w:rPr>
        <w:t>manner (</w:t>
      </w:r>
      <w:r w:rsidRPr="0083383E">
        <w:rPr>
          <w:rFonts w:ascii="Times New Roman" w:eastAsia="Times New Roman" w:hAnsi="Times New Roman" w:cs="Times New Roman"/>
          <w:sz w:val="24"/>
          <w:szCs w:val="24"/>
          <w:highlight w:val="white"/>
          <w:lang w:val="en-GB"/>
        </w:rPr>
        <w:t xml:space="preserve">Anoshkina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xml:space="preserve">  2020</w:t>
      </w:r>
      <w:r w:rsidRPr="0083383E">
        <w:rPr>
          <w:rFonts w:ascii="Times New Roman" w:eastAsia="Times New Roman" w:hAnsi="Times New Roman" w:cs="Times New Roman"/>
          <w:sz w:val="24"/>
          <w:szCs w:val="24"/>
          <w:lang w:val="en-GB"/>
        </w:rPr>
        <w:t xml:space="preserve">). </w:t>
      </w:r>
      <w:r w:rsidRPr="0083383E">
        <w:rPr>
          <w:rFonts w:ascii="Times New Roman" w:eastAsia="Times New Roman" w:hAnsi="Times New Roman" w:cs="Times New Roman"/>
          <w:sz w:val="24"/>
          <w:szCs w:val="24"/>
          <w:highlight w:val="white"/>
          <w:lang w:val="en-GB"/>
        </w:rPr>
        <w:t xml:space="preserve"> Additionally, the budget management-based skills, experiences, and achievements along with the techniques learned for motivating the business staff are expected to be present in the management team which justifies them to be appointed in varied managerial segments of the new business venture as to be developed in the UK. </w:t>
      </w:r>
      <w:bookmarkStart w:id="3" w:name="_Toc149406256"/>
    </w:p>
    <w:p w14:paraId="1D4FFF84" w14:textId="402B787B" w:rsidR="00322237" w:rsidRDefault="00322237" w:rsidP="00322237">
      <w:pPr>
        <w:pStyle w:val="Normal1"/>
        <w:spacing w:line="360" w:lineRule="auto"/>
        <w:jc w:val="both"/>
        <w:rPr>
          <w:rFonts w:ascii="Times New Roman" w:eastAsia="Times New Roman" w:hAnsi="Times New Roman" w:cs="Times New Roman"/>
          <w:sz w:val="24"/>
          <w:szCs w:val="24"/>
          <w:lang w:val="en-GB"/>
        </w:rPr>
      </w:pPr>
      <w:r w:rsidRPr="00C91CBA">
        <w:rPr>
          <w:rFonts w:ascii="Times New Roman" w:eastAsia="Times New Roman" w:hAnsi="Times New Roman" w:cs="Times New Roman"/>
          <w:sz w:val="24"/>
          <w:szCs w:val="24"/>
          <w:lang w:val="en-GB"/>
        </w:rPr>
        <w:t>The management strategy of GreenWave Electronics, Inc. places significant emphasis on essential standards for leadership excellence in its top-level management team for the UK venture. An individual's accomplishments, work history, and educational background are important factors in choosing leaders who can develop entrepreneurship. Acknowledging the importance of company motivation, the strategy incorporates strategies for motivation into daily operations, guaranteeing a revolutionary approach to business (Barmuta et al. 2020). It is intended that the workforce will have a variety of skills to meet real-world business development requirements. The new UK-based business venture will use a combination of staff motivation approaches and budget management abilities, experiences, and accomplishments as key selection criteria for managers. The goal of this all-encompassing management strategy is to develop a dynamic and competent leadership team, which is necessary for GreenWave Electronics to succeed in the cutthroat UK market.</w:t>
      </w:r>
    </w:p>
    <w:p w14:paraId="504D21D9" w14:textId="77777777" w:rsidR="00C91CBA" w:rsidRPr="00322237" w:rsidRDefault="00C91CBA" w:rsidP="00322237">
      <w:pPr>
        <w:pStyle w:val="Normal1"/>
        <w:spacing w:line="360" w:lineRule="auto"/>
        <w:jc w:val="both"/>
        <w:rPr>
          <w:rFonts w:ascii="Times New Roman" w:eastAsia="Times New Roman" w:hAnsi="Times New Roman" w:cs="Times New Roman"/>
          <w:sz w:val="24"/>
          <w:szCs w:val="24"/>
          <w:lang w:val="en-GB"/>
        </w:rPr>
      </w:pPr>
    </w:p>
    <w:p w14:paraId="7726C88A" w14:textId="35E36C51" w:rsidR="00A57F4B" w:rsidRPr="0083383E" w:rsidRDefault="002F24DE" w:rsidP="00A91882">
      <w:pPr>
        <w:pStyle w:val="Heading1"/>
        <w:spacing w:line="360" w:lineRule="auto"/>
        <w:rPr>
          <w:lang w:val="en-GB"/>
        </w:rPr>
      </w:pPr>
      <w:r w:rsidRPr="0083383E">
        <w:rPr>
          <w:lang w:val="en-GB"/>
        </w:rPr>
        <w:lastRenderedPageBreak/>
        <w:t>4. Marketing plan and the strategy</w:t>
      </w:r>
      <w:bookmarkEnd w:id="3"/>
      <w:r w:rsidRPr="0083383E">
        <w:rPr>
          <w:lang w:val="en-GB"/>
        </w:rPr>
        <w:t xml:space="preserve"> </w:t>
      </w:r>
    </w:p>
    <w:p w14:paraId="25E8475A" w14:textId="42A9D032"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Marketing </w:t>
      </w:r>
      <w:r w:rsidR="00E8104B">
        <w:rPr>
          <w:rFonts w:ascii="Times New Roman" w:eastAsia="Times New Roman" w:hAnsi="Times New Roman" w:cs="Times New Roman"/>
          <w:b/>
          <w:i/>
          <w:sz w:val="24"/>
          <w:szCs w:val="24"/>
          <w:lang w:val="en-GB"/>
        </w:rPr>
        <w:t>Plan</w:t>
      </w:r>
    </w:p>
    <w:p w14:paraId="5B060CDA"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The marketing plan linked to the sales promotion strategy of the</w:t>
      </w:r>
      <w:r w:rsidRPr="0083383E">
        <w:rPr>
          <w:rFonts w:ascii="Times New Roman" w:eastAsia="Times New Roman" w:hAnsi="Times New Roman" w:cs="Times New Roman"/>
          <w:b/>
          <w:sz w:val="24"/>
          <w:szCs w:val="24"/>
          <w:lang w:val="en-GB"/>
        </w:rPr>
        <w:t xml:space="preserve"> offering of the future business products with the options of discounting their actual prices</w:t>
      </w:r>
      <w:r w:rsidRPr="0083383E">
        <w:rPr>
          <w:rFonts w:ascii="Times New Roman" w:eastAsia="Times New Roman" w:hAnsi="Times New Roman" w:cs="Times New Roman"/>
          <w:sz w:val="24"/>
          <w:szCs w:val="24"/>
          <w:lang w:val="en-GB"/>
        </w:rPr>
        <w:t xml:space="preserve"> can be linked to the new business of GreenWave Electronics, Inc. as to be set up in the UK. Shits have been produced in businesses in recent days (</w:t>
      </w:r>
      <w:r w:rsidRPr="0083383E">
        <w:rPr>
          <w:rFonts w:ascii="Times New Roman" w:eastAsia="Times New Roman" w:hAnsi="Times New Roman" w:cs="Times New Roman"/>
          <w:sz w:val="24"/>
          <w:szCs w:val="24"/>
          <w:highlight w:val="white"/>
          <w:lang w:val="en-GB"/>
        </w:rPr>
        <w:t xml:space="preserve">Purnomo 2023). </w:t>
      </w:r>
      <w:r w:rsidRPr="0083383E">
        <w:rPr>
          <w:rFonts w:ascii="Times New Roman" w:eastAsia="Times New Roman" w:hAnsi="Times New Roman" w:cs="Times New Roman"/>
          <w:sz w:val="24"/>
          <w:szCs w:val="24"/>
          <w:lang w:val="en-GB"/>
        </w:rPr>
        <w:t xml:space="preserve"> The development of the sales process via differentiation of the customers-based deliveries at pints of the sales via the demographic positioning and targeted segmentation scheme can be associated with the plan of marketing linked to this strategy of business development. Business structures have also witnessed changes in the present era (</w:t>
      </w:r>
      <w:r w:rsidRPr="0083383E">
        <w:rPr>
          <w:rFonts w:ascii="Times New Roman" w:eastAsia="Times New Roman" w:hAnsi="Times New Roman" w:cs="Times New Roman"/>
          <w:sz w:val="24"/>
          <w:szCs w:val="24"/>
          <w:highlight w:val="white"/>
          <w:lang w:val="en-GB"/>
        </w:rPr>
        <w:t xml:space="preserve">Saura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2019</w:t>
      </w:r>
      <w:r w:rsidRPr="0083383E">
        <w:rPr>
          <w:rFonts w:ascii="Times New Roman" w:eastAsia="Times New Roman" w:hAnsi="Times New Roman" w:cs="Times New Roman"/>
          <w:sz w:val="24"/>
          <w:szCs w:val="24"/>
          <w:lang w:val="en-GB"/>
        </w:rPr>
        <w:t xml:space="preserve">). </w:t>
      </w:r>
    </w:p>
    <w:p w14:paraId="1227FA23"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noProof/>
          <w:sz w:val="24"/>
          <w:szCs w:val="24"/>
        </w:rPr>
        <w:drawing>
          <wp:inline distT="114300" distB="114300" distL="114300" distR="114300" wp14:anchorId="7F74CFC9" wp14:editId="3F54597E">
            <wp:extent cx="5724525" cy="196215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3"/>
                    <a:stretch>
                      <a:fillRect/>
                    </a:stretch>
                  </pic:blipFill>
                  <pic:spPr>
                    <a:xfrm>
                      <a:off x="0" y="0"/>
                      <a:ext cx="5724525" cy="1962150"/>
                    </a:xfrm>
                    <a:prstGeom prst="rect">
                      <a:avLst/>
                    </a:prstGeom>
                  </pic:spPr>
                </pic:pic>
              </a:graphicData>
            </a:graphic>
          </wp:inline>
        </w:drawing>
      </w:r>
    </w:p>
    <w:p w14:paraId="22B3DC9F" w14:textId="5D7C137D" w:rsidR="00A57F4B" w:rsidRPr="0083383E" w:rsidRDefault="002F24DE" w:rsidP="00A91882">
      <w:pPr>
        <w:pStyle w:val="Normal1"/>
        <w:spacing w:line="360" w:lineRule="auto"/>
        <w:jc w:val="center"/>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Figure 4: Discounting </w:t>
      </w:r>
      <w:r w:rsidR="00E8104B">
        <w:rPr>
          <w:rFonts w:ascii="Times New Roman" w:eastAsia="Times New Roman" w:hAnsi="Times New Roman" w:cs="Times New Roman"/>
          <w:b/>
          <w:sz w:val="24"/>
          <w:szCs w:val="24"/>
          <w:lang w:val="en-GB"/>
        </w:rPr>
        <w:t>process</w:t>
      </w:r>
      <w:r w:rsidRPr="0083383E">
        <w:rPr>
          <w:rFonts w:ascii="Times New Roman" w:eastAsia="Times New Roman" w:hAnsi="Times New Roman" w:cs="Times New Roman"/>
          <w:b/>
          <w:sz w:val="24"/>
          <w:szCs w:val="24"/>
          <w:lang w:val="en-GB"/>
        </w:rPr>
        <w:t xml:space="preserve"> of sales</w:t>
      </w:r>
    </w:p>
    <w:p w14:paraId="6923734F"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(Source: </w:t>
      </w:r>
      <w:r w:rsidRPr="0083383E">
        <w:rPr>
          <w:rFonts w:ascii="Times New Roman" w:eastAsia="Times New Roman" w:hAnsi="Times New Roman" w:cs="Times New Roman"/>
          <w:sz w:val="24"/>
          <w:szCs w:val="24"/>
          <w:highlight w:val="white"/>
          <w:lang w:val="en-GB"/>
        </w:rPr>
        <w:t>Srivastav and Vaidya 2023</w:t>
      </w:r>
      <w:r w:rsidRPr="0083383E">
        <w:rPr>
          <w:rFonts w:ascii="Times New Roman" w:eastAsia="Times New Roman" w:hAnsi="Times New Roman" w:cs="Times New Roman"/>
          <w:sz w:val="24"/>
          <w:szCs w:val="24"/>
          <w:lang w:val="en-GB"/>
        </w:rPr>
        <w:t>)</w:t>
      </w:r>
    </w:p>
    <w:p w14:paraId="100B9CB5"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Further, the process of developing the proper process of advertising schemes to develop sales promotions based on the marketing strategy can be associated with this aspect. The business can be expected to proceed from about a 50% growth rate to </w:t>
      </w:r>
      <w:proofErr w:type="spellStart"/>
      <w:r w:rsidRPr="0083383E">
        <w:rPr>
          <w:rFonts w:ascii="Times New Roman" w:eastAsia="Times New Roman" w:hAnsi="Times New Roman" w:cs="Times New Roman"/>
          <w:sz w:val="24"/>
          <w:szCs w:val="24"/>
          <w:lang w:val="en-GB"/>
        </w:rPr>
        <w:t>to</w:t>
      </w:r>
      <w:proofErr w:type="spellEnd"/>
      <w:r w:rsidRPr="0083383E">
        <w:rPr>
          <w:rFonts w:ascii="Times New Roman" w:eastAsia="Times New Roman" w:hAnsi="Times New Roman" w:cs="Times New Roman"/>
          <w:sz w:val="24"/>
          <w:szCs w:val="24"/>
          <w:lang w:val="en-GB"/>
        </w:rPr>
        <w:t xml:space="preserve"> growth rates above as linked to the new business-based venture to be developed in the UK.  </w:t>
      </w:r>
    </w:p>
    <w:p w14:paraId="28877AA9" w14:textId="77777777" w:rsidR="00A57F4B" w:rsidRPr="0083383E" w:rsidRDefault="00474A0D" w:rsidP="00A91882">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4Ps </w:t>
      </w:r>
      <w:r w:rsidR="002F24DE" w:rsidRPr="0083383E">
        <w:rPr>
          <w:rFonts w:ascii="Times New Roman" w:eastAsia="Times New Roman" w:hAnsi="Times New Roman" w:cs="Times New Roman"/>
          <w:b/>
          <w:i/>
          <w:sz w:val="24"/>
          <w:szCs w:val="24"/>
          <w:lang w:val="en-GB"/>
        </w:rPr>
        <w:t>-based marketing linked to the marketing strategy</w:t>
      </w:r>
    </w:p>
    <w:p w14:paraId="707973FE" w14:textId="0A43C1CE" w:rsidR="00A57F4B" w:rsidRPr="00322237"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lang w:val="en-GB"/>
        </w:rPr>
        <w:t>Product</w:t>
      </w:r>
      <w:r w:rsidRPr="0083383E">
        <w:rPr>
          <w:rFonts w:ascii="Times New Roman" w:eastAsia="Times New Roman" w:hAnsi="Times New Roman" w:cs="Times New Roman"/>
          <w:sz w:val="24"/>
          <w:szCs w:val="24"/>
          <w:lang w:val="en-GB"/>
        </w:rPr>
        <w:t>- The development of varieties of consumer electronics-based products and services associated with</w:t>
      </w:r>
      <w:r w:rsidRPr="0083383E">
        <w:rPr>
          <w:rFonts w:ascii="Times New Roman" w:eastAsia="Times New Roman" w:hAnsi="Times New Roman" w:cs="Times New Roman"/>
          <w:b/>
          <w:sz w:val="24"/>
          <w:szCs w:val="24"/>
          <w:lang w:val="en-GB"/>
        </w:rPr>
        <w:t xml:space="preserve"> androids, cameras, residences, and other aspects </w:t>
      </w:r>
      <w:r w:rsidRPr="0083383E">
        <w:rPr>
          <w:rFonts w:ascii="Times New Roman" w:eastAsia="Times New Roman" w:hAnsi="Times New Roman" w:cs="Times New Roman"/>
          <w:sz w:val="24"/>
          <w:szCs w:val="24"/>
          <w:lang w:val="en-GB"/>
        </w:rPr>
        <w:t xml:space="preserve">are to be included for the development of new business </w:t>
      </w:r>
      <w:r w:rsidRPr="0083383E">
        <w:rPr>
          <w:rFonts w:ascii="Times New Roman" w:eastAsia="Times New Roman" w:hAnsi="Times New Roman" w:cs="Times New Roman"/>
          <w:sz w:val="24"/>
          <w:szCs w:val="24"/>
          <w:highlight w:val="white"/>
          <w:lang w:val="en-GB"/>
        </w:rPr>
        <w:t xml:space="preserve">in the UK. </w:t>
      </w:r>
      <w:r w:rsidRPr="0083383E">
        <w:rPr>
          <w:rFonts w:ascii="Times New Roman" w:eastAsia="Times New Roman" w:hAnsi="Times New Roman" w:cs="Times New Roman"/>
          <w:sz w:val="24"/>
          <w:szCs w:val="24"/>
          <w:lang w:val="en-GB"/>
        </w:rPr>
        <w:t>Sales-based conversions can be linked to the developmental process linked to the growth of a business (</w:t>
      </w:r>
      <w:r w:rsidRPr="0083383E">
        <w:rPr>
          <w:rFonts w:ascii="Times New Roman" w:eastAsia="Times New Roman" w:hAnsi="Times New Roman" w:cs="Times New Roman"/>
          <w:sz w:val="24"/>
          <w:szCs w:val="24"/>
          <w:highlight w:val="white"/>
          <w:lang w:val="en-GB"/>
        </w:rPr>
        <w:t xml:space="preserve">Purnomo 2023). The aspect can be linked to the use-based criteria of the offerings with a discounts-based sales strategy. </w:t>
      </w:r>
      <w:r w:rsidR="00322237" w:rsidRPr="008332EF">
        <w:rPr>
          <w:rFonts w:ascii="Times New Roman" w:eastAsia="Times New Roman" w:hAnsi="Times New Roman" w:cs="Times New Roman"/>
          <w:sz w:val="24"/>
          <w:szCs w:val="24"/>
          <w:lang w:val="en-GB"/>
        </w:rPr>
        <w:t xml:space="preserve">For the UK market, GreenWave Electronics, Inc. sees a wide range of products, such as consumer electronics </w:t>
      </w:r>
      <w:r w:rsidR="00322237" w:rsidRPr="008332EF">
        <w:rPr>
          <w:rFonts w:ascii="Times New Roman" w:eastAsia="Times New Roman" w:hAnsi="Times New Roman" w:cs="Times New Roman"/>
          <w:sz w:val="24"/>
          <w:szCs w:val="24"/>
          <w:lang w:val="en-GB"/>
        </w:rPr>
        <w:lastRenderedPageBreak/>
        <w:t>related to Androids, cameras, homes, and more. Because they correspond with client demands and desires, sales-based conversions are essential to corporate growth. In order to customise offers to meet particular wants and preferences, the product development strategy takes target markets and client personas into account. Discount methods are used into the sales approach to appeal to consumers who are cost-conscious and to improve the overall sense of value. In addition to encouraging brand loyalty, this customer-centric strategy makes sure that product offers meet the wide range of needs of the UK consumer electronics industry, which supports steady sales growth and market success.</w:t>
      </w:r>
    </w:p>
    <w:p w14:paraId="7E63C5DD" w14:textId="4310F413" w:rsidR="00A57F4B" w:rsidRPr="00322237"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highlight w:val="white"/>
          <w:lang w:val="en-GB"/>
        </w:rPr>
        <w:t xml:space="preserve">Price- </w:t>
      </w:r>
      <w:r w:rsidRPr="0083383E">
        <w:rPr>
          <w:rFonts w:ascii="Times New Roman" w:eastAsia="Times New Roman" w:hAnsi="Times New Roman" w:cs="Times New Roman"/>
          <w:sz w:val="24"/>
          <w:szCs w:val="24"/>
          <w:highlight w:val="white"/>
          <w:lang w:val="en-GB"/>
        </w:rPr>
        <w:t xml:space="preserve">Development of the discounting pricing-based scheme can be associated with the new consumer electronics-based business to be set up in the UK. The development of the sales promotion process in an effective manner rests on this scheme. </w:t>
      </w:r>
      <w:r w:rsidR="00322237" w:rsidRPr="008332EF">
        <w:rPr>
          <w:rFonts w:ascii="Times New Roman" w:eastAsia="Times New Roman" w:hAnsi="Times New Roman" w:cs="Times New Roman"/>
          <w:sz w:val="24"/>
          <w:szCs w:val="24"/>
          <w:lang w:val="en-GB"/>
        </w:rPr>
        <w:t>For its consumer electronics company in the UK, GreenWave Electronics, Inc. intends to introduce a strategic discount pricing strategy. The goal of the pricing strategy is to increase the process of sales promotion's efficacy. The business will take into account production costs, operating costs, and a fair profit margin when determining the selling price. GreenWave Electronics will guarantee a competitive yet profitable pricing structure by closely examining these expenses. This strategy strikes a compromise between affordability and financial viability, appealing to both cost-conscious customers and positioning the company for long-term growth and profitability in the competitive UK consumer electronics industry.</w:t>
      </w:r>
    </w:p>
    <w:p w14:paraId="54AAB362"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highlight w:val="white"/>
          <w:lang w:val="en-GB"/>
        </w:rPr>
      </w:pPr>
      <w:r w:rsidRPr="0083383E">
        <w:rPr>
          <w:rFonts w:ascii="Times New Roman" w:eastAsia="Times New Roman" w:hAnsi="Times New Roman" w:cs="Times New Roman"/>
          <w:b/>
          <w:sz w:val="24"/>
          <w:szCs w:val="24"/>
          <w:highlight w:val="white"/>
          <w:lang w:val="en-GB"/>
        </w:rPr>
        <w:t xml:space="preserve">Place- </w:t>
      </w:r>
      <w:r w:rsidRPr="0083383E">
        <w:rPr>
          <w:rFonts w:ascii="Times New Roman" w:eastAsia="Times New Roman" w:hAnsi="Times New Roman" w:cs="Times New Roman"/>
          <w:sz w:val="24"/>
          <w:szCs w:val="24"/>
          <w:highlight w:val="white"/>
          <w:lang w:val="en-GB"/>
        </w:rPr>
        <w:t xml:space="preserve">The places where the marketing and the sales promotions are to be developed in terms of the launching of the new venture will include all the important commercial business regions of the UK such as London, Manchester, Liverpool, and other regions.  </w:t>
      </w:r>
    </w:p>
    <w:p w14:paraId="33B0996F" w14:textId="5E0928DD" w:rsidR="00A57F4B" w:rsidRPr="00322237"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b/>
          <w:sz w:val="24"/>
          <w:szCs w:val="24"/>
          <w:highlight w:val="white"/>
          <w:lang w:val="en-GB"/>
        </w:rPr>
        <w:t xml:space="preserve">Promotion- </w:t>
      </w:r>
      <w:r w:rsidRPr="0083383E">
        <w:rPr>
          <w:rFonts w:ascii="Times New Roman" w:eastAsia="Times New Roman" w:hAnsi="Times New Roman" w:cs="Times New Roman"/>
          <w:sz w:val="24"/>
          <w:szCs w:val="24"/>
          <w:highlight w:val="white"/>
          <w:lang w:val="en-GB"/>
        </w:rPr>
        <w:t>The promotion-based tactics for the new business are to be based on the digital process of advertising schemes</w:t>
      </w:r>
      <w:r w:rsidRPr="008332EF">
        <w:rPr>
          <w:rFonts w:ascii="Times New Roman" w:eastAsia="Times New Roman" w:hAnsi="Times New Roman" w:cs="Times New Roman"/>
          <w:sz w:val="24"/>
          <w:szCs w:val="24"/>
          <w:lang w:val="en-GB"/>
        </w:rPr>
        <w:t>.</w:t>
      </w:r>
      <w:r w:rsidR="00C41BB9" w:rsidRPr="008332EF">
        <w:rPr>
          <w:rFonts w:ascii="Times New Roman" w:eastAsia="Times New Roman" w:hAnsi="Times New Roman" w:cs="Times New Roman"/>
          <w:sz w:val="24"/>
          <w:szCs w:val="24"/>
          <w:lang w:val="en-GB"/>
        </w:rPr>
        <w:t xml:space="preserve"> </w:t>
      </w:r>
      <w:r w:rsidR="008332EF">
        <w:rPr>
          <w:rFonts w:ascii="Times New Roman" w:eastAsia="Times New Roman" w:hAnsi="Times New Roman" w:cs="Times New Roman"/>
          <w:sz w:val="24"/>
          <w:szCs w:val="24"/>
          <w:lang w:val="en-GB"/>
        </w:rPr>
        <w:t>GreenWave Electronics, Inc. will use digital advertising to promote itself, focusing on important client touchpoints and resolving issues within the UK market.</w:t>
      </w:r>
      <w:r w:rsidR="008332EF" w:rsidRPr="008332EF">
        <w:rPr>
          <w:rFonts w:ascii="Times New Roman" w:eastAsia="Times New Roman" w:hAnsi="Times New Roman" w:cs="Times New Roman"/>
          <w:sz w:val="24"/>
          <w:szCs w:val="24"/>
          <w:lang w:val="en-GB"/>
        </w:rPr>
        <w:t xml:space="preserve"> The</w:t>
      </w:r>
      <w:r w:rsidR="00322237" w:rsidRPr="008332EF">
        <w:rPr>
          <w:rFonts w:ascii="Times New Roman" w:eastAsia="Times New Roman" w:hAnsi="Times New Roman" w:cs="Times New Roman"/>
          <w:sz w:val="24"/>
          <w:szCs w:val="24"/>
          <w:lang w:val="en-GB"/>
        </w:rPr>
        <w:t xml:space="preserve"> main touchpoints will be social media, online platforms, and e-commerce channels, guaranteeing a broad audience among tech-savvy customers. Tailored digital advertising will address pain factors including affordability, technological complexity, and environmental concerns. Customers will respond favourably to a product's low cost, easy-to-use features, and environmentally friendly manufacturing processes. By effectively advertising GreenWave Electronics' products and addressing any potential problems, the digital approach seeks to create a </w:t>
      </w:r>
      <w:r w:rsidR="00322237" w:rsidRPr="008332EF">
        <w:rPr>
          <w:rFonts w:ascii="Times New Roman" w:eastAsia="Times New Roman" w:hAnsi="Times New Roman" w:cs="Times New Roman"/>
          <w:sz w:val="24"/>
          <w:szCs w:val="24"/>
          <w:lang w:val="en-GB"/>
        </w:rPr>
        <w:lastRenderedPageBreak/>
        <w:t>seamless and engaging customer experience. In the end, the goal is to establish a strong brand presence in the competitive UK consumer electronics scene</w:t>
      </w:r>
      <w:r w:rsidR="00322237" w:rsidRPr="00322237">
        <w:rPr>
          <w:rFonts w:ascii="Times New Roman" w:eastAsia="Times New Roman" w:hAnsi="Times New Roman" w:cs="Times New Roman"/>
          <w:sz w:val="24"/>
          <w:szCs w:val="24"/>
          <w:highlight w:val="yellow"/>
          <w:lang w:val="en-GB"/>
        </w:rPr>
        <w:t>.</w:t>
      </w:r>
      <w:r w:rsidR="00322237">
        <w:rPr>
          <w:rFonts w:ascii="Times New Roman" w:eastAsia="Times New Roman" w:hAnsi="Times New Roman" w:cs="Times New Roman"/>
          <w:sz w:val="24"/>
          <w:szCs w:val="24"/>
          <w:lang w:val="en-GB"/>
        </w:rPr>
        <w:t xml:space="preserve"> </w:t>
      </w:r>
    </w:p>
    <w:p w14:paraId="18FB0135" w14:textId="5663EF49" w:rsidR="00A57F4B" w:rsidRPr="0083383E" w:rsidRDefault="002F24DE" w:rsidP="00A91882">
      <w:pPr>
        <w:pStyle w:val="Heading1"/>
        <w:spacing w:line="360" w:lineRule="auto"/>
        <w:rPr>
          <w:lang w:val="en-GB"/>
        </w:rPr>
      </w:pPr>
      <w:bookmarkStart w:id="4" w:name="_Toc149406257"/>
      <w:r w:rsidRPr="0083383E">
        <w:rPr>
          <w:lang w:val="en-GB"/>
        </w:rPr>
        <w:t xml:space="preserve">5. Financial </w:t>
      </w:r>
      <w:bookmarkEnd w:id="4"/>
      <w:r w:rsidR="00E8104B">
        <w:rPr>
          <w:lang w:val="en-GB"/>
        </w:rPr>
        <w:t>Plan</w:t>
      </w:r>
      <w:r w:rsidRPr="0083383E">
        <w:rPr>
          <w:lang w:val="en-GB"/>
        </w:rPr>
        <w:t xml:space="preserve"> </w:t>
      </w:r>
    </w:p>
    <w:p w14:paraId="706A0579"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highlight w:val="white"/>
          <w:lang w:val="en-GB"/>
        </w:rPr>
      </w:pPr>
      <w:r w:rsidRPr="0083383E">
        <w:rPr>
          <w:rFonts w:ascii="Times New Roman" w:eastAsia="Times New Roman" w:hAnsi="Times New Roman" w:cs="Times New Roman"/>
          <w:b/>
          <w:i/>
          <w:sz w:val="24"/>
          <w:szCs w:val="24"/>
          <w:lang w:val="en-GB"/>
        </w:rPr>
        <w:t>Different kinds of financing</w:t>
      </w:r>
    </w:p>
    <w:p w14:paraId="2E60EE24" w14:textId="3650505F"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The expected </w:t>
      </w:r>
      <w:r w:rsidR="00E1550E">
        <w:rPr>
          <w:rFonts w:ascii="Times New Roman" w:eastAsia="Times New Roman" w:hAnsi="Times New Roman" w:cs="Times New Roman"/>
          <w:sz w:val="24"/>
          <w:szCs w:val="24"/>
          <w:lang w:val="en-GB"/>
        </w:rPr>
        <w:t>fund's</w:t>
      </w:r>
      <w:r w:rsidRPr="0083383E">
        <w:rPr>
          <w:rFonts w:ascii="Times New Roman" w:eastAsia="Times New Roman" w:hAnsi="Times New Roman" w:cs="Times New Roman"/>
          <w:sz w:val="24"/>
          <w:szCs w:val="24"/>
          <w:lang w:val="en-GB"/>
        </w:rPr>
        <w:t xml:space="preserve"> statement is linked to the amount of money which the new venture-based business of </w:t>
      </w:r>
      <w:r w:rsidRPr="0083383E">
        <w:rPr>
          <w:rFonts w:ascii="Times New Roman" w:eastAsia="Times New Roman" w:hAnsi="Times New Roman" w:cs="Times New Roman"/>
          <w:b/>
          <w:sz w:val="24"/>
          <w:szCs w:val="24"/>
          <w:lang w:val="en-GB"/>
        </w:rPr>
        <w:t>GreenWave Electronics, Inc</w:t>
      </w:r>
      <w:r w:rsidR="00C92738">
        <w:rPr>
          <w:rFonts w:ascii="Times New Roman" w:eastAsia="Times New Roman" w:hAnsi="Times New Roman" w:cs="Times New Roman"/>
          <w:sz w:val="24"/>
          <w:szCs w:val="24"/>
          <w:lang w:val="en-GB"/>
        </w:rPr>
        <w:t>. in the UK</w:t>
      </w:r>
      <w:r w:rsidRPr="0083383E">
        <w:rPr>
          <w:rFonts w:ascii="Times New Roman" w:eastAsia="Times New Roman" w:hAnsi="Times New Roman" w:cs="Times New Roman"/>
          <w:sz w:val="24"/>
          <w:szCs w:val="24"/>
          <w:lang w:val="en-GB"/>
        </w:rPr>
        <w:t xml:space="preserve"> needs to raise money for its development is to be as follows:</w:t>
      </w:r>
    </w:p>
    <w:p w14:paraId="579CA63B" w14:textId="77777777" w:rsidR="00A57F4B" w:rsidRPr="0083383E" w:rsidRDefault="00A57F4B" w:rsidP="00A91882">
      <w:pPr>
        <w:pStyle w:val="Normal1"/>
        <w:spacing w:line="360" w:lineRule="auto"/>
        <w:jc w:val="both"/>
        <w:rPr>
          <w:rFonts w:ascii="Times New Roman" w:eastAsia="Times New Roman" w:hAnsi="Times New Roman" w:cs="Times New Roman"/>
          <w:sz w:val="24"/>
          <w:szCs w:val="24"/>
          <w:lang w:val="en-GB"/>
        </w:rPr>
      </w:pPr>
    </w:p>
    <w:tbl>
      <w:tblPr>
        <w:tblStyle w:val="a0"/>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25"/>
        <w:gridCol w:w="1770"/>
        <w:gridCol w:w="1110"/>
        <w:gridCol w:w="975"/>
        <w:gridCol w:w="1320"/>
        <w:gridCol w:w="1320"/>
        <w:gridCol w:w="1320"/>
      </w:tblGrid>
      <w:tr w:rsidR="00FB2F95" w14:paraId="73D1E3D7" w14:textId="77777777">
        <w:trPr>
          <w:cantSplit/>
          <w:tblHeader/>
        </w:trPr>
        <w:tc>
          <w:tcPr>
            <w:tcW w:w="1425" w:type="dxa"/>
            <w:shd w:val="clear" w:color="auto" w:fill="auto"/>
            <w:tcMar>
              <w:top w:w="100" w:type="dxa"/>
              <w:left w:w="100" w:type="dxa"/>
              <w:bottom w:w="100" w:type="dxa"/>
              <w:right w:w="100" w:type="dxa"/>
            </w:tcMar>
          </w:tcPr>
          <w:p w14:paraId="2FA20664"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Dates</w:t>
            </w:r>
          </w:p>
        </w:tc>
        <w:tc>
          <w:tcPr>
            <w:tcW w:w="1770" w:type="dxa"/>
            <w:shd w:val="clear" w:color="auto" w:fill="auto"/>
            <w:tcMar>
              <w:top w:w="100" w:type="dxa"/>
              <w:left w:w="100" w:type="dxa"/>
              <w:bottom w:w="100" w:type="dxa"/>
              <w:right w:w="100" w:type="dxa"/>
            </w:tcMar>
          </w:tcPr>
          <w:p w14:paraId="75DC05D0"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Transaction particulars  </w:t>
            </w:r>
          </w:p>
        </w:tc>
        <w:tc>
          <w:tcPr>
            <w:tcW w:w="1110" w:type="dxa"/>
            <w:shd w:val="clear" w:color="auto" w:fill="auto"/>
            <w:tcMar>
              <w:top w:w="100" w:type="dxa"/>
              <w:left w:w="100" w:type="dxa"/>
              <w:bottom w:w="100" w:type="dxa"/>
              <w:right w:w="100" w:type="dxa"/>
            </w:tcMar>
          </w:tcPr>
          <w:p w14:paraId="14D7F47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Settlement-based ID</w:t>
            </w:r>
          </w:p>
        </w:tc>
        <w:tc>
          <w:tcPr>
            <w:tcW w:w="975" w:type="dxa"/>
            <w:shd w:val="clear" w:color="auto" w:fill="auto"/>
            <w:tcMar>
              <w:top w:w="100" w:type="dxa"/>
              <w:left w:w="100" w:type="dxa"/>
              <w:bottom w:w="100" w:type="dxa"/>
              <w:right w:w="100" w:type="dxa"/>
            </w:tcMar>
          </w:tcPr>
          <w:p w14:paraId="3BC9AB3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Counter settlement-based ID</w:t>
            </w:r>
          </w:p>
        </w:tc>
        <w:tc>
          <w:tcPr>
            <w:tcW w:w="1320" w:type="dxa"/>
            <w:shd w:val="clear" w:color="auto" w:fill="auto"/>
            <w:tcMar>
              <w:top w:w="100" w:type="dxa"/>
              <w:left w:w="100" w:type="dxa"/>
              <w:bottom w:w="100" w:type="dxa"/>
              <w:right w:w="100" w:type="dxa"/>
            </w:tcMar>
          </w:tcPr>
          <w:p w14:paraId="42BACCE7"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 Credit ($)</w:t>
            </w:r>
          </w:p>
        </w:tc>
        <w:tc>
          <w:tcPr>
            <w:tcW w:w="1320" w:type="dxa"/>
            <w:shd w:val="clear" w:color="auto" w:fill="auto"/>
            <w:tcMar>
              <w:top w:w="100" w:type="dxa"/>
              <w:left w:w="100" w:type="dxa"/>
              <w:bottom w:w="100" w:type="dxa"/>
              <w:right w:w="100" w:type="dxa"/>
            </w:tcMar>
          </w:tcPr>
          <w:p w14:paraId="135384E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Debit ($)</w:t>
            </w:r>
          </w:p>
        </w:tc>
        <w:tc>
          <w:tcPr>
            <w:tcW w:w="1320" w:type="dxa"/>
            <w:shd w:val="clear" w:color="auto" w:fill="auto"/>
            <w:tcMar>
              <w:top w:w="100" w:type="dxa"/>
              <w:left w:w="100" w:type="dxa"/>
              <w:bottom w:w="100" w:type="dxa"/>
              <w:right w:w="100" w:type="dxa"/>
            </w:tcMar>
          </w:tcPr>
          <w:p w14:paraId="061F24C2" w14:textId="315C9424"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Current </w:t>
            </w:r>
            <w:r w:rsidR="00AE6F2F" w:rsidRPr="0083383E">
              <w:rPr>
                <w:rFonts w:ascii="Times New Roman" w:eastAsia="Times New Roman" w:hAnsi="Times New Roman" w:cs="Times New Roman"/>
                <w:b/>
                <w:sz w:val="24"/>
                <w:szCs w:val="24"/>
                <w:lang w:val="en-GB"/>
              </w:rPr>
              <w:t>balance (</w:t>
            </w:r>
            <w:r w:rsidRPr="0083383E">
              <w:rPr>
                <w:rFonts w:ascii="Times New Roman" w:eastAsia="Times New Roman" w:hAnsi="Times New Roman" w:cs="Times New Roman"/>
                <w:b/>
                <w:sz w:val="24"/>
                <w:szCs w:val="24"/>
                <w:lang w:val="en-GB"/>
              </w:rPr>
              <w:t>$)</w:t>
            </w:r>
          </w:p>
        </w:tc>
      </w:tr>
      <w:tr w:rsidR="00FB2F95" w14:paraId="36A53431" w14:textId="77777777">
        <w:trPr>
          <w:cantSplit/>
          <w:tblHeader/>
        </w:trPr>
        <w:tc>
          <w:tcPr>
            <w:tcW w:w="1425" w:type="dxa"/>
            <w:shd w:val="clear" w:color="auto" w:fill="auto"/>
            <w:tcMar>
              <w:top w:w="100" w:type="dxa"/>
              <w:left w:w="100" w:type="dxa"/>
              <w:bottom w:w="100" w:type="dxa"/>
              <w:right w:w="100" w:type="dxa"/>
            </w:tcMar>
          </w:tcPr>
          <w:p w14:paraId="561EA63E"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01-10-2023</w:t>
            </w:r>
          </w:p>
        </w:tc>
        <w:tc>
          <w:tcPr>
            <w:tcW w:w="1770" w:type="dxa"/>
            <w:shd w:val="clear" w:color="auto" w:fill="auto"/>
            <w:tcMar>
              <w:top w:w="100" w:type="dxa"/>
              <w:left w:w="100" w:type="dxa"/>
              <w:bottom w:w="100" w:type="dxa"/>
              <w:right w:w="100" w:type="dxa"/>
            </w:tcMar>
          </w:tcPr>
          <w:p w14:paraId="70DC6B04"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Opening balance </w:t>
            </w:r>
          </w:p>
        </w:tc>
        <w:tc>
          <w:tcPr>
            <w:tcW w:w="1110" w:type="dxa"/>
            <w:shd w:val="clear" w:color="auto" w:fill="auto"/>
            <w:tcMar>
              <w:top w:w="100" w:type="dxa"/>
              <w:left w:w="100" w:type="dxa"/>
              <w:bottom w:w="100" w:type="dxa"/>
              <w:right w:w="100" w:type="dxa"/>
            </w:tcMar>
          </w:tcPr>
          <w:p w14:paraId="53027821"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75" w:type="dxa"/>
            <w:shd w:val="clear" w:color="auto" w:fill="auto"/>
            <w:tcMar>
              <w:top w:w="100" w:type="dxa"/>
              <w:left w:w="100" w:type="dxa"/>
              <w:bottom w:w="100" w:type="dxa"/>
              <w:right w:w="100" w:type="dxa"/>
            </w:tcMar>
          </w:tcPr>
          <w:p w14:paraId="20C7779C"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1F446B8C"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1EDEA577"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5E7E8445"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1070.007</w:t>
            </w:r>
          </w:p>
        </w:tc>
      </w:tr>
      <w:tr w:rsidR="00FB2F95" w14:paraId="42201BFF" w14:textId="77777777">
        <w:trPr>
          <w:cantSplit/>
          <w:tblHeader/>
        </w:trPr>
        <w:tc>
          <w:tcPr>
            <w:tcW w:w="1425" w:type="dxa"/>
            <w:shd w:val="clear" w:color="auto" w:fill="auto"/>
            <w:tcMar>
              <w:top w:w="100" w:type="dxa"/>
              <w:left w:w="100" w:type="dxa"/>
              <w:bottom w:w="100" w:type="dxa"/>
              <w:right w:w="100" w:type="dxa"/>
            </w:tcMar>
          </w:tcPr>
          <w:p w14:paraId="7AD00F9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04-10.2023</w:t>
            </w:r>
          </w:p>
        </w:tc>
        <w:tc>
          <w:tcPr>
            <w:tcW w:w="1770" w:type="dxa"/>
            <w:shd w:val="clear" w:color="auto" w:fill="auto"/>
            <w:tcMar>
              <w:top w:w="100" w:type="dxa"/>
              <w:left w:w="100" w:type="dxa"/>
              <w:bottom w:w="100" w:type="dxa"/>
              <w:right w:w="100" w:type="dxa"/>
            </w:tcMar>
          </w:tcPr>
          <w:p w14:paraId="1AF230BA" w14:textId="77777777" w:rsidR="00A57F4B" w:rsidRPr="0083383E" w:rsidRDefault="00474A0D"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r w:rsidR="002F24DE" w:rsidRPr="0083383E">
              <w:rPr>
                <w:rFonts w:ascii="Times New Roman" w:eastAsia="Times New Roman" w:hAnsi="Times New Roman" w:cs="Times New Roman"/>
                <w:sz w:val="24"/>
                <w:szCs w:val="24"/>
                <w:lang w:val="en-GB"/>
              </w:rPr>
              <w:t xml:space="preserve">st Settlement </w:t>
            </w:r>
          </w:p>
        </w:tc>
        <w:tc>
          <w:tcPr>
            <w:tcW w:w="1110" w:type="dxa"/>
            <w:shd w:val="clear" w:color="auto" w:fill="auto"/>
            <w:tcMar>
              <w:top w:w="100" w:type="dxa"/>
              <w:left w:w="100" w:type="dxa"/>
              <w:bottom w:w="100" w:type="dxa"/>
              <w:right w:w="100" w:type="dxa"/>
            </w:tcMar>
          </w:tcPr>
          <w:p w14:paraId="58441D92"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75" w:type="dxa"/>
            <w:shd w:val="clear" w:color="auto" w:fill="auto"/>
            <w:tcMar>
              <w:top w:w="100" w:type="dxa"/>
              <w:left w:w="100" w:type="dxa"/>
              <w:bottom w:w="100" w:type="dxa"/>
              <w:right w:w="100" w:type="dxa"/>
            </w:tcMar>
          </w:tcPr>
          <w:p w14:paraId="482F4740"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58CD3A97"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88.003</w:t>
            </w:r>
          </w:p>
        </w:tc>
        <w:tc>
          <w:tcPr>
            <w:tcW w:w="1320" w:type="dxa"/>
            <w:shd w:val="clear" w:color="auto" w:fill="auto"/>
            <w:tcMar>
              <w:top w:w="100" w:type="dxa"/>
              <w:left w:w="100" w:type="dxa"/>
              <w:bottom w:w="100" w:type="dxa"/>
              <w:right w:w="100" w:type="dxa"/>
            </w:tcMar>
          </w:tcPr>
          <w:p w14:paraId="544D929D"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3EFE701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1158.010</w:t>
            </w:r>
          </w:p>
        </w:tc>
      </w:tr>
      <w:tr w:rsidR="00FB2F95" w14:paraId="6D876D54" w14:textId="77777777">
        <w:trPr>
          <w:cantSplit/>
          <w:tblHeader/>
        </w:trPr>
        <w:tc>
          <w:tcPr>
            <w:tcW w:w="1425" w:type="dxa"/>
            <w:shd w:val="clear" w:color="auto" w:fill="auto"/>
            <w:tcMar>
              <w:top w:w="100" w:type="dxa"/>
              <w:left w:w="100" w:type="dxa"/>
              <w:bottom w:w="100" w:type="dxa"/>
              <w:right w:w="100" w:type="dxa"/>
            </w:tcMar>
          </w:tcPr>
          <w:p w14:paraId="64DECB1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08-10-2023</w:t>
            </w:r>
          </w:p>
        </w:tc>
        <w:tc>
          <w:tcPr>
            <w:tcW w:w="1770" w:type="dxa"/>
            <w:shd w:val="clear" w:color="auto" w:fill="auto"/>
            <w:tcMar>
              <w:top w:w="100" w:type="dxa"/>
              <w:left w:w="100" w:type="dxa"/>
              <w:bottom w:w="100" w:type="dxa"/>
              <w:right w:w="100" w:type="dxa"/>
            </w:tcMar>
          </w:tcPr>
          <w:p w14:paraId="5222402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2nd settlement </w:t>
            </w:r>
          </w:p>
        </w:tc>
        <w:tc>
          <w:tcPr>
            <w:tcW w:w="1110" w:type="dxa"/>
            <w:shd w:val="clear" w:color="auto" w:fill="auto"/>
            <w:tcMar>
              <w:top w:w="100" w:type="dxa"/>
              <w:left w:w="100" w:type="dxa"/>
              <w:bottom w:w="100" w:type="dxa"/>
              <w:right w:w="100" w:type="dxa"/>
            </w:tcMar>
          </w:tcPr>
          <w:p w14:paraId="07049368"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75" w:type="dxa"/>
            <w:shd w:val="clear" w:color="auto" w:fill="auto"/>
            <w:tcMar>
              <w:top w:w="100" w:type="dxa"/>
              <w:left w:w="100" w:type="dxa"/>
              <w:bottom w:w="100" w:type="dxa"/>
              <w:right w:w="100" w:type="dxa"/>
            </w:tcMar>
          </w:tcPr>
          <w:p w14:paraId="5597B1D4"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378E02E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87.003</w:t>
            </w:r>
          </w:p>
        </w:tc>
        <w:tc>
          <w:tcPr>
            <w:tcW w:w="1320" w:type="dxa"/>
            <w:shd w:val="clear" w:color="auto" w:fill="auto"/>
            <w:tcMar>
              <w:top w:w="100" w:type="dxa"/>
              <w:left w:w="100" w:type="dxa"/>
              <w:bottom w:w="100" w:type="dxa"/>
              <w:right w:w="100" w:type="dxa"/>
            </w:tcMar>
          </w:tcPr>
          <w:p w14:paraId="5E135A66"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277FD126"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1245.013</w:t>
            </w:r>
          </w:p>
        </w:tc>
      </w:tr>
      <w:tr w:rsidR="00FB2F95" w14:paraId="5D5BBDAC" w14:textId="77777777">
        <w:trPr>
          <w:cantSplit/>
          <w:tblHeader/>
        </w:trPr>
        <w:tc>
          <w:tcPr>
            <w:tcW w:w="1425" w:type="dxa"/>
            <w:shd w:val="clear" w:color="auto" w:fill="auto"/>
            <w:tcMar>
              <w:top w:w="100" w:type="dxa"/>
              <w:left w:w="100" w:type="dxa"/>
              <w:bottom w:w="100" w:type="dxa"/>
              <w:right w:w="100" w:type="dxa"/>
            </w:tcMar>
          </w:tcPr>
          <w:p w14:paraId="7F7A172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15-10-2023</w:t>
            </w:r>
          </w:p>
        </w:tc>
        <w:tc>
          <w:tcPr>
            <w:tcW w:w="1770" w:type="dxa"/>
            <w:shd w:val="clear" w:color="auto" w:fill="auto"/>
            <w:tcMar>
              <w:top w:w="100" w:type="dxa"/>
              <w:left w:w="100" w:type="dxa"/>
              <w:bottom w:w="100" w:type="dxa"/>
              <w:right w:w="100" w:type="dxa"/>
            </w:tcMar>
          </w:tcPr>
          <w:p w14:paraId="09D6A20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3rd settlement </w:t>
            </w:r>
          </w:p>
        </w:tc>
        <w:tc>
          <w:tcPr>
            <w:tcW w:w="1110" w:type="dxa"/>
            <w:shd w:val="clear" w:color="auto" w:fill="auto"/>
            <w:tcMar>
              <w:top w:w="100" w:type="dxa"/>
              <w:left w:w="100" w:type="dxa"/>
              <w:bottom w:w="100" w:type="dxa"/>
              <w:right w:w="100" w:type="dxa"/>
            </w:tcMar>
          </w:tcPr>
          <w:p w14:paraId="0A121027"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75" w:type="dxa"/>
            <w:shd w:val="clear" w:color="auto" w:fill="auto"/>
            <w:tcMar>
              <w:top w:w="100" w:type="dxa"/>
              <w:left w:w="100" w:type="dxa"/>
              <w:bottom w:w="100" w:type="dxa"/>
              <w:right w:w="100" w:type="dxa"/>
            </w:tcMar>
          </w:tcPr>
          <w:p w14:paraId="72027172"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62C714FA"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86.003</w:t>
            </w:r>
          </w:p>
        </w:tc>
        <w:tc>
          <w:tcPr>
            <w:tcW w:w="1320" w:type="dxa"/>
            <w:shd w:val="clear" w:color="auto" w:fill="auto"/>
            <w:tcMar>
              <w:top w:w="100" w:type="dxa"/>
              <w:left w:w="100" w:type="dxa"/>
              <w:bottom w:w="100" w:type="dxa"/>
              <w:right w:w="100" w:type="dxa"/>
            </w:tcMar>
          </w:tcPr>
          <w:p w14:paraId="0A7CB0B0"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6C92F8B2"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1331,006</w:t>
            </w:r>
          </w:p>
        </w:tc>
      </w:tr>
      <w:tr w:rsidR="00FB2F95" w14:paraId="0E446460" w14:textId="77777777">
        <w:trPr>
          <w:cantSplit/>
          <w:tblHeader/>
        </w:trPr>
        <w:tc>
          <w:tcPr>
            <w:tcW w:w="1425" w:type="dxa"/>
            <w:shd w:val="clear" w:color="auto" w:fill="auto"/>
            <w:tcMar>
              <w:top w:w="100" w:type="dxa"/>
              <w:left w:w="100" w:type="dxa"/>
              <w:bottom w:w="100" w:type="dxa"/>
              <w:right w:w="100" w:type="dxa"/>
            </w:tcMar>
          </w:tcPr>
          <w:p w14:paraId="238856D0"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24-10-2023</w:t>
            </w:r>
          </w:p>
        </w:tc>
        <w:tc>
          <w:tcPr>
            <w:tcW w:w="1770" w:type="dxa"/>
            <w:shd w:val="clear" w:color="auto" w:fill="auto"/>
            <w:tcMar>
              <w:top w:w="100" w:type="dxa"/>
              <w:left w:w="100" w:type="dxa"/>
              <w:bottom w:w="100" w:type="dxa"/>
              <w:right w:w="100" w:type="dxa"/>
            </w:tcMar>
          </w:tcPr>
          <w:p w14:paraId="40772F8C"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4th settlement </w:t>
            </w:r>
          </w:p>
        </w:tc>
        <w:tc>
          <w:tcPr>
            <w:tcW w:w="1110" w:type="dxa"/>
            <w:shd w:val="clear" w:color="auto" w:fill="auto"/>
            <w:tcMar>
              <w:top w:w="100" w:type="dxa"/>
              <w:left w:w="100" w:type="dxa"/>
              <w:bottom w:w="100" w:type="dxa"/>
              <w:right w:w="100" w:type="dxa"/>
            </w:tcMar>
          </w:tcPr>
          <w:p w14:paraId="3767DA5D"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75" w:type="dxa"/>
            <w:shd w:val="clear" w:color="auto" w:fill="auto"/>
            <w:tcMar>
              <w:top w:w="100" w:type="dxa"/>
              <w:left w:w="100" w:type="dxa"/>
              <w:bottom w:w="100" w:type="dxa"/>
              <w:right w:w="100" w:type="dxa"/>
            </w:tcMar>
          </w:tcPr>
          <w:p w14:paraId="2630E6B9"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3D0FFEE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85.003</w:t>
            </w:r>
          </w:p>
        </w:tc>
        <w:tc>
          <w:tcPr>
            <w:tcW w:w="1320" w:type="dxa"/>
            <w:shd w:val="clear" w:color="auto" w:fill="auto"/>
            <w:tcMar>
              <w:top w:w="100" w:type="dxa"/>
              <w:left w:w="100" w:type="dxa"/>
              <w:bottom w:w="100" w:type="dxa"/>
              <w:right w:w="100" w:type="dxa"/>
            </w:tcMar>
          </w:tcPr>
          <w:p w14:paraId="29B1D601"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266BBD2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1416.019</w:t>
            </w:r>
          </w:p>
        </w:tc>
      </w:tr>
      <w:tr w:rsidR="00FB2F95" w14:paraId="5ADFE569" w14:textId="77777777">
        <w:trPr>
          <w:cantSplit/>
          <w:tblHeader/>
        </w:trPr>
        <w:tc>
          <w:tcPr>
            <w:tcW w:w="1425" w:type="dxa"/>
            <w:shd w:val="clear" w:color="auto" w:fill="auto"/>
            <w:tcMar>
              <w:top w:w="100" w:type="dxa"/>
              <w:left w:w="100" w:type="dxa"/>
              <w:bottom w:w="100" w:type="dxa"/>
              <w:right w:w="100" w:type="dxa"/>
            </w:tcMar>
          </w:tcPr>
          <w:p w14:paraId="70CB7D3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31-10-2023</w:t>
            </w:r>
          </w:p>
        </w:tc>
        <w:tc>
          <w:tcPr>
            <w:tcW w:w="1770" w:type="dxa"/>
            <w:shd w:val="clear" w:color="auto" w:fill="auto"/>
            <w:tcMar>
              <w:top w:w="100" w:type="dxa"/>
              <w:left w:w="100" w:type="dxa"/>
              <w:bottom w:w="100" w:type="dxa"/>
              <w:right w:w="100" w:type="dxa"/>
            </w:tcMar>
          </w:tcPr>
          <w:p w14:paraId="49902FC7"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5th settlement </w:t>
            </w:r>
          </w:p>
        </w:tc>
        <w:tc>
          <w:tcPr>
            <w:tcW w:w="1110" w:type="dxa"/>
            <w:shd w:val="clear" w:color="auto" w:fill="auto"/>
            <w:tcMar>
              <w:top w:w="100" w:type="dxa"/>
              <w:left w:w="100" w:type="dxa"/>
              <w:bottom w:w="100" w:type="dxa"/>
              <w:right w:w="100" w:type="dxa"/>
            </w:tcMar>
          </w:tcPr>
          <w:p w14:paraId="3B85BBFC"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75" w:type="dxa"/>
            <w:shd w:val="clear" w:color="auto" w:fill="auto"/>
            <w:tcMar>
              <w:top w:w="100" w:type="dxa"/>
              <w:left w:w="100" w:type="dxa"/>
              <w:bottom w:w="100" w:type="dxa"/>
              <w:right w:w="100" w:type="dxa"/>
            </w:tcMar>
          </w:tcPr>
          <w:p w14:paraId="14899275"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7CC4592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5.003</w:t>
            </w:r>
          </w:p>
        </w:tc>
        <w:tc>
          <w:tcPr>
            <w:tcW w:w="1320" w:type="dxa"/>
            <w:shd w:val="clear" w:color="auto" w:fill="auto"/>
            <w:tcMar>
              <w:top w:w="100" w:type="dxa"/>
              <w:left w:w="100" w:type="dxa"/>
              <w:bottom w:w="100" w:type="dxa"/>
              <w:right w:w="100" w:type="dxa"/>
            </w:tcMar>
          </w:tcPr>
          <w:p w14:paraId="139D5EC0"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20" w:type="dxa"/>
            <w:shd w:val="clear" w:color="auto" w:fill="auto"/>
            <w:tcMar>
              <w:top w:w="100" w:type="dxa"/>
              <w:left w:w="100" w:type="dxa"/>
              <w:bottom w:w="100" w:type="dxa"/>
              <w:right w:w="100" w:type="dxa"/>
            </w:tcMar>
          </w:tcPr>
          <w:p w14:paraId="1748B1F6"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1421.022</w:t>
            </w:r>
          </w:p>
        </w:tc>
      </w:tr>
    </w:tbl>
    <w:p w14:paraId="5A70CC14" w14:textId="77777777" w:rsidR="00A57F4B" w:rsidRDefault="00A57F4B" w:rsidP="00A91882">
      <w:pPr>
        <w:pStyle w:val="Normal1"/>
        <w:spacing w:line="360" w:lineRule="auto"/>
        <w:jc w:val="both"/>
        <w:rPr>
          <w:rFonts w:ascii="Times New Roman" w:eastAsia="Times New Roman" w:hAnsi="Times New Roman" w:cs="Times New Roman"/>
          <w:b/>
          <w:sz w:val="24"/>
          <w:szCs w:val="24"/>
          <w:lang w:val="en-GB"/>
        </w:rPr>
      </w:pPr>
    </w:p>
    <w:p w14:paraId="3451FA6D" w14:textId="77777777" w:rsidR="00A57F4B" w:rsidRPr="0083383E" w:rsidRDefault="002F24DE" w:rsidP="00A91882">
      <w:pPr>
        <w:pStyle w:val="Normal1"/>
        <w:spacing w:line="360" w:lineRule="auto"/>
        <w:jc w:val="center"/>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Table 2: </w:t>
      </w:r>
      <w:r w:rsidR="00A91882" w:rsidRPr="0083383E">
        <w:rPr>
          <w:rFonts w:ascii="Times New Roman" w:eastAsia="Times New Roman" w:hAnsi="Times New Roman" w:cs="Times New Roman"/>
          <w:b/>
          <w:sz w:val="24"/>
          <w:szCs w:val="24"/>
          <w:lang w:val="en-GB"/>
        </w:rPr>
        <w:t>Expected funds</w:t>
      </w:r>
      <w:r w:rsidRPr="0083383E">
        <w:rPr>
          <w:rFonts w:ascii="Times New Roman" w:eastAsia="Times New Roman" w:hAnsi="Times New Roman" w:cs="Times New Roman"/>
          <w:b/>
          <w:sz w:val="24"/>
          <w:szCs w:val="24"/>
          <w:lang w:val="en-GB"/>
        </w:rPr>
        <w:t xml:space="preserve"> statement of the new business from the beginning of December 2023 till its end</w:t>
      </w:r>
    </w:p>
    <w:p w14:paraId="4800F54C"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(Source: Self-developed)</w:t>
      </w:r>
    </w:p>
    <w:p w14:paraId="67CF4C4F" w14:textId="77777777" w:rsidR="00A57F4B" w:rsidRP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lastRenderedPageBreak/>
        <w:t>The financing process can be associated with business communities (</w:t>
      </w:r>
      <w:r w:rsidRPr="0083383E">
        <w:rPr>
          <w:rFonts w:ascii="Times New Roman" w:eastAsia="Times New Roman" w:hAnsi="Times New Roman" w:cs="Times New Roman"/>
          <w:sz w:val="24"/>
          <w:szCs w:val="24"/>
          <w:highlight w:val="white"/>
          <w:lang w:val="en-GB"/>
        </w:rPr>
        <w:t xml:space="preserve">Nolden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xml:space="preserve">  2020</w:t>
      </w:r>
      <w:r w:rsidRPr="0083383E">
        <w:rPr>
          <w:rFonts w:ascii="Times New Roman" w:eastAsia="Times New Roman" w:hAnsi="Times New Roman" w:cs="Times New Roman"/>
          <w:sz w:val="24"/>
          <w:szCs w:val="24"/>
          <w:lang w:val="en-GB"/>
        </w:rPr>
        <w:t xml:space="preserve">). The above funds of 1421.022 dollars as to be available at the end of the month of starting the business as of the end of December 2023 and can be associated with the financing-based processes of </w:t>
      </w:r>
      <w:r w:rsidRPr="0083383E">
        <w:rPr>
          <w:rFonts w:ascii="Times New Roman" w:eastAsia="Times New Roman" w:hAnsi="Times New Roman" w:cs="Times New Roman"/>
          <w:b/>
          <w:sz w:val="24"/>
          <w:szCs w:val="24"/>
          <w:lang w:val="en-GB"/>
        </w:rPr>
        <w:t>venture capital and crowdfunding</w:t>
      </w:r>
      <w:r w:rsidRPr="0083383E">
        <w:rPr>
          <w:rFonts w:ascii="Times New Roman" w:eastAsia="Times New Roman" w:hAnsi="Times New Roman" w:cs="Times New Roman"/>
          <w:sz w:val="24"/>
          <w:szCs w:val="24"/>
          <w:lang w:val="en-GB"/>
        </w:rPr>
        <w:t>-based processes.</w:t>
      </w:r>
    </w:p>
    <w:p w14:paraId="16AF5B87" w14:textId="6D96D5E3"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Forecasting based on a six-month-based cash </w:t>
      </w:r>
      <w:r w:rsidR="003372C0" w:rsidRPr="0083383E">
        <w:rPr>
          <w:rFonts w:ascii="Times New Roman" w:eastAsia="Times New Roman" w:hAnsi="Times New Roman" w:cs="Times New Roman"/>
          <w:b/>
          <w:i/>
          <w:sz w:val="24"/>
          <w:szCs w:val="24"/>
          <w:lang w:val="en-GB"/>
        </w:rPr>
        <w:t>budget.</w:t>
      </w:r>
    </w:p>
    <w:p w14:paraId="605701F0" w14:textId="77777777" w:rsidR="00A57F4B" w:rsidRPr="0083383E" w:rsidRDefault="00C92738" w:rsidP="00A91882">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The expected cash budget-bas</w:t>
      </w:r>
      <w:r w:rsidR="002F24DE" w:rsidRPr="0083383E">
        <w:rPr>
          <w:rFonts w:ascii="Times New Roman" w:eastAsia="Times New Roman" w:hAnsi="Times New Roman" w:cs="Times New Roman"/>
          <w:b/>
          <w:i/>
          <w:sz w:val="24"/>
          <w:szCs w:val="24"/>
          <w:lang w:val="en-GB"/>
        </w:rPr>
        <w:t xml:space="preserve">ed forecast for </w:t>
      </w:r>
      <w:r w:rsidR="002F24DE" w:rsidRPr="0083383E">
        <w:rPr>
          <w:rFonts w:ascii="Times New Roman" w:eastAsia="Times New Roman" w:hAnsi="Times New Roman" w:cs="Times New Roman"/>
          <w:b/>
          <w:sz w:val="24"/>
          <w:szCs w:val="24"/>
          <w:lang w:val="en-GB"/>
        </w:rPr>
        <w:t>GreenWave Electronics, Inc</w:t>
      </w:r>
      <w:r w:rsidR="002F24DE" w:rsidRPr="0083383E">
        <w:rPr>
          <w:rFonts w:ascii="Times New Roman" w:eastAsia="Times New Roman" w:hAnsi="Times New Roman" w:cs="Times New Roman"/>
          <w:sz w:val="24"/>
          <w:szCs w:val="24"/>
          <w:lang w:val="en-GB"/>
        </w:rPr>
        <w:t>. in the UK is as to be as follows:</w:t>
      </w:r>
    </w:p>
    <w:p w14:paraId="04F2415D" w14:textId="77777777" w:rsidR="00A57F4B" w:rsidRPr="0083383E" w:rsidRDefault="00A57F4B" w:rsidP="00A91882">
      <w:pPr>
        <w:pStyle w:val="Normal1"/>
        <w:spacing w:line="360" w:lineRule="auto"/>
        <w:jc w:val="both"/>
        <w:rPr>
          <w:rFonts w:ascii="Times New Roman" w:eastAsia="Times New Roman" w:hAnsi="Times New Roman" w:cs="Times New Roman"/>
          <w:b/>
          <w:i/>
          <w:sz w:val="24"/>
          <w:szCs w:val="24"/>
          <w:lang w:val="en-GB"/>
        </w:rPr>
      </w:pPr>
    </w:p>
    <w:tbl>
      <w:tblPr>
        <w:tblStyle w:val="a1"/>
        <w:tblW w:w="10200" w:type="dxa"/>
        <w:tblInd w:w="-1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290"/>
        <w:gridCol w:w="1290"/>
        <w:gridCol w:w="1275"/>
        <w:gridCol w:w="1245"/>
        <w:gridCol w:w="1245"/>
        <w:gridCol w:w="1275"/>
        <w:gridCol w:w="1260"/>
      </w:tblGrid>
      <w:tr w:rsidR="00FB2F95" w14:paraId="15C408C1" w14:textId="77777777">
        <w:trPr>
          <w:cantSplit/>
          <w:tblHeader/>
        </w:trPr>
        <w:tc>
          <w:tcPr>
            <w:tcW w:w="1320" w:type="dxa"/>
            <w:shd w:val="clear" w:color="auto" w:fill="auto"/>
            <w:tcMar>
              <w:top w:w="100" w:type="dxa"/>
              <w:left w:w="100" w:type="dxa"/>
              <w:bottom w:w="100" w:type="dxa"/>
              <w:right w:w="100" w:type="dxa"/>
            </w:tcMar>
          </w:tcPr>
          <w:p w14:paraId="5CC232D9"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90" w:type="dxa"/>
            <w:shd w:val="clear" w:color="auto" w:fill="auto"/>
            <w:tcMar>
              <w:top w:w="100" w:type="dxa"/>
              <w:left w:w="100" w:type="dxa"/>
              <w:bottom w:w="100" w:type="dxa"/>
              <w:right w:w="100" w:type="dxa"/>
            </w:tcMar>
          </w:tcPr>
          <w:p w14:paraId="2125932A"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90" w:type="dxa"/>
            <w:shd w:val="clear" w:color="auto" w:fill="auto"/>
            <w:tcMar>
              <w:top w:w="100" w:type="dxa"/>
              <w:left w:w="100" w:type="dxa"/>
              <w:bottom w:w="100" w:type="dxa"/>
              <w:right w:w="100" w:type="dxa"/>
            </w:tcMar>
          </w:tcPr>
          <w:p w14:paraId="398B6E0D"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75" w:type="dxa"/>
            <w:shd w:val="clear" w:color="auto" w:fill="auto"/>
            <w:tcMar>
              <w:top w:w="100" w:type="dxa"/>
              <w:left w:w="100" w:type="dxa"/>
              <w:bottom w:w="100" w:type="dxa"/>
              <w:right w:w="100" w:type="dxa"/>
            </w:tcMar>
          </w:tcPr>
          <w:p w14:paraId="3509C09D"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45" w:type="dxa"/>
            <w:shd w:val="clear" w:color="auto" w:fill="auto"/>
            <w:tcMar>
              <w:top w:w="100" w:type="dxa"/>
              <w:left w:w="100" w:type="dxa"/>
              <w:bottom w:w="100" w:type="dxa"/>
              <w:right w:w="100" w:type="dxa"/>
            </w:tcMar>
          </w:tcPr>
          <w:p w14:paraId="522F2359"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45" w:type="dxa"/>
            <w:shd w:val="clear" w:color="auto" w:fill="auto"/>
            <w:tcMar>
              <w:top w:w="100" w:type="dxa"/>
              <w:left w:w="100" w:type="dxa"/>
              <w:bottom w:w="100" w:type="dxa"/>
              <w:right w:w="100" w:type="dxa"/>
            </w:tcMar>
          </w:tcPr>
          <w:p w14:paraId="756BDEC7"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75" w:type="dxa"/>
            <w:shd w:val="clear" w:color="auto" w:fill="auto"/>
            <w:tcMar>
              <w:top w:w="100" w:type="dxa"/>
              <w:left w:w="100" w:type="dxa"/>
              <w:bottom w:w="100" w:type="dxa"/>
              <w:right w:w="100" w:type="dxa"/>
            </w:tcMar>
          </w:tcPr>
          <w:p w14:paraId="464E6324"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60" w:type="dxa"/>
            <w:shd w:val="clear" w:color="auto" w:fill="auto"/>
            <w:tcMar>
              <w:top w:w="100" w:type="dxa"/>
              <w:left w:w="100" w:type="dxa"/>
              <w:bottom w:w="100" w:type="dxa"/>
              <w:right w:w="100" w:type="dxa"/>
            </w:tcMar>
          </w:tcPr>
          <w:p w14:paraId="483E36AB"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r>
      <w:tr w:rsidR="00FB2F95" w14:paraId="663CCCA4" w14:textId="77777777">
        <w:trPr>
          <w:cantSplit/>
          <w:tblHeader/>
        </w:trPr>
        <w:tc>
          <w:tcPr>
            <w:tcW w:w="1320" w:type="dxa"/>
            <w:shd w:val="clear" w:color="auto" w:fill="auto"/>
            <w:tcMar>
              <w:top w:w="100" w:type="dxa"/>
              <w:left w:w="100" w:type="dxa"/>
              <w:bottom w:w="100" w:type="dxa"/>
              <w:right w:w="100" w:type="dxa"/>
            </w:tcMar>
          </w:tcPr>
          <w:p w14:paraId="1C90844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Particulars </w:t>
            </w:r>
          </w:p>
        </w:tc>
        <w:tc>
          <w:tcPr>
            <w:tcW w:w="1290" w:type="dxa"/>
            <w:shd w:val="clear" w:color="auto" w:fill="auto"/>
            <w:tcMar>
              <w:top w:w="100" w:type="dxa"/>
              <w:left w:w="100" w:type="dxa"/>
              <w:bottom w:w="100" w:type="dxa"/>
              <w:right w:w="100" w:type="dxa"/>
            </w:tcMar>
          </w:tcPr>
          <w:p w14:paraId="6F300337"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1st month  </w:t>
            </w:r>
          </w:p>
        </w:tc>
        <w:tc>
          <w:tcPr>
            <w:tcW w:w="1290" w:type="dxa"/>
            <w:shd w:val="clear" w:color="auto" w:fill="auto"/>
            <w:tcMar>
              <w:top w:w="100" w:type="dxa"/>
              <w:left w:w="100" w:type="dxa"/>
              <w:bottom w:w="100" w:type="dxa"/>
              <w:right w:w="100" w:type="dxa"/>
            </w:tcMar>
          </w:tcPr>
          <w:p w14:paraId="1FF84A3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 xml:space="preserve">2nd month </w:t>
            </w:r>
          </w:p>
        </w:tc>
        <w:tc>
          <w:tcPr>
            <w:tcW w:w="1275" w:type="dxa"/>
            <w:shd w:val="clear" w:color="auto" w:fill="auto"/>
            <w:tcMar>
              <w:top w:w="100" w:type="dxa"/>
              <w:left w:w="100" w:type="dxa"/>
              <w:bottom w:w="100" w:type="dxa"/>
              <w:right w:w="100" w:type="dxa"/>
            </w:tcMar>
          </w:tcPr>
          <w:p w14:paraId="134510B5"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3rd month</w:t>
            </w:r>
          </w:p>
          <w:p w14:paraId="5B9E9D9C"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245" w:type="dxa"/>
            <w:shd w:val="clear" w:color="auto" w:fill="auto"/>
            <w:tcMar>
              <w:top w:w="100" w:type="dxa"/>
              <w:left w:w="100" w:type="dxa"/>
              <w:bottom w:w="100" w:type="dxa"/>
              <w:right w:w="100" w:type="dxa"/>
            </w:tcMar>
          </w:tcPr>
          <w:p w14:paraId="6F1149C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4th month</w:t>
            </w:r>
          </w:p>
        </w:tc>
        <w:tc>
          <w:tcPr>
            <w:tcW w:w="1245" w:type="dxa"/>
            <w:shd w:val="clear" w:color="auto" w:fill="auto"/>
            <w:tcMar>
              <w:top w:w="100" w:type="dxa"/>
              <w:left w:w="100" w:type="dxa"/>
              <w:bottom w:w="100" w:type="dxa"/>
              <w:right w:w="100" w:type="dxa"/>
            </w:tcMar>
          </w:tcPr>
          <w:p w14:paraId="05493F67"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5th month</w:t>
            </w:r>
          </w:p>
        </w:tc>
        <w:tc>
          <w:tcPr>
            <w:tcW w:w="1275" w:type="dxa"/>
            <w:shd w:val="clear" w:color="auto" w:fill="auto"/>
            <w:tcMar>
              <w:top w:w="100" w:type="dxa"/>
              <w:left w:w="100" w:type="dxa"/>
              <w:bottom w:w="100" w:type="dxa"/>
              <w:right w:w="100" w:type="dxa"/>
            </w:tcMar>
          </w:tcPr>
          <w:p w14:paraId="6612048B"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6 month</w:t>
            </w:r>
          </w:p>
        </w:tc>
        <w:tc>
          <w:tcPr>
            <w:tcW w:w="1260" w:type="dxa"/>
            <w:shd w:val="clear" w:color="auto" w:fill="auto"/>
            <w:tcMar>
              <w:top w:w="100" w:type="dxa"/>
              <w:left w:w="100" w:type="dxa"/>
              <w:bottom w:w="100" w:type="dxa"/>
              <w:right w:w="100" w:type="dxa"/>
            </w:tcMar>
          </w:tcPr>
          <w:p w14:paraId="5C45363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Total</w:t>
            </w:r>
          </w:p>
        </w:tc>
      </w:tr>
      <w:tr w:rsidR="00FB2F95" w14:paraId="45CD24BD" w14:textId="77777777">
        <w:trPr>
          <w:cantSplit/>
          <w:tblHeader/>
        </w:trPr>
        <w:tc>
          <w:tcPr>
            <w:tcW w:w="1320" w:type="dxa"/>
            <w:shd w:val="clear" w:color="auto" w:fill="auto"/>
            <w:tcMar>
              <w:top w:w="100" w:type="dxa"/>
              <w:left w:w="100" w:type="dxa"/>
              <w:bottom w:w="100" w:type="dxa"/>
              <w:right w:w="100" w:type="dxa"/>
            </w:tcMar>
          </w:tcPr>
          <w:p w14:paraId="45839D6C"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Cash ($)</w:t>
            </w:r>
          </w:p>
        </w:tc>
        <w:tc>
          <w:tcPr>
            <w:tcW w:w="1290" w:type="dxa"/>
            <w:shd w:val="clear" w:color="auto" w:fill="auto"/>
            <w:tcMar>
              <w:top w:w="100" w:type="dxa"/>
              <w:left w:w="100" w:type="dxa"/>
              <w:bottom w:w="100" w:type="dxa"/>
              <w:right w:w="100" w:type="dxa"/>
            </w:tcMar>
          </w:tcPr>
          <w:p w14:paraId="653B1D0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6,000</w:t>
            </w:r>
          </w:p>
        </w:tc>
        <w:tc>
          <w:tcPr>
            <w:tcW w:w="1290" w:type="dxa"/>
            <w:shd w:val="clear" w:color="auto" w:fill="auto"/>
            <w:tcMar>
              <w:top w:w="100" w:type="dxa"/>
              <w:left w:w="100" w:type="dxa"/>
              <w:bottom w:w="100" w:type="dxa"/>
              <w:right w:w="100" w:type="dxa"/>
            </w:tcMar>
          </w:tcPr>
          <w:p w14:paraId="27D4E1B2"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6,000</w:t>
            </w:r>
          </w:p>
        </w:tc>
        <w:tc>
          <w:tcPr>
            <w:tcW w:w="1275" w:type="dxa"/>
            <w:shd w:val="clear" w:color="auto" w:fill="auto"/>
            <w:tcMar>
              <w:top w:w="100" w:type="dxa"/>
              <w:left w:w="100" w:type="dxa"/>
              <w:bottom w:w="100" w:type="dxa"/>
              <w:right w:w="100" w:type="dxa"/>
            </w:tcMar>
          </w:tcPr>
          <w:p w14:paraId="2CE328D5"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6,000</w:t>
            </w:r>
          </w:p>
        </w:tc>
        <w:tc>
          <w:tcPr>
            <w:tcW w:w="1245" w:type="dxa"/>
            <w:shd w:val="clear" w:color="auto" w:fill="auto"/>
            <w:tcMar>
              <w:top w:w="100" w:type="dxa"/>
              <w:left w:w="100" w:type="dxa"/>
              <w:bottom w:w="100" w:type="dxa"/>
              <w:right w:w="100" w:type="dxa"/>
            </w:tcMar>
          </w:tcPr>
          <w:p w14:paraId="21A22B94"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6,000</w:t>
            </w:r>
          </w:p>
        </w:tc>
        <w:tc>
          <w:tcPr>
            <w:tcW w:w="1245" w:type="dxa"/>
            <w:shd w:val="clear" w:color="auto" w:fill="auto"/>
            <w:tcMar>
              <w:top w:w="100" w:type="dxa"/>
              <w:left w:w="100" w:type="dxa"/>
              <w:bottom w:w="100" w:type="dxa"/>
              <w:right w:w="100" w:type="dxa"/>
            </w:tcMar>
          </w:tcPr>
          <w:p w14:paraId="656E8915"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6,000</w:t>
            </w:r>
          </w:p>
        </w:tc>
        <w:tc>
          <w:tcPr>
            <w:tcW w:w="1275" w:type="dxa"/>
            <w:shd w:val="clear" w:color="auto" w:fill="auto"/>
            <w:tcMar>
              <w:top w:w="100" w:type="dxa"/>
              <w:left w:w="100" w:type="dxa"/>
              <w:bottom w:w="100" w:type="dxa"/>
              <w:right w:w="100" w:type="dxa"/>
            </w:tcMar>
          </w:tcPr>
          <w:p w14:paraId="5C8DCCEF"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6,000</w:t>
            </w:r>
          </w:p>
        </w:tc>
        <w:tc>
          <w:tcPr>
            <w:tcW w:w="1260" w:type="dxa"/>
            <w:shd w:val="clear" w:color="auto" w:fill="auto"/>
            <w:tcMar>
              <w:top w:w="100" w:type="dxa"/>
              <w:left w:w="100" w:type="dxa"/>
              <w:bottom w:w="100" w:type="dxa"/>
              <w:right w:w="100" w:type="dxa"/>
            </w:tcMar>
          </w:tcPr>
          <w:p w14:paraId="46FBD2A7"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36,000</w:t>
            </w:r>
          </w:p>
        </w:tc>
      </w:tr>
      <w:tr w:rsidR="00FB2F95" w14:paraId="75CF15BF" w14:textId="77777777">
        <w:trPr>
          <w:cantSplit/>
          <w:tblHeader/>
        </w:trPr>
        <w:tc>
          <w:tcPr>
            <w:tcW w:w="1320" w:type="dxa"/>
            <w:shd w:val="clear" w:color="auto" w:fill="auto"/>
            <w:tcMar>
              <w:top w:w="100" w:type="dxa"/>
              <w:left w:w="100" w:type="dxa"/>
              <w:bottom w:w="100" w:type="dxa"/>
              <w:right w:w="100" w:type="dxa"/>
            </w:tcMar>
          </w:tcPr>
          <w:p w14:paraId="6A0738DB" w14:textId="2EEAB0FC" w:rsidR="00A57F4B" w:rsidRPr="0083383E" w:rsidRDefault="00FD4A89"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Fewer</w:t>
            </w:r>
            <w:r w:rsidR="002F24DE" w:rsidRPr="0083383E">
              <w:rPr>
                <w:rFonts w:ascii="Times New Roman" w:eastAsia="Times New Roman" w:hAnsi="Times New Roman" w:cs="Times New Roman"/>
                <w:sz w:val="24"/>
                <w:szCs w:val="24"/>
                <w:lang w:val="en-GB"/>
              </w:rPr>
              <w:t xml:space="preserve"> payments ($):</w:t>
            </w:r>
          </w:p>
        </w:tc>
        <w:tc>
          <w:tcPr>
            <w:tcW w:w="1290" w:type="dxa"/>
            <w:shd w:val="clear" w:color="auto" w:fill="auto"/>
            <w:tcMar>
              <w:top w:w="100" w:type="dxa"/>
              <w:left w:w="100" w:type="dxa"/>
              <w:bottom w:w="100" w:type="dxa"/>
              <w:right w:w="100" w:type="dxa"/>
            </w:tcMar>
          </w:tcPr>
          <w:p w14:paraId="321D0D5D"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90" w:type="dxa"/>
            <w:shd w:val="clear" w:color="auto" w:fill="auto"/>
            <w:tcMar>
              <w:top w:w="100" w:type="dxa"/>
              <w:left w:w="100" w:type="dxa"/>
              <w:bottom w:w="100" w:type="dxa"/>
              <w:right w:w="100" w:type="dxa"/>
            </w:tcMar>
          </w:tcPr>
          <w:p w14:paraId="1F968087"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75" w:type="dxa"/>
            <w:shd w:val="clear" w:color="auto" w:fill="auto"/>
            <w:tcMar>
              <w:top w:w="100" w:type="dxa"/>
              <w:left w:w="100" w:type="dxa"/>
              <w:bottom w:w="100" w:type="dxa"/>
              <w:right w:w="100" w:type="dxa"/>
            </w:tcMar>
          </w:tcPr>
          <w:p w14:paraId="6BCD896A"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45" w:type="dxa"/>
            <w:shd w:val="clear" w:color="auto" w:fill="auto"/>
            <w:tcMar>
              <w:top w:w="100" w:type="dxa"/>
              <w:left w:w="100" w:type="dxa"/>
              <w:bottom w:w="100" w:type="dxa"/>
              <w:right w:w="100" w:type="dxa"/>
            </w:tcMar>
          </w:tcPr>
          <w:p w14:paraId="471DA78F"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45" w:type="dxa"/>
            <w:shd w:val="clear" w:color="auto" w:fill="auto"/>
            <w:tcMar>
              <w:top w:w="100" w:type="dxa"/>
              <w:left w:w="100" w:type="dxa"/>
              <w:bottom w:w="100" w:type="dxa"/>
              <w:right w:w="100" w:type="dxa"/>
            </w:tcMar>
          </w:tcPr>
          <w:p w14:paraId="57B2031F"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75" w:type="dxa"/>
            <w:shd w:val="clear" w:color="auto" w:fill="auto"/>
            <w:tcMar>
              <w:top w:w="100" w:type="dxa"/>
              <w:left w:w="100" w:type="dxa"/>
              <w:bottom w:w="100" w:type="dxa"/>
              <w:right w:w="100" w:type="dxa"/>
            </w:tcMar>
          </w:tcPr>
          <w:p w14:paraId="632EA4DC"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1260" w:type="dxa"/>
            <w:shd w:val="clear" w:color="auto" w:fill="auto"/>
            <w:tcMar>
              <w:top w:w="100" w:type="dxa"/>
              <w:left w:w="100" w:type="dxa"/>
              <w:bottom w:w="100" w:type="dxa"/>
              <w:right w:w="100" w:type="dxa"/>
            </w:tcMar>
          </w:tcPr>
          <w:p w14:paraId="0F777BA5" w14:textId="77777777" w:rsidR="00A57F4B" w:rsidRPr="0083383E" w:rsidRDefault="00A57F4B"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r>
      <w:tr w:rsidR="00FB2F95" w14:paraId="5C9D539B" w14:textId="77777777">
        <w:trPr>
          <w:cantSplit/>
          <w:tblHeader/>
        </w:trPr>
        <w:tc>
          <w:tcPr>
            <w:tcW w:w="1320" w:type="dxa"/>
            <w:shd w:val="clear" w:color="auto" w:fill="auto"/>
            <w:tcMar>
              <w:top w:w="100" w:type="dxa"/>
              <w:left w:w="100" w:type="dxa"/>
              <w:bottom w:w="100" w:type="dxa"/>
              <w:right w:w="100" w:type="dxa"/>
            </w:tcMar>
          </w:tcPr>
          <w:p w14:paraId="2482320E"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Purchases($)</w:t>
            </w:r>
          </w:p>
        </w:tc>
        <w:tc>
          <w:tcPr>
            <w:tcW w:w="1290" w:type="dxa"/>
            <w:shd w:val="clear" w:color="auto" w:fill="auto"/>
            <w:tcMar>
              <w:top w:w="100" w:type="dxa"/>
              <w:left w:w="100" w:type="dxa"/>
              <w:bottom w:w="100" w:type="dxa"/>
              <w:right w:w="100" w:type="dxa"/>
            </w:tcMar>
          </w:tcPr>
          <w:p w14:paraId="31C70BB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90" w:type="dxa"/>
            <w:shd w:val="clear" w:color="auto" w:fill="auto"/>
            <w:tcMar>
              <w:top w:w="100" w:type="dxa"/>
              <w:left w:w="100" w:type="dxa"/>
              <w:bottom w:w="100" w:type="dxa"/>
              <w:right w:w="100" w:type="dxa"/>
            </w:tcMar>
          </w:tcPr>
          <w:p w14:paraId="3C185F84"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4,000</w:t>
            </w:r>
          </w:p>
        </w:tc>
        <w:tc>
          <w:tcPr>
            <w:tcW w:w="1275" w:type="dxa"/>
            <w:shd w:val="clear" w:color="auto" w:fill="auto"/>
            <w:tcMar>
              <w:top w:w="100" w:type="dxa"/>
              <w:left w:w="100" w:type="dxa"/>
              <w:bottom w:w="100" w:type="dxa"/>
              <w:right w:w="100" w:type="dxa"/>
            </w:tcMar>
          </w:tcPr>
          <w:p w14:paraId="0E15191B"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3,000</w:t>
            </w:r>
          </w:p>
        </w:tc>
        <w:tc>
          <w:tcPr>
            <w:tcW w:w="1245" w:type="dxa"/>
            <w:shd w:val="clear" w:color="auto" w:fill="auto"/>
            <w:tcMar>
              <w:top w:w="100" w:type="dxa"/>
              <w:left w:w="100" w:type="dxa"/>
              <w:bottom w:w="100" w:type="dxa"/>
              <w:right w:w="100" w:type="dxa"/>
            </w:tcMar>
          </w:tcPr>
          <w:p w14:paraId="5A70E597"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 1,000</w:t>
            </w:r>
          </w:p>
        </w:tc>
        <w:tc>
          <w:tcPr>
            <w:tcW w:w="1245" w:type="dxa"/>
            <w:shd w:val="clear" w:color="auto" w:fill="auto"/>
            <w:tcMar>
              <w:top w:w="100" w:type="dxa"/>
              <w:left w:w="100" w:type="dxa"/>
              <w:bottom w:w="100" w:type="dxa"/>
              <w:right w:w="100" w:type="dxa"/>
            </w:tcMar>
          </w:tcPr>
          <w:p w14:paraId="3824C851"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 1,000</w:t>
            </w:r>
          </w:p>
        </w:tc>
        <w:tc>
          <w:tcPr>
            <w:tcW w:w="1275" w:type="dxa"/>
            <w:shd w:val="clear" w:color="auto" w:fill="auto"/>
            <w:tcMar>
              <w:top w:w="100" w:type="dxa"/>
              <w:left w:w="100" w:type="dxa"/>
              <w:bottom w:w="100" w:type="dxa"/>
              <w:right w:w="100" w:type="dxa"/>
            </w:tcMar>
          </w:tcPr>
          <w:p w14:paraId="7625ABEE"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 1,000</w:t>
            </w:r>
          </w:p>
        </w:tc>
        <w:tc>
          <w:tcPr>
            <w:tcW w:w="1260" w:type="dxa"/>
            <w:shd w:val="clear" w:color="auto" w:fill="auto"/>
            <w:tcMar>
              <w:top w:w="100" w:type="dxa"/>
              <w:left w:w="100" w:type="dxa"/>
              <w:bottom w:w="100" w:type="dxa"/>
              <w:right w:w="100" w:type="dxa"/>
            </w:tcMar>
          </w:tcPr>
          <w:p w14:paraId="1E41C7DE"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 12,000</w:t>
            </w:r>
          </w:p>
        </w:tc>
      </w:tr>
      <w:tr w:rsidR="00FB2F95" w14:paraId="7206D3E3" w14:textId="77777777">
        <w:trPr>
          <w:cantSplit/>
          <w:tblHeader/>
        </w:trPr>
        <w:tc>
          <w:tcPr>
            <w:tcW w:w="1320" w:type="dxa"/>
            <w:shd w:val="clear" w:color="auto" w:fill="auto"/>
            <w:tcMar>
              <w:top w:w="100" w:type="dxa"/>
              <w:left w:w="100" w:type="dxa"/>
              <w:bottom w:w="100" w:type="dxa"/>
              <w:right w:w="100" w:type="dxa"/>
            </w:tcMar>
          </w:tcPr>
          <w:p w14:paraId="1A9D57D9"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Rent ($)</w:t>
            </w:r>
          </w:p>
        </w:tc>
        <w:tc>
          <w:tcPr>
            <w:tcW w:w="1290" w:type="dxa"/>
            <w:shd w:val="clear" w:color="auto" w:fill="auto"/>
            <w:tcMar>
              <w:top w:w="100" w:type="dxa"/>
              <w:left w:w="100" w:type="dxa"/>
              <w:bottom w:w="100" w:type="dxa"/>
              <w:right w:w="100" w:type="dxa"/>
            </w:tcMar>
          </w:tcPr>
          <w:p w14:paraId="213FE0F2"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1,000</w:t>
            </w:r>
          </w:p>
        </w:tc>
        <w:tc>
          <w:tcPr>
            <w:tcW w:w="1290" w:type="dxa"/>
            <w:shd w:val="clear" w:color="auto" w:fill="auto"/>
            <w:tcMar>
              <w:top w:w="100" w:type="dxa"/>
              <w:left w:w="100" w:type="dxa"/>
              <w:bottom w:w="100" w:type="dxa"/>
              <w:right w:w="100" w:type="dxa"/>
            </w:tcMar>
          </w:tcPr>
          <w:p w14:paraId="2AA577D6"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 2,000</w:t>
            </w:r>
          </w:p>
        </w:tc>
        <w:tc>
          <w:tcPr>
            <w:tcW w:w="1275" w:type="dxa"/>
            <w:shd w:val="clear" w:color="auto" w:fill="auto"/>
            <w:tcMar>
              <w:top w:w="100" w:type="dxa"/>
              <w:left w:w="100" w:type="dxa"/>
              <w:bottom w:w="100" w:type="dxa"/>
              <w:right w:w="100" w:type="dxa"/>
            </w:tcMar>
          </w:tcPr>
          <w:p w14:paraId="28F3110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45" w:type="dxa"/>
            <w:shd w:val="clear" w:color="auto" w:fill="auto"/>
            <w:tcMar>
              <w:top w:w="100" w:type="dxa"/>
              <w:left w:w="100" w:type="dxa"/>
              <w:bottom w:w="100" w:type="dxa"/>
              <w:right w:w="100" w:type="dxa"/>
            </w:tcMar>
          </w:tcPr>
          <w:p w14:paraId="0FE0190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45" w:type="dxa"/>
            <w:shd w:val="clear" w:color="auto" w:fill="auto"/>
            <w:tcMar>
              <w:top w:w="100" w:type="dxa"/>
              <w:left w:w="100" w:type="dxa"/>
              <w:bottom w:w="100" w:type="dxa"/>
              <w:right w:w="100" w:type="dxa"/>
            </w:tcMar>
          </w:tcPr>
          <w:p w14:paraId="232DB85A"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w:t>
            </w:r>
          </w:p>
        </w:tc>
        <w:tc>
          <w:tcPr>
            <w:tcW w:w="1275" w:type="dxa"/>
            <w:shd w:val="clear" w:color="auto" w:fill="auto"/>
            <w:tcMar>
              <w:top w:w="100" w:type="dxa"/>
              <w:left w:w="100" w:type="dxa"/>
              <w:bottom w:w="100" w:type="dxa"/>
              <w:right w:w="100" w:type="dxa"/>
            </w:tcMar>
          </w:tcPr>
          <w:p w14:paraId="2C062A1D"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60" w:type="dxa"/>
            <w:shd w:val="clear" w:color="auto" w:fill="auto"/>
            <w:tcMar>
              <w:top w:w="100" w:type="dxa"/>
              <w:left w:w="100" w:type="dxa"/>
              <w:bottom w:w="100" w:type="dxa"/>
              <w:right w:w="100" w:type="dxa"/>
            </w:tcMar>
          </w:tcPr>
          <w:p w14:paraId="038A771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11,000</w:t>
            </w:r>
          </w:p>
        </w:tc>
      </w:tr>
      <w:tr w:rsidR="00FB2F95" w14:paraId="442C6E5C" w14:textId="77777777">
        <w:trPr>
          <w:cantSplit/>
          <w:tblHeader/>
        </w:trPr>
        <w:tc>
          <w:tcPr>
            <w:tcW w:w="1320" w:type="dxa"/>
            <w:shd w:val="clear" w:color="auto" w:fill="auto"/>
            <w:tcMar>
              <w:top w:w="100" w:type="dxa"/>
              <w:left w:w="100" w:type="dxa"/>
              <w:bottom w:w="100" w:type="dxa"/>
              <w:right w:w="100" w:type="dxa"/>
            </w:tcMar>
          </w:tcPr>
          <w:p w14:paraId="0AFBB05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Other expenses ($)</w:t>
            </w:r>
          </w:p>
        </w:tc>
        <w:tc>
          <w:tcPr>
            <w:tcW w:w="1290" w:type="dxa"/>
            <w:shd w:val="clear" w:color="auto" w:fill="auto"/>
            <w:tcMar>
              <w:top w:w="100" w:type="dxa"/>
              <w:left w:w="100" w:type="dxa"/>
              <w:bottom w:w="100" w:type="dxa"/>
              <w:right w:w="100" w:type="dxa"/>
            </w:tcMar>
          </w:tcPr>
          <w:p w14:paraId="74A7C8D9"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1,000</w:t>
            </w:r>
          </w:p>
        </w:tc>
        <w:tc>
          <w:tcPr>
            <w:tcW w:w="1290" w:type="dxa"/>
            <w:shd w:val="clear" w:color="auto" w:fill="auto"/>
            <w:tcMar>
              <w:top w:w="100" w:type="dxa"/>
              <w:left w:w="100" w:type="dxa"/>
              <w:bottom w:w="100" w:type="dxa"/>
              <w:right w:w="100" w:type="dxa"/>
            </w:tcMar>
          </w:tcPr>
          <w:p w14:paraId="63D11A3A"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75" w:type="dxa"/>
            <w:shd w:val="clear" w:color="auto" w:fill="auto"/>
            <w:tcMar>
              <w:top w:w="100" w:type="dxa"/>
              <w:left w:w="100" w:type="dxa"/>
              <w:bottom w:w="100" w:type="dxa"/>
              <w:right w:w="100" w:type="dxa"/>
            </w:tcMar>
          </w:tcPr>
          <w:p w14:paraId="67E80466"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45" w:type="dxa"/>
            <w:shd w:val="clear" w:color="auto" w:fill="auto"/>
            <w:tcMar>
              <w:top w:w="100" w:type="dxa"/>
              <w:left w:w="100" w:type="dxa"/>
              <w:bottom w:w="100" w:type="dxa"/>
              <w:right w:w="100" w:type="dxa"/>
            </w:tcMar>
          </w:tcPr>
          <w:p w14:paraId="4AFDBB62"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1,000</w:t>
            </w:r>
          </w:p>
        </w:tc>
        <w:tc>
          <w:tcPr>
            <w:tcW w:w="1245" w:type="dxa"/>
            <w:shd w:val="clear" w:color="auto" w:fill="auto"/>
            <w:tcMar>
              <w:top w:w="100" w:type="dxa"/>
              <w:left w:w="100" w:type="dxa"/>
              <w:bottom w:w="100" w:type="dxa"/>
              <w:right w:w="100" w:type="dxa"/>
            </w:tcMar>
          </w:tcPr>
          <w:p w14:paraId="030A81E3"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1,000</w:t>
            </w:r>
          </w:p>
        </w:tc>
        <w:tc>
          <w:tcPr>
            <w:tcW w:w="1275" w:type="dxa"/>
            <w:shd w:val="clear" w:color="auto" w:fill="auto"/>
            <w:tcMar>
              <w:top w:w="100" w:type="dxa"/>
              <w:left w:w="100" w:type="dxa"/>
              <w:bottom w:w="100" w:type="dxa"/>
              <w:right w:w="100" w:type="dxa"/>
            </w:tcMar>
          </w:tcPr>
          <w:p w14:paraId="4525886D"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1,000</w:t>
            </w:r>
          </w:p>
        </w:tc>
        <w:tc>
          <w:tcPr>
            <w:tcW w:w="1260" w:type="dxa"/>
            <w:shd w:val="clear" w:color="auto" w:fill="auto"/>
            <w:tcMar>
              <w:top w:w="100" w:type="dxa"/>
              <w:left w:w="100" w:type="dxa"/>
              <w:bottom w:w="100" w:type="dxa"/>
              <w:right w:w="100" w:type="dxa"/>
            </w:tcMar>
          </w:tcPr>
          <w:p w14:paraId="4BEFA8D2"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8,000</w:t>
            </w:r>
          </w:p>
        </w:tc>
      </w:tr>
      <w:tr w:rsidR="00FB2F95" w14:paraId="6B5B574D" w14:textId="77777777">
        <w:trPr>
          <w:cantSplit/>
          <w:tblHeader/>
        </w:trPr>
        <w:tc>
          <w:tcPr>
            <w:tcW w:w="1320" w:type="dxa"/>
            <w:shd w:val="clear" w:color="auto" w:fill="auto"/>
            <w:tcMar>
              <w:top w:w="100" w:type="dxa"/>
              <w:left w:w="100" w:type="dxa"/>
              <w:bottom w:w="100" w:type="dxa"/>
              <w:right w:w="100" w:type="dxa"/>
            </w:tcMar>
          </w:tcPr>
          <w:p w14:paraId="779292BD"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Gross payments ($)</w:t>
            </w:r>
          </w:p>
        </w:tc>
        <w:tc>
          <w:tcPr>
            <w:tcW w:w="1290" w:type="dxa"/>
            <w:shd w:val="clear" w:color="auto" w:fill="auto"/>
            <w:tcMar>
              <w:top w:w="100" w:type="dxa"/>
              <w:left w:w="100" w:type="dxa"/>
              <w:bottom w:w="100" w:type="dxa"/>
              <w:right w:w="100" w:type="dxa"/>
            </w:tcMar>
          </w:tcPr>
          <w:p w14:paraId="4D145C4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4,000</w:t>
            </w:r>
          </w:p>
        </w:tc>
        <w:tc>
          <w:tcPr>
            <w:tcW w:w="1290" w:type="dxa"/>
            <w:shd w:val="clear" w:color="auto" w:fill="auto"/>
            <w:tcMar>
              <w:top w:w="100" w:type="dxa"/>
              <w:left w:w="100" w:type="dxa"/>
              <w:bottom w:w="100" w:type="dxa"/>
              <w:right w:w="100" w:type="dxa"/>
            </w:tcMar>
          </w:tcPr>
          <w:p w14:paraId="21245D12"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8,000</w:t>
            </w:r>
          </w:p>
        </w:tc>
        <w:tc>
          <w:tcPr>
            <w:tcW w:w="1275" w:type="dxa"/>
            <w:shd w:val="clear" w:color="auto" w:fill="auto"/>
            <w:tcMar>
              <w:top w:w="100" w:type="dxa"/>
              <w:left w:w="100" w:type="dxa"/>
              <w:bottom w:w="100" w:type="dxa"/>
              <w:right w:w="100" w:type="dxa"/>
            </w:tcMar>
          </w:tcPr>
          <w:p w14:paraId="0B133024"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7,000</w:t>
            </w:r>
          </w:p>
        </w:tc>
        <w:tc>
          <w:tcPr>
            <w:tcW w:w="1245" w:type="dxa"/>
            <w:shd w:val="clear" w:color="auto" w:fill="auto"/>
            <w:tcMar>
              <w:top w:w="100" w:type="dxa"/>
              <w:left w:w="100" w:type="dxa"/>
              <w:bottom w:w="100" w:type="dxa"/>
              <w:right w:w="100" w:type="dxa"/>
            </w:tcMar>
          </w:tcPr>
          <w:p w14:paraId="7A2A9C2F"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4,000</w:t>
            </w:r>
          </w:p>
        </w:tc>
        <w:tc>
          <w:tcPr>
            <w:tcW w:w="1245" w:type="dxa"/>
            <w:shd w:val="clear" w:color="auto" w:fill="auto"/>
            <w:tcMar>
              <w:top w:w="100" w:type="dxa"/>
              <w:left w:w="100" w:type="dxa"/>
              <w:bottom w:w="100" w:type="dxa"/>
              <w:right w:w="100" w:type="dxa"/>
            </w:tcMar>
          </w:tcPr>
          <w:p w14:paraId="4FB69F60"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4,000</w:t>
            </w:r>
          </w:p>
        </w:tc>
        <w:tc>
          <w:tcPr>
            <w:tcW w:w="1275" w:type="dxa"/>
            <w:shd w:val="clear" w:color="auto" w:fill="auto"/>
            <w:tcMar>
              <w:top w:w="100" w:type="dxa"/>
              <w:left w:w="100" w:type="dxa"/>
              <w:bottom w:w="100" w:type="dxa"/>
              <w:right w:w="100" w:type="dxa"/>
            </w:tcMar>
          </w:tcPr>
          <w:p w14:paraId="2C0CF9B9"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4,000</w:t>
            </w:r>
          </w:p>
        </w:tc>
        <w:tc>
          <w:tcPr>
            <w:tcW w:w="1260" w:type="dxa"/>
            <w:shd w:val="clear" w:color="auto" w:fill="auto"/>
            <w:tcMar>
              <w:top w:w="100" w:type="dxa"/>
              <w:left w:w="100" w:type="dxa"/>
              <w:bottom w:w="100" w:type="dxa"/>
              <w:right w:w="100" w:type="dxa"/>
            </w:tcMar>
          </w:tcPr>
          <w:p w14:paraId="08D4EB81"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31,000</w:t>
            </w:r>
          </w:p>
        </w:tc>
      </w:tr>
      <w:tr w:rsidR="00FB2F95" w14:paraId="365B846B" w14:textId="77777777">
        <w:trPr>
          <w:cantSplit/>
          <w:tblHeader/>
        </w:trPr>
        <w:tc>
          <w:tcPr>
            <w:tcW w:w="1320" w:type="dxa"/>
            <w:shd w:val="clear" w:color="auto" w:fill="auto"/>
            <w:tcMar>
              <w:top w:w="100" w:type="dxa"/>
              <w:left w:w="100" w:type="dxa"/>
              <w:bottom w:w="100" w:type="dxa"/>
              <w:right w:w="100" w:type="dxa"/>
            </w:tcMar>
          </w:tcPr>
          <w:p w14:paraId="2A3121F4"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Gains or (loss)in cash ($)</w:t>
            </w:r>
          </w:p>
        </w:tc>
        <w:tc>
          <w:tcPr>
            <w:tcW w:w="1290" w:type="dxa"/>
            <w:shd w:val="clear" w:color="auto" w:fill="auto"/>
            <w:tcMar>
              <w:top w:w="100" w:type="dxa"/>
              <w:left w:w="100" w:type="dxa"/>
              <w:bottom w:w="100" w:type="dxa"/>
              <w:right w:w="100" w:type="dxa"/>
            </w:tcMar>
          </w:tcPr>
          <w:p w14:paraId="39F06695"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90" w:type="dxa"/>
            <w:shd w:val="clear" w:color="auto" w:fill="auto"/>
            <w:tcMar>
              <w:top w:w="100" w:type="dxa"/>
              <w:left w:w="100" w:type="dxa"/>
              <w:bottom w:w="100" w:type="dxa"/>
              <w:right w:w="100" w:type="dxa"/>
            </w:tcMar>
          </w:tcPr>
          <w:p w14:paraId="569C2CE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75" w:type="dxa"/>
            <w:shd w:val="clear" w:color="auto" w:fill="auto"/>
            <w:tcMar>
              <w:top w:w="100" w:type="dxa"/>
              <w:left w:w="100" w:type="dxa"/>
              <w:bottom w:w="100" w:type="dxa"/>
              <w:right w:w="100" w:type="dxa"/>
            </w:tcMar>
          </w:tcPr>
          <w:p w14:paraId="4073A4C3"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(1,000)</w:t>
            </w:r>
          </w:p>
        </w:tc>
        <w:tc>
          <w:tcPr>
            <w:tcW w:w="1245" w:type="dxa"/>
            <w:shd w:val="clear" w:color="auto" w:fill="auto"/>
            <w:tcMar>
              <w:top w:w="100" w:type="dxa"/>
              <w:left w:w="100" w:type="dxa"/>
              <w:bottom w:w="100" w:type="dxa"/>
              <w:right w:w="100" w:type="dxa"/>
            </w:tcMar>
          </w:tcPr>
          <w:p w14:paraId="2F849692"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45" w:type="dxa"/>
            <w:shd w:val="clear" w:color="auto" w:fill="auto"/>
            <w:tcMar>
              <w:top w:w="100" w:type="dxa"/>
              <w:left w:w="100" w:type="dxa"/>
              <w:bottom w:w="100" w:type="dxa"/>
              <w:right w:w="100" w:type="dxa"/>
            </w:tcMar>
          </w:tcPr>
          <w:p w14:paraId="0C912EB1"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75" w:type="dxa"/>
            <w:shd w:val="clear" w:color="auto" w:fill="auto"/>
            <w:tcMar>
              <w:top w:w="100" w:type="dxa"/>
              <w:left w:w="100" w:type="dxa"/>
              <w:bottom w:w="100" w:type="dxa"/>
              <w:right w:w="100" w:type="dxa"/>
            </w:tcMar>
          </w:tcPr>
          <w:p w14:paraId="38B8F300" w14:textId="77777777" w:rsidR="00A57F4B" w:rsidRPr="0083383E" w:rsidRDefault="002F24DE" w:rsidP="00A91882">
            <w:pPr>
              <w:pStyle w:val="Normal1"/>
              <w:widowControl w:val="0"/>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2,000</w:t>
            </w:r>
          </w:p>
        </w:tc>
        <w:tc>
          <w:tcPr>
            <w:tcW w:w="1260" w:type="dxa"/>
            <w:shd w:val="clear" w:color="auto" w:fill="auto"/>
            <w:tcMar>
              <w:top w:w="100" w:type="dxa"/>
              <w:left w:w="100" w:type="dxa"/>
              <w:bottom w:w="100" w:type="dxa"/>
              <w:right w:w="100" w:type="dxa"/>
            </w:tcMar>
          </w:tcPr>
          <w:p w14:paraId="2A4F1168" w14:textId="77777777" w:rsidR="00A57F4B" w:rsidRPr="0083383E" w:rsidRDefault="002F24DE" w:rsidP="00A9188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5,000</w:t>
            </w:r>
          </w:p>
        </w:tc>
      </w:tr>
    </w:tbl>
    <w:p w14:paraId="6FF3DB34" w14:textId="77777777" w:rsidR="00A57F4B" w:rsidRPr="0083383E" w:rsidRDefault="00A57F4B" w:rsidP="00A91882">
      <w:pPr>
        <w:pStyle w:val="Normal1"/>
        <w:spacing w:line="360" w:lineRule="auto"/>
        <w:jc w:val="both"/>
        <w:rPr>
          <w:rFonts w:ascii="Times New Roman" w:eastAsia="Times New Roman" w:hAnsi="Times New Roman" w:cs="Times New Roman"/>
          <w:b/>
          <w:sz w:val="24"/>
          <w:szCs w:val="24"/>
          <w:lang w:val="en-GB"/>
        </w:rPr>
      </w:pPr>
    </w:p>
    <w:p w14:paraId="792D4E07" w14:textId="77777777" w:rsidR="00A57F4B" w:rsidRPr="0083383E" w:rsidRDefault="002F24DE" w:rsidP="00A91882">
      <w:pPr>
        <w:pStyle w:val="Normal1"/>
        <w:spacing w:line="360" w:lineRule="auto"/>
        <w:jc w:val="center"/>
        <w:rPr>
          <w:rFonts w:ascii="Times New Roman" w:eastAsia="Times New Roman" w:hAnsi="Times New Roman" w:cs="Times New Roman"/>
          <w:b/>
          <w:sz w:val="24"/>
          <w:szCs w:val="24"/>
          <w:lang w:val="en-GB"/>
        </w:rPr>
      </w:pPr>
      <w:r w:rsidRPr="0083383E">
        <w:rPr>
          <w:rFonts w:ascii="Times New Roman" w:eastAsia="Times New Roman" w:hAnsi="Times New Roman" w:cs="Times New Roman"/>
          <w:b/>
          <w:sz w:val="24"/>
          <w:szCs w:val="24"/>
          <w:lang w:val="en-GB"/>
        </w:rPr>
        <w:t>Table 3: Six-month-based expected cash budget of the new business</w:t>
      </w:r>
    </w:p>
    <w:p w14:paraId="5A175136" w14:textId="77777777" w:rsidR="00A57F4B" w:rsidRPr="0083383E" w:rsidRDefault="002F24DE" w:rsidP="00A91882">
      <w:pPr>
        <w:pStyle w:val="Normal1"/>
        <w:spacing w:line="360" w:lineRule="auto"/>
        <w:jc w:val="center"/>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(Source: Self-developed)</w:t>
      </w:r>
    </w:p>
    <w:p w14:paraId="4B936965"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t>Hence, as per the above cash-budget-based table, Positive funds (5,000 dollars) will be available for new business after six months of operation of the business.</w:t>
      </w:r>
    </w:p>
    <w:p w14:paraId="713F2D4B" w14:textId="3640D37F"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b/>
          <w:i/>
          <w:sz w:val="24"/>
          <w:szCs w:val="24"/>
          <w:lang w:val="en-GB"/>
        </w:rPr>
        <w:t xml:space="preserve">Sales linked to financial </w:t>
      </w:r>
      <w:r w:rsidR="003372C0" w:rsidRPr="0083383E">
        <w:rPr>
          <w:rFonts w:ascii="Times New Roman" w:eastAsia="Times New Roman" w:hAnsi="Times New Roman" w:cs="Times New Roman"/>
          <w:b/>
          <w:i/>
          <w:sz w:val="24"/>
          <w:szCs w:val="24"/>
          <w:lang w:val="en-GB"/>
        </w:rPr>
        <w:t>stabilities.</w:t>
      </w:r>
    </w:p>
    <w:p w14:paraId="1FB97BC7" w14:textId="77777777" w:rsidR="00A57F4B" w:rsidRPr="0083383E" w:rsidRDefault="002F24DE" w:rsidP="00A91882">
      <w:pPr>
        <w:pStyle w:val="Normal1"/>
        <w:spacing w:line="360" w:lineRule="auto"/>
        <w:jc w:val="both"/>
        <w:rPr>
          <w:rFonts w:ascii="Times New Roman" w:eastAsia="Times New Roman" w:hAnsi="Times New Roman" w:cs="Times New Roman"/>
          <w:b/>
          <w:i/>
          <w:sz w:val="24"/>
          <w:szCs w:val="24"/>
          <w:lang w:val="en-GB"/>
        </w:rPr>
      </w:pPr>
      <w:r w:rsidRPr="0083383E">
        <w:rPr>
          <w:rFonts w:ascii="Times New Roman" w:eastAsia="Times New Roman" w:hAnsi="Times New Roman" w:cs="Times New Roman"/>
          <w:sz w:val="24"/>
          <w:szCs w:val="24"/>
          <w:lang w:val="en-GB"/>
        </w:rPr>
        <w:lastRenderedPageBreak/>
        <w:t>Sales-based values of nearly 10,000 dollars can be earned in the first year of operation of the busine</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xml:space="preserve">s of </w:t>
      </w:r>
      <w:r w:rsidRPr="0083383E">
        <w:rPr>
          <w:rFonts w:ascii="Times New Roman" w:eastAsia="Times New Roman" w:hAnsi="Times New Roman" w:cs="Times New Roman"/>
          <w:b/>
          <w:sz w:val="24"/>
          <w:szCs w:val="24"/>
          <w:lang w:val="en-GB"/>
        </w:rPr>
        <w:t>GreenWave Electronics, Inc</w:t>
      </w:r>
      <w:r w:rsidRPr="0083383E">
        <w:rPr>
          <w:rFonts w:ascii="Times New Roman" w:eastAsia="Times New Roman" w:hAnsi="Times New Roman" w:cs="Times New Roman"/>
          <w:sz w:val="24"/>
          <w:szCs w:val="24"/>
          <w:lang w:val="en-GB"/>
        </w:rPr>
        <w:t>. in the UK as planned, beginning from 1st December 2023. The proce</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 xml:space="preserve">s can directly generate financial stabilities for the new business. Development of sales performance in terms of the sales figures which are good can develop </w:t>
      </w:r>
      <w:r w:rsidR="00C92738" w:rsidRPr="0083383E">
        <w:rPr>
          <w:rFonts w:ascii="Times New Roman" w:eastAsia="Times New Roman" w:hAnsi="Times New Roman" w:cs="Times New Roman"/>
          <w:sz w:val="24"/>
          <w:szCs w:val="24"/>
          <w:lang w:val="en-GB"/>
        </w:rPr>
        <w:t>sustainability</w:t>
      </w:r>
      <w:r w:rsidRPr="0083383E">
        <w:rPr>
          <w:rFonts w:ascii="Times New Roman" w:eastAsia="Times New Roman" w:hAnsi="Times New Roman" w:cs="Times New Roman"/>
          <w:sz w:val="24"/>
          <w:szCs w:val="24"/>
          <w:lang w:val="en-GB"/>
        </w:rPr>
        <w:t xml:space="preserve"> in terms of bringing positive performance for the business in a genuine manner.   The market facilitation process can be interconnected with the financing process (</w:t>
      </w:r>
      <w:r w:rsidRPr="0083383E">
        <w:rPr>
          <w:rFonts w:ascii="Times New Roman" w:eastAsia="Times New Roman" w:hAnsi="Times New Roman" w:cs="Times New Roman"/>
          <w:sz w:val="24"/>
          <w:szCs w:val="24"/>
          <w:highlight w:val="white"/>
          <w:lang w:val="en-GB"/>
        </w:rPr>
        <w:t xml:space="preserve">Nolden </w:t>
      </w:r>
      <w:r w:rsidRPr="0083383E">
        <w:rPr>
          <w:rFonts w:ascii="Times New Roman" w:eastAsia="Times New Roman" w:hAnsi="Times New Roman" w:cs="Times New Roman"/>
          <w:i/>
          <w:sz w:val="24"/>
          <w:szCs w:val="24"/>
          <w:highlight w:val="white"/>
          <w:lang w:val="en-GB"/>
        </w:rPr>
        <w:t>et al.</w:t>
      </w:r>
      <w:r w:rsidRPr="0083383E">
        <w:rPr>
          <w:rFonts w:ascii="Times New Roman" w:eastAsia="Times New Roman" w:hAnsi="Times New Roman" w:cs="Times New Roman"/>
          <w:sz w:val="24"/>
          <w:szCs w:val="24"/>
          <w:highlight w:val="white"/>
          <w:lang w:val="en-GB"/>
        </w:rPr>
        <w:t xml:space="preserve">  2020</w:t>
      </w:r>
      <w:r w:rsidR="00C92738">
        <w:rPr>
          <w:rFonts w:ascii="Times New Roman" w:eastAsia="Times New Roman" w:hAnsi="Times New Roman" w:cs="Times New Roman"/>
          <w:sz w:val="24"/>
          <w:szCs w:val="24"/>
          <w:lang w:val="en-GB"/>
        </w:rPr>
        <w:t xml:space="preserve">). </w:t>
      </w:r>
      <w:r w:rsidRPr="0083383E">
        <w:rPr>
          <w:rFonts w:ascii="Times New Roman" w:eastAsia="Times New Roman" w:hAnsi="Times New Roman" w:cs="Times New Roman"/>
          <w:sz w:val="24"/>
          <w:szCs w:val="24"/>
          <w:lang w:val="en-GB"/>
        </w:rPr>
        <w:t>The aspect can linked with the positive impact of the sales on financial stabilities based on the business performance.</w:t>
      </w:r>
    </w:p>
    <w:p w14:paraId="29CE3991" w14:textId="77777777" w:rsidR="00A57F4B" w:rsidRPr="0083383E" w:rsidRDefault="002F24DE" w:rsidP="00A91882">
      <w:pPr>
        <w:pStyle w:val="Heading1"/>
        <w:spacing w:line="360" w:lineRule="auto"/>
      </w:pPr>
      <w:bookmarkStart w:id="5" w:name="_Toc149406258"/>
      <w:r w:rsidRPr="0083383E">
        <w:t>6. Closing summary</w:t>
      </w:r>
      <w:bookmarkEnd w:id="5"/>
      <w:r w:rsidRPr="0083383E">
        <w:t xml:space="preserve"> </w:t>
      </w:r>
    </w:p>
    <w:p w14:paraId="678332F6" w14:textId="4D16B937" w:rsidR="0083383E" w:rsidRDefault="002F24DE" w:rsidP="00A91882">
      <w:pPr>
        <w:pStyle w:val="Normal1"/>
        <w:spacing w:line="360" w:lineRule="auto"/>
        <w:jc w:val="both"/>
        <w:rPr>
          <w:rFonts w:ascii="Times New Roman" w:eastAsia="Times New Roman" w:hAnsi="Times New Roman" w:cs="Times New Roman"/>
          <w:sz w:val="24"/>
          <w:szCs w:val="24"/>
          <w:lang w:val="en-GB"/>
        </w:rPr>
      </w:pPr>
      <w:r w:rsidRPr="0083383E">
        <w:rPr>
          <w:rFonts w:ascii="Times New Roman" w:eastAsia="Times New Roman" w:hAnsi="Times New Roman" w:cs="Times New Roman"/>
          <w:sz w:val="24"/>
          <w:szCs w:val="24"/>
          <w:lang w:val="en-GB"/>
        </w:rPr>
        <w:t xml:space="preserve">Thus as per the above analysis, the business plan linked with the establishment of   </w:t>
      </w:r>
      <w:r w:rsidRPr="0083383E">
        <w:rPr>
          <w:rFonts w:ascii="Times New Roman" w:eastAsia="Times New Roman" w:hAnsi="Times New Roman" w:cs="Times New Roman"/>
          <w:b/>
          <w:sz w:val="24"/>
          <w:szCs w:val="24"/>
          <w:lang w:val="en-GB"/>
        </w:rPr>
        <w:t>GreenWave Electronics, Inc</w:t>
      </w:r>
      <w:r w:rsidRPr="0083383E">
        <w:rPr>
          <w:rFonts w:ascii="Times New Roman" w:eastAsia="Times New Roman" w:hAnsi="Times New Roman" w:cs="Times New Roman"/>
          <w:sz w:val="24"/>
          <w:szCs w:val="24"/>
          <w:lang w:val="en-GB"/>
        </w:rPr>
        <w:t xml:space="preserve">. in the UK can be linked to the scope of development of the business in terms of adherence to the mission of </w:t>
      </w:r>
      <w:r w:rsidR="00C92738" w:rsidRPr="0083383E">
        <w:rPr>
          <w:rFonts w:ascii="Times New Roman" w:eastAsia="Times New Roman" w:hAnsi="Times New Roman" w:cs="Times New Roman"/>
          <w:sz w:val="24"/>
          <w:szCs w:val="24"/>
          <w:lang w:val="en-GB"/>
        </w:rPr>
        <w:t>sustainability</w:t>
      </w:r>
      <w:r w:rsidRPr="0083383E">
        <w:rPr>
          <w:rFonts w:ascii="Times New Roman" w:eastAsia="Times New Roman" w:hAnsi="Times New Roman" w:cs="Times New Roman"/>
          <w:sz w:val="24"/>
          <w:szCs w:val="24"/>
          <w:lang w:val="en-GB"/>
        </w:rPr>
        <w:t xml:space="preserve"> connected with the successful launching of the new busine</w:t>
      </w:r>
      <w:r w:rsidR="00C92738">
        <w:rPr>
          <w:rFonts w:ascii="Times New Roman" w:eastAsia="Times New Roman" w:hAnsi="Times New Roman" w:cs="Times New Roman"/>
          <w:sz w:val="24"/>
          <w:szCs w:val="24"/>
          <w:lang w:val="en-GB"/>
        </w:rPr>
        <w:t>s</w:t>
      </w:r>
      <w:r w:rsidRPr="0083383E">
        <w:rPr>
          <w:rFonts w:ascii="Times New Roman" w:eastAsia="Times New Roman" w:hAnsi="Times New Roman" w:cs="Times New Roman"/>
          <w:sz w:val="24"/>
          <w:szCs w:val="24"/>
          <w:lang w:val="en-GB"/>
        </w:rPr>
        <w:t>s venture in the UK.  The market-based analysis linked to the sound sales figures in terms of the growth potential of the present consumer electronics-based market of the UK can be judged as favo</w:t>
      </w:r>
      <w:r w:rsidR="00C92738">
        <w:rPr>
          <w:rFonts w:ascii="Times New Roman" w:eastAsia="Times New Roman" w:hAnsi="Times New Roman" w:cs="Times New Roman"/>
          <w:sz w:val="24"/>
          <w:szCs w:val="24"/>
          <w:lang w:val="en-GB"/>
        </w:rPr>
        <w:t>u</w:t>
      </w:r>
      <w:r w:rsidRPr="0083383E">
        <w:rPr>
          <w:rFonts w:ascii="Times New Roman" w:eastAsia="Times New Roman" w:hAnsi="Times New Roman" w:cs="Times New Roman"/>
          <w:sz w:val="24"/>
          <w:szCs w:val="24"/>
          <w:lang w:val="en-GB"/>
        </w:rPr>
        <w:t>rable for this business launching initiative.  Moreover, the operations and the management linked with the core business process based on upselling tactics have to be linked with the future scope of development of the business. Moreover, the marketing plan-oriented strategy of offering the products of sales with discounts has to be linked to the new venture in terms of the 4Ps of the marketing process. These sustainable business features to be linked with the new business venture will surely attract funds-based investments from varied investors operating in the markets of the UK. The new business hence can be expected to make a sound amount of money which will automatically drive the revenues and the profits-based earnings for the business to be launched in the UK.</w:t>
      </w:r>
    </w:p>
    <w:p w14:paraId="2F46E58E" w14:textId="77777777" w:rsidR="0083383E" w:rsidRDefault="002F24DE" w:rsidP="00A91882">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DE1386D" w14:textId="77777777" w:rsidR="003F5F5F" w:rsidRPr="003F5F5F" w:rsidRDefault="002F24DE" w:rsidP="003F5F5F">
      <w:pPr>
        <w:pStyle w:val="Heading1"/>
        <w:spacing w:line="360" w:lineRule="auto"/>
        <w:rPr>
          <w:lang w:val="en-GB"/>
        </w:rPr>
      </w:pPr>
      <w:bookmarkStart w:id="6" w:name="_Toc149406259"/>
      <w:r>
        <w:rPr>
          <w:lang w:val="en-GB"/>
        </w:rPr>
        <w:lastRenderedPageBreak/>
        <w:t>Reference list</w:t>
      </w:r>
      <w:bookmarkEnd w:id="6"/>
    </w:p>
    <w:p w14:paraId="543E7E25" w14:textId="77777777"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sidRPr="003372C0">
        <w:rPr>
          <w:rFonts w:ascii="Times New Roman" w:hAnsi="Times New Roman" w:cs="Times New Roman"/>
          <w:sz w:val="24"/>
          <w:szCs w:val="24"/>
          <w:shd w:val="clear" w:color="auto" w:fill="FFFFFF"/>
        </w:rPr>
        <w:t>Abdel-Basset, M., Mohamed, M., Chang, V. and Smarandache, F., 2019. IoT and its impact on the electronics market: A powerful decision support system for helping customers in choosing the best product. </w:t>
      </w:r>
      <w:r w:rsidRPr="003372C0">
        <w:rPr>
          <w:rFonts w:ascii="Times New Roman" w:hAnsi="Times New Roman" w:cs="Times New Roman"/>
          <w:iCs/>
          <w:sz w:val="24"/>
          <w:szCs w:val="24"/>
          <w:shd w:val="clear" w:color="auto" w:fill="FFFFFF"/>
        </w:rPr>
        <w:t>Symmetry</w:t>
      </w:r>
      <w:r w:rsidRPr="003372C0">
        <w:rPr>
          <w:rFonts w:ascii="Times New Roman" w:hAnsi="Times New Roman" w:cs="Times New Roman"/>
          <w:sz w:val="24"/>
          <w:szCs w:val="24"/>
          <w:shd w:val="clear" w:color="auto" w:fill="FFFFFF"/>
        </w:rPr>
        <w:t>, </w:t>
      </w:r>
      <w:r w:rsidRPr="003372C0">
        <w:rPr>
          <w:rFonts w:ascii="Times New Roman" w:hAnsi="Times New Roman" w:cs="Times New Roman"/>
          <w:iCs/>
          <w:sz w:val="24"/>
          <w:szCs w:val="24"/>
          <w:shd w:val="clear" w:color="auto" w:fill="FFFFFF"/>
        </w:rPr>
        <w:t>11</w:t>
      </w:r>
      <w:r w:rsidRPr="003372C0">
        <w:rPr>
          <w:rFonts w:ascii="Times New Roman" w:hAnsi="Times New Roman" w:cs="Times New Roman"/>
          <w:sz w:val="24"/>
          <w:szCs w:val="24"/>
          <w:shd w:val="clear" w:color="auto" w:fill="FFFFFF"/>
        </w:rPr>
        <w:t>(5), p.611.[Available at:</w:t>
      </w:r>
      <w:r w:rsidRPr="003372C0">
        <w:rPr>
          <w:rFonts w:ascii="Times New Roman" w:hAnsi="Times New Roman" w:cs="Times New Roman"/>
          <w:sz w:val="24"/>
          <w:szCs w:val="24"/>
        </w:rPr>
        <w:t xml:space="preserve"> </w:t>
      </w:r>
      <w:r w:rsidRPr="003372C0">
        <w:rPr>
          <w:rFonts w:ascii="Times New Roman" w:hAnsi="Times New Roman" w:cs="Times New Roman"/>
          <w:sz w:val="24"/>
          <w:szCs w:val="24"/>
          <w:shd w:val="clear" w:color="auto" w:fill="FFFFFF"/>
        </w:rPr>
        <w:t>https://www.academia.edu/download/65971280/MIssion_economy.pdf]</w:t>
      </w:r>
    </w:p>
    <w:p w14:paraId="7C7A3564" w14:textId="77777777"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sidRPr="003372C0">
        <w:rPr>
          <w:rFonts w:ascii="Times New Roman" w:hAnsi="Times New Roman" w:cs="Times New Roman"/>
          <w:sz w:val="24"/>
          <w:szCs w:val="24"/>
          <w:shd w:val="clear" w:color="auto" w:fill="FFFFFF"/>
        </w:rPr>
        <w:t>Anoshkina, Y., Goerigk, M. and Meisel, F., 2020. Robust optimization approaches for routing and scheduling of multi-skilled teams under uncertain job skill requirements. </w:t>
      </w:r>
      <w:r w:rsidRPr="003372C0">
        <w:rPr>
          <w:rFonts w:ascii="Times New Roman" w:hAnsi="Times New Roman" w:cs="Times New Roman"/>
          <w:iCs/>
          <w:sz w:val="24"/>
          <w:szCs w:val="24"/>
          <w:shd w:val="clear" w:color="auto" w:fill="FFFFFF"/>
        </w:rPr>
        <w:t>arXiv preprint arXiv:2009.04342</w:t>
      </w:r>
      <w:r w:rsidRPr="003372C0">
        <w:rPr>
          <w:rFonts w:ascii="Times New Roman" w:hAnsi="Times New Roman" w:cs="Times New Roman"/>
          <w:sz w:val="24"/>
          <w:szCs w:val="24"/>
          <w:shd w:val="clear" w:color="auto" w:fill="FFFFFF"/>
        </w:rPr>
        <w:t>. [Available at:</w:t>
      </w:r>
      <w:r w:rsidRPr="003372C0">
        <w:rPr>
          <w:rFonts w:ascii="Times New Roman" w:hAnsi="Times New Roman" w:cs="Times New Roman"/>
          <w:sz w:val="24"/>
          <w:szCs w:val="24"/>
        </w:rPr>
        <w:t xml:space="preserve"> </w:t>
      </w:r>
      <w:r w:rsidRPr="003372C0">
        <w:rPr>
          <w:rFonts w:ascii="Times New Roman" w:hAnsi="Times New Roman" w:cs="Times New Roman"/>
          <w:sz w:val="24"/>
          <w:szCs w:val="24"/>
          <w:shd w:val="clear" w:color="auto" w:fill="FFFFFF"/>
        </w:rPr>
        <w:t>https://arxiv.org/pdf/2009.04342]</w:t>
      </w:r>
    </w:p>
    <w:p w14:paraId="775F495E" w14:textId="5F6CDEDD" w:rsidR="003F5F5F" w:rsidRPr="003372C0" w:rsidRDefault="00E8104B"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Bermuda</w:t>
      </w:r>
      <w:r w:rsidR="003F5F5F" w:rsidRPr="003372C0">
        <w:rPr>
          <w:rFonts w:ascii="Times New Roman" w:hAnsi="Times New Roman" w:cs="Times New Roman"/>
          <w:sz w:val="24"/>
          <w:szCs w:val="24"/>
          <w:shd w:val="clear" w:color="auto" w:fill="FFFFFF"/>
        </w:rPr>
        <w:t>, K.A., Akhmetshin, E.M., Andryushchenko, I.Y., Tagibova, A.A., Meshkova, G.V. and Zekiy, A.O., 2020. Problems of business processes transformation in the context of building digital economy. </w:t>
      </w:r>
      <w:r w:rsidR="003F5F5F" w:rsidRPr="003372C0">
        <w:rPr>
          <w:rFonts w:ascii="Times New Roman" w:hAnsi="Times New Roman" w:cs="Times New Roman"/>
          <w:iCs/>
          <w:sz w:val="24"/>
          <w:szCs w:val="24"/>
          <w:shd w:val="clear" w:color="auto" w:fill="FFFFFF"/>
        </w:rPr>
        <w:t>Entrepreneurship and Sustainability Issues</w:t>
      </w:r>
      <w:r w:rsidR="003F5F5F" w:rsidRPr="003372C0">
        <w:rPr>
          <w:rFonts w:ascii="Times New Roman" w:hAnsi="Times New Roman" w:cs="Times New Roman"/>
          <w:sz w:val="24"/>
          <w:szCs w:val="24"/>
          <w:shd w:val="clear" w:color="auto" w:fill="FFFFFF"/>
        </w:rPr>
        <w:t>, </w:t>
      </w:r>
      <w:r w:rsidR="003F5F5F" w:rsidRPr="003372C0">
        <w:rPr>
          <w:rFonts w:ascii="Times New Roman" w:hAnsi="Times New Roman" w:cs="Times New Roman"/>
          <w:iCs/>
          <w:sz w:val="24"/>
          <w:szCs w:val="24"/>
          <w:shd w:val="clear" w:color="auto" w:fill="FFFFFF"/>
        </w:rPr>
        <w:t>8</w:t>
      </w:r>
      <w:r w:rsidR="003F5F5F" w:rsidRPr="003372C0">
        <w:rPr>
          <w:rFonts w:ascii="Times New Roman" w:hAnsi="Times New Roman" w:cs="Times New Roman"/>
          <w:sz w:val="24"/>
          <w:szCs w:val="24"/>
          <w:shd w:val="clear" w:color="auto" w:fill="FFFFFF"/>
        </w:rPr>
        <w:t>(1), p.945.[Available at:</w:t>
      </w:r>
      <w:r w:rsidR="003F5F5F" w:rsidRPr="003372C0">
        <w:rPr>
          <w:rFonts w:ascii="Times New Roman" w:hAnsi="Times New Roman" w:cs="Times New Roman"/>
          <w:sz w:val="24"/>
          <w:szCs w:val="24"/>
        </w:rPr>
        <w:t xml:space="preserve"> </w:t>
      </w:r>
      <w:hyperlink r:id="rId14" w:history="1">
        <w:r w:rsidR="003F5F5F" w:rsidRPr="003372C0">
          <w:rPr>
            <w:rStyle w:val="Hyperlink"/>
            <w:rFonts w:ascii="Times New Roman" w:hAnsi="Times New Roman" w:cs="Times New Roman"/>
            <w:color w:val="auto"/>
            <w:sz w:val="24"/>
            <w:szCs w:val="24"/>
            <w:shd w:val="clear" w:color="auto" w:fill="FFFFFF"/>
          </w:rPr>
          <w:t>https://jssidoi.org/jesi/uploads/articles/29/Barmuta_Problems_of_business_processes_transformation_in_the_context_of_building_digital_economy.pdf</w:t>
        </w:r>
      </w:hyperlink>
      <w:r w:rsidR="003F5F5F" w:rsidRPr="003372C0">
        <w:rPr>
          <w:rFonts w:ascii="Times New Roman" w:hAnsi="Times New Roman" w:cs="Times New Roman"/>
          <w:sz w:val="24"/>
          <w:szCs w:val="24"/>
          <w:shd w:val="clear" w:color="auto" w:fill="FFFFFF"/>
        </w:rPr>
        <w:t>]</w:t>
      </w:r>
    </w:p>
    <w:p w14:paraId="1D8E87B9" w14:textId="2A153335"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shd w:val="clear" w:color="auto" w:fill="FFFFFF"/>
        </w:rPr>
        <w:t>Corporatefinanceinstitute.com. 2023.Threat</w:t>
      </w:r>
      <w:r w:rsidR="003F5F5F" w:rsidRPr="003372C0">
        <w:rPr>
          <w:rFonts w:ascii="Times New Roman" w:hAnsi="Times New Roman" w:cs="Times New Roman"/>
          <w:i/>
          <w:sz w:val="24"/>
          <w:szCs w:val="24"/>
          <w:shd w:val="clear" w:color="auto" w:fill="FFFFFF"/>
        </w:rPr>
        <w:t xml:space="preserve"> of New </w:t>
      </w:r>
      <w:r w:rsidRPr="003372C0">
        <w:rPr>
          <w:rFonts w:ascii="Times New Roman" w:hAnsi="Times New Roman" w:cs="Times New Roman"/>
          <w:i/>
          <w:sz w:val="24"/>
          <w:szCs w:val="24"/>
          <w:shd w:val="clear" w:color="auto" w:fill="FFFFFF"/>
        </w:rPr>
        <w:t>Entrants</w:t>
      </w:r>
      <w:r w:rsidRPr="003372C0">
        <w:rPr>
          <w:rFonts w:ascii="Times New Roman" w:hAnsi="Times New Roman" w:cs="Times New Roman"/>
          <w:sz w:val="24"/>
          <w:szCs w:val="24"/>
          <w:shd w:val="clear" w:color="auto" w:fill="FFFFFF"/>
        </w:rPr>
        <w:t>. [</w:t>
      </w:r>
      <w:r w:rsidR="003F5F5F" w:rsidRPr="003372C0">
        <w:rPr>
          <w:rFonts w:ascii="Times New Roman" w:hAnsi="Times New Roman" w:cs="Times New Roman"/>
          <w:sz w:val="24"/>
          <w:szCs w:val="24"/>
          <w:shd w:val="clear" w:color="auto" w:fill="FFFFFF"/>
        </w:rPr>
        <w:t>Available at:</w:t>
      </w:r>
      <w:r w:rsidR="003F5F5F" w:rsidRPr="003372C0">
        <w:rPr>
          <w:rFonts w:ascii="Times New Roman" w:hAnsi="Times New Roman" w:cs="Times New Roman"/>
          <w:sz w:val="24"/>
          <w:szCs w:val="24"/>
        </w:rPr>
        <w:t xml:space="preserve"> </w:t>
      </w:r>
      <w:r w:rsidR="003F5F5F" w:rsidRPr="003372C0">
        <w:rPr>
          <w:rFonts w:ascii="Times New Roman" w:hAnsi="Times New Roman" w:cs="Times New Roman"/>
          <w:sz w:val="24"/>
          <w:szCs w:val="24"/>
          <w:shd w:val="clear" w:color="auto" w:fill="FFFFFF"/>
        </w:rPr>
        <w:t>https://corporatefinanceinstitute.com/resources/management/threat-of-new-entrants/</w:t>
      </w:r>
      <w:r w:rsidRPr="003372C0">
        <w:rPr>
          <w:rFonts w:ascii="Times New Roman" w:hAnsi="Times New Roman" w:cs="Times New Roman"/>
          <w:sz w:val="24"/>
          <w:szCs w:val="24"/>
          <w:shd w:val="clear" w:color="auto" w:fill="FFFFFF"/>
        </w:rPr>
        <w:t>].</w:t>
      </w:r>
      <w:r w:rsidRPr="003372C0">
        <w:rPr>
          <w:rFonts w:ascii="Times New Roman" w:hAnsi="Times New Roman" w:cs="Times New Roman"/>
          <w:sz w:val="24"/>
          <w:szCs w:val="24"/>
        </w:rPr>
        <w:t xml:space="preserve"> [</w:t>
      </w:r>
      <w:r w:rsidR="003F5F5F" w:rsidRPr="003372C0">
        <w:rPr>
          <w:rFonts w:ascii="Times New Roman" w:hAnsi="Times New Roman" w:cs="Times New Roman"/>
          <w:sz w:val="24"/>
          <w:szCs w:val="24"/>
        </w:rPr>
        <w:t>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w:t>
      </w:r>
      <w:r w:rsidRPr="003372C0">
        <w:rPr>
          <w:rFonts w:ascii="Times New Roman" w:hAnsi="Times New Roman" w:cs="Times New Roman"/>
          <w:sz w:val="24"/>
          <w:szCs w:val="24"/>
        </w:rPr>
        <w:t>October</w:t>
      </w:r>
      <w:r w:rsidR="003F5F5F" w:rsidRPr="003372C0">
        <w:rPr>
          <w:rFonts w:ascii="Times New Roman" w:hAnsi="Times New Roman" w:cs="Times New Roman"/>
          <w:sz w:val="24"/>
          <w:szCs w:val="24"/>
        </w:rPr>
        <w:t xml:space="preserve"> 2023]</w:t>
      </w:r>
    </w:p>
    <w:p w14:paraId="7FF97F52" w14:textId="66883EF0"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rPr>
        <w:t>Globaldata.com</w:t>
      </w:r>
      <w:r w:rsidRPr="003372C0">
        <w:rPr>
          <w:rFonts w:ascii="Times New Roman" w:hAnsi="Times New Roman" w:cs="Times New Roman"/>
          <w:sz w:val="24"/>
          <w:szCs w:val="24"/>
          <w:shd w:val="clear" w:color="auto" w:fill="FFFFFF"/>
        </w:rPr>
        <w:t>. 2023.Market</w:t>
      </w:r>
      <w:r w:rsidR="003F5F5F" w:rsidRPr="003372C0">
        <w:rPr>
          <w:rFonts w:ascii="Times New Roman" w:hAnsi="Times New Roman" w:cs="Times New Roman"/>
          <w:sz w:val="24"/>
          <w:szCs w:val="24"/>
          <w:shd w:val="clear" w:color="auto" w:fill="FFFFFF"/>
        </w:rPr>
        <w:t xml:space="preserve"> Size of Consumer Electronics in the United Kingdom (2017–2021, $ Billion</w:t>
      </w:r>
      <w:r w:rsidRPr="003372C0">
        <w:rPr>
          <w:rFonts w:ascii="Times New Roman" w:hAnsi="Times New Roman" w:cs="Times New Roman"/>
          <w:sz w:val="24"/>
          <w:szCs w:val="24"/>
          <w:shd w:val="clear" w:color="auto" w:fill="FFFFFF"/>
        </w:rPr>
        <w:t>). [</w:t>
      </w:r>
      <w:r w:rsidR="003F5F5F" w:rsidRPr="003372C0">
        <w:rPr>
          <w:rFonts w:ascii="Times New Roman" w:hAnsi="Times New Roman" w:cs="Times New Roman"/>
          <w:sz w:val="24"/>
          <w:szCs w:val="24"/>
          <w:shd w:val="clear" w:color="auto" w:fill="FFFFFF"/>
        </w:rPr>
        <w:t>Available at:</w:t>
      </w:r>
      <w:r w:rsidR="003F5F5F" w:rsidRPr="003372C0">
        <w:rPr>
          <w:rFonts w:ascii="Times New Roman" w:hAnsi="Times New Roman" w:cs="Times New Roman"/>
          <w:sz w:val="24"/>
          <w:szCs w:val="24"/>
        </w:rPr>
        <w:t xml:space="preserve"> https://www.globaldata.com/data-insights/retail-and-wholesale/market-size-of-consumer-electronics-in-the-united-kingdom/</w:t>
      </w:r>
      <w:proofErr w:type="gramStart"/>
      <w:r w:rsidR="003F5F5F" w:rsidRPr="003372C0">
        <w:rPr>
          <w:rFonts w:ascii="Times New Roman" w:hAnsi="Times New Roman" w:cs="Times New Roman"/>
          <w:sz w:val="24"/>
          <w:szCs w:val="24"/>
        </w:rPr>
        <w:t>].[</w:t>
      </w:r>
      <w:proofErr w:type="gramEnd"/>
      <w:r w:rsidR="003F5F5F" w:rsidRPr="003372C0">
        <w:rPr>
          <w:rFonts w:ascii="Times New Roman" w:hAnsi="Times New Roman" w:cs="Times New Roman"/>
          <w:sz w:val="24"/>
          <w:szCs w:val="24"/>
        </w:rPr>
        <w:t>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October, 2023].</w:t>
      </w:r>
    </w:p>
    <w:p w14:paraId="2196790F" w14:textId="4B49B53E"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rPr>
        <w:t xml:space="preserve">Ivan, K.,2023. </w:t>
      </w:r>
      <w:r w:rsidRPr="003372C0">
        <w:rPr>
          <w:rFonts w:ascii="Times New Roman" w:hAnsi="Times New Roman" w:cs="Times New Roman"/>
          <w:sz w:val="24"/>
          <w:szCs w:val="24"/>
          <w:shd w:val="clear" w:color="auto" w:fill="FFFFFF"/>
        </w:rPr>
        <w:t xml:space="preserve">Porter’s 5 Forces Model: Bargaining Power of </w:t>
      </w:r>
      <w:r w:rsidR="003372C0" w:rsidRPr="003372C0">
        <w:rPr>
          <w:rFonts w:ascii="Times New Roman" w:hAnsi="Times New Roman" w:cs="Times New Roman"/>
          <w:sz w:val="24"/>
          <w:szCs w:val="24"/>
          <w:shd w:val="clear" w:color="auto" w:fill="FFFFFF"/>
        </w:rPr>
        <w:t>Suppliers. [</w:t>
      </w:r>
      <w:r w:rsidRPr="003372C0">
        <w:rPr>
          <w:rFonts w:ascii="Times New Roman" w:hAnsi="Times New Roman" w:cs="Times New Roman"/>
          <w:sz w:val="24"/>
          <w:szCs w:val="24"/>
          <w:shd w:val="clear" w:color="auto" w:fill="FFFFFF"/>
        </w:rPr>
        <w:t>Available at:</w:t>
      </w:r>
      <w:r w:rsidRPr="003372C0">
        <w:rPr>
          <w:rFonts w:ascii="Times New Roman" w:hAnsi="Times New Roman" w:cs="Times New Roman"/>
          <w:sz w:val="24"/>
          <w:szCs w:val="24"/>
        </w:rPr>
        <w:t xml:space="preserve"> https://365financialanalyst.com/knowledge-hub/business-analysis-and-strategy/porters-5-forces-model-bargaining-power-of-suppliers/#:~:text=Similarly%2C%20the%20bargaining%20power%20of,offered%20products%20are%20not%20differentiated</w:t>
      </w:r>
      <w:r w:rsidR="003372C0" w:rsidRPr="003372C0">
        <w:rPr>
          <w:rFonts w:ascii="Times New Roman" w:hAnsi="Times New Roman" w:cs="Times New Roman"/>
          <w:sz w:val="24"/>
          <w:szCs w:val="24"/>
        </w:rPr>
        <w:t>]. [</w:t>
      </w:r>
      <w:r w:rsidRPr="003372C0">
        <w:rPr>
          <w:rFonts w:ascii="Times New Roman" w:hAnsi="Times New Roman" w:cs="Times New Roman"/>
          <w:sz w:val="24"/>
          <w:szCs w:val="24"/>
        </w:rPr>
        <w:t>Accessed on: 28</w:t>
      </w:r>
      <w:r w:rsidRPr="003372C0">
        <w:rPr>
          <w:rFonts w:ascii="Times New Roman" w:hAnsi="Times New Roman" w:cs="Times New Roman"/>
          <w:sz w:val="24"/>
          <w:szCs w:val="24"/>
          <w:vertAlign w:val="superscript"/>
        </w:rPr>
        <w:t>th</w:t>
      </w:r>
      <w:r w:rsidRPr="003372C0">
        <w:rPr>
          <w:rFonts w:ascii="Times New Roman" w:hAnsi="Times New Roman" w:cs="Times New Roman"/>
          <w:sz w:val="24"/>
          <w:szCs w:val="24"/>
        </w:rPr>
        <w:t xml:space="preserve"> </w:t>
      </w:r>
      <w:r w:rsidR="003372C0" w:rsidRPr="003372C0">
        <w:rPr>
          <w:rFonts w:ascii="Times New Roman" w:hAnsi="Times New Roman" w:cs="Times New Roman"/>
          <w:sz w:val="24"/>
          <w:szCs w:val="24"/>
        </w:rPr>
        <w:t>October</w:t>
      </w:r>
      <w:r w:rsidRPr="003372C0">
        <w:rPr>
          <w:rFonts w:ascii="Times New Roman" w:hAnsi="Times New Roman" w:cs="Times New Roman"/>
          <w:sz w:val="24"/>
          <w:szCs w:val="24"/>
        </w:rPr>
        <w:t xml:space="preserve"> 2023]</w:t>
      </w:r>
    </w:p>
    <w:p w14:paraId="24AEE920" w14:textId="27F32086"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rPr>
        <w:t>Learn.marsdd.com</w:t>
      </w:r>
      <w:r w:rsidRPr="003372C0">
        <w:rPr>
          <w:rFonts w:ascii="Times New Roman" w:hAnsi="Times New Roman" w:cs="Times New Roman"/>
          <w:bCs/>
          <w:sz w:val="24"/>
          <w:szCs w:val="24"/>
        </w:rPr>
        <w:t>. 2023.Industry</w:t>
      </w:r>
      <w:r w:rsidR="003F5F5F" w:rsidRPr="003372C0">
        <w:rPr>
          <w:rFonts w:ascii="Times New Roman" w:hAnsi="Times New Roman" w:cs="Times New Roman"/>
          <w:bCs/>
          <w:i/>
          <w:sz w:val="24"/>
          <w:szCs w:val="24"/>
        </w:rPr>
        <w:t xml:space="preserve"> rivalry and competition: Porter’s five forces</w:t>
      </w:r>
      <w:r w:rsidR="003F5F5F" w:rsidRPr="003372C0">
        <w:rPr>
          <w:rFonts w:ascii="Times New Roman" w:hAnsi="Times New Roman" w:cs="Times New Roman"/>
          <w:bCs/>
          <w:sz w:val="24"/>
          <w:szCs w:val="24"/>
        </w:rPr>
        <w:t>. [</w:t>
      </w:r>
      <w:r w:rsidR="003F5F5F" w:rsidRPr="003372C0">
        <w:rPr>
          <w:rFonts w:ascii="Times New Roman" w:hAnsi="Times New Roman" w:cs="Times New Roman"/>
          <w:sz w:val="24"/>
          <w:szCs w:val="24"/>
        </w:rPr>
        <w:t>Available at: https://learn.marsdd.com/article/industry-rivalry-and-competition-using-five-forces/]. [Accessed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w:t>
      </w:r>
      <w:r w:rsidRPr="003372C0">
        <w:rPr>
          <w:rFonts w:ascii="Times New Roman" w:hAnsi="Times New Roman" w:cs="Times New Roman"/>
          <w:sz w:val="24"/>
          <w:szCs w:val="24"/>
        </w:rPr>
        <w:t>October</w:t>
      </w:r>
      <w:r w:rsidR="003F5F5F" w:rsidRPr="003372C0">
        <w:rPr>
          <w:rFonts w:ascii="Times New Roman" w:hAnsi="Times New Roman" w:cs="Times New Roman"/>
          <w:sz w:val="24"/>
          <w:szCs w:val="24"/>
        </w:rPr>
        <w:t xml:space="preserve"> 2023]</w:t>
      </w:r>
    </w:p>
    <w:p w14:paraId="65323EB3" w14:textId="54F22049"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sidRPr="003372C0">
        <w:rPr>
          <w:rFonts w:ascii="Times New Roman" w:hAnsi="Times New Roman" w:cs="Times New Roman"/>
          <w:sz w:val="24"/>
          <w:szCs w:val="24"/>
        </w:rPr>
        <w:t>Liu.cwp.libguides.com</w:t>
      </w:r>
      <w:r w:rsidRPr="003372C0">
        <w:rPr>
          <w:rFonts w:ascii="Times New Roman" w:hAnsi="Times New Roman" w:cs="Times New Roman"/>
          <w:bCs/>
          <w:sz w:val="24"/>
          <w:szCs w:val="24"/>
        </w:rPr>
        <w:t>. 2022.Porter’s</w:t>
      </w:r>
      <w:r w:rsidR="003F5F5F" w:rsidRPr="003372C0">
        <w:rPr>
          <w:rFonts w:ascii="Times New Roman" w:hAnsi="Times New Roman" w:cs="Times New Roman"/>
          <w:bCs/>
          <w:i/>
          <w:sz w:val="24"/>
          <w:szCs w:val="24"/>
        </w:rPr>
        <w:t xml:space="preserve"> Five Forces Analysis: Threat of Substitutes</w:t>
      </w:r>
      <w:r w:rsidR="003F5F5F" w:rsidRPr="003372C0">
        <w:rPr>
          <w:rFonts w:ascii="Times New Roman" w:hAnsi="Times New Roman" w:cs="Times New Roman"/>
          <w:bCs/>
          <w:sz w:val="24"/>
          <w:szCs w:val="24"/>
        </w:rPr>
        <w:t>. [</w:t>
      </w:r>
      <w:r w:rsidR="003F5F5F" w:rsidRPr="003372C0">
        <w:rPr>
          <w:rFonts w:ascii="Times New Roman" w:hAnsi="Times New Roman" w:cs="Times New Roman"/>
          <w:sz w:val="24"/>
          <w:szCs w:val="24"/>
        </w:rPr>
        <w:t xml:space="preserve">Available at: </w:t>
      </w:r>
      <w:r w:rsidR="003F5F5F" w:rsidRPr="003372C0">
        <w:rPr>
          <w:rFonts w:ascii="Times New Roman" w:hAnsi="Times New Roman" w:cs="Times New Roman"/>
          <w:sz w:val="24"/>
          <w:szCs w:val="24"/>
        </w:rPr>
        <w:lastRenderedPageBreak/>
        <w:t>https://liu.cwp.libguides.com/5forces/SubstituteThreat#:~:text=The%20threat%20of%20substitution%20is,switching%20is%20also%20a%20factor]. [Accessed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w:t>
      </w:r>
      <w:r w:rsidRPr="003372C0">
        <w:rPr>
          <w:rFonts w:ascii="Times New Roman" w:hAnsi="Times New Roman" w:cs="Times New Roman"/>
          <w:sz w:val="24"/>
          <w:szCs w:val="24"/>
        </w:rPr>
        <w:t>October</w:t>
      </w:r>
      <w:r w:rsidR="003F5F5F" w:rsidRPr="003372C0">
        <w:rPr>
          <w:rFonts w:ascii="Times New Roman" w:hAnsi="Times New Roman" w:cs="Times New Roman"/>
          <w:sz w:val="24"/>
          <w:szCs w:val="24"/>
        </w:rPr>
        <w:t xml:space="preserve"> 2023]</w:t>
      </w:r>
    </w:p>
    <w:p w14:paraId="539C3D35" w14:textId="77777777"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shd w:val="clear" w:color="auto" w:fill="FFFFFF"/>
        </w:rPr>
        <w:t>Nolden, C., Barnes, J. and Nicholls, J., 2020. Community energy business model evolution: A review of solar photovoltaic developments in England. </w:t>
      </w:r>
      <w:r w:rsidRPr="003372C0">
        <w:rPr>
          <w:rFonts w:ascii="Times New Roman" w:hAnsi="Times New Roman" w:cs="Times New Roman"/>
          <w:iCs/>
          <w:sz w:val="24"/>
          <w:szCs w:val="24"/>
          <w:shd w:val="clear" w:color="auto" w:fill="FFFFFF"/>
        </w:rPr>
        <w:t>Renewable and Sustainable Energy Reviews</w:t>
      </w:r>
      <w:r w:rsidRPr="003372C0">
        <w:rPr>
          <w:rFonts w:ascii="Times New Roman" w:hAnsi="Times New Roman" w:cs="Times New Roman"/>
          <w:sz w:val="24"/>
          <w:szCs w:val="24"/>
          <w:shd w:val="clear" w:color="auto" w:fill="FFFFFF"/>
        </w:rPr>
        <w:t>, </w:t>
      </w:r>
      <w:r w:rsidRPr="003372C0">
        <w:rPr>
          <w:rFonts w:ascii="Times New Roman" w:hAnsi="Times New Roman" w:cs="Times New Roman"/>
          <w:iCs/>
          <w:sz w:val="24"/>
          <w:szCs w:val="24"/>
          <w:shd w:val="clear" w:color="auto" w:fill="FFFFFF"/>
        </w:rPr>
        <w:t>122</w:t>
      </w:r>
      <w:r w:rsidRPr="003372C0">
        <w:rPr>
          <w:rFonts w:ascii="Times New Roman" w:hAnsi="Times New Roman" w:cs="Times New Roman"/>
          <w:sz w:val="24"/>
          <w:szCs w:val="24"/>
          <w:shd w:val="clear" w:color="auto" w:fill="FFFFFF"/>
        </w:rPr>
        <w:t>, p.109722. [Available at:</w:t>
      </w:r>
      <w:r w:rsidRPr="003372C0">
        <w:rPr>
          <w:rFonts w:ascii="Times New Roman" w:hAnsi="Times New Roman" w:cs="Times New Roman"/>
          <w:sz w:val="24"/>
          <w:szCs w:val="24"/>
        </w:rPr>
        <w:t xml:space="preserve"> </w:t>
      </w:r>
      <w:r w:rsidRPr="003372C0">
        <w:rPr>
          <w:rFonts w:ascii="Times New Roman" w:hAnsi="Times New Roman" w:cs="Times New Roman"/>
          <w:sz w:val="24"/>
          <w:szCs w:val="24"/>
          <w:shd w:val="clear" w:color="auto" w:fill="FFFFFF"/>
        </w:rPr>
        <w:t>https://ora.ox.ac.uk/objects/uuid:09ff8a2f-5bee-4f7a-bfbb-b6fb14dc7735/download_file?file_format=&amp;safe_filename=Nolden_et_al.__Community_energy_business_model_evolution__AAM.pdf&amp;type_of_work=Journal+article]</w:t>
      </w:r>
    </w:p>
    <w:p w14:paraId="2BE4EE7A" w14:textId="77777777"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sidRPr="003372C0">
        <w:rPr>
          <w:rFonts w:ascii="Times New Roman" w:hAnsi="Times New Roman" w:cs="Times New Roman"/>
          <w:sz w:val="24"/>
          <w:szCs w:val="24"/>
          <w:shd w:val="clear" w:color="auto" w:fill="FFFFFF"/>
        </w:rPr>
        <w:t>Purnomo, Y.J., 2023. Digital marketing strategy to increase sales conversion on e-commerce platforms. </w:t>
      </w:r>
      <w:r w:rsidRPr="003372C0">
        <w:rPr>
          <w:rFonts w:ascii="Times New Roman" w:hAnsi="Times New Roman" w:cs="Times New Roman"/>
          <w:i/>
          <w:iCs/>
          <w:sz w:val="24"/>
          <w:szCs w:val="24"/>
          <w:shd w:val="clear" w:color="auto" w:fill="FFFFFF"/>
        </w:rPr>
        <w:t>Journal of Contemporary Administration and Management (ADMAN)</w:t>
      </w:r>
      <w:r w:rsidRPr="003372C0">
        <w:rPr>
          <w:rFonts w:ascii="Times New Roman" w:hAnsi="Times New Roman" w:cs="Times New Roman"/>
          <w:sz w:val="24"/>
          <w:szCs w:val="24"/>
          <w:shd w:val="clear" w:color="auto" w:fill="FFFFFF"/>
        </w:rPr>
        <w:t>, </w:t>
      </w:r>
      <w:r w:rsidRPr="003372C0">
        <w:rPr>
          <w:rFonts w:ascii="Times New Roman" w:hAnsi="Times New Roman" w:cs="Times New Roman"/>
          <w:i/>
          <w:iCs/>
          <w:sz w:val="24"/>
          <w:szCs w:val="24"/>
          <w:shd w:val="clear" w:color="auto" w:fill="FFFFFF"/>
        </w:rPr>
        <w:t>1</w:t>
      </w:r>
      <w:r w:rsidRPr="003372C0">
        <w:rPr>
          <w:rFonts w:ascii="Times New Roman" w:hAnsi="Times New Roman" w:cs="Times New Roman"/>
          <w:sz w:val="24"/>
          <w:szCs w:val="24"/>
          <w:shd w:val="clear" w:color="auto" w:fill="FFFFFF"/>
        </w:rPr>
        <w:t>(2), pp.54-62. [Available at:</w:t>
      </w:r>
      <w:r w:rsidRPr="003372C0">
        <w:rPr>
          <w:rFonts w:ascii="Times New Roman" w:hAnsi="Times New Roman" w:cs="Times New Roman"/>
          <w:sz w:val="24"/>
          <w:szCs w:val="24"/>
        </w:rPr>
        <w:t xml:space="preserve"> </w:t>
      </w:r>
      <w:r w:rsidRPr="003372C0">
        <w:rPr>
          <w:rFonts w:ascii="Times New Roman" w:hAnsi="Times New Roman" w:cs="Times New Roman"/>
          <w:sz w:val="24"/>
          <w:szCs w:val="24"/>
          <w:shd w:val="clear" w:color="auto" w:fill="FFFFFF"/>
        </w:rPr>
        <w:t>https://journal.literasisainsnusantara.com/index.php/adman/article/download/23/38]</w:t>
      </w:r>
    </w:p>
    <w:p w14:paraId="089D7818" w14:textId="77777777"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sidRPr="003372C0">
        <w:rPr>
          <w:rFonts w:ascii="Times New Roman" w:hAnsi="Times New Roman" w:cs="Times New Roman"/>
          <w:sz w:val="24"/>
          <w:szCs w:val="24"/>
          <w:shd w:val="clear" w:color="auto" w:fill="FFFFFF"/>
        </w:rPr>
        <w:t>Saura, J.R., Palos-Sanchez, P. and Blanco-González, A., 2019. The importance of information service offerings of collaborative CRMs on decision-making in B2B marketing. </w:t>
      </w:r>
      <w:r w:rsidRPr="003372C0">
        <w:rPr>
          <w:rFonts w:ascii="Times New Roman" w:hAnsi="Times New Roman" w:cs="Times New Roman"/>
          <w:i/>
          <w:iCs/>
          <w:sz w:val="24"/>
          <w:szCs w:val="24"/>
          <w:shd w:val="clear" w:color="auto" w:fill="FFFFFF"/>
        </w:rPr>
        <w:t>Journal of Business &amp; Industrial Marketing</w:t>
      </w:r>
      <w:r w:rsidRPr="003372C0">
        <w:rPr>
          <w:rFonts w:ascii="Times New Roman" w:hAnsi="Times New Roman" w:cs="Times New Roman"/>
          <w:sz w:val="24"/>
          <w:szCs w:val="24"/>
          <w:shd w:val="clear" w:color="auto" w:fill="FFFFFF"/>
        </w:rPr>
        <w:t>, </w:t>
      </w:r>
      <w:r w:rsidRPr="003372C0">
        <w:rPr>
          <w:rFonts w:ascii="Times New Roman" w:hAnsi="Times New Roman" w:cs="Times New Roman"/>
          <w:i/>
          <w:iCs/>
          <w:sz w:val="24"/>
          <w:szCs w:val="24"/>
          <w:shd w:val="clear" w:color="auto" w:fill="FFFFFF"/>
        </w:rPr>
        <w:t>35</w:t>
      </w:r>
      <w:r w:rsidRPr="003372C0">
        <w:rPr>
          <w:rFonts w:ascii="Times New Roman" w:hAnsi="Times New Roman" w:cs="Times New Roman"/>
          <w:sz w:val="24"/>
          <w:szCs w:val="24"/>
          <w:shd w:val="clear" w:color="auto" w:fill="FFFFFF"/>
        </w:rPr>
        <w:t>(3), pp.470-482. [Available at:</w:t>
      </w:r>
      <w:r w:rsidRPr="003372C0">
        <w:rPr>
          <w:rFonts w:ascii="Times New Roman" w:hAnsi="Times New Roman" w:cs="Times New Roman"/>
          <w:sz w:val="24"/>
          <w:szCs w:val="24"/>
        </w:rPr>
        <w:t xml:space="preserve"> </w:t>
      </w:r>
      <w:r w:rsidRPr="003372C0">
        <w:rPr>
          <w:rFonts w:ascii="Times New Roman" w:hAnsi="Times New Roman" w:cs="Times New Roman"/>
          <w:sz w:val="24"/>
          <w:szCs w:val="24"/>
          <w:shd w:val="clear" w:color="auto" w:fill="FFFFFF"/>
        </w:rPr>
        <w:t>https://www.academia.edu/download/60787478/JBIM20191003-16218-1bhwwo.pdf]</w:t>
      </w:r>
    </w:p>
    <w:p w14:paraId="1C14E5EC" w14:textId="070F4178"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shd w:val="clear" w:color="auto" w:fill="FFFFFF"/>
        </w:rPr>
      </w:pPr>
      <w:r w:rsidRPr="003372C0">
        <w:rPr>
          <w:rFonts w:ascii="Times New Roman" w:hAnsi="Times New Roman" w:cs="Times New Roman"/>
          <w:sz w:val="24"/>
          <w:szCs w:val="24"/>
          <w:shd w:val="clear" w:color="auto" w:fill="FFFFFF"/>
        </w:rPr>
        <w:t>Seiler, R., Brodmann, T. and Keller, T., 2022. Trust and cybersickness in VR-marketing: Investigating IPD and cybersickness, and their effects on trust, customer value, NPS, cross-and up-selling. In </w:t>
      </w:r>
      <w:r w:rsidRPr="003372C0">
        <w:rPr>
          <w:rFonts w:ascii="Times New Roman" w:hAnsi="Times New Roman" w:cs="Times New Roman"/>
          <w:i/>
          <w:iCs/>
          <w:sz w:val="24"/>
          <w:szCs w:val="24"/>
          <w:shd w:val="clear" w:color="auto" w:fill="FFFFFF"/>
        </w:rPr>
        <w:t>Proceedings of the International Conferences on e-Society 2022 and Mobile Learning 2022</w:t>
      </w:r>
      <w:r w:rsidRPr="003372C0">
        <w:rPr>
          <w:rFonts w:ascii="Times New Roman" w:hAnsi="Times New Roman" w:cs="Times New Roman"/>
          <w:sz w:val="24"/>
          <w:szCs w:val="24"/>
          <w:shd w:val="clear" w:color="auto" w:fill="FFFFFF"/>
        </w:rPr>
        <w:t> (pp. 90-106</w:t>
      </w:r>
      <w:r w:rsidR="003372C0" w:rsidRPr="003372C0">
        <w:rPr>
          <w:rFonts w:ascii="Times New Roman" w:hAnsi="Times New Roman" w:cs="Times New Roman"/>
          <w:sz w:val="24"/>
          <w:szCs w:val="24"/>
          <w:shd w:val="clear" w:color="auto" w:fill="FFFFFF"/>
        </w:rPr>
        <w:t>). [</w:t>
      </w:r>
      <w:r w:rsidRPr="003372C0">
        <w:rPr>
          <w:rFonts w:ascii="Times New Roman" w:hAnsi="Times New Roman" w:cs="Times New Roman"/>
          <w:sz w:val="24"/>
          <w:szCs w:val="24"/>
          <w:shd w:val="clear" w:color="auto" w:fill="FFFFFF"/>
        </w:rPr>
        <w:t>Available at:</w:t>
      </w:r>
      <w:r w:rsidRPr="003372C0">
        <w:rPr>
          <w:rFonts w:ascii="Times New Roman" w:hAnsi="Times New Roman" w:cs="Times New Roman"/>
          <w:sz w:val="24"/>
          <w:szCs w:val="24"/>
        </w:rPr>
        <w:t xml:space="preserve"> </w:t>
      </w:r>
      <w:r w:rsidRPr="003372C0">
        <w:rPr>
          <w:rFonts w:ascii="Times New Roman" w:hAnsi="Times New Roman" w:cs="Times New Roman"/>
          <w:sz w:val="24"/>
          <w:szCs w:val="24"/>
          <w:shd w:val="clear" w:color="auto" w:fill="FFFFFF"/>
        </w:rPr>
        <w:t>https://www.esociety-conf.org/wp-content/uploads/2022/03/12.4-3.pdf]</w:t>
      </w:r>
    </w:p>
    <w:p w14:paraId="68C540DC" w14:textId="6337C470"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shd w:val="clear" w:color="auto" w:fill="FFFFFF"/>
        </w:rPr>
        <w:t>Srivastav, K.A., and Vaidya, D., 2023.Trade</w:t>
      </w:r>
      <w:r w:rsidR="003F5F5F" w:rsidRPr="003372C0">
        <w:rPr>
          <w:rFonts w:ascii="Times New Roman" w:hAnsi="Times New Roman" w:cs="Times New Roman"/>
          <w:i/>
          <w:sz w:val="24"/>
          <w:szCs w:val="24"/>
          <w:shd w:val="clear" w:color="auto" w:fill="FFFFFF"/>
        </w:rPr>
        <w:t xml:space="preserve"> Discount</w:t>
      </w:r>
      <w:r w:rsidR="003F5F5F" w:rsidRPr="003372C0">
        <w:rPr>
          <w:rFonts w:ascii="Times New Roman" w:hAnsi="Times New Roman" w:cs="Times New Roman"/>
          <w:sz w:val="24"/>
          <w:szCs w:val="24"/>
          <w:shd w:val="clear" w:color="auto" w:fill="FFFFFF"/>
        </w:rPr>
        <w:t>. [Available at:</w:t>
      </w:r>
      <w:r w:rsidR="003F5F5F" w:rsidRPr="003372C0">
        <w:rPr>
          <w:rFonts w:ascii="Times New Roman" w:hAnsi="Times New Roman" w:cs="Times New Roman"/>
          <w:sz w:val="24"/>
          <w:szCs w:val="24"/>
        </w:rPr>
        <w:t xml:space="preserve"> </w:t>
      </w:r>
      <w:r w:rsidR="003F5F5F" w:rsidRPr="003372C0">
        <w:rPr>
          <w:rFonts w:ascii="Times New Roman" w:hAnsi="Times New Roman" w:cs="Times New Roman"/>
          <w:sz w:val="24"/>
          <w:szCs w:val="24"/>
          <w:shd w:val="clear" w:color="auto" w:fill="FFFFFF"/>
        </w:rPr>
        <w:t>https://www.wallstreetmojo.com/trade-discount/</w:t>
      </w:r>
      <w:r w:rsidR="003F5F5F" w:rsidRPr="003372C0">
        <w:rPr>
          <w:rFonts w:ascii="Times New Roman" w:hAnsi="Times New Roman" w:cs="Times New Roman"/>
          <w:sz w:val="24"/>
          <w:szCs w:val="24"/>
        </w:rPr>
        <w:t xml:space="preserve"> </w:t>
      </w:r>
      <w:r w:rsidR="003F5F5F" w:rsidRPr="003372C0">
        <w:rPr>
          <w:rFonts w:ascii="Times New Roman" w:hAnsi="Times New Roman" w:cs="Times New Roman"/>
          <w:sz w:val="24"/>
          <w:szCs w:val="24"/>
          <w:shd w:val="clear" w:color="auto" w:fill="FFFFFF"/>
        </w:rPr>
        <w:t>https://www.wallstreetmojo.com/trade-discount/]</w:t>
      </w:r>
      <w:r w:rsidRPr="003372C0">
        <w:rPr>
          <w:rFonts w:ascii="Times New Roman" w:hAnsi="Times New Roman" w:cs="Times New Roman"/>
          <w:sz w:val="24"/>
          <w:szCs w:val="24"/>
        </w:rPr>
        <w:t>]. [</w:t>
      </w:r>
      <w:r w:rsidR="003F5F5F" w:rsidRPr="003372C0">
        <w:rPr>
          <w:rFonts w:ascii="Times New Roman" w:hAnsi="Times New Roman" w:cs="Times New Roman"/>
          <w:sz w:val="24"/>
          <w:szCs w:val="24"/>
        </w:rPr>
        <w:t>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w:t>
      </w:r>
      <w:r w:rsidRPr="003372C0">
        <w:rPr>
          <w:rFonts w:ascii="Times New Roman" w:hAnsi="Times New Roman" w:cs="Times New Roman"/>
          <w:sz w:val="24"/>
          <w:szCs w:val="24"/>
        </w:rPr>
        <w:t>October</w:t>
      </w:r>
      <w:r w:rsidR="003F5F5F" w:rsidRPr="003372C0">
        <w:rPr>
          <w:rFonts w:ascii="Times New Roman" w:hAnsi="Times New Roman" w:cs="Times New Roman"/>
          <w:sz w:val="24"/>
          <w:szCs w:val="24"/>
        </w:rPr>
        <w:t xml:space="preserve"> 2023]</w:t>
      </w:r>
    </w:p>
    <w:p w14:paraId="7256259D" w14:textId="1787607F"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rPr>
        <w:t>Statista.com</w:t>
      </w:r>
      <w:r w:rsidRPr="003372C0">
        <w:rPr>
          <w:rFonts w:ascii="Times New Roman" w:hAnsi="Times New Roman" w:cs="Times New Roman"/>
          <w:sz w:val="24"/>
          <w:szCs w:val="24"/>
          <w:shd w:val="clear" w:color="auto" w:fill="FFFFFF"/>
        </w:rPr>
        <w:t>. 2023.Consumer</w:t>
      </w:r>
      <w:r w:rsidR="003F5F5F" w:rsidRPr="003372C0">
        <w:rPr>
          <w:rFonts w:ascii="Times New Roman" w:hAnsi="Times New Roman" w:cs="Times New Roman"/>
          <w:i/>
          <w:sz w:val="24"/>
          <w:szCs w:val="24"/>
          <w:shd w:val="clear" w:color="auto" w:fill="FFFFFF"/>
        </w:rPr>
        <w:t xml:space="preserve"> Electronics - United </w:t>
      </w:r>
      <w:r w:rsidRPr="003372C0">
        <w:rPr>
          <w:rFonts w:ascii="Times New Roman" w:hAnsi="Times New Roman" w:cs="Times New Roman"/>
          <w:i/>
          <w:sz w:val="24"/>
          <w:szCs w:val="24"/>
          <w:shd w:val="clear" w:color="auto" w:fill="FFFFFF"/>
        </w:rPr>
        <w:t>Kingdom.</w:t>
      </w:r>
      <w:r w:rsidRPr="003372C0">
        <w:rPr>
          <w:rFonts w:ascii="Times New Roman" w:hAnsi="Times New Roman" w:cs="Times New Roman"/>
          <w:sz w:val="24"/>
          <w:szCs w:val="24"/>
          <w:shd w:val="clear" w:color="auto" w:fill="FFFFFF"/>
        </w:rPr>
        <w:t xml:space="preserve"> [</w:t>
      </w:r>
      <w:r w:rsidR="003F5F5F" w:rsidRPr="003372C0">
        <w:rPr>
          <w:rFonts w:ascii="Times New Roman" w:hAnsi="Times New Roman" w:cs="Times New Roman"/>
          <w:sz w:val="24"/>
          <w:szCs w:val="24"/>
          <w:shd w:val="clear" w:color="auto" w:fill="FFFFFF"/>
        </w:rPr>
        <w:t>Available at:</w:t>
      </w:r>
      <w:r w:rsidR="003F5F5F" w:rsidRPr="003372C0">
        <w:rPr>
          <w:rFonts w:ascii="Times New Roman" w:hAnsi="Times New Roman" w:cs="Times New Roman"/>
          <w:sz w:val="24"/>
          <w:szCs w:val="24"/>
        </w:rPr>
        <w:t xml:space="preserve"> https://www.statista.com/outlook/cmo/consumer-electronics/united-kingdom</w:t>
      </w:r>
      <w:r w:rsidRPr="003372C0">
        <w:rPr>
          <w:rFonts w:ascii="Times New Roman" w:hAnsi="Times New Roman" w:cs="Times New Roman"/>
          <w:sz w:val="24"/>
          <w:szCs w:val="24"/>
        </w:rPr>
        <w:t>]. [</w:t>
      </w:r>
      <w:r w:rsidR="003F5F5F" w:rsidRPr="003372C0">
        <w:rPr>
          <w:rFonts w:ascii="Times New Roman" w:hAnsi="Times New Roman" w:cs="Times New Roman"/>
          <w:sz w:val="24"/>
          <w:szCs w:val="24"/>
        </w:rPr>
        <w:t>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w:t>
      </w:r>
      <w:r w:rsidRPr="003372C0">
        <w:rPr>
          <w:rFonts w:ascii="Times New Roman" w:hAnsi="Times New Roman" w:cs="Times New Roman"/>
          <w:sz w:val="24"/>
          <w:szCs w:val="24"/>
        </w:rPr>
        <w:t>October</w:t>
      </w:r>
      <w:r w:rsidR="003F5F5F" w:rsidRPr="003372C0">
        <w:rPr>
          <w:rFonts w:ascii="Times New Roman" w:hAnsi="Times New Roman" w:cs="Times New Roman"/>
          <w:sz w:val="24"/>
          <w:szCs w:val="24"/>
        </w:rPr>
        <w:t xml:space="preserve"> 2023]</w:t>
      </w:r>
    </w:p>
    <w:p w14:paraId="6DEDF53D" w14:textId="3065D324" w:rsidR="003F5F5F" w:rsidRPr="003372C0" w:rsidRDefault="003372C0"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shd w:val="clear" w:color="auto" w:fill="FFFFFF"/>
        </w:rPr>
        <w:t>Tipalti.com</w:t>
      </w:r>
      <w:r w:rsidRPr="003372C0">
        <w:rPr>
          <w:rFonts w:ascii="Times New Roman" w:hAnsi="Times New Roman" w:cs="Times New Roman"/>
          <w:i/>
          <w:sz w:val="24"/>
          <w:szCs w:val="24"/>
          <w:shd w:val="clear" w:color="auto" w:fill="FFFFFF"/>
        </w:rPr>
        <w:t>.</w:t>
      </w:r>
      <w:r w:rsidRPr="003372C0">
        <w:rPr>
          <w:rFonts w:ascii="Times New Roman" w:hAnsi="Times New Roman" w:cs="Times New Roman"/>
          <w:sz w:val="24"/>
          <w:szCs w:val="24"/>
          <w:shd w:val="clear" w:color="auto" w:fill="FFFFFF"/>
        </w:rPr>
        <w:t xml:space="preserve"> 2023.Bargaining</w:t>
      </w:r>
      <w:r w:rsidR="003F5F5F" w:rsidRPr="003372C0">
        <w:rPr>
          <w:rFonts w:ascii="Times New Roman" w:hAnsi="Times New Roman" w:cs="Times New Roman"/>
          <w:i/>
          <w:sz w:val="24"/>
          <w:szCs w:val="24"/>
          <w:shd w:val="clear" w:color="auto" w:fill="FFFFFF"/>
        </w:rPr>
        <w:t xml:space="preserve"> Power of Buyers: Overview &amp; Strategy</w:t>
      </w:r>
      <w:r w:rsidR="003F5F5F" w:rsidRPr="003372C0">
        <w:rPr>
          <w:rFonts w:ascii="Times New Roman" w:hAnsi="Times New Roman" w:cs="Times New Roman"/>
          <w:sz w:val="24"/>
          <w:szCs w:val="24"/>
          <w:shd w:val="clear" w:color="auto" w:fill="FFFFFF"/>
        </w:rPr>
        <w:t>.</w:t>
      </w:r>
      <w:r w:rsidRPr="003372C0">
        <w:rPr>
          <w:rFonts w:ascii="Times New Roman" w:hAnsi="Times New Roman" w:cs="Times New Roman"/>
          <w:sz w:val="24"/>
          <w:szCs w:val="24"/>
          <w:shd w:val="clear" w:color="auto" w:fill="FFFFFF"/>
        </w:rPr>
        <w:t>’ [</w:t>
      </w:r>
      <w:r w:rsidR="003F5F5F" w:rsidRPr="003372C0">
        <w:rPr>
          <w:rFonts w:ascii="Times New Roman" w:hAnsi="Times New Roman" w:cs="Times New Roman"/>
          <w:sz w:val="24"/>
          <w:szCs w:val="24"/>
          <w:shd w:val="clear" w:color="auto" w:fill="FFFFFF"/>
        </w:rPr>
        <w:t xml:space="preserve">Available </w:t>
      </w:r>
      <w:r w:rsidRPr="003372C0">
        <w:rPr>
          <w:rFonts w:ascii="Times New Roman" w:hAnsi="Times New Roman" w:cs="Times New Roman"/>
          <w:sz w:val="24"/>
          <w:szCs w:val="24"/>
          <w:shd w:val="clear" w:color="auto" w:fill="FFFFFF"/>
        </w:rPr>
        <w:t>at: https://tipalti.com/bargaining-power-of-buyers/#:~:text=The%20relative%20bargaining%20power%20of%20buyers%20from%20Po</w:t>
      </w:r>
      <w:r w:rsidRPr="003372C0">
        <w:rPr>
          <w:rFonts w:ascii="Times New Roman" w:hAnsi="Times New Roman" w:cs="Times New Roman"/>
          <w:sz w:val="24"/>
          <w:szCs w:val="24"/>
          <w:shd w:val="clear" w:color="auto" w:fill="FFFFFF"/>
        </w:rPr>
        <w:lastRenderedPageBreak/>
        <w:t>rter’s%20five%20forces, costs%20are%20low%2C%20and%20the].</w:t>
      </w:r>
      <w:r w:rsidRPr="003372C0">
        <w:rPr>
          <w:rFonts w:ascii="Times New Roman" w:hAnsi="Times New Roman" w:cs="Times New Roman"/>
          <w:sz w:val="24"/>
          <w:szCs w:val="24"/>
        </w:rPr>
        <w:t xml:space="preserve"> [</w:t>
      </w:r>
      <w:r w:rsidR="003F5F5F" w:rsidRPr="003372C0">
        <w:rPr>
          <w:rFonts w:ascii="Times New Roman" w:hAnsi="Times New Roman" w:cs="Times New Roman"/>
          <w:sz w:val="24"/>
          <w:szCs w:val="24"/>
        </w:rPr>
        <w:t>Accessed on: 28</w:t>
      </w:r>
      <w:r w:rsidR="003F5F5F" w:rsidRPr="003372C0">
        <w:rPr>
          <w:rFonts w:ascii="Times New Roman" w:hAnsi="Times New Roman" w:cs="Times New Roman"/>
          <w:sz w:val="24"/>
          <w:szCs w:val="24"/>
          <w:vertAlign w:val="superscript"/>
        </w:rPr>
        <w:t>th</w:t>
      </w:r>
      <w:r w:rsidR="003F5F5F" w:rsidRPr="003372C0">
        <w:rPr>
          <w:rFonts w:ascii="Times New Roman" w:hAnsi="Times New Roman" w:cs="Times New Roman"/>
          <w:sz w:val="24"/>
          <w:szCs w:val="24"/>
        </w:rPr>
        <w:t xml:space="preserve"> </w:t>
      </w:r>
      <w:r w:rsidRPr="003372C0">
        <w:rPr>
          <w:rFonts w:ascii="Times New Roman" w:hAnsi="Times New Roman" w:cs="Times New Roman"/>
          <w:sz w:val="24"/>
          <w:szCs w:val="24"/>
        </w:rPr>
        <w:t>October</w:t>
      </w:r>
      <w:r w:rsidR="003F5F5F" w:rsidRPr="003372C0">
        <w:rPr>
          <w:rFonts w:ascii="Times New Roman" w:hAnsi="Times New Roman" w:cs="Times New Roman"/>
          <w:sz w:val="24"/>
          <w:szCs w:val="24"/>
        </w:rPr>
        <w:t xml:space="preserve"> 2023]</w:t>
      </w:r>
    </w:p>
    <w:p w14:paraId="5CE61314" w14:textId="0DE03468" w:rsidR="003F5F5F" w:rsidRPr="003372C0" w:rsidRDefault="003F5F5F" w:rsidP="003372C0">
      <w:pPr>
        <w:pStyle w:val="ListParagraph"/>
        <w:numPr>
          <w:ilvl w:val="0"/>
          <w:numId w:val="1"/>
        </w:numPr>
        <w:spacing w:line="360" w:lineRule="auto"/>
        <w:jc w:val="both"/>
        <w:rPr>
          <w:rFonts w:ascii="Times New Roman" w:hAnsi="Times New Roman" w:cs="Times New Roman"/>
          <w:sz w:val="24"/>
          <w:szCs w:val="24"/>
        </w:rPr>
      </w:pPr>
      <w:r w:rsidRPr="003372C0">
        <w:rPr>
          <w:rFonts w:ascii="Times New Roman" w:hAnsi="Times New Roman" w:cs="Times New Roman"/>
          <w:sz w:val="24"/>
          <w:szCs w:val="24"/>
          <w:shd w:val="clear" w:color="auto" w:fill="FFFFFF"/>
        </w:rPr>
        <w:t xml:space="preserve">Venkatesh., R, K. 2023. </w:t>
      </w:r>
      <w:r w:rsidRPr="003372C0">
        <w:rPr>
          <w:rFonts w:ascii="Times New Roman" w:hAnsi="Times New Roman" w:cs="Times New Roman"/>
          <w:i/>
          <w:sz w:val="24"/>
          <w:szCs w:val="24"/>
          <w:shd w:val="clear" w:color="auto" w:fill="FFFFFF"/>
        </w:rPr>
        <w:t xml:space="preserve">Consumer Electronics Market: Opportunities in 2023 &amp; </w:t>
      </w:r>
      <w:r w:rsidR="003372C0" w:rsidRPr="003372C0">
        <w:rPr>
          <w:rFonts w:ascii="Times New Roman" w:hAnsi="Times New Roman" w:cs="Times New Roman"/>
          <w:i/>
          <w:sz w:val="24"/>
          <w:szCs w:val="24"/>
          <w:shd w:val="clear" w:color="auto" w:fill="FFFFFF"/>
        </w:rPr>
        <w:t>beyond</w:t>
      </w:r>
      <w:r w:rsidR="003372C0" w:rsidRPr="003372C0">
        <w:rPr>
          <w:rFonts w:ascii="Times New Roman" w:hAnsi="Times New Roman" w:cs="Times New Roman"/>
          <w:sz w:val="24"/>
          <w:szCs w:val="24"/>
          <w:shd w:val="clear" w:color="auto" w:fill="FFFFFF"/>
        </w:rPr>
        <w:t>. [</w:t>
      </w:r>
      <w:r w:rsidRPr="003372C0">
        <w:rPr>
          <w:rFonts w:ascii="Times New Roman" w:hAnsi="Times New Roman" w:cs="Times New Roman"/>
          <w:sz w:val="24"/>
          <w:szCs w:val="24"/>
          <w:shd w:val="clear" w:color="auto" w:fill="FFFFFF"/>
        </w:rPr>
        <w:t>Available at:</w:t>
      </w:r>
      <w:r w:rsidRPr="003372C0">
        <w:rPr>
          <w:rFonts w:ascii="Times New Roman" w:hAnsi="Times New Roman" w:cs="Times New Roman"/>
          <w:sz w:val="24"/>
          <w:szCs w:val="24"/>
        </w:rPr>
        <w:t xml:space="preserve"> https://draup.com/sales/whitepapers/consumer-electronics-market-opportunities-in-2023-beyond</w:t>
      </w:r>
      <w:r w:rsidR="003372C0" w:rsidRPr="003372C0">
        <w:rPr>
          <w:rFonts w:ascii="Times New Roman" w:hAnsi="Times New Roman" w:cs="Times New Roman"/>
          <w:sz w:val="24"/>
          <w:szCs w:val="24"/>
        </w:rPr>
        <w:t>]. [</w:t>
      </w:r>
      <w:r w:rsidRPr="003372C0">
        <w:rPr>
          <w:rFonts w:ascii="Times New Roman" w:hAnsi="Times New Roman" w:cs="Times New Roman"/>
          <w:sz w:val="24"/>
          <w:szCs w:val="24"/>
        </w:rPr>
        <w:t>Accessed on: 28</w:t>
      </w:r>
      <w:r w:rsidRPr="003372C0">
        <w:rPr>
          <w:rFonts w:ascii="Times New Roman" w:hAnsi="Times New Roman" w:cs="Times New Roman"/>
          <w:sz w:val="24"/>
          <w:szCs w:val="24"/>
          <w:vertAlign w:val="superscript"/>
        </w:rPr>
        <w:t>th</w:t>
      </w:r>
      <w:r w:rsidRPr="003372C0">
        <w:rPr>
          <w:rFonts w:ascii="Times New Roman" w:hAnsi="Times New Roman" w:cs="Times New Roman"/>
          <w:sz w:val="24"/>
          <w:szCs w:val="24"/>
        </w:rPr>
        <w:t xml:space="preserve"> </w:t>
      </w:r>
      <w:r w:rsidR="003372C0" w:rsidRPr="003372C0">
        <w:rPr>
          <w:rFonts w:ascii="Times New Roman" w:hAnsi="Times New Roman" w:cs="Times New Roman"/>
          <w:sz w:val="24"/>
          <w:szCs w:val="24"/>
        </w:rPr>
        <w:t>October</w:t>
      </w:r>
      <w:r w:rsidRPr="003372C0">
        <w:rPr>
          <w:rFonts w:ascii="Times New Roman" w:hAnsi="Times New Roman" w:cs="Times New Roman"/>
          <w:sz w:val="24"/>
          <w:szCs w:val="24"/>
        </w:rPr>
        <w:t xml:space="preserve"> 2023]</w:t>
      </w:r>
    </w:p>
    <w:sectPr w:rsidR="003F5F5F" w:rsidRPr="003372C0" w:rsidSect="00966EE9">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D4DDA" w14:textId="77777777" w:rsidR="00D555C6" w:rsidRDefault="00D555C6" w:rsidP="00FB2F95">
      <w:pPr>
        <w:spacing w:line="240" w:lineRule="auto"/>
      </w:pPr>
      <w:r>
        <w:separator/>
      </w:r>
    </w:p>
  </w:endnote>
  <w:endnote w:type="continuationSeparator" w:id="0">
    <w:p w14:paraId="700460E7" w14:textId="77777777" w:rsidR="00D555C6" w:rsidRDefault="00D555C6" w:rsidP="00FB2F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214473369"/>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28E41CD4" w14:textId="77777777" w:rsidR="008A37BF" w:rsidRPr="0083383E" w:rsidRDefault="008A37BF">
            <w:pPr>
              <w:pStyle w:val="Footer"/>
              <w:jc w:val="right"/>
              <w:rPr>
                <w:rFonts w:ascii="Times New Roman" w:hAnsi="Times New Roman" w:cs="Times New Roman"/>
              </w:rPr>
            </w:pPr>
            <w:r w:rsidRPr="0083383E">
              <w:rPr>
                <w:rFonts w:ascii="Times New Roman" w:hAnsi="Times New Roman" w:cs="Times New Roman"/>
              </w:rPr>
              <w:t xml:space="preserve">Page </w:t>
            </w:r>
            <w:r w:rsidRPr="0083383E">
              <w:rPr>
                <w:rFonts w:ascii="Times New Roman" w:hAnsi="Times New Roman" w:cs="Times New Roman"/>
              </w:rPr>
              <w:fldChar w:fldCharType="begin"/>
            </w:r>
            <w:r w:rsidRPr="0083383E">
              <w:rPr>
                <w:rFonts w:ascii="Times New Roman" w:hAnsi="Times New Roman" w:cs="Times New Roman"/>
              </w:rPr>
              <w:instrText xml:space="preserve"> PAGE </w:instrText>
            </w:r>
            <w:r w:rsidRPr="0083383E">
              <w:rPr>
                <w:rFonts w:ascii="Times New Roman" w:hAnsi="Times New Roman" w:cs="Times New Roman"/>
              </w:rPr>
              <w:fldChar w:fldCharType="separate"/>
            </w:r>
            <w:r w:rsidR="00E639DC">
              <w:rPr>
                <w:rFonts w:ascii="Times New Roman" w:hAnsi="Times New Roman" w:cs="Times New Roman"/>
                <w:noProof/>
              </w:rPr>
              <w:t>3</w:t>
            </w:r>
            <w:r w:rsidRPr="0083383E">
              <w:rPr>
                <w:rFonts w:ascii="Times New Roman" w:hAnsi="Times New Roman" w:cs="Times New Roman"/>
              </w:rPr>
              <w:fldChar w:fldCharType="end"/>
            </w:r>
            <w:r w:rsidRPr="0083383E">
              <w:rPr>
                <w:rFonts w:ascii="Times New Roman" w:hAnsi="Times New Roman" w:cs="Times New Roman"/>
              </w:rPr>
              <w:t xml:space="preserve"> of </w:t>
            </w:r>
            <w:r w:rsidRPr="0083383E">
              <w:rPr>
                <w:rFonts w:ascii="Times New Roman" w:hAnsi="Times New Roman" w:cs="Times New Roman"/>
              </w:rPr>
              <w:fldChar w:fldCharType="begin"/>
            </w:r>
            <w:r w:rsidRPr="0083383E">
              <w:rPr>
                <w:rFonts w:ascii="Times New Roman" w:hAnsi="Times New Roman" w:cs="Times New Roman"/>
              </w:rPr>
              <w:instrText xml:space="preserve"> NUMPAGES  </w:instrText>
            </w:r>
            <w:r w:rsidRPr="0083383E">
              <w:rPr>
                <w:rFonts w:ascii="Times New Roman" w:hAnsi="Times New Roman" w:cs="Times New Roman"/>
              </w:rPr>
              <w:fldChar w:fldCharType="separate"/>
            </w:r>
            <w:r w:rsidR="00E639DC">
              <w:rPr>
                <w:rFonts w:ascii="Times New Roman" w:hAnsi="Times New Roman" w:cs="Times New Roman"/>
                <w:noProof/>
              </w:rPr>
              <w:t>18</w:t>
            </w:r>
            <w:r w:rsidRPr="0083383E">
              <w:rPr>
                <w:rFonts w:ascii="Times New Roman" w:hAnsi="Times New Roman" w:cs="Times New Roman"/>
              </w:rPr>
              <w:fldChar w:fldCharType="end"/>
            </w:r>
          </w:p>
        </w:sdtContent>
      </w:sdt>
    </w:sdtContent>
  </w:sdt>
  <w:p w14:paraId="5232B02E" w14:textId="77777777" w:rsidR="008A37BF" w:rsidRDefault="008A3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43E76" w14:textId="77777777" w:rsidR="00D555C6" w:rsidRDefault="00D555C6" w:rsidP="00FB2F95">
      <w:pPr>
        <w:spacing w:line="240" w:lineRule="auto"/>
      </w:pPr>
      <w:r>
        <w:separator/>
      </w:r>
    </w:p>
  </w:footnote>
  <w:footnote w:type="continuationSeparator" w:id="0">
    <w:p w14:paraId="1250EB70" w14:textId="77777777" w:rsidR="00D555C6" w:rsidRDefault="00D555C6" w:rsidP="00FB2F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0DFE"/>
    <w:multiLevelType w:val="hybridMultilevel"/>
    <w:tmpl w:val="FE20D9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37980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F4B"/>
    <w:rsid w:val="00001086"/>
    <w:rsid w:val="000667A1"/>
    <w:rsid w:val="0009130D"/>
    <w:rsid w:val="000931D4"/>
    <w:rsid w:val="00117FD4"/>
    <w:rsid w:val="00212B17"/>
    <w:rsid w:val="00227FAA"/>
    <w:rsid w:val="002578F8"/>
    <w:rsid w:val="002F24DE"/>
    <w:rsid w:val="00322237"/>
    <w:rsid w:val="003372C0"/>
    <w:rsid w:val="00361DCC"/>
    <w:rsid w:val="003B2070"/>
    <w:rsid w:val="003F5F5F"/>
    <w:rsid w:val="004325FD"/>
    <w:rsid w:val="00474A0D"/>
    <w:rsid w:val="00497D36"/>
    <w:rsid w:val="00515C12"/>
    <w:rsid w:val="005452EE"/>
    <w:rsid w:val="0055204E"/>
    <w:rsid w:val="00643FB6"/>
    <w:rsid w:val="00675016"/>
    <w:rsid w:val="00697CB0"/>
    <w:rsid w:val="008332EF"/>
    <w:rsid w:val="0083383E"/>
    <w:rsid w:val="00870931"/>
    <w:rsid w:val="008A37BF"/>
    <w:rsid w:val="008B6C00"/>
    <w:rsid w:val="009502BE"/>
    <w:rsid w:val="00966EE9"/>
    <w:rsid w:val="009C65E7"/>
    <w:rsid w:val="00A57F4B"/>
    <w:rsid w:val="00A91882"/>
    <w:rsid w:val="00AE6F2F"/>
    <w:rsid w:val="00C41BB9"/>
    <w:rsid w:val="00C91CBA"/>
    <w:rsid w:val="00C92738"/>
    <w:rsid w:val="00CF14D0"/>
    <w:rsid w:val="00D555C6"/>
    <w:rsid w:val="00DB44BC"/>
    <w:rsid w:val="00DD7791"/>
    <w:rsid w:val="00E1550E"/>
    <w:rsid w:val="00E36D2C"/>
    <w:rsid w:val="00E639DC"/>
    <w:rsid w:val="00E714F6"/>
    <w:rsid w:val="00E8104B"/>
    <w:rsid w:val="00E8382F"/>
    <w:rsid w:val="00EA21B9"/>
    <w:rsid w:val="00EB1691"/>
    <w:rsid w:val="00F46F42"/>
    <w:rsid w:val="00F840CD"/>
    <w:rsid w:val="00FB2F95"/>
    <w:rsid w:val="00FD4A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16900"/>
  <w15:docId w15:val="{2CC376C0-0554-E048-B19B-432104C3C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F95"/>
  </w:style>
  <w:style w:type="paragraph" w:styleId="Heading1">
    <w:name w:val="heading 1"/>
    <w:basedOn w:val="Normal1"/>
    <w:next w:val="Normal1"/>
    <w:rsid w:val="0083383E"/>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A57F4B"/>
    <w:pPr>
      <w:keepNext/>
      <w:keepLines/>
      <w:spacing w:before="360" w:after="120"/>
      <w:outlineLvl w:val="1"/>
    </w:pPr>
    <w:rPr>
      <w:sz w:val="32"/>
      <w:szCs w:val="32"/>
    </w:rPr>
  </w:style>
  <w:style w:type="paragraph" w:styleId="Heading3">
    <w:name w:val="heading 3"/>
    <w:basedOn w:val="Normal1"/>
    <w:next w:val="Normal1"/>
    <w:rsid w:val="00A57F4B"/>
    <w:pPr>
      <w:keepNext/>
      <w:keepLines/>
      <w:spacing w:before="320" w:after="80"/>
      <w:outlineLvl w:val="2"/>
    </w:pPr>
    <w:rPr>
      <w:color w:val="434343"/>
      <w:sz w:val="28"/>
      <w:szCs w:val="28"/>
    </w:rPr>
  </w:style>
  <w:style w:type="paragraph" w:styleId="Heading4">
    <w:name w:val="heading 4"/>
    <w:basedOn w:val="Normal1"/>
    <w:next w:val="Normal1"/>
    <w:rsid w:val="00A57F4B"/>
    <w:pPr>
      <w:keepNext/>
      <w:keepLines/>
      <w:spacing w:before="280" w:after="80"/>
      <w:outlineLvl w:val="3"/>
    </w:pPr>
    <w:rPr>
      <w:color w:val="666666"/>
      <w:sz w:val="24"/>
      <w:szCs w:val="24"/>
    </w:rPr>
  </w:style>
  <w:style w:type="paragraph" w:styleId="Heading5">
    <w:name w:val="heading 5"/>
    <w:basedOn w:val="Normal1"/>
    <w:next w:val="Normal1"/>
    <w:rsid w:val="00A57F4B"/>
    <w:pPr>
      <w:keepNext/>
      <w:keepLines/>
      <w:spacing w:before="240" w:after="80"/>
      <w:outlineLvl w:val="4"/>
    </w:pPr>
    <w:rPr>
      <w:color w:val="666666"/>
    </w:rPr>
  </w:style>
  <w:style w:type="paragraph" w:styleId="Heading6">
    <w:name w:val="heading 6"/>
    <w:basedOn w:val="Normal1"/>
    <w:next w:val="Normal1"/>
    <w:rsid w:val="00A57F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7F4B"/>
  </w:style>
  <w:style w:type="paragraph" w:styleId="Title">
    <w:name w:val="Title"/>
    <w:basedOn w:val="Normal1"/>
    <w:next w:val="Normal1"/>
    <w:rsid w:val="00A57F4B"/>
    <w:pPr>
      <w:keepNext/>
      <w:keepLines/>
      <w:spacing w:after="60"/>
    </w:pPr>
    <w:rPr>
      <w:sz w:val="52"/>
      <w:szCs w:val="52"/>
    </w:rPr>
  </w:style>
  <w:style w:type="paragraph" w:styleId="Subtitle">
    <w:name w:val="Subtitle"/>
    <w:basedOn w:val="Normal1"/>
    <w:next w:val="Normal1"/>
    <w:rsid w:val="00A57F4B"/>
    <w:pPr>
      <w:keepNext/>
      <w:keepLines/>
      <w:spacing w:after="320"/>
    </w:pPr>
    <w:rPr>
      <w:color w:val="666666"/>
      <w:sz w:val="30"/>
      <w:szCs w:val="30"/>
    </w:rPr>
  </w:style>
  <w:style w:type="table" w:customStyle="1" w:styleId="a">
    <w:name w:val="a"/>
    <w:basedOn w:val="TableNormal"/>
    <w:rsid w:val="00A57F4B"/>
    <w:tblPr>
      <w:tblStyleRowBandSize w:val="1"/>
      <w:tblStyleColBandSize w:val="1"/>
      <w:tblCellMar>
        <w:top w:w="100" w:type="dxa"/>
        <w:left w:w="100" w:type="dxa"/>
        <w:bottom w:w="100" w:type="dxa"/>
        <w:right w:w="100" w:type="dxa"/>
      </w:tblCellMar>
    </w:tblPr>
  </w:style>
  <w:style w:type="table" w:customStyle="1" w:styleId="a0">
    <w:name w:val="a0"/>
    <w:basedOn w:val="TableNormal"/>
    <w:rsid w:val="00A57F4B"/>
    <w:tblPr>
      <w:tblStyleRowBandSize w:val="1"/>
      <w:tblStyleColBandSize w:val="1"/>
      <w:tblCellMar>
        <w:top w:w="100" w:type="dxa"/>
        <w:left w:w="100" w:type="dxa"/>
        <w:bottom w:w="100" w:type="dxa"/>
        <w:right w:w="100" w:type="dxa"/>
      </w:tblCellMar>
    </w:tblPr>
  </w:style>
  <w:style w:type="table" w:customStyle="1" w:styleId="a1">
    <w:name w:val="a1"/>
    <w:basedOn w:val="TableNormal"/>
    <w:rsid w:val="00A57F4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338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83E"/>
    <w:rPr>
      <w:rFonts w:ascii="Tahoma" w:hAnsi="Tahoma" w:cs="Tahoma"/>
      <w:sz w:val="16"/>
      <w:szCs w:val="16"/>
    </w:rPr>
  </w:style>
  <w:style w:type="paragraph" w:styleId="Header">
    <w:name w:val="header"/>
    <w:basedOn w:val="Normal"/>
    <w:link w:val="HeaderChar"/>
    <w:uiPriority w:val="99"/>
    <w:semiHidden/>
    <w:unhideWhenUsed/>
    <w:rsid w:val="0083383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3383E"/>
  </w:style>
  <w:style w:type="paragraph" w:styleId="Footer">
    <w:name w:val="footer"/>
    <w:basedOn w:val="Normal"/>
    <w:link w:val="FooterChar"/>
    <w:uiPriority w:val="99"/>
    <w:unhideWhenUsed/>
    <w:rsid w:val="0083383E"/>
    <w:pPr>
      <w:tabs>
        <w:tab w:val="center" w:pos="4680"/>
        <w:tab w:val="right" w:pos="9360"/>
      </w:tabs>
      <w:spacing w:line="240" w:lineRule="auto"/>
    </w:pPr>
  </w:style>
  <w:style w:type="character" w:customStyle="1" w:styleId="FooterChar">
    <w:name w:val="Footer Char"/>
    <w:basedOn w:val="DefaultParagraphFont"/>
    <w:link w:val="Footer"/>
    <w:uiPriority w:val="99"/>
    <w:rsid w:val="0083383E"/>
  </w:style>
  <w:style w:type="paragraph" w:styleId="TOCHeading">
    <w:name w:val="TOC Heading"/>
    <w:basedOn w:val="Heading1"/>
    <w:next w:val="Normal"/>
    <w:uiPriority w:val="39"/>
    <w:semiHidden/>
    <w:unhideWhenUsed/>
    <w:qFormat/>
    <w:rsid w:val="0083383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3383E"/>
    <w:pPr>
      <w:spacing w:after="100"/>
    </w:pPr>
  </w:style>
  <w:style w:type="character" w:styleId="Hyperlink">
    <w:name w:val="Hyperlink"/>
    <w:basedOn w:val="DefaultParagraphFont"/>
    <w:uiPriority w:val="99"/>
    <w:unhideWhenUsed/>
    <w:rsid w:val="0083383E"/>
    <w:rPr>
      <w:color w:val="0000FF" w:themeColor="hyperlink"/>
      <w:u w:val="single"/>
    </w:rPr>
  </w:style>
  <w:style w:type="paragraph" w:styleId="ListParagraph">
    <w:name w:val="List Paragraph"/>
    <w:basedOn w:val="Normal"/>
    <w:uiPriority w:val="34"/>
    <w:qFormat/>
    <w:rsid w:val="003372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106058">
      <w:bodyDiv w:val="1"/>
      <w:marLeft w:val="0"/>
      <w:marRight w:val="0"/>
      <w:marTop w:val="0"/>
      <w:marBottom w:val="0"/>
      <w:divBdr>
        <w:top w:val="none" w:sz="0" w:space="0" w:color="auto"/>
        <w:left w:val="none" w:sz="0" w:space="0" w:color="auto"/>
        <w:bottom w:val="none" w:sz="0" w:space="0" w:color="auto"/>
        <w:right w:val="none" w:sz="0" w:space="0" w:color="auto"/>
      </w:divBdr>
    </w:div>
    <w:div w:id="352222139">
      <w:bodyDiv w:val="1"/>
      <w:marLeft w:val="0"/>
      <w:marRight w:val="0"/>
      <w:marTop w:val="0"/>
      <w:marBottom w:val="0"/>
      <w:divBdr>
        <w:top w:val="none" w:sz="0" w:space="0" w:color="auto"/>
        <w:left w:val="none" w:sz="0" w:space="0" w:color="auto"/>
        <w:bottom w:val="none" w:sz="0" w:space="0" w:color="auto"/>
        <w:right w:val="none" w:sz="0" w:space="0" w:color="auto"/>
      </w:divBdr>
    </w:div>
    <w:div w:id="800536626">
      <w:bodyDiv w:val="1"/>
      <w:marLeft w:val="0"/>
      <w:marRight w:val="0"/>
      <w:marTop w:val="0"/>
      <w:marBottom w:val="0"/>
      <w:divBdr>
        <w:top w:val="none" w:sz="0" w:space="0" w:color="auto"/>
        <w:left w:val="none" w:sz="0" w:space="0" w:color="auto"/>
        <w:bottom w:val="none" w:sz="0" w:space="0" w:color="auto"/>
        <w:right w:val="none" w:sz="0" w:space="0" w:color="auto"/>
      </w:divBdr>
    </w:div>
    <w:div w:id="1405176660">
      <w:bodyDiv w:val="1"/>
      <w:marLeft w:val="0"/>
      <w:marRight w:val="0"/>
      <w:marTop w:val="0"/>
      <w:marBottom w:val="0"/>
      <w:divBdr>
        <w:top w:val="none" w:sz="0" w:space="0" w:color="auto"/>
        <w:left w:val="none" w:sz="0" w:space="0" w:color="auto"/>
        <w:bottom w:val="none" w:sz="0" w:space="0" w:color="auto"/>
        <w:right w:val="none" w:sz="0" w:space="0" w:color="auto"/>
      </w:divBdr>
    </w:div>
    <w:div w:id="1694920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ssidoi.org/jesi/uploads/articles/29/Barmuta_Problems_of_business_processes_transformation_in_the_context_of_building_digital_econom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F703B7-9A69-4C99-B33A-BEA61783C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4278</Words>
  <Characters>24389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simona vitelaru</cp:lastModifiedBy>
  <cp:revision>2</cp:revision>
  <dcterms:created xsi:type="dcterms:W3CDTF">2023-12-20T00:21:00Z</dcterms:created>
  <dcterms:modified xsi:type="dcterms:W3CDTF">2023-12-20T00:21:00Z</dcterms:modified>
</cp:coreProperties>
</file>