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9D01F4" w14:textId="77777777" w:rsidR="0027742C" w:rsidRPr="0027742C" w:rsidRDefault="0027742C" w:rsidP="0027742C">
      <w:pPr>
        <w:spacing w:line="600" w:lineRule="auto"/>
        <w:rPr>
          <w:rFonts w:ascii="Arial" w:hAnsi="Arial" w:cs="Arial"/>
          <w:sz w:val="24"/>
          <w:szCs w:val="24"/>
        </w:rPr>
      </w:pPr>
      <w:r w:rsidRPr="0027742C">
        <w:rPr>
          <w:rFonts w:ascii="Arial" w:hAnsi="Arial" w:cs="Arial"/>
          <w:noProof/>
          <w:sz w:val="24"/>
          <w:szCs w:val="24"/>
        </w:rPr>
        <w:drawing>
          <wp:inline distT="0" distB="0" distL="0" distR="0" wp14:anchorId="5057DAA5" wp14:editId="556BBB24">
            <wp:extent cx="1761995" cy="1066613"/>
            <wp:effectExtent l="0" t="0" r="0" b="635"/>
            <wp:docPr id="110699166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91949" cy="1084746"/>
                    </a:xfrm>
                    <a:prstGeom prst="rect">
                      <a:avLst/>
                    </a:prstGeom>
                    <a:noFill/>
                    <a:ln>
                      <a:noFill/>
                    </a:ln>
                  </pic:spPr>
                </pic:pic>
              </a:graphicData>
            </a:graphic>
          </wp:inline>
        </w:drawing>
      </w:r>
    </w:p>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4806"/>
        <w:gridCol w:w="3500"/>
      </w:tblGrid>
      <w:tr w:rsidR="0027742C" w:rsidRPr="0027742C" w14:paraId="371F8C58" w14:textId="77777777" w:rsidTr="0027742C">
        <w:trPr>
          <w:trHeight w:val="22"/>
          <w:jc w:val="center"/>
        </w:trPr>
        <w:tc>
          <w:tcPr>
            <w:tcW w:w="2893" w:type="pct"/>
            <w:vAlign w:val="center"/>
          </w:tcPr>
          <w:p w14:paraId="7D2B29DF" w14:textId="0B9A3129" w:rsidR="0027742C" w:rsidRPr="0027742C" w:rsidRDefault="00000000" w:rsidP="0027742C">
            <w:pPr>
              <w:spacing w:line="600" w:lineRule="auto"/>
              <w:ind w:right="1760"/>
              <w:rPr>
                <w:rFonts w:ascii="Arial" w:hAnsi="Arial" w:cs="Arial"/>
                <w:sz w:val="24"/>
                <w:szCs w:val="24"/>
              </w:rPr>
            </w:pPr>
            <w:sdt>
              <w:sdtPr>
                <w:rPr>
                  <w:rFonts w:ascii="Arial" w:eastAsia="Calibri" w:hAnsi="Arial" w:cs="Arial"/>
                  <w:sz w:val="24"/>
                  <w:szCs w:val="24"/>
                </w:rPr>
                <w:alias w:val="Title"/>
                <w:id w:val="-1"/>
                <w:text/>
              </w:sdtPr>
              <w:sdtEndPr>
                <w:rPr>
                  <w:rFonts w:eastAsiaTheme="minorEastAsia"/>
                  <w:b/>
                </w:rPr>
              </w:sdtEndPr>
              <w:sdtContent/>
            </w:sdt>
            <w:r w:rsidR="0027742C" w:rsidRPr="0027742C">
              <w:rPr>
                <w:rFonts w:ascii="Arial" w:hAnsi="Arial" w:cs="Arial"/>
                <w:bCs/>
                <w:sz w:val="24"/>
                <w:szCs w:val="24"/>
              </w:rPr>
              <w:t>Leading</w:t>
            </w:r>
            <w:r w:rsidR="0027742C" w:rsidRPr="0027742C">
              <w:rPr>
                <w:rFonts w:ascii="Arial" w:hAnsi="Arial" w:cs="Arial"/>
                <w:bCs/>
                <w:spacing w:val="-5"/>
                <w:sz w:val="24"/>
                <w:szCs w:val="24"/>
              </w:rPr>
              <w:t xml:space="preserve"> </w:t>
            </w:r>
            <w:r w:rsidR="0027742C" w:rsidRPr="0027742C">
              <w:rPr>
                <w:rFonts w:ascii="Arial" w:hAnsi="Arial" w:cs="Arial"/>
                <w:bCs/>
                <w:sz w:val="24"/>
                <w:szCs w:val="24"/>
              </w:rPr>
              <w:t>and</w:t>
            </w:r>
            <w:r w:rsidR="0027742C" w:rsidRPr="0027742C">
              <w:rPr>
                <w:rFonts w:ascii="Arial" w:hAnsi="Arial" w:cs="Arial"/>
                <w:bCs/>
                <w:spacing w:val="-7"/>
                <w:sz w:val="24"/>
                <w:szCs w:val="24"/>
              </w:rPr>
              <w:t xml:space="preserve"> </w:t>
            </w:r>
            <w:r w:rsidR="0027742C" w:rsidRPr="0027742C">
              <w:rPr>
                <w:rFonts w:ascii="Arial" w:hAnsi="Arial" w:cs="Arial"/>
                <w:bCs/>
                <w:sz w:val="24"/>
                <w:szCs w:val="24"/>
              </w:rPr>
              <w:t>Developing</w:t>
            </w:r>
            <w:r w:rsidR="0027742C" w:rsidRPr="0027742C">
              <w:rPr>
                <w:rFonts w:ascii="Arial" w:hAnsi="Arial" w:cs="Arial"/>
                <w:bCs/>
                <w:spacing w:val="-4"/>
                <w:sz w:val="24"/>
                <w:szCs w:val="24"/>
              </w:rPr>
              <w:t xml:space="preserve"> </w:t>
            </w:r>
            <w:r w:rsidR="0027742C" w:rsidRPr="0027742C">
              <w:rPr>
                <w:rFonts w:ascii="Arial" w:hAnsi="Arial" w:cs="Arial"/>
                <w:bCs/>
                <w:spacing w:val="-2"/>
                <w:sz w:val="24"/>
                <w:szCs w:val="24"/>
              </w:rPr>
              <w:t>People</w:t>
            </w:r>
            <w:r w:rsidR="0027742C" w:rsidRPr="0027742C">
              <w:rPr>
                <w:rFonts w:ascii="Arial" w:hAnsi="Arial" w:cs="Arial"/>
                <w:bCs/>
                <w:color w:val="000000" w:themeColor="text1"/>
                <w:sz w:val="24"/>
                <w:szCs w:val="24"/>
              </w:rPr>
              <w:t xml:space="preserve"> </w:t>
            </w:r>
            <w:sdt>
              <w:sdtPr>
                <w:rPr>
                  <w:rFonts w:ascii="Arial" w:hAnsi="Arial" w:cs="Arial"/>
                  <w:bCs/>
                  <w:color w:val="000000" w:themeColor="text1"/>
                  <w:sz w:val="24"/>
                  <w:szCs w:val="24"/>
                </w:rPr>
                <w:alias w:val="Subtitle"/>
                <w:id w:val="1354072561"/>
                <w:text/>
              </w:sdtPr>
              <w:sdtEndPr>
                <w:rPr>
                  <w:bCs w:val="0"/>
                </w:rPr>
              </w:sdtEndPr>
              <w:sdtContent>
                <w:r w:rsidR="0027742C" w:rsidRPr="0027742C">
                  <w:rPr>
                    <w:rFonts w:ascii="Arial" w:hAnsi="Arial" w:cs="Arial"/>
                    <w:bCs/>
                    <w:color w:val="000000" w:themeColor="text1"/>
                    <w:sz w:val="24"/>
                    <w:szCs w:val="24"/>
                  </w:rPr>
                  <w:t>A1</w:t>
                </w:r>
              </w:sdtContent>
            </w:sdt>
          </w:p>
        </w:tc>
        <w:tc>
          <w:tcPr>
            <w:tcW w:w="2107" w:type="pct"/>
            <w:vAlign w:val="center"/>
          </w:tcPr>
          <w:p w14:paraId="7BF25D40" w14:textId="77777777" w:rsidR="0027742C" w:rsidRPr="0027742C" w:rsidRDefault="0027742C" w:rsidP="0027742C">
            <w:pPr>
              <w:spacing w:line="600" w:lineRule="auto"/>
              <w:rPr>
                <w:rFonts w:ascii="Arial" w:hAnsi="Arial" w:cs="Arial"/>
                <w:sz w:val="24"/>
                <w:szCs w:val="24"/>
              </w:rPr>
            </w:pPr>
            <w:r w:rsidRPr="0027742C">
              <w:rPr>
                <w:rFonts w:ascii="Arial" w:hAnsi="Arial" w:cs="Arial"/>
                <w:sz w:val="24"/>
                <w:szCs w:val="24"/>
              </w:rPr>
              <w:t xml:space="preserve">Student name: Yang </w:t>
            </w:r>
            <w:proofErr w:type="spellStart"/>
            <w:r w:rsidRPr="0027742C">
              <w:rPr>
                <w:rFonts w:ascii="Arial" w:hAnsi="Arial" w:cs="Arial"/>
                <w:sz w:val="24"/>
                <w:szCs w:val="24"/>
              </w:rPr>
              <w:t>Yang</w:t>
            </w:r>
            <w:proofErr w:type="spellEnd"/>
          </w:p>
          <w:p w14:paraId="1BF0493A" w14:textId="77777777" w:rsidR="0027742C" w:rsidRPr="0027742C" w:rsidRDefault="0027742C" w:rsidP="0027742C">
            <w:pPr>
              <w:spacing w:line="600" w:lineRule="auto"/>
              <w:rPr>
                <w:rFonts w:ascii="Arial" w:hAnsi="Arial" w:cs="Arial"/>
                <w:sz w:val="24"/>
                <w:szCs w:val="24"/>
              </w:rPr>
            </w:pPr>
            <w:r w:rsidRPr="0027742C">
              <w:rPr>
                <w:rFonts w:ascii="Arial" w:hAnsi="Arial" w:cs="Arial"/>
                <w:sz w:val="24"/>
                <w:szCs w:val="24"/>
              </w:rPr>
              <w:t xml:space="preserve">Student ID </w:t>
            </w:r>
          </w:p>
          <w:p w14:paraId="6C35FBFA" w14:textId="77777777" w:rsidR="0027742C" w:rsidRPr="0027742C" w:rsidRDefault="0027742C" w:rsidP="0027742C">
            <w:pPr>
              <w:spacing w:line="600" w:lineRule="auto"/>
              <w:rPr>
                <w:rFonts w:ascii="Arial" w:hAnsi="Arial" w:cs="Arial"/>
                <w:sz w:val="24"/>
                <w:szCs w:val="24"/>
              </w:rPr>
            </w:pPr>
            <w:r w:rsidRPr="0027742C">
              <w:rPr>
                <w:rFonts w:ascii="Arial" w:hAnsi="Arial" w:cs="Arial"/>
                <w:sz w:val="24"/>
                <w:szCs w:val="24"/>
              </w:rPr>
              <w:t>number:2400286</w:t>
            </w:r>
          </w:p>
          <w:p w14:paraId="6E1091B7" w14:textId="4C605ACB" w:rsidR="0027742C" w:rsidRPr="0027742C" w:rsidRDefault="0027742C" w:rsidP="0027742C">
            <w:pPr>
              <w:spacing w:line="600" w:lineRule="auto"/>
              <w:rPr>
                <w:rFonts w:ascii="Arial" w:hAnsi="Arial" w:cs="Arial"/>
                <w:sz w:val="24"/>
                <w:szCs w:val="24"/>
              </w:rPr>
            </w:pPr>
            <w:r w:rsidRPr="0027742C">
              <w:rPr>
                <w:rFonts w:ascii="Arial" w:hAnsi="Arial" w:cs="Arial"/>
                <w:sz w:val="24"/>
                <w:szCs w:val="24"/>
              </w:rPr>
              <w:t>Lecturer</w:t>
            </w:r>
            <w:r w:rsidRPr="0027742C">
              <w:rPr>
                <w:rFonts w:ascii="Arial" w:hAnsi="Arial" w:cs="Arial"/>
                <w:sz w:val="24"/>
                <w:szCs w:val="24"/>
              </w:rPr>
              <w:t>：</w:t>
            </w:r>
            <w:proofErr w:type="gramStart"/>
            <w:r w:rsidRPr="0027742C">
              <w:rPr>
                <w:rFonts w:ascii="Arial" w:eastAsia="Times New Roman" w:hAnsi="Arial" w:cs="Arial"/>
                <w:bCs/>
                <w:sz w:val="24"/>
                <w:szCs w:val="24"/>
                <w:lang w:eastAsia="en-GB"/>
              </w:rPr>
              <w:t>Helen  Evans</w:t>
            </w:r>
            <w:proofErr w:type="gramEnd"/>
          </w:p>
          <w:p w14:paraId="0CB308E7" w14:textId="0BF4F697" w:rsidR="0027742C" w:rsidRPr="0027742C" w:rsidRDefault="0027742C" w:rsidP="0027742C">
            <w:pPr>
              <w:spacing w:line="600" w:lineRule="auto"/>
              <w:rPr>
                <w:rFonts w:ascii="Arial" w:hAnsi="Arial" w:cs="Arial"/>
                <w:bCs/>
                <w:sz w:val="24"/>
                <w:szCs w:val="24"/>
              </w:rPr>
            </w:pPr>
            <w:r w:rsidRPr="0027742C">
              <w:rPr>
                <w:rFonts w:ascii="Arial" w:hAnsi="Arial" w:cs="Arial"/>
                <w:noProof/>
                <w:sz w:val="24"/>
                <w:szCs w:val="24"/>
              </w:rPr>
              <w:t>Module code</w:t>
            </w:r>
            <w:r w:rsidRPr="0027742C">
              <w:rPr>
                <w:rFonts w:ascii="Arial" w:hAnsi="Arial" w:cs="Arial"/>
                <w:noProof/>
                <w:sz w:val="24"/>
                <w:szCs w:val="24"/>
              </w:rPr>
              <w:t>：</w:t>
            </w:r>
            <w:r w:rsidRPr="0027742C">
              <w:rPr>
                <w:rFonts w:ascii="Arial" w:eastAsia="Times New Roman" w:hAnsi="Arial" w:cs="Arial"/>
                <w:bCs/>
                <w:sz w:val="24"/>
                <w:szCs w:val="24"/>
                <w:lang w:eastAsia="en-GB"/>
              </w:rPr>
              <w:t>BMBM6023</w:t>
            </w:r>
          </w:p>
          <w:p w14:paraId="4B693D4A" w14:textId="010F1834" w:rsidR="0027742C" w:rsidRPr="0027742C" w:rsidRDefault="0027742C" w:rsidP="0027742C">
            <w:pPr>
              <w:spacing w:line="600" w:lineRule="auto"/>
              <w:rPr>
                <w:rFonts w:ascii="Arial" w:hAnsi="Arial" w:cs="Arial"/>
                <w:sz w:val="24"/>
                <w:szCs w:val="24"/>
              </w:rPr>
            </w:pPr>
            <w:r w:rsidRPr="0027742C">
              <w:rPr>
                <w:rFonts w:ascii="Arial" w:hAnsi="Arial" w:cs="Arial"/>
                <w:bCs/>
                <w:noProof/>
                <w:sz w:val="24"/>
                <w:szCs w:val="24"/>
              </w:rPr>
              <w:t xml:space="preserve">Title: </w:t>
            </w:r>
            <w:r w:rsidRPr="0027742C">
              <w:rPr>
                <w:rFonts w:ascii="Arial" w:hAnsi="Arial" w:cs="Arial"/>
                <w:sz w:val="24"/>
                <w:szCs w:val="24"/>
              </w:rPr>
              <w:t>Importance of Strategic Employee Development in Improving Employee and Leadership Effectiveness Critical Assessment</w:t>
            </w:r>
          </w:p>
          <w:p w14:paraId="39D18D1E" w14:textId="6C88A06F" w:rsidR="0027742C" w:rsidRPr="0027742C" w:rsidRDefault="0027742C" w:rsidP="0027742C">
            <w:pPr>
              <w:spacing w:line="600" w:lineRule="auto"/>
              <w:rPr>
                <w:rFonts w:ascii="Arial" w:hAnsi="Arial" w:cs="Arial"/>
                <w:sz w:val="24"/>
                <w:szCs w:val="24"/>
              </w:rPr>
            </w:pPr>
            <w:r w:rsidRPr="0027742C">
              <w:rPr>
                <w:rFonts w:ascii="Arial" w:hAnsi="Arial" w:cs="Arial"/>
                <w:sz w:val="24"/>
                <w:szCs w:val="24"/>
              </w:rPr>
              <w:t>Word count</w:t>
            </w:r>
            <w:r w:rsidRPr="0027742C">
              <w:rPr>
                <w:rFonts w:ascii="Arial" w:hAnsi="Arial" w:cs="Arial"/>
                <w:sz w:val="24"/>
                <w:szCs w:val="24"/>
              </w:rPr>
              <w:t>：</w:t>
            </w:r>
            <w:r w:rsidRPr="0027742C">
              <w:rPr>
                <w:rFonts w:ascii="Arial" w:hAnsi="Arial" w:cs="Arial"/>
                <w:sz w:val="24"/>
                <w:szCs w:val="24"/>
              </w:rPr>
              <w:t>1976words</w:t>
            </w:r>
          </w:p>
        </w:tc>
      </w:tr>
    </w:tbl>
    <w:p w14:paraId="07E829BA" w14:textId="77888B7D" w:rsidR="0067086F" w:rsidRPr="0027742C" w:rsidRDefault="001933FC" w:rsidP="0027742C">
      <w:pPr>
        <w:spacing w:line="600" w:lineRule="auto"/>
        <w:rPr>
          <w:rFonts w:ascii="Arial" w:hAnsi="Arial" w:cs="Arial"/>
          <w:sz w:val="24"/>
          <w:szCs w:val="24"/>
        </w:rPr>
      </w:pPr>
      <w:r w:rsidRPr="0027742C">
        <w:rPr>
          <w:rFonts w:ascii="Arial" w:hAnsi="Arial" w:cs="Arial"/>
          <w:sz w:val="24"/>
          <w:szCs w:val="24"/>
        </w:rPr>
        <w:lastRenderedPageBreak/>
        <w:t>Nowadays, it is widely believed that i</w:t>
      </w:r>
      <w:r w:rsidR="0067086F" w:rsidRPr="0027742C">
        <w:rPr>
          <w:rFonts w:ascii="Arial" w:hAnsi="Arial" w:cs="Arial"/>
          <w:sz w:val="24"/>
          <w:szCs w:val="24"/>
        </w:rPr>
        <w:t xml:space="preserve">n the fast-changing and highly competitive modern organizational environment, the sustainable development of enterprises increasingly depends on the effectiveness of their human capital. Employees and leaders are not only the core driving force of the internal operation of the organization, but also the key factors in promoting strategic execution, cultural inheritance and organizational innovation. In this context, Strategic Employee Development is widely regarded as a systematic and forward-looking human resource strategic tool that aims to improve employee capabilities and leadership effectiveness through scientific methods to achieve the overall goals of the organization and sustainable competitive advantage (Li et al., 2022). Strategic employee development is not only a key component of human resource management, but also represents a strategic way to organically integrate talent value with corporate development vision. Especially under the guidance of trends such as artificial intelligence, remote collaboration and green transformation, organizations need to continue to invest in the development of employee potential in order to achieve long-term goals and structural transformation. Strategic employee development is therefore not only a management activity, but also a strategic choice throughout the life cycle of </w:t>
      </w:r>
      <w:r w:rsidR="0067086F" w:rsidRPr="0027742C">
        <w:rPr>
          <w:rFonts w:ascii="Arial" w:hAnsi="Arial" w:cs="Arial"/>
          <w:sz w:val="24"/>
          <w:szCs w:val="24"/>
        </w:rPr>
        <w:lastRenderedPageBreak/>
        <w:t>an organization. This article will conduct a critical analysis of the key role of strategic employee development in improving the effectiveness of employees and leaders, and explore its position in meeting organizational needs and creating competitive advantages. At the same time, it will evaluate the advantages and challenges in its implementation, the driving role of technology, and the application of leadership theory in development practice, and provide a comprehensive argument from the theoretical and practical levels.</w:t>
      </w:r>
    </w:p>
    <w:p w14:paraId="70956EFA" w14:textId="77777777" w:rsidR="0067086F" w:rsidRPr="0027742C" w:rsidRDefault="0067086F" w:rsidP="0027742C">
      <w:pPr>
        <w:spacing w:line="600" w:lineRule="auto"/>
        <w:rPr>
          <w:rFonts w:ascii="Arial" w:hAnsi="Arial" w:cs="Arial"/>
          <w:sz w:val="24"/>
          <w:szCs w:val="24"/>
        </w:rPr>
      </w:pPr>
    </w:p>
    <w:p w14:paraId="2FCF65AE" w14:textId="77777777" w:rsidR="0067086F" w:rsidRPr="0027742C" w:rsidRDefault="0067086F" w:rsidP="0027742C">
      <w:pPr>
        <w:spacing w:line="600" w:lineRule="auto"/>
        <w:rPr>
          <w:rFonts w:ascii="Arial" w:hAnsi="Arial" w:cs="Arial"/>
          <w:sz w:val="24"/>
          <w:szCs w:val="24"/>
        </w:rPr>
      </w:pPr>
      <w:r w:rsidRPr="0027742C">
        <w:rPr>
          <w:rFonts w:ascii="Arial" w:hAnsi="Arial" w:cs="Arial"/>
          <w:sz w:val="24"/>
          <w:szCs w:val="24"/>
        </w:rPr>
        <w:t xml:space="preserve">First, strategic employee development has significant value in enhancing employees' personal capabilities and stimulating work engagement. Modern enterprises are generally facing a situation where the speed of technological updates is accelerating and job requirements are changing rapidly, so employees must have the ability to continuously learn and update their capabilities. Strategic employee development helps employees clarify their personal positioning and improve their self-efficacy and achievement motivation by designing clear development paths, providing systematic training resources, and setting career growth goals (Chakraborty &amp; Dhir, 2023). It not only focuses on the improvement of hard skills, but also pays more attention to </w:t>
      </w:r>
      <w:r w:rsidRPr="0027742C">
        <w:rPr>
          <w:rFonts w:ascii="Arial" w:hAnsi="Arial" w:cs="Arial"/>
          <w:sz w:val="24"/>
          <w:szCs w:val="24"/>
        </w:rPr>
        <w:lastRenderedPageBreak/>
        <w:t>the comprehensive ability training of employees in communication, interpersonal collaboration, and solving complex problems. For example, a study shows that when employees accept the management practices of enhanced capabilities, motivation and opportunity (AMO) under strategic guidance, their intellectual capital and emotional ability can be significantly improved, thereby promoting organizational performance (Li et al., 2022). In addition, strategic development paths can enhance employees' role identity and enable them to show a higher sense of belonging and responsibility in the team. At the practical level, global leading companies such as Google promote the self-driven development of employees through internal learning platforms and cross-functional rotation programs, thereby promoting the agility and innovation capabilities of the entire organization. This highly consistent connection between personal growth and organizational strategy reflects the systematic advantages of strategic employee development in employee development, and also shapes a more adaptable and creative core employee group for the organization, thereby enhancing the stability and resilience of the organization in the face of external uncertainties.</w:t>
      </w:r>
    </w:p>
    <w:p w14:paraId="427C9D9A" w14:textId="77777777" w:rsidR="0067086F" w:rsidRPr="0027742C" w:rsidRDefault="0067086F" w:rsidP="0027742C">
      <w:pPr>
        <w:spacing w:line="600" w:lineRule="auto"/>
        <w:rPr>
          <w:rFonts w:ascii="Arial" w:hAnsi="Arial" w:cs="Arial"/>
          <w:sz w:val="24"/>
          <w:szCs w:val="24"/>
        </w:rPr>
      </w:pPr>
    </w:p>
    <w:p w14:paraId="41B6EB2C" w14:textId="77777777" w:rsidR="0067086F" w:rsidRPr="0027742C" w:rsidRDefault="0067086F" w:rsidP="0027742C">
      <w:pPr>
        <w:spacing w:line="600" w:lineRule="auto"/>
        <w:rPr>
          <w:rFonts w:ascii="Arial" w:hAnsi="Arial" w:cs="Arial"/>
          <w:sz w:val="24"/>
          <w:szCs w:val="24"/>
        </w:rPr>
      </w:pPr>
      <w:r w:rsidRPr="0027742C">
        <w:rPr>
          <w:rFonts w:ascii="Arial" w:hAnsi="Arial" w:cs="Arial"/>
          <w:sz w:val="24"/>
          <w:szCs w:val="24"/>
        </w:rPr>
        <w:lastRenderedPageBreak/>
        <w:t>Secondly, strategic employee development also plays an irreplaceable role in leadership improvement. Corporate leaders in the VUCA era (Volatility, Uncertainty, Complexity, Ambiguity) are not only faced with management affairs, but also the role of promoters of strategic change and organizational culture. Faced with the dual challenges of uncertainty and complexity, the strategic judgment, emotional stability, and communication and coordination abilities of leaders have become decisive factors for the survival and development of organizations. Research shows that agile leadership and servant leadership, as two highly adaptable leadership styles, have been widely used by many companies in employee development plans (</w:t>
      </w:r>
      <w:proofErr w:type="spellStart"/>
      <w:r w:rsidRPr="0027742C">
        <w:rPr>
          <w:rFonts w:ascii="Arial" w:hAnsi="Arial" w:cs="Arial"/>
          <w:sz w:val="24"/>
          <w:szCs w:val="24"/>
        </w:rPr>
        <w:t>Adhiatma</w:t>
      </w:r>
      <w:proofErr w:type="spellEnd"/>
      <w:r w:rsidRPr="0027742C">
        <w:rPr>
          <w:rFonts w:ascii="Arial" w:hAnsi="Arial" w:cs="Arial"/>
          <w:sz w:val="24"/>
          <w:szCs w:val="24"/>
        </w:rPr>
        <w:t xml:space="preserve"> et al., 2023). Especially in crisis management and cross-cultural team management, strategic leadership development is the core task of organizations to build a leadership reserve team. Alghamdi (2024) pointed out that after the application of shared leadership mechanisms in Saudi universities, the level of organizational commitment and employee participation have significantly increased. This result reflects that strategic leadership development plans can promote stronger organizational cohesion and cultural identity, thereby enhancing the leadership and influence of leaders on subordinates and building a cooperative </w:t>
      </w:r>
      <w:r w:rsidRPr="0027742C">
        <w:rPr>
          <w:rFonts w:ascii="Arial" w:hAnsi="Arial" w:cs="Arial"/>
          <w:sz w:val="24"/>
          <w:szCs w:val="24"/>
        </w:rPr>
        <w:lastRenderedPageBreak/>
        <w:t>relationship between superiors and subordinates based on trust and common vision. In addition, leaders with strategic thinking can more keenly identify environmental changes, seize innovation opportunities, and set clear directions for the team, which is the fundamental guarantee for organizations to stand out in uncertain times.</w:t>
      </w:r>
    </w:p>
    <w:p w14:paraId="2168C2BD" w14:textId="77777777" w:rsidR="0067086F" w:rsidRPr="0027742C" w:rsidRDefault="0067086F" w:rsidP="0027742C">
      <w:pPr>
        <w:spacing w:line="600" w:lineRule="auto"/>
        <w:rPr>
          <w:rFonts w:ascii="Arial" w:hAnsi="Arial" w:cs="Arial"/>
          <w:sz w:val="24"/>
          <w:szCs w:val="24"/>
        </w:rPr>
      </w:pPr>
    </w:p>
    <w:p w14:paraId="4B0398A3" w14:textId="77777777" w:rsidR="0067086F" w:rsidRPr="0027742C" w:rsidRDefault="0067086F" w:rsidP="0027742C">
      <w:pPr>
        <w:spacing w:line="600" w:lineRule="auto"/>
        <w:rPr>
          <w:rFonts w:ascii="Arial" w:hAnsi="Arial" w:cs="Arial"/>
          <w:sz w:val="24"/>
          <w:szCs w:val="24"/>
        </w:rPr>
      </w:pPr>
      <w:r w:rsidRPr="0027742C">
        <w:rPr>
          <w:rFonts w:ascii="Arial" w:hAnsi="Arial" w:cs="Arial"/>
          <w:sz w:val="24"/>
          <w:szCs w:val="24"/>
        </w:rPr>
        <w:t>Third, the supporting role of strategic employee development in the implementation of organizational strategies cannot be ignored. In many companies, even if a grand strategic blueprint is formulated, it is ultimately difficult to implement due to the lag in human resources and capability structure. Therefore, strategically embedding employee development into the overall organizational strategy is the key to improving strategic execution (</w:t>
      </w:r>
      <w:proofErr w:type="spellStart"/>
      <w:r w:rsidRPr="0027742C">
        <w:rPr>
          <w:rFonts w:ascii="Arial" w:hAnsi="Arial" w:cs="Arial"/>
          <w:sz w:val="24"/>
          <w:szCs w:val="24"/>
        </w:rPr>
        <w:t>Alserhan</w:t>
      </w:r>
      <w:proofErr w:type="spellEnd"/>
      <w:r w:rsidRPr="0027742C">
        <w:rPr>
          <w:rFonts w:ascii="Arial" w:hAnsi="Arial" w:cs="Arial"/>
          <w:sz w:val="24"/>
          <w:szCs w:val="24"/>
        </w:rPr>
        <w:t xml:space="preserve"> &amp; </w:t>
      </w:r>
      <w:proofErr w:type="spellStart"/>
      <w:r w:rsidRPr="0027742C">
        <w:rPr>
          <w:rFonts w:ascii="Arial" w:hAnsi="Arial" w:cs="Arial"/>
          <w:sz w:val="24"/>
          <w:szCs w:val="24"/>
        </w:rPr>
        <w:t>Shbail</w:t>
      </w:r>
      <w:proofErr w:type="spellEnd"/>
      <w:r w:rsidRPr="0027742C">
        <w:rPr>
          <w:rFonts w:ascii="Arial" w:hAnsi="Arial" w:cs="Arial"/>
          <w:sz w:val="24"/>
          <w:szCs w:val="24"/>
        </w:rPr>
        <w:t xml:space="preserve">, 2020). This is not only reflected in the integration of recruitment and training mechanisms, but also in the dynamic matching of talents and business needs. For example, when an enterprise promotes new market layout or conducts business transformation, only those employees with "ready-to-fight" and learning ability can effectively support strategic implementation and ensure project implementation. In the future, the core competitiveness of an </w:t>
      </w:r>
      <w:r w:rsidRPr="0027742C">
        <w:rPr>
          <w:rFonts w:ascii="Arial" w:hAnsi="Arial" w:cs="Arial"/>
          <w:sz w:val="24"/>
          <w:szCs w:val="24"/>
        </w:rPr>
        <w:lastRenderedPageBreak/>
        <w:t xml:space="preserve">organization will no longer be capital or technology itself, but a team of highly qualified and strategically sensitive employees. This process requires not only that the enterprise dynamically model the job capability structure, but also establish a talent pool and a successor plan for key positions to ensure the sustainability of the organization. </w:t>
      </w:r>
      <w:proofErr w:type="spellStart"/>
      <w:r w:rsidRPr="0027742C">
        <w:rPr>
          <w:rFonts w:ascii="Arial" w:hAnsi="Arial" w:cs="Arial"/>
          <w:sz w:val="24"/>
          <w:szCs w:val="24"/>
        </w:rPr>
        <w:t>Dongqiao</w:t>
      </w:r>
      <w:proofErr w:type="spellEnd"/>
      <w:r w:rsidRPr="0027742C">
        <w:rPr>
          <w:rFonts w:ascii="Arial" w:hAnsi="Arial" w:cs="Arial"/>
          <w:sz w:val="24"/>
          <w:szCs w:val="24"/>
        </w:rPr>
        <w:t xml:space="preserve"> (2024) emphasized that digital intelligent human resource management practices can build a more forward-looking talent system in a dynamic market, thereby effectively supporting the flexible transformation of organizational strategy. This shows that while strategic employee development improves employee effectiveness, it also invisibly builds the strategic resilience and stress resistance of the organization, provides talent soil for the organization's "endogenous growth", and greatly improves the feasibility of strategic transformation.</w:t>
      </w:r>
    </w:p>
    <w:p w14:paraId="64038618" w14:textId="77777777" w:rsidR="0067086F" w:rsidRPr="0027742C" w:rsidRDefault="0067086F" w:rsidP="0027742C">
      <w:pPr>
        <w:spacing w:line="600" w:lineRule="auto"/>
        <w:rPr>
          <w:rFonts w:ascii="Arial" w:hAnsi="Arial" w:cs="Arial"/>
          <w:sz w:val="24"/>
          <w:szCs w:val="24"/>
        </w:rPr>
      </w:pPr>
    </w:p>
    <w:p w14:paraId="763C4199" w14:textId="77777777" w:rsidR="0067086F" w:rsidRPr="0027742C" w:rsidRDefault="0067086F" w:rsidP="0027742C">
      <w:pPr>
        <w:spacing w:line="600" w:lineRule="auto"/>
        <w:rPr>
          <w:rFonts w:ascii="Arial" w:hAnsi="Arial" w:cs="Arial"/>
          <w:sz w:val="24"/>
          <w:szCs w:val="24"/>
        </w:rPr>
      </w:pPr>
      <w:r w:rsidRPr="0027742C">
        <w:rPr>
          <w:rFonts w:ascii="Arial" w:hAnsi="Arial" w:cs="Arial"/>
          <w:sz w:val="24"/>
          <w:szCs w:val="24"/>
        </w:rPr>
        <w:t xml:space="preserve">However, the implementation of strategic employee development is not without challenges. First, strategic employee development often requires companies to invest a lot of costs in training resources, time and management support, which is undoubtedly a major burden for small and medium-sized enterprises with limited resources (Emerald Insight, 2024). This will not only put pressure on the </w:t>
      </w:r>
      <w:r w:rsidRPr="0027742C">
        <w:rPr>
          <w:rFonts w:ascii="Arial" w:hAnsi="Arial" w:cs="Arial"/>
          <w:sz w:val="24"/>
          <w:szCs w:val="24"/>
        </w:rPr>
        <w:lastRenderedPageBreak/>
        <w:t xml:space="preserve">organization's short-term operating costs, but is also likely to cause senior management to doubt the return on long-term investment, thereby weakening the continued investment in development projects. Secondly, at the execution level, insufficient employee participation and lack of transparency in development mechanisms often lead to discounts in the effectiveness of development plans. Paterson (2025) pointed out that although modern companies are increasingly using artificial intelligence and big data technologies to support employee development, if there is a lack of leadership support and cultural encouragement, employees often find it difficult to regard development plans as long-term value, but only as an additional burden. In addition, in a multicultural and intergenerational team, a uniformly formulated development strategy may face adaptation barriers due to cultural differences or generational concepts (Watts et al., 2022). Especially today, when hybrid work modes and remote collaboration are becoming more popular, employees' learning styles and expectations have become more diverse. If companies fail to reflect inclusiveness in their development strategies, it is very easy for some employees to be out of touch or even resist the development mechanism. Therefore, when formulating strategic employee development policies, </w:t>
      </w:r>
      <w:r w:rsidRPr="0027742C">
        <w:rPr>
          <w:rFonts w:ascii="Arial" w:hAnsi="Arial" w:cs="Arial"/>
          <w:sz w:val="24"/>
          <w:szCs w:val="24"/>
        </w:rPr>
        <w:lastRenderedPageBreak/>
        <w:t>organizations should widely solicit employee opinions, implement differentiated development mechanisms, and strengthen internal communication and feedback to achieve higher levels of employee engagement and satisfaction.</w:t>
      </w:r>
    </w:p>
    <w:p w14:paraId="00AD8698" w14:textId="77777777" w:rsidR="0067086F" w:rsidRPr="0027742C" w:rsidRDefault="0067086F" w:rsidP="0027742C">
      <w:pPr>
        <w:spacing w:line="600" w:lineRule="auto"/>
        <w:rPr>
          <w:rFonts w:ascii="Arial" w:hAnsi="Arial" w:cs="Arial"/>
          <w:sz w:val="24"/>
          <w:szCs w:val="24"/>
        </w:rPr>
      </w:pPr>
    </w:p>
    <w:p w14:paraId="1C111A03" w14:textId="77777777" w:rsidR="0067086F" w:rsidRPr="0027742C" w:rsidRDefault="0067086F" w:rsidP="0027742C">
      <w:pPr>
        <w:spacing w:line="600" w:lineRule="auto"/>
        <w:rPr>
          <w:rFonts w:ascii="Arial" w:hAnsi="Arial" w:cs="Arial"/>
          <w:sz w:val="24"/>
          <w:szCs w:val="24"/>
        </w:rPr>
      </w:pPr>
      <w:r w:rsidRPr="0027742C">
        <w:rPr>
          <w:rFonts w:ascii="Arial" w:hAnsi="Arial" w:cs="Arial"/>
          <w:sz w:val="24"/>
          <w:szCs w:val="24"/>
        </w:rPr>
        <w:t xml:space="preserve">Technology plays an increasingly critical role in promoting strategic employee development. With the development of artificial intelligence, data analysis, and digital platforms, companies can achieve intelligent management of the entire employee development process, including personalized training recommendations, performance tracking, and potential assessment (Paterson, 2025). The integration of these technical tools not only greatly improves the accuracy and efficiency of training, but also provides managers with data-based decision support. For example, the "Your Learning" platform developed by IBM can automatically recommend training courses based on employees' career paths and learning preferences, achieving a highly personalized learning experience. Emerald Insight (2024) pointed out that technology-supported training systems can significantly improve employee engagement and learning efficiency, while enabling organizations to more accurately control the return on training investment. This data-driven employee development model effectively </w:t>
      </w:r>
      <w:r w:rsidRPr="0027742C">
        <w:rPr>
          <w:rFonts w:ascii="Arial" w:hAnsi="Arial" w:cs="Arial"/>
          <w:sz w:val="24"/>
          <w:szCs w:val="24"/>
        </w:rPr>
        <w:lastRenderedPageBreak/>
        <w:t>solves the problems of previous waste of training resources and imperfect evaluation mechanisms, and promotes strategic employee development in a more efficient and accurate direction. In the future, with the introduction of emerging technologies such as virtual reality and metaverse training platforms, employee development will become more immersive, real-time and interactive, thereby further enhancing learning outcomes and behavioral conversion rates.</w:t>
      </w:r>
    </w:p>
    <w:p w14:paraId="571F9FAF" w14:textId="77777777" w:rsidR="0067086F" w:rsidRPr="0027742C" w:rsidRDefault="0067086F" w:rsidP="0027742C">
      <w:pPr>
        <w:spacing w:line="600" w:lineRule="auto"/>
        <w:rPr>
          <w:rFonts w:ascii="Arial" w:hAnsi="Arial" w:cs="Arial"/>
          <w:sz w:val="24"/>
          <w:szCs w:val="24"/>
        </w:rPr>
      </w:pPr>
    </w:p>
    <w:p w14:paraId="733DE38F" w14:textId="77777777" w:rsidR="0067086F" w:rsidRPr="0027742C" w:rsidRDefault="0067086F" w:rsidP="0027742C">
      <w:pPr>
        <w:spacing w:line="600" w:lineRule="auto"/>
        <w:rPr>
          <w:rFonts w:ascii="Arial" w:hAnsi="Arial" w:cs="Arial"/>
          <w:sz w:val="24"/>
          <w:szCs w:val="24"/>
        </w:rPr>
      </w:pPr>
      <w:r w:rsidRPr="0027742C">
        <w:rPr>
          <w:rFonts w:ascii="Arial" w:hAnsi="Arial" w:cs="Arial"/>
          <w:sz w:val="24"/>
          <w:szCs w:val="24"/>
        </w:rPr>
        <w:t xml:space="preserve">In terms of leadership practices for strategic employee development, the widespread use of coaching leadership and servant leadership concepts has become a major trend in today's organizational management. Dalain (2023)'s research shows that in times of crisis, servant leaders enhance employees' psychological safety and sense of belonging by providing support, listening and caring, thereby promoting employee engagement. This leadership style emphasizes "people-oriented", which helps to create a positive working atmosphere and improve employees' organizational commitment and cooperation awareness. At the same time, Tang et al. (2024) proposed that coaching leadership can enhance employees' growth motivation and work engagement by building their organizational self-esteem and learning goal </w:t>
      </w:r>
      <w:r w:rsidRPr="0027742C">
        <w:rPr>
          <w:rFonts w:ascii="Arial" w:hAnsi="Arial" w:cs="Arial"/>
          <w:sz w:val="24"/>
          <w:szCs w:val="24"/>
        </w:rPr>
        <w:lastRenderedPageBreak/>
        <w:t>orientation. These theories are specifically transformed into the construction of mentoring system, feedback mechanism and growth culture in modern strategic employee development, further strengthening the trust relationship between employees and organizations. Through the direct intervention and guidance of leaders, strategic employee development projects not only achieve formal operation, but also complete the dissemination of deep-level culture and values. Effective leadership can not only guide employee growth, but also become an amplifier of employee learning motivation, helping to build a high-performance, strong cultural organizational ecosystem. This also explains why in many high-performance companies, leadership training and employee development are always promoted in parallel and complement each other.</w:t>
      </w:r>
    </w:p>
    <w:p w14:paraId="284FEB86" w14:textId="77777777" w:rsidR="0067086F" w:rsidRPr="0027742C" w:rsidRDefault="0067086F" w:rsidP="0027742C">
      <w:pPr>
        <w:spacing w:line="600" w:lineRule="auto"/>
        <w:rPr>
          <w:rFonts w:ascii="Arial" w:hAnsi="Arial" w:cs="Arial"/>
          <w:sz w:val="24"/>
          <w:szCs w:val="24"/>
        </w:rPr>
      </w:pPr>
    </w:p>
    <w:p w14:paraId="1FBDAEDD" w14:textId="608F7861" w:rsidR="003E6FB1" w:rsidRPr="0027742C" w:rsidRDefault="0067086F" w:rsidP="0027742C">
      <w:pPr>
        <w:spacing w:line="600" w:lineRule="auto"/>
        <w:rPr>
          <w:rFonts w:ascii="Arial" w:hAnsi="Arial" w:cs="Arial"/>
          <w:sz w:val="24"/>
          <w:szCs w:val="24"/>
        </w:rPr>
      </w:pPr>
      <w:r w:rsidRPr="0027742C">
        <w:rPr>
          <w:rFonts w:ascii="Arial" w:hAnsi="Arial" w:cs="Arial"/>
          <w:sz w:val="24"/>
          <w:szCs w:val="24"/>
        </w:rPr>
        <w:t xml:space="preserve">To sum up, strategic employee development as a systematic human resource strategy not only effectively improves the professional ability of employees and the management effectiveness of leaders, but also lays a solid foundation for enterprises to build sustainable competitive advantages through a high degree of fit with organizational goals and culture. Wanniarachchi et al. (2022) pointed out that if organizations can incorporate elements of respect, growth and value </w:t>
      </w:r>
      <w:r w:rsidRPr="0027742C">
        <w:rPr>
          <w:rFonts w:ascii="Arial" w:hAnsi="Arial" w:cs="Arial"/>
          <w:sz w:val="24"/>
          <w:szCs w:val="24"/>
        </w:rPr>
        <w:lastRenderedPageBreak/>
        <w:t xml:space="preserve">realization into employee development, they will significantly reduce talent turnover and enhance employee loyalty. Through the dual confirmation of theoretical support and corporate practice, it can be seen that strategic employee development has significant advantages in improving employee engagement, promoting leadership style diversity, and enhancing organizational agility. However, looking at this process critically, we also need to realize that the implementation of strategic employee development depends on sufficient resources, clear organizational strategies and high-level leadership support, and its effects may vary significantly in different organizational contexts. At the same time, cultural diversity, changes in employee values ​​and technological ethics issues also pose challenges to its effective implementation. Looking forward to the future, the development of strategic employee development will rely more on the integration of technological innovation and humanistic concepts. On the one hand, digital technologies such as artificial intelligence, big data and virtual reality will provide more accurate and efficient solutions for employee development; on the other hand, organizations must pay more attention to individual differences, psychological safety and the construction of a diverse and inclusive culture in </w:t>
      </w:r>
      <w:r w:rsidRPr="0027742C">
        <w:rPr>
          <w:rFonts w:ascii="Arial" w:hAnsi="Arial" w:cs="Arial"/>
          <w:sz w:val="24"/>
          <w:szCs w:val="24"/>
        </w:rPr>
        <w:lastRenderedPageBreak/>
        <w:t>order to truly realize the "people-oriented" development strategy. Leaders will play a transformation role from "managers" to "enablers" and continue to promote the construction of learning organizations. Therefore, strategic employee development in the future is not only a "management issue", but also a strategic lever to promote organizational evolution and value co-creation.</w:t>
      </w:r>
    </w:p>
    <w:p w14:paraId="2A0A975C" w14:textId="0A25187D" w:rsidR="001933FC" w:rsidRPr="0027742C" w:rsidRDefault="001933FC" w:rsidP="0027742C">
      <w:pPr>
        <w:widowControl/>
        <w:spacing w:line="600" w:lineRule="auto"/>
        <w:rPr>
          <w:rFonts w:ascii="Arial" w:hAnsi="Arial" w:cs="Arial"/>
          <w:sz w:val="24"/>
          <w:szCs w:val="24"/>
        </w:rPr>
      </w:pPr>
      <w:r w:rsidRPr="0027742C">
        <w:rPr>
          <w:rFonts w:ascii="Arial" w:hAnsi="Arial" w:cs="Arial"/>
          <w:sz w:val="24"/>
          <w:szCs w:val="24"/>
        </w:rPr>
        <w:br w:type="page"/>
      </w:r>
    </w:p>
    <w:p w14:paraId="20E10879" w14:textId="6BF3D733" w:rsidR="0027742C" w:rsidRPr="0027742C" w:rsidRDefault="0027742C" w:rsidP="0027742C">
      <w:pPr>
        <w:spacing w:line="600" w:lineRule="auto"/>
        <w:ind w:left="714"/>
        <w:rPr>
          <w:rFonts w:ascii="Arial" w:hAnsi="Arial" w:cs="Arial"/>
          <w:sz w:val="24"/>
          <w:szCs w:val="24"/>
        </w:rPr>
      </w:pPr>
      <w:r w:rsidRPr="0027742C">
        <w:rPr>
          <w:rFonts w:ascii="Arial" w:hAnsi="Arial" w:cs="Arial"/>
          <w:sz w:val="24"/>
          <w:szCs w:val="24"/>
        </w:rPr>
        <w:lastRenderedPageBreak/>
        <w:t>Reference</w:t>
      </w:r>
    </w:p>
    <w:p w14:paraId="2F6952E8" w14:textId="2F2E5E36" w:rsidR="001933FC" w:rsidRPr="0027742C" w:rsidRDefault="001933FC" w:rsidP="0027742C">
      <w:pPr>
        <w:spacing w:line="600" w:lineRule="auto"/>
        <w:ind w:left="714"/>
        <w:rPr>
          <w:rFonts w:ascii="Arial" w:hAnsi="Arial" w:cs="Arial"/>
          <w:sz w:val="24"/>
          <w:szCs w:val="24"/>
        </w:rPr>
      </w:pPr>
      <w:proofErr w:type="spellStart"/>
      <w:r w:rsidRPr="0027742C">
        <w:rPr>
          <w:rFonts w:ascii="Arial" w:hAnsi="Arial" w:cs="Arial"/>
          <w:sz w:val="24"/>
          <w:szCs w:val="24"/>
        </w:rPr>
        <w:t>Adhiatma</w:t>
      </w:r>
      <w:proofErr w:type="spellEnd"/>
      <w:r w:rsidRPr="0027742C">
        <w:rPr>
          <w:rFonts w:ascii="Arial" w:hAnsi="Arial" w:cs="Arial"/>
          <w:sz w:val="24"/>
          <w:szCs w:val="24"/>
        </w:rPr>
        <w:t xml:space="preserve">, A., Jackson, C. &amp; Allen, T., 2023. Competitiveness Through Development of Strategic Talent Management and Agile Management Ecosystems. </w:t>
      </w:r>
      <w:r w:rsidRPr="0027742C">
        <w:rPr>
          <w:rFonts w:ascii="Arial" w:hAnsi="Arial" w:cs="Arial"/>
          <w:i/>
          <w:iCs/>
          <w:sz w:val="24"/>
          <w:szCs w:val="24"/>
        </w:rPr>
        <w:t>Global Journal of Flexible Systems Management</w:t>
      </w:r>
      <w:r w:rsidRPr="0027742C">
        <w:rPr>
          <w:rFonts w:ascii="Arial" w:hAnsi="Arial" w:cs="Arial"/>
          <w:sz w:val="24"/>
          <w:szCs w:val="24"/>
        </w:rPr>
        <w:t>, 24(1), pp.45-60.</w:t>
      </w:r>
    </w:p>
    <w:p w14:paraId="769E6C8A" w14:textId="77777777" w:rsidR="001933FC" w:rsidRPr="0027742C" w:rsidRDefault="001933FC" w:rsidP="0027742C">
      <w:pPr>
        <w:spacing w:line="600" w:lineRule="auto"/>
        <w:ind w:left="714"/>
        <w:rPr>
          <w:rFonts w:ascii="Arial" w:hAnsi="Arial" w:cs="Arial"/>
          <w:sz w:val="24"/>
          <w:szCs w:val="24"/>
        </w:rPr>
      </w:pPr>
      <w:r w:rsidRPr="0027742C">
        <w:rPr>
          <w:rFonts w:ascii="Arial" w:hAnsi="Arial" w:cs="Arial"/>
          <w:sz w:val="24"/>
          <w:szCs w:val="24"/>
        </w:rPr>
        <w:t xml:space="preserve">Alghamdi, A.A., 2024. Enhancing organizational commitment through shared leadership: insights from Saudi higher education. </w:t>
      </w:r>
      <w:r w:rsidRPr="0027742C">
        <w:rPr>
          <w:rFonts w:ascii="Arial" w:hAnsi="Arial" w:cs="Arial"/>
          <w:i/>
          <w:iCs/>
          <w:sz w:val="24"/>
          <w:szCs w:val="24"/>
        </w:rPr>
        <w:t>Frontiers in Education</w:t>
      </w:r>
      <w:r w:rsidRPr="0027742C">
        <w:rPr>
          <w:rFonts w:ascii="Arial" w:hAnsi="Arial" w:cs="Arial"/>
          <w:sz w:val="24"/>
          <w:szCs w:val="24"/>
        </w:rPr>
        <w:t>, 9, Article 1476709.</w:t>
      </w:r>
    </w:p>
    <w:p w14:paraId="36B6D74E" w14:textId="77777777" w:rsidR="001933FC" w:rsidRPr="0027742C" w:rsidRDefault="001933FC" w:rsidP="0027742C">
      <w:pPr>
        <w:spacing w:line="600" w:lineRule="auto"/>
        <w:ind w:left="714"/>
        <w:rPr>
          <w:rFonts w:ascii="Arial" w:hAnsi="Arial" w:cs="Arial"/>
          <w:sz w:val="24"/>
          <w:szCs w:val="24"/>
        </w:rPr>
      </w:pPr>
      <w:proofErr w:type="spellStart"/>
      <w:r w:rsidRPr="0027742C">
        <w:rPr>
          <w:rFonts w:ascii="Arial" w:hAnsi="Arial" w:cs="Arial"/>
          <w:sz w:val="24"/>
          <w:szCs w:val="24"/>
        </w:rPr>
        <w:t>Alserhan</w:t>
      </w:r>
      <w:proofErr w:type="spellEnd"/>
      <w:r w:rsidRPr="0027742C">
        <w:rPr>
          <w:rFonts w:ascii="Arial" w:hAnsi="Arial" w:cs="Arial"/>
          <w:sz w:val="24"/>
          <w:szCs w:val="24"/>
        </w:rPr>
        <w:t xml:space="preserve">, H. &amp; </w:t>
      </w:r>
      <w:proofErr w:type="spellStart"/>
      <w:r w:rsidRPr="0027742C">
        <w:rPr>
          <w:rFonts w:ascii="Arial" w:hAnsi="Arial" w:cs="Arial"/>
          <w:sz w:val="24"/>
          <w:szCs w:val="24"/>
        </w:rPr>
        <w:t>Shbail</w:t>
      </w:r>
      <w:proofErr w:type="spellEnd"/>
      <w:r w:rsidRPr="0027742C">
        <w:rPr>
          <w:rFonts w:ascii="Arial" w:hAnsi="Arial" w:cs="Arial"/>
          <w:sz w:val="24"/>
          <w:szCs w:val="24"/>
        </w:rPr>
        <w:t xml:space="preserve">, M., 2020. The role of organizational commitment in the relationship between HRM practices and competitive advantage. </w:t>
      </w:r>
      <w:r w:rsidRPr="0027742C">
        <w:rPr>
          <w:rFonts w:ascii="Arial" w:hAnsi="Arial" w:cs="Arial"/>
          <w:i/>
          <w:iCs/>
          <w:sz w:val="24"/>
          <w:szCs w:val="24"/>
        </w:rPr>
        <w:t>Management Science Letters</w:t>
      </w:r>
      <w:r w:rsidRPr="0027742C">
        <w:rPr>
          <w:rFonts w:ascii="Arial" w:hAnsi="Arial" w:cs="Arial"/>
          <w:sz w:val="24"/>
          <w:szCs w:val="24"/>
        </w:rPr>
        <w:t>, 10(16), pp.3757-3766.</w:t>
      </w:r>
    </w:p>
    <w:p w14:paraId="1F6E97D7" w14:textId="77777777" w:rsidR="001933FC" w:rsidRPr="0027742C" w:rsidRDefault="001933FC" w:rsidP="0027742C">
      <w:pPr>
        <w:spacing w:line="600" w:lineRule="auto"/>
        <w:ind w:left="714"/>
        <w:rPr>
          <w:rFonts w:ascii="Arial" w:hAnsi="Arial" w:cs="Arial"/>
          <w:sz w:val="24"/>
          <w:szCs w:val="24"/>
        </w:rPr>
      </w:pPr>
      <w:r w:rsidRPr="0027742C">
        <w:rPr>
          <w:rFonts w:ascii="Arial" w:hAnsi="Arial" w:cs="Arial"/>
          <w:sz w:val="24"/>
          <w:szCs w:val="24"/>
        </w:rPr>
        <w:t xml:space="preserve">Bhatt, M.P., Mehta, M.J. &amp; Trivedi, K., 2024. Communication Competence and Its Role in Managerial Decision-making: An Empirical Investigation. </w:t>
      </w:r>
      <w:r w:rsidRPr="0027742C">
        <w:rPr>
          <w:rFonts w:ascii="Arial" w:hAnsi="Arial" w:cs="Arial"/>
          <w:i/>
          <w:iCs/>
          <w:sz w:val="24"/>
          <w:szCs w:val="24"/>
        </w:rPr>
        <w:t>Library Progress International</w:t>
      </w:r>
      <w:r w:rsidRPr="0027742C">
        <w:rPr>
          <w:rFonts w:ascii="Arial" w:hAnsi="Arial" w:cs="Arial"/>
          <w:sz w:val="24"/>
          <w:szCs w:val="24"/>
        </w:rPr>
        <w:t>, 44(3), pp.13138-13143.</w:t>
      </w:r>
    </w:p>
    <w:p w14:paraId="5C9CE404" w14:textId="77777777" w:rsidR="009F0503" w:rsidRPr="009F0503" w:rsidRDefault="009F0503" w:rsidP="0027742C">
      <w:pPr>
        <w:spacing w:line="600" w:lineRule="auto"/>
        <w:ind w:left="714"/>
        <w:rPr>
          <w:rFonts w:ascii="Arial" w:hAnsi="Arial" w:cs="Arial"/>
          <w:sz w:val="24"/>
          <w:szCs w:val="24"/>
        </w:rPr>
      </w:pPr>
      <w:r w:rsidRPr="009F0503">
        <w:rPr>
          <w:rFonts w:ascii="Arial" w:hAnsi="Arial" w:cs="Arial"/>
          <w:sz w:val="24"/>
          <w:szCs w:val="24"/>
        </w:rPr>
        <w:t xml:space="preserve">Chakraborty, T. &amp; Dhir, S., 2023. Reframing Tech-Based Strategic HRD Practices in Organizational Path. </w:t>
      </w:r>
      <w:r w:rsidRPr="009F0503">
        <w:rPr>
          <w:rFonts w:ascii="Arial" w:hAnsi="Arial" w:cs="Arial"/>
          <w:i/>
          <w:iCs/>
          <w:sz w:val="24"/>
          <w:szCs w:val="24"/>
        </w:rPr>
        <w:t>SAGE Open</w:t>
      </w:r>
      <w:r w:rsidRPr="009F0503">
        <w:rPr>
          <w:rFonts w:ascii="Arial" w:hAnsi="Arial" w:cs="Arial"/>
          <w:sz w:val="24"/>
          <w:szCs w:val="24"/>
        </w:rPr>
        <w:t>, 13(2), Article 21582440231173652.</w:t>
      </w:r>
    </w:p>
    <w:p w14:paraId="2443D5AB" w14:textId="5412498F" w:rsidR="001933FC" w:rsidRPr="0027742C" w:rsidRDefault="001933FC" w:rsidP="0027742C">
      <w:pPr>
        <w:spacing w:line="600" w:lineRule="auto"/>
        <w:ind w:left="714"/>
        <w:rPr>
          <w:rFonts w:ascii="Arial" w:hAnsi="Arial" w:cs="Arial"/>
          <w:sz w:val="24"/>
          <w:szCs w:val="24"/>
        </w:rPr>
      </w:pPr>
      <w:r w:rsidRPr="0027742C">
        <w:rPr>
          <w:rFonts w:ascii="Arial" w:hAnsi="Arial" w:cs="Arial"/>
          <w:sz w:val="24"/>
          <w:szCs w:val="24"/>
        </w:rPr>
        <w:t xml:space="preserve">Dalain, A.F., 2023. Nurturing Employee Engagement and Innovation in </w:t>
      </w:r>
      <w:r w:rsidRPr="0027742C">
        <w:rPr>
          <w:rFonts w:ascii="Arial" w:hAnsi="Arial" w:cs="Arial"/>
          <w:sz w:val="24"/>
          <w:szCs w:val="24"/>
        </w:rPr>
        <w:lastRenderedPageBreak/>
        <w:t xml:space="preserve">Crisis </w:t>
      </w:r>
      <w:proofErr w:type="gramStart"/>
      <w:r w:rsidRPr="0027742C">
        <w:rPr>
          <w:rFonts w:ascii="Arial" w:hAnsi="Arial" w:cs="Arial"/>
          <w:sz w:val="24"/>
          <w:szCs w:val="24"/>
        </w:rPr>
        <w:t>With</w:t>
      </w:r>
      <w:proofErr w:type="gramEnd"/>
      <w:r w:rsidRPr="0027742C">
        <w:rPr>
          <w:rFonts w:ascii="Arial" w:hAnsi="Arial" w:cs="Arial"/>
          <w:sz w:val="24"/>
          <w:szCs w:val="24"/>
        </w:rPr>
        <w:t xml:space="preserve"> Servant Leadership. </w:t>
      </w:r>
      <w:r w:rsidRPr="0027742C">
        <w:rPr>
          <w:rFonts w:ascii="Arial" w:hAnsi="Arial" w:cs="Arial"/>
          <w:i/>
          <w:iCs/>
          <w:sz w:val="24"/>
          <w:szCs w:val="24"/>
        </w:rPr>
        <w:t>SAGE Open</w:t>
      </w:r>
      <w:r w:rsidRPr="0027742C">
        <w:rPr>
          <w:rFonts w:ascii="Arial" w:hAnsi="Arial" w:cs="Arial"/>
          <w:sz w:val="24"/>
          <w:szCs w:val="24"/>
        </w:rPr>
        <w:t>, 13(2), Article 21582440231175150.</w:t>
      </w:r>
    </w:p>
    <w:p w14:paraId="5968D976" w14:textId="77777777" w:rsidR="001933FC" w:rsidRPr="0027742C" w:rsidRDefault="001933FC" w:rsidP="0027742C">
      <w:pPr>
        <w:spacing w:line="600" w:lineRule="auto"/>
        <w:ind w:left="714"/>
        <w:rPr>
          <w:rFonts w:ascii="Arial" w:hAnsi="Arial" w:cs="Arial"/>
          <w:sz w:val="24"/>
          <w:szCs w:val="24"/>
        </w:rPr>
      </w:pPr>
      <w:proofErr w:type="spellStart"/>
      <w:r w:rsidRPr="0027742C">
        <w:rPr>
          <w:rFonts w:ascii="Arial" w:hAnsi="Arial" w:cs="Arial"/>
          <w:sz w:val="24"/>
          <w:szCs w:val="24"/>
        </w:rPr>
        <w:t>Dongqiao</w:t>
      </w:r>
      <w:proofErr w:type="spellEnd"/>
      <w:r w:rsidRPr="0027742C">
        <w:rPr>
          <w:rFonts w:ascii="Arial" w:hAnsi="Arial" w:cs="Arial"/>
          <w:sz w:val="24"/>
          <w:szCs w:val="24"/>
        </w:rPr>
        <w:t xml:space="preserve">, P., 2024. The Implementation Path of Digital Intelligent HRM in the VUCA Era. </w:t>
      </w:r>
      <w:r w:rsidRPr="0027742C">
        <w:rPr>
          <w:rFonts w:ascii="Arial" w:hAnsi="Arial" w:cs="Arial"/>
          <w:i/>
          <w:iCs/>
          <w:sz w:val="24"/>
          <w:szCs w:val="24"/>
        </w:rPr>
        <w:t>Academic Journal of Business &amp; Management</w:t>
      </w:r>
      <w:r w:rsidRPr="0027742C">
        <w:rPr>
          <w:rFonts w:ascii="Arial" w:hAnsi="Arial" w:cs="Arial"/>
          <w:sz w:val="24"/>
          <w:szCs w:val="24"/>
        </w:rPr>
        <w:t>, 6(2), pp.71-78.</w:t>
      </w:r>
    </w:p>
    <w:p w14:paraId="266B63A1" w14:textId="77777777" w:rsidR="001933FC" w:rsidRPr="0027742C" w:rsidRDefault="001933FC" w:rsidP="0027742C">
      <w:pPr>
        <w:spacing w:line="600" w:lineRule="auto"/>
        <w:ind w:left="714"/>
        <w:rPr>
          <w:rFonts w:ascii="Arial" w:hAnsi="Arial" w:cs="Arial"/>
          <w:sz w:val="24"/>
          <w:szCs w:val="24"/>
        </w:rPr>
      </w:pPr>
      <w:r w:rsidRPr="0027742C">
        <w:rPr>
          <w:rFonts w:ascii="Arial" w:hAnsi="Arial" w:cs="Arial"/>
          <w:sz w:val="24"/>
          <w:szCs w:val="24"/>
        </w:rPr>
        <w:t xml:space="preserve">Emerald Insight, 2024. Employee training and development in the digital age. </w:t>
      </w:r>
      <w:r w:rsidRPr="0027742C">
        <w:rPr>
          <w:rFonts w:ascii="Arial" w:hAnsi="Arial" w:cs="Arial"/>
          <w:i/>
          <w:iCs/>
          <w:sz w:val="24"/>
          <w:szCs w:val="24"/>
        </w:rPr>
        <w:t>Development and Learning in Organizations</w:t>
      </w:r>
      <w:r w:rsidRPr="0027742C">
        <w:rPr>
          <w:rFonts w:ascii="Arial" w:hAnsi="Arial" w:cs="Arial"/>
          <w:sz w:val="24"/>
          <w:szCs w:val="24"/>
        </w:rPr>
        <w:t>, 38(4), pp.31-34.</w:t>
      </w:r>
    </w:p>
    <w:p w14:paraId="00D9D037" w14:textId="77777777" w:rsidR="001933FC" w:rsidRPr="0027742C" w:rsidRDefault="001933FC" w:rsidP="0027742C">
      <w:pPr>
        <w:spacing w:line="600" w:lineRule="auto"/>
        <w:ind w:left="714"/>
        <w:rPr>
          <w:rFonts w:ascii="Arial" w:hAnsi="Arial" w:cs="Arial"/>
          <w:sz w:val="24"/>
          <w:szCs w:val="24"/>
        </w:rPr>
      </w:pPr>
      <w:r w:rsidRPr="0027742C">
        <w:rPr>
          <w:rFonts w:ascii="Arial" w:hAnsi="Arial" w:cs="Arial"/>
          <w:sz w:val="24"/>
          <w:szCs w:val="24"/>
        </w:rPr>
        <w:t xml:space="preserve">Gupta, P. &amp; Gupta, S., 2023. Managing Perceptions of a Socially Responsible Business: McDonald’s Case. </w:t>
      </w:r>
      <w:r w:rsidRPr="0027742C">
        <w:rPr>
          <w:rFonts w:ascii="Arial" w:hAnsi="Arial" w:cs="Arial"/>
          <w:i/>
          <w:iCs/>
          <w:sz w:val="24"/>
          <w:szCs w:val="24"/>
        </w:rPr>
        <w:t>SAGE Business Cases Originals</w:t>
      </w:r>
      <w:r w:rsidRPr="0027742C">
        <w:rPr>
          <w:rFonts w:ascii="Arial" w:hAnsi="Arial" w:cs="Arial"/>
          <w:sz w:val="24"/>
          <w:szCs w:val="24"/>
        </w:rPr>
        <w:t>.</w:t>
      </w:r>
    </w:p>
    <w:p w14:paraId="3F156E5A" w14:textId="77777777" w:rsidR="001933FC" w:rsidRPr="0027742C" w:rsidRDefault="001933FC" w:rsidP="0027742C">
      <w:pPr>
        <w:spacing w:line="600" w:lineRule="auto"/>
        <w:ind w:left="714"/>
        <w:rPr>
          <w:rFonts w:ascii="Arial" w:hAnsi="Arial" w:cs="Arial"/>
          <w:sz w:val="24"/>
          <w:szCs w:val="24"/>
        </w:rPr>
      </w:pPr>
      <w:proofErr w:type="spellStart"/>
      <w:r w:rsidRPr="0027742C">
        <w:rPr>
          <w:rFonts w:ascii="Arial" w:hAnsi="Arial" w:cs="Arial"/>
          <w:sz w:val="24"/>
          <w:szCs w:val="24"/>
        </w:rPr>
        <w:t>Khort</w:t>
      </w:r>
      <w:proofErr w:type="spellEnd"/>
      <w:r w:rsidRPr="0027742C">
        <w:rPr>
          <w:rFonts w:ascii="Arial" w:hAnsi="Arial" w:cs="Arial"/>
          <w:sz w:val="24"/>
          <w:szCs w:val="24"/>
        </w:rPr>
        <w:t xml:space="preserve">, N., 2022. Strategic foresight in Finnish forest industry. </w:t>
      </w:r>
      <w:r w:rsidRPr="0027742C">
        <w:rPr>
          <w:rFonts w:ascii="Arial" w:hAnsi="Arial" w:cs="Arial"/>
          <w:i/>
          <w:iCs/>
          <w:sz w:val="24"/>
          <w:szCs w:val="24"/>
        </w:rPr>
        <w:t xml:space="preserve">Master's Thesis, </w:t>
      </w:r>
      <w:proofErr w:type="spellStart"/>
      <w:r w:rsidRPr="0027742C">
        <w:rPr>
          <w:rFonts w:ascii="Arial" w:hAnsi="Arial" w:cs="Arial"/>
          <w:i/>
          <w:iCs/>
          <w:sz w:val="24"/>
          <w:szCs w:val="24"/>
        </w:rPr>
        <w:t>Itä-Suomen</w:t>
      </w:r>
      <w:proofErr w:type="spellEnd"/>
      <w:r w:rsidRPr="0027742C">
        <w:rPr>
          <w:rFonts w:ascii="Arial" w:hAnsi="Arial" w:cs="Arial"/>
          <w:i/>
          <w:iCs/>
          <w:sz w:val="24"/>
          <w:szCs w:val="24"/>
        </w:rPr>
        <w:t xml:space="preserve"> </w:t>
      </w:r>
      <w:proofErr w:type="spellStart"/>
      <w:r w:rsidRPr="0027742C">
        <w:rPr>
          <w:rFonts w:ascii="Arial" w:hAnsi="Arial" w:cs="Arial"/>
          <w:i/>
          <w:iCs/>
          <w:sz w:val="24"/>
          <w:szCs w:val="24"/>
        </w:rPr>
        <w:t>yliopisto</w:t>
      </w:r>
      <w:proofErr w:type="spellEnd"/>
      <w:r w:rsidRPr="0027742C">
        <w:rPr>
          <w:rFonts w:ascii="Arial" w:hAnsi="Arial" w:cs="Arial"/>
          <w:sz w:val="24"/>
          <w:szCs w:val="24"/>
        </w:rPr>
        <w:t>.</w:t>
      </w:r>
    </w:p>
    <w:p w14:paraId="34373828" w14:textId="77777777" w:rsidR="001933FC" w:rsidRPr="0027742C" w:rsidRDefault="001933FC" w:rsidP="0027742C">
      <w:pPr>
        <w:spacing w:line="600" w:lineRule="auto"/>
        <w:ind w:left="714"/>
        <w:rPr>
          <w:rFonts w:ascii="Arial" w:hAnsi="Arial" w:cs="Arial"/>
          <w:sz w:val="24"/>
          <w:szCs w:val="24"/>
        </w:rPr>
      </w:pPr>
      <w:r w:rsidRPr="0027742C">
        <w:rPr>
          <w:rFonts w:ascii="Arial" w:hAnsi="Arial" w:cs="Arial"/>
          <w:sz w:val="24"/>
          <w:szCs w:val="24"/>
        </w:rPr>
        <w:t xml:space="preserve">Li, S. et al., 2022. Impact of AMO-enhancing SHRM on performance. </w:t>
      </w:r>
      <w:r w:rsidRPr="0027742C">
        <w:rPr>
          <w:rFonts w:ascii="Arial" w:hAnsi="Arial" w:cs="Arial"/>
          <w:i/>
          <w:iCs/>
          <w:sz w:val="24"/>
          <w:szCs w:val="24"/>
        </w:rPr>
        <w:t>Asia Pacific Journal of Human Resources</w:t>
      </w:r>
      <w:r w:rsidRPr="0027742C">
        <w:rPr>
          <w:rFonts w:ascii="Arial" w:hAnsi="Arial" w:cs="Arial"/>
          <w:sz w:val="24"/>
          <w:szCs w:val="24"/>
        </w:rPr>
        <w:t>, 60(3), pp.453-478.</w:t>
      </w:r>
    </w:p>
    <w:p w14:paraId="45722415" w14:textId="77777777" w:rsidR="001933FC" w:rsidRPr="0027742C" w:rsidRDefault="001933FC" w:rsidP="0027742C">
      <w:pPr>
        <w:spacing w:line="600" w:lineRule="auto"/>
        <w:ind w:left="714"/>
        <w:rPr>
          <w:rFonts w:ascii="Arial" w:hAnsi="Arial" w:cs="Arial"/>
          <w:sz w:val="24"/>
          <w:szCs w:val="24"/>
        </w:rPr>
      </w:pPr>
      <w:proofErr w:type="spellStart"/>
      <w:r w:rsidRPr="0027742C">
        <w:rPr>
          <w:rFonts w:ascii="Arial" w:hAnsi="Arial" w:cs="Arial"/>
          <w:sz w:val="24"/>
          <w:szCs w:val="24"/>
        </w:rPr>
        <w:t>Mehrzi</w:t>
      </w:r>
      <w:proofErr w:type="spellEnd"/>
      <w:r w:rsidRPr="0027742C">
        <w:rPr>
          <w:rFonts w:ascii="Arial" w:hAnsi="Arial" w:cs="Arial"/>
          <w:sz w:val="24"/>
          <w:szCs w:val="24"/>
        </w:rPr>
        <w:t xml:space="preserve">, N.A. &amp; Singh, S.K., 2021. Competing through employee engagement. </w:t>
      </w:r>
      <w:r w:rsidRPr="0027742C">
        <w:rPr>
          <w:rFonts w:ascii="Arial" w:hAnsi="Arial" w:cs="Arial"/>
          <w:i/>
          <w:iCs/>
          <w:sz w:val="24"/>
          <w:szCs w:val="24"/>
        </w:rPr>
        <w:t>International Journal of Productivity and Performance Management</w:t>
      </w:r>
      <w:r w:rsidRPr="0027742C">
        <w:rPr>
          <w:rFonts w:ascii="Arial" w:hAnsi="Arial" w:cs="Arial"/>
          <w:sz w:val="24"/>
          <w:szCs w:val="24"/>
        </w:rPr>
        <w:t>, 70(3), pp.831-843.</w:t>
      </w:r>
    </w:p>
    <w:p w14:paraId="46DF1365" w14:textId="77777777" w:rsidR="001933FC" w:rsidRPr="0027742C" w:rsidRDefault="001933FC" w:rsidP="0027742C">
      <w:pPr>
        <w:spacing w:line="600" w:lineRule="auto"/>
        <w:ind w:left="714"/>
        <w:rPr>
          <w:rFonts w:ascii="Arial" w:hAnsi="Arial" w:cs="Arial"/>
          <w:sz w:val="24"/>
          <w:szCs w:val="24"/>
        </w:rPr>
      </w:pPr>
      <w:r w:rsidRPr="0027742C">
        <w:rPr>
          <w:rFonts w:ascii="Arial" w:hAnsi="Arial" w:cs="Arial"/>
          <w:sz w:val="24"/>
          <w:szCs w:val="24"/>
        </w:rPr>
        <w:t xml:space="preserve">Paterson, J., 2025. From AI ethics to inclusive leadership. </w:t>
      </w:r>
      <w:r w:rsidRPr="0027742C">
        <w:rPr>
          <w:rFonts w:ascii="Arial" w:hAnsi="Arial" w:cs="Arial"/>
          <w:i/>
          <w:iCs/>
          <w:sz w:val="24"/>
          <w:szCs w:val="24"/>
        </w:rPr>
        <w:t>The Guardian</w:t>
      </w:r>
      <w:r w:rsidRPr="0027742C">
        <w:rPr>
          <w:rFonts w:ascii="Arial" w:hAnsi="Arial" w:cs="Arial"/>
          <w:sz w:val="24"/>
          <w:szCs w:val="24"/>
        </w:rPr>
        <w:t xml:space="preserve">, </w:t>
      </w:r>
      <w:r w:rsidRPr="0027742C">
        <w:rPr>
          <w:rFonts w:ascii="Arial" w:hAnsi="Arial" w:cs="Arial"/>
          <w:sz w:val="24"/>
          <w:szCs w:val="24"/>
        </w:rPr>
        <w:lastRenderedPageBreak/>
        <w:t xml:space="preserve">15 April. Available at: </w:t>
      </w:r>
      <w:hyperlink r:id="rId8" w:tgtFrame="_new" w:history="1">
        <w:r w:rsidRPr="0027742C">
          <w:rPr>
            <w:rStyle w:val="af2"/>
            <w:rFonts w:ascii="Arial" w:hAnsi="Arial" w:cs="Arial"/>
            <w:sz w:val="24"/>
            <w:szCs w:val="24"/>
          </w:rPr>
          <w:t>https://www.theguardian.com</w:t>
        </w:r>
      </w:hyperlink>
      <w:r w:rsidRPr="0027742C">
        <w:rPr>
          <w:rFonts w:ascii="Arial" w:hAnsi="Arial" w:cs="Arial"/>
          <w:sz w:val="24"/>
          <w:szCs w:val="24"/>
        </w:rPr>
        <w:t>.</w:t>
      </w:r>
    </w:p>
    <w:p w14:paraId="76F7D464" w14:textId="77777777" w:rsidR="001933FC" w:rsidRPr="0027742C" w:rsidRDefault="001933FC" w:rsidP="0027742C">
      <w:pPr>
        <w:spacing w:line="600" w:lineRule="auto"/>
        <w:ind w:left="714"/>
        <w:rPr>
          <w:rFonts w:ascii="Arial" w:hAnsi="Arial" w:cs="Arial"/>
          <w:sz w:val="24"/>
          <w:szCs w:val="24"/>
        </w:rPr>
      </w:pPr>
      <w:r w:rsidRPr="0027742C">
        <w:rPr>
          <w:rFonts w:ascii="Arial" w:hAnsi="Arial" w:cs="Arial"/>
          <w:sz w:val="24"/>
          <w:szCs w:val="24"/>
        </w:rPr>
        <w:t xml:space="preserve">Santa, M., 2023. Exit Strategies of Brands in Russia. </w:t>
      </w:r>
      <w:r w:rsidRPr="0027742C">
        <w:rPr>
          <w:rFonts w:ascii="Arial" w:hAnsi="Arial" w:cs="Arial"/>
          <w:i/>
          <w:iCs/>
          <w:sz w:val="24"/>
          <w:szCs w:val="24"/>
        </w:rPr>
        <w:t>Independent Study Report</w:t>
      </w:r>
      <w:r w:rsidRPr="0027742C">
        <w:rPr>
          <w:rFonts w:ascii="Arial" w:hAnsi="Arial" w:cs="Arial"/>
          <w:sz w:val="24"/>
          <w:szCs w:val="24"/>
        </w:rPr>
        <w:t>.</w:t>
      </w:r>
    </w:p>
    <w:p w14:paraId="1C9C0434" w14:textId="77777777" w:rsidR="001933FC" w:rsidRPr="0027742C" w:rsidRDefault="001933FC" w:rsidP="0027742C">
      <w:pPr>
        <w:spacing w:line="600" w:lineRule="auto"/>
        <w:ind w:left="714"/>
        <w:rPr>
          <w:rFonts w:ascii="Arial" w:hAnsi="Arial" w:cs="Arial"/>
          <w:sz w:val="24"/>
          <w:szCs w:val="24"/>
        </w:rPr>
      </w:pPr>
      <w:r w:rsidRPr="0027742C">
        <w:rPr>
          <w:rFonts w:ascii="Arial" w:hAnsi="Arial" w:cs="Arial"/>
          <w:sz w:val="24"/>
          <w:szCs w:val="24"/>
        </w:rPr>
        <w:t xml:space="preserve">Singh, G. et al., 2022. Review on Development of Green Marketing. </w:t>
      </w:r>
      <w:r w:rsidRPr="0027742C">
        <w:rPr>
          <w:rFonts w:ascii="Arial" w:hAnsi="Arial" w:cs="Arial"/>
          <w:i/>
          <w:iCs/>
          <w:sz w:val="24"/>
          <w:szCs w:val="24"/>
        </w:rPr>
        <w:t>Journal of Algebraic Statistics</w:t>
      </w:r>
      <w:r w:rsidRPr="0027742C">
        <w:rPr>
          <w:rFonts w:ascii="Arial" w:hAnsi="Arial" w:cs="Arial"/>
          <w:sz w:val="24"/>
          <w:szCs w:val="24"/>
        </w:rPr>
        <w:t>, 13(1), pp.225-230.</w:t>
      </w:r>
    </w:p>
    <w:p w14:paraId="285A0CBE" w14:textId="77777777" w:rsidR="001933FC" w:rsidRPr="0027742C" w:rsidRDefault="001933FC" w:rsidP="0027742C">
      <w:pPr>
        <w:spacing w:line="600" w:lineRule="auto"/>
        <w:ind w:left="714"/>
        <w:rPr>
          <w:rFonts w:ascii="Arial" w:hAnsi="Arial" w:cs="Arial"/>
          <w:sz w:val="24"/>
          <w:szCs w:val="24"/>
        </w:rPr>
      </w:pPr>
      <w:r w:rsidRPr="0027742C">
        <w:rPr>
          <w:rFonts w:ascii="Arial" w:hAnsi="Arial" w:cs="Arial"/>
          <w:sz w:val="24"/>
          <w:szCs w:val="24"/>
        </w:rPr>
        <w:t xml:space="preserve">Tang, L. et al., 2024. Coaching leadership and learning goal orientation. </w:t>
      </w:r>
      <w:r w:rsidRPr="0027742C">
        <w:rPr>
          <w:rFonts w:ascii="Arial" w:hAnsi="Arial" w:cs="Arial"/>
          <w:i/>
          <w:iCs/>
          <w:sz w:val="24"/>
          <w:szCs w:val="24"/>
        </w:rPr>
        <w:t>Frontiers in Psychology</w:t>
      </w:r>
      <w:r w:rsidRPr="0027742C">
        <w:rPr>
          <w:rFonts w:ascii="Arial" w:hAnsi="Arial" w:cs="Arial"/>
          <w:sz w:val="24"/>
          <w:szCs w:val="24"/>
        </w:rPr>
        <w:t>, 15, Article 1423540.</w:t>
      </w:r>
    </w:p>
    <w:p w14:paraId="21A7A44D" w14:textId="77777777" w:rsidR="001933FC" w:rsidRPr="0027742C" w:rsidRDefault="001933FC" w:rsidP="0027742C">
      <w:pPr>
        <w:spacing w:line="600" w:lineRule="auto"/>
        <w:ind w:left="714"/>
        <w:rPr>
          <w:rFonts w:ascii="Arial" w:hAnsi="Arial" w:cs="Arial"/>
          <w:sz w:val="24"/>
          <w:szCs w:val="24"/>
        </w:rPr>
      </w:pPr>
      <w:r w:rsidRPr="0027742C">
        <w:rPr>
          <w:rFonts w:ascii="Arial" w:hAnsi="Arial" w:cs="Arial"/>
          <w:sz w:val="24"/>
          <w:szCs w:val="24"/>
        </w:rPr>
        <w:t xml:space="preserve">Trevor, J., 2022. </w:t>
      </w:r>
      <w:r w:rsidRPr="0027742C">
        <w:rPr>
          <w:rFonts w:ascii="Arial" w:hAnsi="Arial" w:cs="Arial"/>
          <w:i/>
          <w:iCs/>
          <w:sz w:val="24"/>
          <w:szCs w:val="24"/>
        </w:rPr>
        <w:t>Re: Align: A leadership blueprint for overcoming disruption</w:t>
      </w:r>
      <w:r w:rsidRPr="0027742C">
        <w:rPr>
          <w:rFonts w:ascii="Arial" w:hAnsi="Arial" w:cs="Arial"/>
          <w:sz w:val="24"/>
          <w:szCs w:val="24"/>
        </w:rPr>
        <w:t>. London: Bloomsbury.</w:t>
      </w:r>
    </w:p>
    <w:p w14:paraId="3756D831" w14:textId="77777777" w:rsidR="001933FC" w:rsidRPr="0027742C" w:rsidRDefault="001933FC" w:rsidP="0027742C">
      <w:pPr>
        <w:spacing w:line="600" w:lineRule="auto"/>
        <w:ind w:left="714"/>
        <w:rPr>
          <w:rFonts w:ascii="Arial" w:hAnsi="Arial" w:cs="Arial"/>
          <w:sz w:val="24"/>
          <w:szCs w:val="24"/>
        </w:rPr>
      </w:pPr>
      <w:r w:rsidRPr="0027742C">
        <w:rPr>
          <w:rFonts w:ascii="Arial" w:hAnsi="Arial" w:cs="Arial"/>
          <w:sz w:val="24"/>
          <w:szCs w:val="24"/>
        </w:rPr>
        <w:t xml:space="preserve">Turner, P., 2024. </w:t>
      </w:r>
      <w:r w:rsidRPr="0027742C">
        <w:rPr>
          <w:rFonts w:ascii="Arial" w:hAnsi="Arial" w:cs="Arial"/>
          <w:i/>
          <w:iCs/>
          <w:sz w:val="24"/>
          <w:szCs w:val="24"/>
        </w:rPr>
        <w:t xml:space="preserve">The Making of the Modern </w:t>
      </w:r>
      <w:proofErr w:type="spellStart"/>
      <w:r w:rsidRPr="0027742C">
        <w:rPr>
          <w:rFonts w:ascii="Arial" w:hAnsi="Arial" w:cs="Arial"/>
          <w:i/>
          <w:iCs/>
          <w:sz w:val="24"/>
          <w:szCs w:val="24"/>
        </w:rPr>
        <w:t>Organisation</w:t>
      </w:r>
      <w:proofErr w:type="spellEnd"/>
      <w:r w:rsidRPr="0027742C">
        <w:rPr>
          <w:rFonts w:ascii="Arial" w:hAnsi="Arial" w:cs="Arial"/>
          <w:sz w:val="24"/>
          <w:szCs w:val="24"/>
        </w:rPr>
        <w:t>. Springer Books.</w:t>
      </w:r>
    </w:p>
    <w:p w14:paraId="19B0AED0" w14:textId="77777777" w:rsidR="001933FC" w:rsidRPr="0027742C" w:rsidRDefault="001933FC" w:rsidP="0027742C">
      <w:pPr>
        <w:spacing w:line="600" w:lineRule="auto"/>
        <w:ind w:left="714"/>
        <w:rPr>
          <w:rFonts w:ascii="Arial" w:hAnsi="Arial" w:cs="Arial"/>
          <w:sz w:val="24"/>
          <w:szCs w:val="24"/>
        </w:rPr>
      </w:pPr>
      <w:r w:rsidRPr="0027742C">
        <w:rPr>
          <w:rFonts w:ascii="Arial" w:hAnsi="Arial" w:cs="Arial"/>
          <w:sz w:val="24"/>
          <w:szCs w:val="24"/>
        </w:rPr>
        <w:t xml:space="preserve">Varkey, P.S. et al., 2021. Barriers to reducing plastic waste in Canada. </w:t>
      </w:r>
      <w:r w:rsidRPr="0027742C">
        <w:rPr>
          <w:rFonts w:ascii="Arial" w:hAnsi="Arial" w:cs="Arial"/>
          <w:i/>
          <w:iCs/>
          <w:sz w:val="24"/>
          <w:szCs w:val="24"/>
        </w:rPr>
        <w:t>Ocean &amp; Coastal Management</w:t>
      </w:r>
      <w:r w:rsidRPr="0027742C">
        <w:rPr>
          <w:rFonts w:ascii="Arial" w:hAnsi="Arial" w:cs="Arial"/>
          <w:sz w:val="24"/>
          <w:szCs w:val="24"/>
        </w:rPr>
        <w:t>, 210, 105663.</w:t>
      </w:r>
    </w:p>
    <w:p w14:paraId="4F7AA719" w14:textId="48B2B05F" w:rsidR="001933FC" w:rsidRPr="0027742C" w:rsidRDefault="001933FC" w:rsidP="0027742C">
      <w:pPr>
        <w:spacing w:line="600" w:lineRule="auto"/>
        <w:ind w:left="714"/>
        <w:rPr>
          <w:rFonts w:ascii="Arial" w:hAnsi="Arial" w:cs="Arial"/>
          <w:sz w:val="24"/>
          <w:szCs w:val="24"/>
        </w:rPr>
      </w:pPr>
      <w:r w:rsidRPr="0027742C">
        <w:rPr>
          <w:rFonts w:ascii="Arial" w:hAnsi="Arial" w:cs="Arial"/>
          <w:sz w:val="24"/>
          <w:szCs w:val="24"/>
        </w:rPr>
        <w:t xml:space="preserve">Watts, L.L., Gray, B.E. &amp; Medeiros, K.E., 2022. Side effects of organizational interventions. </w:t>
      </w:r>
      <w:r w:rsidRPr="0027742C">
        <w:rPr>
          <w:rFonts w:ascii="Arial" w:hAnsi="Arial" w:cs="Arial"/>
          <w:i/>
          <w:iCs/>
          <w:sz w:val="24"/>
          <w:szCs w:val="24"/>
        </w:rPr>
        <w:t>Industrial and Organizational Psychology</w:t>
      </w:r>
      <w:r w:rsidRPr="0027742C">
        <w:rPr>
          <w:rFonts w:ascii="Arial" w:hAnsi="Arial" w:cs="Arial"/>
          <w:sz w:val="24"/>
          <w:szCs w:val="24"/>
        </w:rPr>
        <w:t>, 15(1), pp.76-94.</w:t>
      </w:r>
    </w:p>
    <w:sectPr w:rsidR="001933FC" w:rsidRPr="0027742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973C2C" w14:textId="77777777" w:rsidR="00F41B30" w:rsidRDefault="00F41B30" w:rsidP="0067086F">
      <w:pPr>
        <w:rPr>
          <w:rFonts w:hint="eastAsia"/>
        </w:rPr>
      </w:pPr>
      <w:r>
        <w:separator/>
      </w:r>
    </w:p>
  </w:endnote>
  <w:endnote w:type="continuationSeparator" w:id="0">
    <w:p w14:paraId="6491D86F" w14:textId="77777777" w:rsidR="00F41B30" w:rsidRDefault="00F41B30" w:rsidP="0067086F">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44469C" w14:textId="77777777" w:rsidR="00F41B30" w:rsidRDefault="00F41B30" w:rsidP="0067086F">
      <w:pPr>
        <w:rPr>
          <w:rFonts w:hint="eastAsia"/>
        </w:rPr>
      </w:pPr>
      <w:r>
        <w:separator/>
      </w:r>
    </w:p>
  </w:footnote>
  <w:footnote w:type="continuationSeparator" w:id="0">
    <w:p w14:paraId="4BD7E81F" w14:textId="77777777" w:rsidR="00F41B30" w:rsidRDefault="00F41B30" w:rsidP="0067086F">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740389"/>
    <w:multiLevelType w:val="multilevel"/>
    <w:tmpl w:val="7E0058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691074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0FB4"/>
    <w:rsid w:val="0010119C"/>
    <w:rsid w:val="00124F96"/>
    <w:rsid w:val="001933FC"/>
    <w:rsid w:val="002104D2"/>
    <w:rsid w:val="0027742C"/>
    <w:rsid w:val="002E0E30"/>
    <w:rsid w:val="003E6FB1"/>
    <w:rsid w:val="00400B99"/>
    <w:rsid w:val="0067086F"/>
    <w:rsid w:val="009F0503"/>
    <w:rsid w:val="00CF0D13"/>
    <w:rsid w:val="00D7592A"/>
    <w:rsid w:val="00E27C40"/>
    <w:rsid w:val="00E90FB4"/>
    <w:rsid w:val="00F16908"/>
    <w:rsid w:val="00F41B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376C33"/>
  <w15:chartTrackingRefBased/>
  <w15:docId w15:val="{8AE40F84-EC10-47D0-AC9C-5F74C1E8B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E90FB4"/>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E90FB4"/>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E90FB4"/>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E90FB4"/>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E90FB4"/>
    <w:pPr>
      <w:keepNext/>
      <w:keepLines/>
      <w:spacing w:before="80" w:after="40"/>
      <w:outlineLvl w:val="4"/>
    </w:pPr>
    <w:rPr>
      <w:rFonts w:cstheme="majorBidi"/>
      <w:color w:val="0F4761" w:themeColor="accent1" w:themeShade="BF"/>
      <w:sz w:val="24"/>
      <w:szCs w:val="24"/>
    </w:rPr>
  </w:style>
  <w:style w:type="paragraph" w:styleId="6">
    <w:name w:val="heading 6"/>
    <w:basedOn w:val="a"/>
    <w:next w:val="a"/>
    <w:link w:val="60"/>
    <w:uiPriority w:val="9"/>
    <w:semiHidden/>
    <w:unhideWhenUsed/>
    <w:qFormat/>
    <w:rsid w:val="00E90FB4"/>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E90FB4"/>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90FB4"/>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90FB4"/>
    <w:pPr>
      <w:keepNext/>
      <w:keepLines/>
      <w:outlineLvl w:val="8"/>
    </w:pPr>
    <w:rPr>
      <w:rFonts w:eastAsiaTheme="majorEastAsia" w:cstheme="majorBidi"/>
      <w:color w:val="595959" w:themeColor="text1" w:themeTint="A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90FB4"/>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E90FB4"/>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E90FB4"/>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E90FB4"/>
    <w:rPr>
      <w:rFonts w:cstheme="majorBidi"/>
      <w:color w:val="0F4761" w:themeColor="accent1" w:themeShade="BF"/>
      <w:sz w:val="28"/>
      <w:szCs w:val="28"/>
    </w:rPr>
  </w:style>
  <w:style w:type="character" w:customStyle="1" w:styleId="50">
    <w:name w:val="标题 5 字符"/>
    <w:basedOn w:val="a0"/>
    <w:link w:val="5"/>
    <w:uiPriority w:val="9"/>
    <w:semiHidden/>
    <w:rsid w:val="00E90FB4"/>
    <w:rPr>
      <w:rFonts w:cstheme="majorBidi"/>
      <w:color w:val="0F4761" w:themeColor="accent1" w:themeShade="BF"/>
      <w:sz w:val="24"/>
      <w:szCs w:val="24"/>
    </w:rPr>
  </w:style>
  <w:style w:type="character" w:customStyle="1" w:styleId="60">
    <w:name w:val="标题 6 字符"/>
    <w:basedOn w:val="a0"/>
    <w:link w:val="6"/>
    <w:uiPriority w:val="9"/>
    <w:semiHidden/>
    <w:rsid w:val="00E90FB4"/>
    <w:rPr>
      <w:rFonts w:cstheme="majorBidi"/>
      <w:b/>
      <w:bCs/>
      <w:color w:val="0F4761" w:themeColor="accent1" w:themeShade="BF"/>
    </w:rPr>
  </w:style>
  <w:style w:type="character" w:customStyle="1" w:styleId="70">
    <w:name w:val="标题 7 字符"/>
    <w:basedOn w:val="a0"/>
    <w:link w:val="7"/>
    <w:uiPriority w:val="9"/>
    <w:semiHidden/>
    <w:rsid w:val="00E90FB4"/>
    <w:rPr>
      <w:rFonts w:cstheme="majorBidi"/>
      <w:b/>
      <w:bCs/>
      <w:color w:val="595959" w:themeColor="text1" w:themeTint="A6"/>
    </w:rPr>
  </w:style>
  <w:style w:type="character" w:customStyle="1" w:styleId="80">
    <w:name w:val="标题 8 字符"/>
    <w:basedOn w:val="a0"/>
    <w:link w:val="8"/>
    <w:uiPriority w:val="9"/>
    <w:semiHidden/>
    <w:rsid w:val="00E90FB4"/>
    <w:rPr>
      <w:rFonts w:cstheme="majorBidi"/>
      <w:color w:val="595959" w:themeColor="text1" w:themeTint="A6"/>
    </w:rPr>
  </w:style>
  <w:style w:type="character" w:customStyle="1" w:styleId="90">
    <w:name w:val="标题 9 字符"/>
    <w:basedOn w:val="a0"/>
    <w:link w:val="9"/>
    <w:uiPriority w:val="9"/>
    <w:semiHidden/>
    <w:rsid w:val="00E90FB4"/>
    <w:rPr>
      <w:rFonts w:eastAsiaTheme="majorEastAsia" w:cstheme="majorBidi"/>
      <w:color w:val="595959" w:themeColor="text1" w:themeTint="A6"/>
    </w:rPr>
  </w:style>
  <w:style w:type="paragraph" w:styleId="a3">
    <w:name w:val="Title"/>
    <w:basedOn w:val="a"/>
    <w:next w:val="a"/>
    <w:link w:val="a4"/>
    <w:uiPriority w:val="10"/>
    <w:qFormat/>
    <w:rsid w:val="00E90FB4"/>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90FB4"/>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90FB4"/>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90FB4"/>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90FB4"/>
    <w:pPr>
      <w:spacing w:before="160" w:after="160"/>
      <w:jc w:val="center"/>
    </w:pPr>
    <w:rPr>
      <w:i/>
      <w:iCs/>
      <w:color w:val="404040" w:themeColor="text1" w:themeTint="BF"/>
    </w:rPr>
  </w:style>
  <w:style w:type="character" w:customStyle="1" w:styleId="a8">
    <w:name w:val="引用 字符"/>
    <w:basedOn w:val="a0"/>
    <w:link w:val="a7"/>
    <w:uiPriority w:val="29"/>
    <w:rsid w:val="00E90FB4"/>
    <w:rPr>
      <w:i/>
      <w:iCs/>
      <w:color w:val="404040" w:themeColor="text1" w:themeTint="BF"/>
    </w:rPr>
  </w:style>
  <w:style w:type="paragraph" w:styleId="a9">
    <w:name w:val="List Paragraph"/>
    <w:basedOn w:val="a"/>
    <w:uiPriority w:val="34"/>
    <w:qFormat/>
    <w:rsid w:val="00E90FB4"/>
    <w:pPr>
      <w:ind w:left="720"/>
      <w:contextualSpacing/>
    </w:pPr>
  </w:style>
  <w:style w:type="character" w:styleId="aa">
    <w:name w:val="Intense Emphasis"/>
    <w:basedOn w:val="a0"/>
    <w:uiPriority w:val="21"/>
    <w:qFormat/>
    <w:rsid w:val="00E90FB4"/>
    <w:rPr>
      <w:i/>
      <w:iCs/>
      <w:color w:val="0F4761" w:themeColor="accent1" w:themeShade="BF"/>
    </w:rPr>
  </w:style>
  <w:style w:type="paragraph" w:styleId="ab">
    <w:name w:val="Intense Quote"/>
    <w:basedOn w:val="a"/>
    <w:next w:val="a"/>
    <w:link w:val="ac"/>
    <w:uiPriority w:val="30"/>
    <w:qFormat/>
    <w:rsid w:val="00E90FB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E90FB4"/>
    <w:rPr>
      <w:i/>
      <w:iCs/>
      <w:color w:val="0F4761" w:themeColor="accent1" w:themeShade="BF"/>
    </w:rPr>
  </w:style>
  <w:style w:type="character" w:styleId="ad">
    <w:name w:val="Intense Reference"/>
    <w:basedOn w:val="a0"/>
    <w:uiPriority w:val="32"/>
    <w:qFormat/>
    <w:rsid w:val="00E90FB4"/>
    <w:rPr>
      <w:b/>
      <w:bCs/>
      <w:smallCaps/>
      <w:color w:val="0F4761" w:themeColor="accent1" w:themeShade="BF"/>
      <w:spacing w:val="5"/>
    </w:rPr>
  </w:style>
  <w:style w:type="paragraph" w:styleId="ae">
    <w:name w:val="header"/>
    <w:basedOn w:val="a"/>
    <w:link w:val="af"/>
    <w:uiPriority w:val="99"/>
    <w:unhideWhenUsed/>
    <w:rsid w:val="0067086F"/>
    <w:pPr>
      <w:tabs>
        <w:tab w:val="center" w:pos="4153"/>
        <w:tab w:val="right" w:pos="8306"/>
      </w:tabs>
      <w:snapToGrid w:val="0"/>
      <w:jc w:val="center"/>
    </w:pPr>
    <w:rPr>
      <w:sz w:val="18"/>
      <w:szCs w:val="18"/>
    </w:rPr>
  </w:style>
  <w:style w:type="character" w:customStyle="1" w:styleId="af">
    <w:name w:val="页眉 字符"/>
    <w:basedOn w:val="a0"/>
    <w:link w:val="ae"/>
    <w:uiPriority w:val="99"/>
    <w:rsid w:val="0067086F"/>
    <w:rPr>
      <w:sz w:val="18"/>
      <w:szCs w:val="18"/>
    </w:rPr>
  </w:style>
  <w:style w:type="paragraph" w:styleId="af0">
    <w:name w:val="footer"/>
    <w:basedOn w:val="a"/>
    <w:link w:val="af1"/>
    <w:uiPriority w:val="99"/>
    <w:unhideWhenUsed/>
    <w:rsid w:val="0067086F"/>
    <w:pPr>
      <w:tabs>
        <w:tab w:val="center" w:pos="4153"/>
        <w:tab w:val="right" w:pos="8306"/>
      </w:tabs>
      <w:snapToGrid w:val="0"/>
      <w:jc w:val="left"/>
    </w:pPr>
    <w:rPr>
      <w:sz w:val="18"/>
      <w:szCs w:val="18"/>
    </w:rPr>
  </w:style>
  <w:style w:type="character" w:customStyle="1" w:styleId="af1">
    <w:name w:val="页脚 字符"/>
    <w:basedOn w:val="a0"/>
    <w:link w:val="af0"/>
    <w:uiPriority w:val="99"/>
    <w:rsid w:val="0067086F"/>
    <w:rPr>
      <w:sz w:val="18"/>
      <w:szCs w:val="18"/>
    </w:rPr>
  </w:style>
  <w:style w:type="character" w:styleId="af2">
    <w:name w:val="Hyperlink"/>
    <w:basedOn w:val="a0"/>
    <w:uiPriority w:val="99"/>
    <w:unhideWhenUsed/>
    <w:rsid w:val="001933FC"/>
    <w:rPr>
      <w:color w:val="467886" w:themeColor="hyperlink"/>
      <w:u w:val="single"/>
    </w:rPr>
  </w:style>
  <w:style w:type="paragraph" w:styleId="af3">
    <w:name w:val="No Spacing"/>
    <w:link w:val="af4"/>
    <w:uiPriority w:val="1"/>
    <w:qFormat/>
    <w:rsid w:val="0027742C"/>
    <w:rPr>
      <w:kern w:val="0"/>
      <w:sz w:val="22"/>
      <w:lang w:eastAsia="en-US"/>
    </w:rPr>
  </w:style>
  <w:style w:type="character" w:customStyle="1" w:styleId="af4">
    <w:name w:val="无间隔 字符"/>
    <w:basedOn w:val="a0"/>
    <w:link w:val="af3"/>
    <w:uiPriority w:val="1"/>
    <w:rsid w:val="0027742C"/>
    <w:rPr>
      <w:kern w:val="0"/>
      <w:sz w:val="22"/>
      <w:lang w:eastAsia="en-US"/>
    </w:rPr>
  </w:style>
  <w:style w:type="character" w:styleId="af5">
    <w:name w:val="FollowedHyperlink"/>
    <w:basedOn w:val="a0"/>
    <w:uiPriority w:val="99"/>
    <w:semiHidden/>
    <w:unhideWhenUsed/>
    <w:rsid w:val="0027742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16</Pages>
  <Words>2623</Words>
  <Characters>15188</Characters>
  <Application>Microsoft Office Word</Application>
  <DocSecurity>0</DocSecurity>
  <Lines>266</Lines>
  <Paragraphs>82</Paragraphs>
  <ScaleCrop>false</ScaleCrop>
  <Company/>
  <LinksUpToDate>false</LinksUpToDate>
  <CharactersWithSpaces>17729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阳 杨</dc:creator>
  <cp:keywords/>
  <dc:description/>
  <cp:lastModifiedBy>阳 杨</cp:lastModifiedBy>
  <cp:revision>7</cp:revision>
  <dcterms:created xsi:type="dcterms:W3CDTF">2025-04-22T13:48:00Z</dcterms:created>
  <dcterms:modified xsi:type="dcterms:W3CDTF">2025-04-23T15:21:00Z</dcterms:modified>
</cp:coreProperties>
</file>