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648" w:rsidRDefault="00E042A7" w:rsidP="00724648">
      <w:r w:rsidRPr="00A406E5">
        <w:rPr>
          <w:rFonts w:ascii="Arial" w:hAnsi="Arial" w:cs="Arial"/>
          <w:noProof/>
          <w:lang w:val="en-US" w:bidi="ar-SA"/>
        </w:rPr>
        <w:drawing>
          <wp:anchor distT="0" distB="0" distL="114300" distR="114300" simplePos="0" relativeHeight="251661312" behindDoc="0" locked="0" layoutInCell="1" allowOverlap="1">
            <wp:simplePos x="0" y="0"/>
            <wp:positionH relativeFrom="margin">
              <wp:align>left</wp:align>
            </wp:positionH>
            <wp:positionV relativeFrom="paragraph">
              <wp:posOffset>9525</wp:posOffset>
            </wp:positionV>
            <wp:extent cx="1809750" cy="723900"/>
            <wp:effectExtent l="0" t="0" r="0" b="0"/>
            <wp:wrapSquare wrapText="bothSides"/>
            <wp:docPr id="2019761482" name="Picture 201976148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E042A7" w:rsidRDefault="00E042A7" w:rsidP="00724648"/>
    <w:p w:rsidR="00E042A7" w:rsidRDefault="00E042A7" w:rsidP="00724648"/>
    <w:p w:rsidR="00E042A7" w:rsidRDefault="00E042A7" w:rsidP="00724648"/>
    <w:p w:rsidR="00E042A7" w:rsidRDefault="00E042A7" w:rsidP="0072464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0"/>
        <w:gridCol w:w="3066"/>
        <w:gridCol w:w="2113"/>
        <w:gridCol w:w="2113"/>
      </w:tblGrid>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Student name:</w:t>
            </w:r>
          </w:p>
        </w:tc>
        <w:tc>
          <w:tcPr>
            <w:tcW w:w="1659" w:type="pct"/>
          </w:tcPr>
          <w:p w:rsidR="00E042A7" w:rsidRPr="00A406E5" w:rsidRDefault="008C5214" w:rsidP="00DB3B90">
            <w:pPr>
              <w:spacing w:before="120" w:after="120"/>
              <w:rPr>
                <w:rFonts w:ascii="Arial" w:hAnsi="Arial" w:cs="Arial"/>
                <w:b/>
                <w:sz w:val="22"/>
                <w:szCs w:val="22"/>
              </w:rPr>
            </w:pPr>
            <w:r>
              <w:rPr>
                <w:rFonts w:ascii="Arial" w:hAnsi="Arial" w:cs="Arial"/>
                <w:b/>
                <w:sz w:val="22"/>
                <w:szCs w:val="22"/>
              </w:rPr>
              <w:t>MOHAMMED JABED MIA</w:t>
            </w:r>
          </w:p>
        </w:tc>
        <w:tc>
          <w:tcPr>
            <w:tcW w:w="1143" w:type="pct"/>
            <w:shd w:val="clear" w:color="auto" w:fill="D9D9D9"/>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Student ID number:</w:t>
            </w:r>
          </w:p>
        </w:tc>
        <w:tc>
          <w:tcPr>
            <w:tcW w:w="1143" w:type="pct"/>
          </w:tcPr>
          <w:p w:rsidR="00E042A7" w:rsidRPr="00A406E5" w:rsidRDefault="008C5214" w:rsidP="00DB3B90">
            <w:pPr>
              <w:spacing w:before="120" w:after="120"/>
              <w:rPr>
                <w:rFonts w:ascii="Arial" w:hAnsi="Arial" w:cs="Arial"/>
                <w:b/>
                <w:sz w:val="22"/>
                <w:szCs w:val="22"/>
              </w:rPr>
            </w:pPr>
            <w:r>
              <w:rPr>
                <w:rFonts w:ascii="Arial" w:hAnsi="Arial" w:cs="Arial"/>
                <w:b/>
                <w:sz w:val="22"/>
                <w:szCs w:val="22"/>
              </w:rPr>
              <w:t>2423742</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Programme:</w:t>
            </w:r>
          </w:p>
        </w:tc>
        <w:tc>
          <w:tcPr>
            <w:tcW w:w="3945" w:type="pct"/>
            <w:gridSpan w:val="3"/>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MSc Lean and Agile Operations &amp; MSc Engineering Project Management</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Module:</w:t>
            </w:r>
          </w:p>
        </w:tc>
        <w:tc>
          <w:tcPr>
            <w:tcW w:w="3945" w:type="pct"/>
            <w:gridSpan w:val="3"/>
            <w:shd w:val="clear" w:color="auto" w:fill="auto"/>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Procurement and Supply Chain Management</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Module code:</w:t>
            </w:r>
          </w:p>
        </w:tc>
        <w:tc>
          <w:tcPr>
            <w:tcW w:w="1659"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ACEA 7011</w:t>
            </w:r>
          </w:p>
        </w:tc>
        <w:tc>
          <w:tcPr>
            <w:tcW w:w="1143" w:type="pct"/>
            <w:shd w:val="clear" w:color="auto" w:fill="D9D9D9"/>
          </w:tcPr>
          <w:p w:rsidR="00E042A7" w:rsidRPr="004D5E9B" w:rsidRDefault="00E042A7" w:rsidP="00DB3B90">
            <w:pPr>
              <w:pStyle w:val="Heading2"/>
              <w:rPr>
                <w:rFonts w:ascii="Arial" w:hAnsi="Arial" w:cs="Arial"/>
                <w:sz w:val="22"/>
                <w:szCs w:val="22"/>
              </w:rPr>
            </w:pPr>
            <w:r w:rsidRPr="00A406E5">
              <w:rPr>
                <w:rFonts w:ascii="Arial" w:hAnsi="Arial" w:cs="Arial"/>
                <w:sz w:val="22"/>
                <w:szCs w:val="22"/>
              </w:rPr>
              <w:t>Contribution to Overall Module Assessment (%):</w:t>
            </w:r>
          </w:p>
        </w:tc>
        <w:tc>
          <w:tcPr>
            <w:tcW w:w="1143"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100%</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Lecturer:</w:t>
            </w:r>
          </w:p>
        </w:tc>
        <w:tc>
          <w:tcPr>
            <w:tcW w:w="1659"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Andrew Thorn</w:t>
            </w:r>
          </w:p>
        </w:tc>
        <w:tc>
          <w:tcPr>
            <w:tcW w:w="1143" w:type="pct"/>
            <w:shd w:val="clear" w:color="auto" w:fill="D9D9D9"/>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Internal Verifier:</w:t>
            </w:r>
          </w:p>
        </w:tc>
        <w:tc>
          <w:tcPr>
            <w:tcW w:w="1143"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Kelvin Lake</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Assignment Title:</w:t>
            </w:r>
          </w:p>
        </w:tc>
        <w:tc>
          <w:tcPr>
            <w:tcW w:w="1659"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Improving Supply chain Performance</w:t>
            </w:r>
          </w:p>
        </w:tc>
        <w:tc>
          <w:tcPr>
            <w:tcW w:w="1143" w:type="pct"/>
            <w:shd w:val="pct15" w:color="auto" w:fill="auto"/>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Word count (or equivalent):</w:t>
            </w:r>
          </w:p>
        </w:tc>
        <w:tc>
          <w:tcPr>
            <w:tcW w:w="1143"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3,000</w:t>
            </w:r>
          </w:p>
        </w:tc>
      </w:tr>
      <w:tr w:rsidR="00E042A7" w:rsidRPr="00A406E5" w:rsidTr="00E042A7">
        <w:tc>
          <w:tcPr>
            <w:tcW w:w="1055"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Submission deadline:</w:t>
            </w:r>
          </w:p>
        </w:tc>
        <w:tc>
          <w:tcPr>
            <w:tcW w:w="1659" w:type="pct"/>
            <w:shd w:val="clear" w:color="auto" w:fill="auto"/>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31/07/2025</w:t>
            </w:r>
          </w:p>
        </w:tc>
        <w:tc>
          <w:tcPr>
            <w:tcW w:w="1143" w:type="pct"/>
            <w:shd w:val="pct15" w:color="auto" w:fill="auto"/>
          </w:tcPr>
          <w:p w:rsidR="00E042A7" w:rsidRPr="00A406E5" w:rsidRDefault="00E042A7" w:rsidP="00DB3B9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143" w:type="pct"/>
          </w:tcPr>
          <w:p w:rsidR="00E042A7" w:rsidRPr="00A406E5" w:rsidRDefault="00E042A7" w:rsidP="00DB3B90">
            <w:pPr>
              <w:spacing w:before="120" w:after="120"/>
              <w:rPr>
                <w:rFonts w:ascii="Arial" w:hAnsi="Arial" w:cs="Arial"/>
                <w:b/>
                <w:sz w:val="22"/>
                <w:szCs w:val="22"/>
              </w:rPr>
            </w:pPr>
            <w:r>
              <w:rPr>
                <w:rFonts w:ascii="Arial" w:hAnsi="Arial" w:cs="Arial"/>
                <w:b/>
                <w:sz w:val="22"/>
                <w:szCs w:val="22"/>
              </w:rPr>
              <w:t>01/09/2025</w:t>
            </w:r>
          </w:p>
        </w:tc>
      </w:tr>
    </w:tbl>
    <w:p w:rsidR="00E042A7" w:rsidRDefault="00E042A7" w:rsidP="00724648"/>
    <w:p w:rsidR="00E042A7" w:rsidRDefault="00E042A7" w:rsidP="00724648"/>
    <w:p w:rsidR="00724648" w:rsidRDefault="00724648">
      <w:pPr>
        <w:spacing w:line="240" w:lineRule="auto"/>
        <w:jc w:val="left"/>
      </w:pPr>
      <w:r>
        <w:br w:type="page"/>
      </w:r>
    </w:p>
    <w:p w:rsidR="00724648" w:rsidRDefault="00724648" w:rsidP="00724648"/>
    <w:sdt>
      <w:sdtPr>
        <w:rPr>
          <w:rFonts w:ascii="Times New Roman" w:eastAsiaTheme="minorHAnsi" w:hAnsi="Times New Roman" w:cs="Vrinda"/>
          <w:b w:val="0"/>
          <w:bCs w:val="0"/>
          <w:color w:val="000000" w:themeColor="text1"/>
          <w:kern w:val="2"/>
          <w:sz w:val="24"/>
          <w:szCs w:val="30"/>
          <w:lang w:val="en-GB" w:bidi="bn-IN"/>
        </w:rPr>
        <w:id w:val="10725981"/>
        <w:docPartObj>
          <w:docPartGallery w:val="Table of Contents"/>
          <w:docPartUnique/>
        </w:docPartObj>
      </w:sdtPr>
      <w:sdtEndPr>
        <w:rPr>
          <w:rFonts w:cs="Times New Roman"/>
          <w:noProof/>
          <w:szCs w:val="24"/>
        </w:rPr>
      </w:sdtEndPr>
      <w:sdtContent>
        <w:p w:rsidR="00C813BE" w:rsidRDefault="00C813BE">
          <w:pPr>
            <w:pStyle w:val="TOCHeading"/>
          </w:pPr>
          <w:r>
            <w:t>Table of Contents</w:t>
          </w:r>
        </w:p>
        <w:p w:rsidR="00E042A7" w:rsidRPr="00E042A7" w:rsidRDefault="0048734A" w:rsidP="00E042A7">
          <w:pPr>
            <w:pStyle w:val="TOC1"/>
            <w:tabs>
              <w:tab w:val="right" w:leader="dot" w:pos="9016"/>
            </w:tabs>
            <w:jc w:val="both"/>
            <w:rPr>
              <w:rFonts w:ascii="Times New Roman" w:eastAsiaTheme="minorEastAsia" w:hAnsi="Times New Roman" w:cs="Times New Roman"/>
              <w:b w:val="0"/>
              <w:bCs w:val="0"/>
              <w:i w:val="0"/>
              <w:iCs w:val="0"/>
              <w:noProof/>
              <w:color w:val="auto"/>
              <w:lang w:val="en-US" w:bidi="bn-BD"/>
            </w:rPr>
          </w:pPr>
          <w:r w:rsidRPr="00E042A7">
            <w:rPr>
              <w:rFonts w:ascii="Times New Roman" w:hAnsi="Times New Roman" w:cs="Times New Roman"/>
              <w:b w:val="0"/>
              <w:bCs w:val="0"/>
              <w:i w:val="0"/>
              <w:iCs w:val="0"/>
            </w:rPr>
            <w:fldChar w:fldCharType="begin"/>
          </w:r>
          <w:r w:rsidR="00C813BE" w:rsidRPr="00E042A7">
            <w:rPr>
              <w:rFonts w:ascii="Times New Roman" w:hAnsi="Times New Roman" w:cs="Times New Roman"/>
              <w:b w:val="0"/>
              <w:bCs w:val="0"/>
              <w:i w:val="0"/>
              <w:iCs w:val="0"/>
            </w:rPr>
            <w:instrText xml:space="preserve"> TOC \o "1-3" \h \z \u </w:instrText>
          </w:r>
          <w:r w:rsidRPr="00E042A7">
            <w:rPr>
              <w:rFonts w:ascii="Times New Roman" w:hAnsi="Times New Roman" w:cs="Times New Roman"/>
              <w:b w:val="0"/>
              <w:bCs w:val="0"/>
              <w:i w:val="0"/>
              <w:iCs w:val="0"/>
            </w:rPr>
            <w:fldChar w:fldCharType="separate"/>
          </w:r>
          <w:hyperlink w:anchor="_Toc204819263" w:history="1">
            <w:r w:rsidR="00E042A7" w:rsidRPr="00E042A7">
              <w:rPr>
                <w:rStyle w:val="Hyperlink"/>
                <w:rFonts w:ascii="Times New Roman" w:hAnsi="Times New Roman" w:cs="Times New Roman"/>
                <w:b w:val="0"/>
                <w:bCs w:val="0"/>
                <w:i w:val="0"/>
                <w:iCs w:val="0"/>
                <w:noProof/>
              </w:rPr>
              <w:t>1. Introduction</w:t>
            </w:r>
            <w:r w:rsidR="00E042A7" w:rsidRPr="00E042A7">
              <w:rPr>
                <w:rFonts w:ascii="Times New Roman" w:hAnsi="Times New Roman" w:cs="Times New Roman"/>
                <w:b w:val="0"/>
                <w:bCs w:val="0"/>
                <w:i w:val="0"/>
                <w:iCs w:val="0"/>
                <w:noProof/>
                <w:webHidden/>
              </w:rPr>
              <w:tab/>
            </w:r>
            <w:r w:rsidRPr="00E042A7">
              <w:rPr>
                <w:rFonts w:ascii="Times New Roman" w:hAnsi="Times New Roman" w:cs="Times New Roman"/>
                <w:b w:val="0"/>
                <w:bCs w:val="0"/>
                <w:i w:val="0"/>
                <w:iCs w:val="0"/>
                <w:noProof/>
                <w:webHidden/>
              </w:rPr>
              <w:fldChar w:fldCharType="begin"/>
            </w:r>
            <w:r w:rsidR="00E042A7" w:rsidRPr="00E042A7">
              <w:rPr>
                <w:rFonts w:ascii="Times New Roman" w:hAnsi="Times New Roman" w:cs="Times New Roman"/>
                <w:b w:val="0"/>
                <w:bCs w:val="0"/>
                <w:i w:val="0"/>
                <w:iCs w:val="0"/>
                <w:noProof/>
                <w:webHidden/>
              </w:rPr>
              <w:instrText xml:space="preserve"> PAGEREF _Toc204819263 \h </w:instrText>
            </w:r>
            <w:r w:rsidRPr="00E042A7">
              <w:rPr>
                <w:rFonts w:ascii="Times New Roman" w:hAnsi="Times New Roman" w:cs="Times New Roman"/>
                <w:b w:val="0"/>
                <w:bCs w:val="0"/>
                <w:i w:val="0"/>
                <w:iCs w:val="0"/>
                <w:noProof/>
                <w:webHidden/>
              </w:rPr>
            </w:r>
            <w:r w:rsidRPr="00E042A7">
              <w:rPr>
                <w:rFonts w:ascii="Times New Roman" w:hAnsi="Times New Roman" w:cs="Times New Roman"/>
                <w:b w:val="0"/>
                <w:bCs w:val="0"/>
                <w:i w:val="0"/>
                <w:iCs w:val="0"/>
                <w:noProof/>
                <w:webHidden/>
              </w:rPr>
              <w:fldChar w:fldCharType="separate"/>
            </w:r>
            <w:r w:rsidR="00E042A7" w:rsidRPr="00E042A7">
              <w:rPr>
                <w:rFonts w:ascii="Times New Roman" w:hAnsi="Times New Roman" w:cs="Times New Roman"/>
                <w:b w:val="0"/>
                <w:bCs w:val="0"/>
                <w:i w:val="0"/>
                <w:iCs w:val="0"/>
                <w:noProof/>
                <w:webHidden/>
              </w:rPr>
              <w:t>3</w:t>
            </w:r>
            <w:r w:rsidRPr="00E042A7">
              <w:rPr>
                <w:rFonts w:ascii="Times New Roman" w:hAnsi="Times New Roman" w:cs="Times New Roman"/>
                <w:b w:val="0"/>
                <w:bCs w:val="0"/>
                <w:i w:val="0"/>
                <w:iCs w:val="0"/>
                <w:noProof/>
                <w:webHidden/>
              </w:rPr>
              <w:fldChar w:fldCharType="end"/>
            </w:r>
          </w:hyperlink>
        </w:p>
        <w:p w:rsidR="00E042A7" w:rsidRPr="00E042A7" w:rsidRDefault="0048734A" w:rsidP="00E042A7">
          <w:pPr>
            <w:pStyle w:val="TOC1"/>
            <w:tabs>
              <w:tab w:val="right" w:leader="dot" w:pos="9016"/>
            </w:tabs>
            <w:jc w:val="both"/>
            <w:rPr>
              <w:rFonts w:ascii="Times New Roman" w:eastAsiaTheme="minorEastAsia" w:hAnsi="Times New Roman" w:cs="Times New Roman"/>
              <w:b w:val="0"/>
              <w:bCs w:val="0"/>
              <w:i w:val="0"/>
              <w:iCs w:val="0"/>
              <w:noProof/>
              <w:color w:val="auto"/>
              <w:lang w:val="en-US" w:bidi="bn-BD"/>
            </w:rPr>
          </w:pPr>
          <w:hyperlink w:anchor="_Toc204819264" w:history="1">
            <w:r w:rsidR="00E042A7" w:rsidRPr="00E042A7">
              <w:rPr>
                <w:rStyle w:val="Hyperlink"/>
                <w:rFonts w:ascii="Times New Roman" w:hAnsi="Times New Roman" w:cs="Times New Roman"/>
                <w:b w:val="0"/>
                <w:bCs w:val="0"/>
                <w:i w:val="0"/>
                <w:iCs w:val="0"/>
                <w:noProof/>
              </w:rPr>
              <w:t>2. FMEA Analysis</w:t>
            </w:r>
            <w:r w:rsidR="00E042A7" w:rsidRPr="00E042A7">
              <w:rPr>
                <w:rFonts w:ascii="Times New Roman" w:hAnsi="Times New Roman" w:cs="Times New Roman"/>
                <w:b w:val="0"/>
                <w:bCs w:val="0"/>
                <w:i w:val="0"/>
                <w:iCs w:val="0"/>
                <w:noProof/>
                <w:webHidden/>
              </w:rPr>
              <w:tab/>
            </w:r>
            <w:r w:rsidRPr="00E042A7">
              <w:rPr>
                <w:rFonts w:ascii="Times New Roman" w:hAnsi="Times New Roman" w:cs="Times New Roman"/>
                <w:b w:val="0"/>
                <w:bCs w:val="0"/>
                <w:i w:val="0"/>
                <w:iCs w:val="0"/>
                <w:noProof/>
                <w:webHidden/>
              </w:rPr>
              <w:fldChar w:fldCharType="begin"/>
            </w:r>
            <w:r w:rsidR="00E042A7" w:rsidRPr="00E042A7">
              <w:rPr>
                <w:rFonts w:ascii="Times New Roman" w:hAnsi="Times New Roman" w:cs="Times New Roman"/>
                <w:b w:val="0"/>
                <w:bCs w:val="0"/>
                <w:i w:val="0"/>
                <w:iCs w:val="0"/>
                <w:noProof/>
                <w:webHidden/>
              </w:rPr>
              <w:instrText xml:space="preserve"> PAGEREF _Toc204819264 \h </w:instrText>
            </w:r>
            <w:r w:rsidRPr="00E042A7">
              <w:rPr>
                <w:rFonts w:ascii="Times New Roman" w:hAnsi="Times New Roman" w:cs="Times New Roman"/>
                <w:b w:val="0"/>
                <w:bCs w:val="0"/>
                <w:i w:val="0"/>
                <w:iCs w:val="0"/>
                <w:noProof/>
                <w:webHidden/>
              </w:rPr>
            </w:r>
            <w:r w:rsidRPr="00E042A7">
              <w:rPr>
                <w:rFonts w:ascii="Times New Roman" w:hAnsi="Times New Roman" w:cs="Times New Roman"/>
                <w:b w:val="0"/>
                <w:bCs w:val="0"/>
                <w:i w:val="0"/>
                <w:iCs w:val="0"/>
                <w:noProof/>
                <w:webHidden/>
              </w:rPr>
              <w:fldChar w:fldCharType="separate"/>
            </w:r>
            <w:r w:rsidR="00E042A7" w:rsidRPr="00E042A7">
              <w:rPr>
                <w:rFonts w:ascii="Times New Roman" w:hAnsi="Times New Roman" w:cs="Times New Roman"/>
                <w:b w:val="0"/>
                <w:bCs w:val="0"/>
                <w:i w:val="0"/>
                <w:iCs w:val="0"/>
                <w:noProof/>
                <w:webHidden/>
              </w:rPr>
              <w:t>4</w:t>
            </w:r>
            <w:r w:rsidRPr="00E042A7">
              <w:rPr>
                <w:rFonts w:ascii="Times New Roman" w:hAnsi="Times New Roman" w:cs="Times New Roman"/>
                <w:b w:val="0"/>
                <w:bCs w:val="0"/>
                <w:i w:val="0"/>
                <w:iCs w:val="0"/>
                <w:noProof/>
                <w:webHidden/>
              </w:rPr>
              <w:fldChar w:fldCharType="end"/>
            </w:r>
          </w:hyperlink>
        </w:p>
        <w:p w:rsidR="00E042A7" w:rsidRPr="00E042A7" w:rsidRDefault="0048734A" w:rsidP="00E042A7">
          <w:pPr>
            <w:pStyle w:val="TOC1"/>
            <w:tabs>
              <w:tab w:val="right" w:leader="dot" w:pos="9016"/>
            </w:tabs>
            <w:jc w:val="both"/>
            <w:rPr>
              <w:rFonts w:ascii="Times New Roman" w:eastAsiaTheme="minorEastAsia" w:hAnsi="Times New Roman" w:cs="Times New Roman"/>
              <w:b w:val="0"/>
              <w:bCs w:val="0"/>
              <w:i w:val="0"/>
              <w:iCs w:val="0"/>
              <w:noProof/>
              <w:color w:val="auto"/>
              <w:lang w:val="en-US" w:bidi="bn-BD"/>
            </w:rPr>
          </w:pPr>
          <w:hyperlink w:anchor="_Toc204819265" w:history="1">
            <w:r w:rsidR="00E042A7" w:rsidRPr="00E042A7">
              <w:rPr>
                <w:rStyle w:val="Hyperlink"/>
                <w:rFonts w:ascii="Times New Roman" w:hAnsi="Times New Roman" w:cs="Times New Roman"/>
                <w:b w:val="0"/>
                <w:bCs w:val="0"/>
                <w:i w:val="0"/>
                <w:iCs w:val="0"/>
                <w:noProof/>
              </w:rPr>
              <w:t>3. Enhance Supply Chain Resilience</w:t>
            </w:r>
            <w:r w:rsidR="00E042A7" w:rsidRPr="00E042A7">
              <w:rPr>
                <w:rFonts w:ascii="Times New Roman" w:hAnsi="Times New Roman" w:cs="Times New Roman"/>
                <w:b w:val="0"/>
                <w:bCs w:val="0"/>
                <w:i w:val="0"/>
                <w:iCs w:val="0"/>
                <w:noProof/>
                <w:webHidden/>
              </w:rPr>
              <w:tab/>
            </w:r>
            <w:r w:rsidRPr="00E042A7">
              <w:rPr>
                <w:rFonts w:ascii="Times New Roman" w:hAnsi="Times New Roman" w:cs="Times New Roman"/>
                <w:b w:val="0"/>
                <w:bCs w:val="0"/>
                <w:i w:val="0"/>
                <w:iCs w:val="0"/>
                <w:noProof/>
                <w:webHidden/>
              </w:rPr>
              <w:fldChar w:fldCharType="begin"/>
            </w:r>
            <w:r w:rsidR="00E042A7" w:rsidRPr="00E042A7">
              <w:rPr>
                <w:rFonts w:ascii="Times New Roman" w:hAnsi="Times New Roman" w:cs="Times New Roman"/>
                <w:b w:val="0"/>
                <w:bCs w:val="0"/>
                <w:i w:val="0"/>
                <w:iCs w:val="0"/>
                <w:noProof/>
                <w:webHidden/>
              </w:rPr>
              <w:instrText xml:space="preserve"> PAGEREF _Toc204819265 \h </w:instrText>
            </w:r>
            <w:r w:rsidRPr="00E042A7">
              <w:rPr>
                <w:rFonts w:ascii="Times New Roman" w:hAnsi="Times New Roman" w:cs="Times New Roman"/>
                <w:b w:val="0"/>
                <w:bCs w:val="0"/>
                <w:i w:val="0"/>
                <w:iCs w:val="0"/>
                <w:noProof/>
                <w:webHidden/>
              </w:rPr>
            </w:r>
            <w:r w:rsidRPr="00E042A7">
              <w:rPr>
                <w:rFonts w:ascii="Times New Roman" w:hAnsi="Times New Roman" w:cs="Times New Roman"/>
                <w:b w:val="0"/>
                <w:bCs w:val="0"/>
                <w:i w:val="0"/>
                <w:iCs w:val="0"/>
                <w:noProof/>
                <w:webHidden/>
              </w:rPr>
              <w:fldChar w:fldCharType="separate"/>
            </w:r>
            <w:r w:rsidR="00E042A7" w:rsidRPr="00E042A7">
              <w:rPr>
                <w:rFonts w:ascii="Times New Roman" w:hAnsi="Times New Roman" w:cs="Times New Roman"/>
                <w:b w:val="0"/>
                <w:bCs w:val="0"/>
                <w:i w:val="0"/>
                <w:iCs w:val="0"/>
                <w:noProof/>
                <w:webHidden/>
              </w:rPr>
              <w:t>7</w:t>
            </w:r>
            <w:r w:rsidRPr="00E042A7">
              <w:rPr>
                <w:rFonts w:ascii="Times New Roman" w:hAnsi="Times New Roman" w:cs="Times New Roman"/>
                <w:b w:val="0"/>
                <w:bCs w:val="0"/>
                <w:i w:val="0"/>
                <w:iCs w:val="0"/>
                <w:noProof/>
                <w:webHidden/>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66" w:history="1">
            <w:r w:rsidR="00E042A7" w:rsidRPr="00E042A7">
              <w:rPr>
                <w:rStyle w:val="Hyperlink"/>
                <w:rFonts w:ascii="Times New Roman" w:hAnsi="Times New Roman" w:cs="Times New Roman"/>
                <w:b w:val="0"/>
                <w:bCs w:val="0"/>
                <w:noProof/>
                <w:sz w:val="24"/>
                <w:szCs w:val="24"/>
              </w:rPr>
              <w:t>3.1 Supply Chain Mapping</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_Toc204819266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7</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67" w:history="1">
            <w:r w:rsidR="00E042A7" w:rsidRPr="00E042A7">
              <w:rPr>
                <w:rStyle w:val="Hyperlink"/>
                <w:rFonts w:ascii="Times New Roman" w:hAnsi="Times New Roman" w:cs="Times New Roman"/>
                <w:b w:val="0"/>
                <w:bCs w:val="0"/>
                <w:noProof/>
                <w:sz w:val="24"/>
                <w:szCs w:val="24"/>
              </w:rPr>
              <w:t>3.2 Postponement &amp; Decoupling</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_Toc204819267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8</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68" w:history="1">
            <w:r w:rsidR="00E042A7" w:rsidRPr="00E042A7">
              <w:rPr>
                <w:rStyle w:val="Hyperlink"/>
                <w:rFonts w:ascii="Times New Roman" w:hAnsi="Times New Roman" w:cs="Times New Roman"/>
                <w:b w:val="0"/>
                <w:bCs w:val="0"/>
                <w:noProof/>
                <w:sz w:val="24"/>
                <w:szCs w:val="24"/>
              </w:rPr>
              <w:t>3.3 Multi-Sourcing Strategy</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_Toc204819268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8</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69" w:history="1">
            <w:r w:rsidR="00E042A7" w:rsidRPr="00E042A7">
              <w:rPr>
                <w:rStyle w:val="Hyperlink"/>
                <w:rFonts w:ascii="Times New Roman" w:hAnsi="Times New Roman" w:cs="Times New Roman"/>
                <w:b w:val="0"/>
                <w:bCs w:val="0"/>
                <w:noProof/>
                <w:sz w:val="24"/>
                <w:szCs w:val="24"/>
              </w:rPr>
              <w:t>3.4 Demand Sensing and Agile Response</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_Toc204819269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9</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70" w:history="1">
            <w:r w:rsidR="00E042A7" w:rsidRPr="00E042A7">
              <w:rPr>
                <w:rStyle w:val="Hyperlink"/>
                <w:rFonts w:ascii="Times New Roman" w:hAnsi="Times New Roman" w:cs="Times New Roman"/>
                <w:b w:val="0"/>
                <w:bCs w:val="0"/>
                <w:noProof/>
                <w:sz w:val="24"/>
                <w:szCs w:val="24"/>
              </w:rPr>
              <w:t>3.5 Inventory Buffering</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_Toc204819270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10</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2"/>
            <w:tabs>
              <w:tab w:val="right" w:leader="dot" w:pos="9016"/>
            </w:tabs>
            <w:jc w:val="both"/>
            <w:rPr>
              <w:rFonts w:ascii="Times New Roman" w:eastAsiaTheme="minorEastAsia" w:hAnsi="Times New Roman" w:cs="Times New Roman"/>
              <w:b w:val="0"/>
              <w:bCs w:val="0"/>
              <w:noProof/>
              <w:color w:val="auto"/>
              <w:sz w:val="24"/>
              <w:szCs w:val="24"/>
              <w:lang w:val="en-US" w:bidi="bn-BD"/>
            </w:rPr>
          </w:pPr>
          <w:hyperlink w:anchor="_Toc204819271" w:history="1">
            <w:r w:rsidR="00E042A7" w:rsidRPr="00E042A7">
              <w:rPr>
                <w:rStyle w:val="Hyperlink"/>
                <w:rFonts w:ascii="Times New Roman" w:hAnsi="Times New Roman" w:cs="Times New Roman"/>
                <w:b w:val="0"/>
                <w:bCs w:val="0"/>
                <w:noProof/>
                <w:sz w:val="24"/>
                <w:szCs w:val="24"/>
              </w:rPr>
              <w:t>3.6 Agile Capacity Allocation</w:t>
            </w:r>
            <w:r w:rsidR="00E042A7" w:rsidRPr="00E042A7">
              <w:rPr>
                <w:rFonts w:ascii="Times New Roman" w:hAnsi="Times New Roman" w:cs="Times New Roman"/>
                <w:b w:val="0"/>
                <w:bCs w:val="0"/>
                <w:noProof/>
                <w:webHidden/>
                <w:sz w:val="24"/>
                <w:szCs w:val="24"/>
              </w:rPr>
              <w:tab/>
            </w:r>
            <w:r w:rsidRPr="00E042A7">
              <w:rPr>
                <w:rFonts w:ascii="Times New Roman" w:hAnsi="Times New Roman" w:cs="Times New Roman"/>
                <w:b w:val="0"/>
                <w:bCs w:val="0"/>
                <w:noProof/>
                <w:webHidden/>
                <w:sz w:val="24"/>
                <w:szCs w:val="24"/>
              </w:rPr>
              <w:fldChar w:fldCharType="begin"/>
            </w:r>
            <w:r w:rsidR="00E042A7" w:rsidRPr="00E042A7">
              <w:rPr>
                <w:rFonts w:ascii="Times New Roman" w:hAnsi="Times New Roman" w:cs="Times New Roman"/>
                <w:b w:val="0"/>
                <w:bCs w:val="0"/>
                <w:noProof/>
                <w:webHidden/>
                <w:sz w:val="24"/>
                <w:szCs w:val="24"/>
              </w:rPr>
              <w:instrText xml:space="preserve"> PAGEREF _Toc204819271 \h </w:instrText>
            </w:r>
            <w:r w:rsidRPr="00E042A7">
              <w:rPr>
                <w:rFonts w:ascii="Times New Roman" w:hAnsi="Times New Roman" w:cs="Times New Roman"/>
                <w:b w:val="0"/>
                <w:bCs w:val="0"/>
                <w:noProof/>
                <w:webHidden/>
                <w:sz w:val="24"/>
                <w:szCs w:val="24"/>
              </w:rPr>
            </w:r>
            <w:r w:rsidRPr="00E042A7">
              <w:rPr>
                <w:rFonts w:ascii="Times New Roman" w:hAnsi="Times New Roman" w:cs="Times New Roman"/>
                <w:b w:val="0"/>
                <w:bCs w:val="0"/>
                <w:noProof/>
                <w:webHidden/>
                <w:sz w:val="24"/>
                <w:szCs w:val="24"/>
              </w:rPr>
              <w:fldChar w:fldCharType="separate"/>
            </w:r>
            <w:r w:rsidR="00E042A7" w:rsidRPr="00E042A7">
              <w:rPr>
                <w:rFonts w:ascii="Times New Roman" w:hAnsi="Times New Roman" w:cs="Times New Roman"/>
                <w:b w:val="0"/>
                <w:bCs w:val="0"/>
                <w:noProof/>
                <w:webHidden/>
                <w:sz w:val="24"/>
                <w:szCs w:val="24"/>
              </w:rPr>
              <w:t>11</w:t>
            </w:r>
            <w:r w:rsidRPr="00E042A7">
              <w:rPr>
                <w:rFonts w:ascii="Times New Roman" w:hAnsi="Times New Roman" w:cs="Times New Roman"/>
                <w:b w:val="0"/>
                <w:bCs w:val="0"/>
                <w:noProof/>
                <w:webHidden/>
                <w:sz w:val="24"/>
                <w:szCs w:val="24"/>
              </w:rPr>
              <w:fldChar w:fldCharType="end"/>
            </w:r>
          </w:hyperlink>
        </w:p>
        <w:p w:rsidR="00E042A7" w:rsidRPr="00E042A7" w:rsidRDefault="0048734A" w:rsidP="00E042A7">
          <w:pPr>
            <w:pStyle w:val="TOC1"/>
            <w:tabs>
              <w:tab w:val="right" w:leader="dot" w:pos="9016"/>
            </w:tabs>
            <w:jc w:val="both"/>
            <w:rPr>
              <w:rFonts w:ascii="Times New Roman" w:eastAsiaTheme="minorEastAsia" w:hAnsi="Times New Roman" w:cs="Times New Roman"/>
              <w:b w:val="0"/>
              <w:bCs w:val="0"/>
              <w:i w:val="0"/>
              <w:iCs w:val="0"/>
              <w:noProof/>
              <w:color w:val="auto"/>
              <w:lang w:val="en-US" w:bidi="bn-BD"/>
            </w:rPr>
          </w:pPr>
          <w:hyperlink w:anchor="_Toc204819272" w:history="1">
            <w:r w:rsidR="00E042A7" w:rsidRPr="00E042A7">
              <w:rPr>
                <w:rStyle w:val="Hyperlink"/>
                <w:rFonts w:ascii="Times New Roman" w:hAnsi="Times New Roman" w:cs="Times New Roman"/>
                <w:b w:val="0"/>
                <w:bCs w:val="0"/>
                <w:i w:val="0"/>
                <w:iCs w:val="0"/>
                <w:noProof/>
              </w:rPr>
              <w:t>4. Conclusions and Further Research</w:t>
            </w:r>
            <w:r w:rsidR="00E042A7" w:rsidRPr="00E042A7">
              <w:rPr>
                <w:rFonts w:ascii="Times New Roman" w:hAnsi="Times New Roman" w:cs="Times New Roman"/>
                <w:b w:val="0"/>
                <w:bCs w:val="0"/>
                <w:i w:val="0"/>
                <w:iCs w:val="0"/>
                <w:noProof/>
                <w:webHidden/>
              </w:rPr>
              <w:tab/>
            </w:r>
            <w:r w:rsidRPr="00E042A7">
              <w:rPr>
                <w:rFonts w:ascii="Times New Roman" w:hAnsi="Times New Roman" w:cs="Times New Roman"/>
                <w:b w:val="0"/>
                <w:bCs w:val="0"/>
                <w:i w:val="0"/>
                <w:iCs w:val="0"/>
                <w:noProof/>
                <w:webHidden/>
              </w:rPr>
              <w:fldChar w:fldCharType="begin"/>
            </w:r>
            <w:r w:rsidR="00E042A7" w:rsidRPr="00E042A7">
              <w:rPr>
                <w:rFonts w:ascii="Times New Roman" w:hAnsi="Times New Roman" w:cs="Times New Roman"/>
                <w:b w:val="0"/>
                <w:bCs w:val="0"/>
                <w:i w:val="0"/>
                <w:iCs w:val="0"/>
                <w:noProof/>
                <w:webHidden/>
              </w:rPr>
              <w:instrText xml:space="preserve"> PAGEREF _Toc204819272 \h </w:instrText>
            </w:r>
            <w:r w:rsidRPr="00E042A7">
              <w:rPr>
                <w:rFonts w:ascii="Times New Roman" w:hAnsi="Times New Roman" w:cs="Times New Roman"/>
                <w:b w:val="0"/>
                <w:bCs w:val="0"/>
                <w:i w:val="0"/>
                <w:iCs w:val="0"/>
                <w:noProof/>
                <w:webHidden/>
              </w:rPr>
            </w:r>
            <w:r w:rsidRPr="00E042A7">
              <w:rPr>
                <w:rFonts w:ascii="Times New Roman" w:hAnsi="Times New Roman" w:cs="Times New Roman"/>
                <w:b w:val="0"/>
                <w:bCs w:val="0"/>
                <w:i w:val="0"/>
                <w:iCs w:val="0"/>
                <w:noProof/>
                <w:webHidden/>
              </w:rPr>
              <w:fldChar w:fldCharType="separate"/>
            </w:r>
            <w:r w:rsidR="00E042A7" w:rsidRPr="00E042A7">
              <w:rPr>
                <w:rFonts w:ascii="Times New Roman" w:hAnsi="Times New Roman" w:cs="Times New Roman"/>
                <w:b w:val="0"/>
                <w:bCs w:val="0"/>
                <w:i w:val="0"/>
                <w:iCs w:val="0"/>
                <w:noProof/>
                <w:webHidden/>
              </w:rPr>
              <w:t>12</w:t>
            </w:r>
            <w:r w:rsidRPr="00E042A7">
              <w:rPr>
                <w:rFonts w:ascii="Times New Roman" w:hAnsi="Times New Roman" w:cs="Times New Roman"/>
                <w:b w:val="0"/>
                <w:bCs w:val="0"/>
                <w:i w:val="0"/>
                <w:iCs w:val="0"/>
                <w:noProof/>
                <w:webHidden/>
              </w:rPr>
              <w:fldChar w:fldCharType="end"/>
            </w:r>
          </w:hyperlink>
        </w:p>
        <w:p w:rsidR="00E042A7" w:rsidRPr="00E042A7" w:rsidRDefault="0048734A" w:rsidP="00E042A7">
          <w:pPr>
            <w:pStyle w:val="TOC1"/>
            <w:tabs>
              <w:tab w:val="right" w:leader="dot" w:pos="9016"/>
            </w:tabs>
            <w:jc w:val="both"/>
            <w:rPr>
              <w:rFonts w:ascii="Times New Roman" w:eastAsiaTheme="minorEastAsia" w:hAnsi="Times New Roman" w:cs="Times New Roman"/>
              <w:b w:val="0"/>
              <w:bCs w:val="0"/>
              <w:i w:val="0"/>
              <w:iCs w:val="0"/>
              <w:noProof/>
              <w:color w:val="auto"/>
              <w:lang w:val="en-US" w:bidi="bn-BD"/>
            </w:rPr>
          </w:pPr>
          <w:hyperlink w:anchor="_Toc204819273" w:history="1">
            <w:r w:rsidR="00E042A7" w:rsidRPr="00E042A7">
              <w:rPr>
                <w:rStyle w:val="Hyperlink"/>
                <w:rFonts w:ascii="Times New Roman" w:hAnsi="Times New Roman" w:cs="Times New Roman"/>
                <w:b w:val="0"/>
                <w:bCs w:val="0"/>
                <w:i w:val="0"/>
                <w:iCs w:val="0"/>
                <w:noProof/>
              </w:rPr>
              <w:t>References</w:t>
            </w:r>
            <w:r w:rsidR="00E042A7" w:rsidRPr="00E042A7">
              <w:rPr>
                <w:rFonts w:ascii="Times New Roman" w:hAnsi="Times New Roman" w:cs="Times New Roman"/>
                <w:b w:val="0"/>
                <w:bCs w:val="0"/>
                <w:i w:val="0"/>
                <w:iCs w:val="0"/>
                <w:noProof/>
                <w:webHidden/>
              </w:rPr>
              <w:tab/>
            </w:r>
            <w:r w:rsidRPr="00E042A7">
              <w:rPr>
                <w:rFonts w:ascii="Times New Roman" w:hAnsi="Times New Roman" w:cs="Times New Roman"/>
                <w:b w:val="0"/>
                <w:bCs w:val="0"/>
                <w:i w:val="0"/>
                <w:iCs w:val="0"/>
                <w:noProof/>
                <w:webHidden/>
              </w:rPr>
              <w:fldChar w:fldCharType="begin"/>
            </w:r>
            <w:r w:rsidR="00E042A7" w:rsidRPr="00E042A7">
              <w:rPr>
                <w:rFonts w:ascii="Times New Roman" w:hAnsi="Times New Roman" w:cs="Times New Roman"/>
                <w:b w:val="0"/>
                <w:bCs w:val="0"/>
                <w:i w:val="0"/>
                <w:iCs w:val="0"/>
                <w:noProof/>
                <w:webHidden/>
              </w:rPr>
              <w:instrText xml:space="preserve"> PAGEREF _Toc204819273 \h </w:instrText>
            </w:r>
            <w:r w:rsidRPr="00E042A7">
              <w:rPr>
                <w:rFonts w:ascii="Times New Roman" w:hAnsi="Times New Roman" w:cs="Times New Roman"/>
                <w:b w:val="0"/>
                <w:bCs w:val="0"/>
                <w:i w:val="0"/>
                <w:iCs w:val="0"/>
                <w:noProof/>
                <w:webHidden/>
              </w:rPr>
            </w:r>
            <w:r w:rsidRPr="00E042A7">
              <w:rPr>
                <w:rFonts w:ascii="Times New Roman" w:hAnsi="Times New Roman" w:cs="Times New Roman"/>
                <w:b w:val="0"/>
                <w:bCs w:val="0"/>
                <w:i w:val="0"/>
                <w:iCs w:val="0"/>
                <w:noProof/>
                <w:webHidden/>
              </w:rPr>
              <w:fldChar w:fldCharType="separate"/>
            </w:r>
            <w:r w:rsidR="00E042A7" w:rsidRPr="00E042A7">
              <w:rPr>
                <w:rFonts w:ascii="Times New Roman" w:hAnsi="Times New Roman" w:cs="Times New Roman"/>
                <w:b w:val="0"/>
                <w:bCs w:val="0"/>
                <w:i w:val="0"/>
                <w:iCs w:val="0"/>
                <w:noProof/>
                <w:webHidden/>
              </w:rPr>
              <w:t>14</w:t>
            </w:r>
            <w:r w:rsidRPr="00E042A7">
              <w:rPr>
                <w:rFonts w:ascii="Times New Roman" w:hAnsi="Times New Roman" w:cs="Times New Roman"/>
                <w:b w:val="0"/>
                <w:bCs w:val="0"/>
                <w:i w:val="0"/>
                <w:iCs w:val="0"/>
                <w:noProof/>
                <w:webHidden/>
              </w:rPr>
              <w:fldChar w:fldCharType="end"/>
            </w:r>
          </w:hyperlink>
        </w:p>
        <w:p w:rsidR="00C813BE" w:rsidRPr="00E042A7" w:rsidRDefault="0048734A" w:rsidP="00E042A7">
          <w:pPr>
            <w:rPr>
              <w:rFonts w:cs="Times New Roman"/>
              <w:szCs w:val="24"/>
            </w:rPr>
          </w:pPr>
          <w:r w:rsidRPr="00E042A7">
            <w:rPr>
              <w:rFonts w:cs="Times New Roman"/>
              <w:noProof/>
              <w:szCs w:val="24"/>
            </w:rPr>
            <w:fldChar w:fldCharType="end"/>
          </w:r>
        </w:p>
      </w:sdtContent>
    </w:sdt>
    <w:p w:rsidR="006842E2" w:rsidRDefault="006842E2">
      <w:pPr>
        <w:spacing w:line="240" w:lineRule="auto"/>
        <w:jc w:val="left"/>
      </w:pPr>
      <w:r>
        <w:br w:type="page"/>
      </w:r>
    </w:p>
    <w:p w:rsidR="006842E2" w:rsidRDefault="006842E2" w:rsidP="006842E2">
      <w:pPr>
        <w:pStyle w:val="Heading1"/>
      </w:pPr>
      <w:bookmarkStart w:id="0" w:name="_Toc204819263"/>
      <w:r>
        <w:lastRenderedPageBreak/>
        <w:t>1. Introduction</w:t>
      </w:r>
      <w:bookmarkEnd w:id="0"/>
    </w:p>
    <w:p w:rsidR="00274347" w:rsidRDefault="00274347" w:rsidP="00274347">
      <w:r>
        <w:t xml:space="preserve">Global fashion supply chains operate in an environment of unprecedented volatility, characterised by compressed product lifecycles, volatile consumer preferences, and geopolitical instability </w:t>
      </w:r>
      <w:r w:rsidR="0033158B">
        <w:rPr>
          <w:color w:val="000000"/>
        </w:rPr>
        <w:t>(Al-amin et al., 2025)</w:t>
      </w:r>
      <w:r>
        <w:t xml:space="preserve">. This turbulence is acutely felt in fast-fashion ecosystems, where demand uncertainty amplifies supply chain vulnerability and exposes systemic weaknesses </w:t>
      </w:r>
      <w:r w:rsidR="00DE6BC8">
        <w:rPr>
          <w:color w:val="000000"/>
        </w:rPr>
        <w:t>(Farrukh and Sajjad, 2024)</w:t>
      </w:r>
      <w:r>
        <w:t xml:space="preserve">. Recent disruptions—from trade sanctions to climate events—have highlighted critical gaps in resilience planning, with </w:t>
      </w:r>
      <w:r w:rsidR="00DE6BC8">
        <w:t>most</w:t>
      </w:r>
      <w:r>
        <w:t xml:space="preserve"> of fashion firms reporting significant revenue loss due to supply chain failures in 2022–2024 </w:t>
      </w:r>
      <w:r w:rsidR="00B8563F">
        <w:rPr>
          <w:color w:val="000000"/>
        </w:rPr>
        <w:t>(McKinsey &amp; Company, 2025)</w:t>
      </w:r>
      <w:r>
        <w:t>.</w:t>
      </w:r>
    </w:p>
    <w:p w:rsidR="00274347" w:rsidRDefault="00274347" w:rsidP="00274347">
      <w:r>
        <w:t>This report addresses these challenges through a critical analysis of Zara’s international supply chain, selected for its high-risk, high-reward operational model. As a fast-fashion pioneer, Zara epitomises the tension between hyper-responsiveness and fragility: its vertically integrated supply chain enables rapid design-to-retail cycles</w:t>
      </w:r>
      <w:r w:rsidR="00DE6BC8">
        <w:t>. Still,i</w:t>
      </w:r>
      <w:r>
        <w:t xml:space="preserve">t concentrates 50% of production in Spain, creating single points of failure </w:t>
      </w:r>
      <w:r w:rsidR="00A66475">
        <w:rPr>
          <w:color w:val="000000"/>
        </w:rPr>
        <w:t>(Hugos, 2024)</w:t>
      </w:r>
      <w:r>
        <w:t xml:space="preserve">. The primary objective is twofold: </w:t>
      </w:r>
      <w:r w:rsidR="00A55294">
        <w:t>to c</w:t>
      </w:r>
      <w:r>
        <w:t xml:space="preserve">onduct a systematic Failure Mode and Effects Analysis (FMEA) to quantify risks across Zara’s "design-sourcing-delivery" pipeline, adapting </w:t>
      </w:r>
      <w:r w:rsidR="00A55294">
        <w:t xml:space="preserve">the methodology of </w:t>
      </w:r>
      <w:r w:rsidR="00A55294">
        <w:rPr>
          <w:color w:val="000000"/>
        </w:rPr>
        <w:t>Huang et al. (2020)</w:t>
      </w:r>
      <w:r>
        <w:t>. Propose six evidence-based resilience strategies integrating agile principles, decoupling, and supply chain mapping.</w:t>
      </w:r>
    </w:p>
    <w:p w:rsidR="00274347" w:rsidRDefault="00274347" w:rsidP="00274347">
      <w:r>
        <w:t xml:space="preserve">The methodology employs </w:t>
      </w:r>
      <w:r w:rsidR="0055798F">
        <w:t xml:space="preserve">the </w:t>
      </w:r>
      <w:r>
        <w:t xml:space="preserve">FMEA framework to prioritise risks </w:t>
      </w:r>
      <w:r w:rsidR="00C0356F">
        <w:rPr>
          <w:kern w:val="0"/>
        </w:rPr>
        <w:t xml:space="preserve">based on Severity (SEV), Occurrence (OCC), and Detection (DET) scoring, validated against Zara’s operational data </w:t>
      </w:r>
      <w:r w:rsidR="005D0159">
        <w:rPr>
          <w:color w:val="000000"/>
        </w:rPr>
        <w:t>(Lin et al., 2022)</w:t>
      </w:r>
      <w:r w:rsidR="00C0356F">
        <w:rPr>
          <w:kern w:val="0"/>
        </w:rPr>
        <w:t xml:space="preserve">. Resilience strategies are synthesised from contemporary agile supply chain theory </w:t>
      </w:r>
      <w:r w:rsidR="006B212E">
        <w:rPr>
          <w:color w:val="000000"/>
        </w:rPr>
        <w:t>(Ahmed and Rashdi, 2022)</w:t>
      </w:r>
      <w:r w:rsidR="00C0356F">
        <w:rPr>
          <w:kern w:val="0"/>
        </w:rPr>
        <w:t xml:space="preserve"> and industry best practices, including Toyota’s Time-to-Recovery (TTR) model</w:t>
      </w:r>
      <w:r w:rsidR="0055798F">
        <w:rPr>
          <w:kern w:val="0"/>
        </w:rPr>
        <w:t>, which was developed</w:t>
      </w:r>
      <w:r w:rsidR="00C0356F">
        <w:rPr>
          <w:kern w:val="0"/>
        </w:rPr>
        <w:t xml:space="preserve"> following the 2011 tsunami </w:t>
      </w:r>
      <w:r w:rsidR="0055798F">
        <w:rPr>
          <w:color w:val="000000"/>
        </w:rPr>
        <w:t>(Lee et al., 2017)</w:t>
      </w:r>
      <w:r>
        <w:t>.</w:t>
      </w:r>
    </w:p>
    <w:p w:rsidR="006842E2" w:rsidRDefault="00BE79CD" w:rsidP="00274347">
      <w:r w:rsidRPr="00BE79CD">
        <w:t>The case of the Zara chain is a legendary instance of a chain that must be hardened as it requires stability, which is based on the minimi</w:t>
      </w:r>
      <w:r>
        <w:t>s</w:t>
      </w:r>
      <w:r w:rsidRPr="00BE79CD">
        <w:t xml:space="preserve">ation of lead time and the capacity of managing the volatile demand. The intensified manufacturing process and complicated Tier-2/3 supplier chain up the ante on the shocks it is exposed to (Lyu et al., 2025). </w:t>
      </w:r>
      <w:r>
        <w:rPr>
          <w:kern w:val="0"/>
        </w:rPr>
        <w:t>The solutions presented in this analysis provide a blueprint for combining the optimality of fast-fashion agility with system resilience by counteracting the represented vulnerabilities.</w:t>
      </w:r>
    </w:p>
    <w:p w:rsidR="006C3BAD" w:rsidRDefault="006C3BAD" w:rsidP="00163540">
      <w:pPr>
        <w:pStyle w:val="Heading1"/>
        <w:sectPr w:rsidR="006C3BAD">
          <w:footerReference w:type="default" r:id="rId10"/>
          <w:footerReference w:type="first" r:id="rId11"/>
          <w:pgSz w:w="11906" w:h="16838"/>
          <w:pgMar w:top="1440" w:right="1440" w:bottom="1440" w:left="1440" w:header="708" w:footer="708" w:gutter="0"/>
          <w:cols w:space="708"/>
          <w:docGrid w:linePitch="360"/>
        </w:sectPr>
      </w:pPr>
    </w:p>
    <w:p w:rsidR="00274347" w:rsidRDefault="00163540" w:rsidP="00163540">
      <w:pPr>
        <w:pStyle w:val="Heading1"/>
      </w:pPr>
      <w:bookmarkStart w:id="1" w:name="_Toc204819264"/>
      <w:r>
        <w:lastRenderedPageBreak/>
        <w:t xml:space="preserve">2. </w:t>
      </w:r>
      <w:r w:rsidRPr="00163540">
        <w:t>FMEA Analysis</w:t>
      </w:r>
      <w:bookmarkEnd w:id="1"/>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8"/>
        <w:gridCol w:w="900"/>
        <w:gridCol w:w="900"/>
        <w:gridCol w:w="360"/>
        <w:gridCol w:w="360"/>
        <w:gridCol w:w="1080"/>
        <w:gridCol w:w="360"/>
        <w:gridCol w:w="1260"/>
        <w:gridCol w:w="315"/>
        <w:gridCol w:w="405"/>
        <w:gridCol w:w="1800"/>
        <w:gridCol w:w="1620"/>
        <w:gridCol w:w="1620"/>
        <w:gridCol w:w="360"/>
        <w:gridCol w:w="360"/>
        <w:gridCol w:w="468"/>
        <w:gridCol w:w="426"/>
      </w:tblGrid>
      <w:tr w:rsidR="006C3BAD" w:rsidTr="005231F3">
        <w:tc>
          <w:tcPr>
            <w:tcW w:w="12528" w:type="dxa"/>
            <w:gridSpan w:val="13"/>
            <w:shd w:val="clear" w:color="auto" w:fill="auto"/>
          </w:tcPr>
          <w:p w:rsidR="006C3BAD" w:rsidRPr="00074F78" w:rsidRDefault="006C3BAD" w:rsidP="005231F3">
            <w:pPr>
              <w:jc w:val="center"/>
              <w:rPr>
                <w:b/>
              </w:rPr>
            </w:pPr>
          </w:p>
          <w:p w:rsidR="006C3BAD" w:rsidRPr="00074F78" w:rsidRDefault="006C3BAD" w:rsidP="005231F3">
            <w:pPr>
              <w:jc w:val="center"/>
              <w:rPr>
                <w:b/>
              </w:rPr>
            </w:pPr>
            <w:r w:rsidRPr="00074F78">
              <w:rPr>
                <w:b/>
              </w:rPr>
              <w:t>POTENTIAL FAILURE MODES &amp; EFFECTS ANALYSIS (PROCESS F.M.E.A)</w:t>
            </w:r>
          </w:p>
          <w:p w:rsidR="006C3BAD" w:rsidRDefault="006C3BAD" w:rsidP="005231F3">
            <w:pPr>
              <w:jc w:val="center"/>
            </w:pPr>
          </w:p>
        </w:tc>
        <w:tc>
          <w:tcPr>
            <w:tcW w:w="1614" w:type="dxa"/>
            <w:gridSpan w:val="4"/>
            <w:shd w:val="clear" w:color="auto" w:fill="auto"/>
          </w:tcPr>
          <w:p w:rsidR="006C3BAD" w:rsidRPr="00074F78" w:rsidRDefault="006C3BAD" w:rsidP="005231F3">
            <w:pPr>
              <w:rPr>
                <w:b/>
                <w:sz w:val="16"/>
                <w:szCs w:val="16"/>
              </w:rPr>
            </w:pPr>
            <w:r w:rsidRPr="00074F78">
              <w:rPr>
                <w:b/>
                <w:sz w:val="16"/>
                <w:szCs w:val="16"/>
              </w:rPr>
              <w:t>FMEA REF:</w:t>
            </w:r>
          </w:p>
        </w:tc>
      </w:tr>
      <w:tr w:rsidR="006C3BAD" w:rsidTr="005231F3">
        <w:tc>
          <w:tcPr>
            <w:tcW w:w="7488" w:type="dxa"/>
            <w:gridSpan w:val="10"/>
            <w:tcBorders>
              <w:right w:val="single" w:sz="4" w:space="0" w:color="auto"/>
            </w:tcBorders>
            <w:shd w:val="clear" w:color="auto" w:fill="auto"/>
          </w:tcPr>
          <w:p w:rsidR="006C3BAD" w:rsidRPr="00074F78" w:rsidRDefault="006C3BAD" w:rsidP="005231F3">
            <w:pPr>
              <w:rPr>
                <w:b/>
              </w:rPr>
            </w:pPr>
            <w:r w:rsidRPr="00074F78">
              <w:rPr>
                <w:b/>
              </w:rPr>
              <w:t>Title:</w:t>
            </w:r>
          </w:p>
        </w:tc>
        <w:tc>
          <w:tcPr>
            <w:tcW w:w="5040" w:type="dxa"/>
            <w:gridSpan w:val="3"/>
            <w:tcBorders>
              <w:top w:val="nil"/>
              <w:left w:val="single" w:sz="4" w:space="0" w:color="auto"/>
              <w:bottom w:val="nil"/>
              <w:right w:val="single" w:sz="4" w:space="0" w:color="auto"/>
            </w:tcBorders>
            <w:shd w:val="clear" w:color="auto" w:fill="auto"/>
          </w:tcPr>
          <w:p w:rsidR="006C3BAD" w:rsidRPr="00074F78" w:rsidRDefault="006C3BAD" w:rsidP="005231F3">
            <w:pPr>
              <w:rPr>
                <w:b/>
              </w:rPr>
            </w:pPr>
            <w:r w:rsidRPr="00074F78">
              <w:rPr>
                <w:b/>
              </w:rPr>
              <w:t>Team:</w:t>
            </w:r>
          </w:p>
        </w:tc>
        <w:tc>
          <w:tcPr>
            <w:tcW w:w="1614" w:type="dxa"/>
            <w:gridSpan w:val="4"/>
            <w:tcBorders>
              <w:left w:val="single" w:sz="4" w:space="0" w:color="auto"/>
            </w:tcBorders>
            <w:shd w:val="clear" w:color="auto" w:fill="auto"/>
          </w:tcPr>
          <w:p w:rsidR="006C3BAD" w:rsidRPr="00074F78" w:rsidRDefault="006C3BAD" w:rsidP="005231F3">
            <w:pPr>
              <w:rPr>
                <w:b/>
                <w:sz w:val="18"/>
                <w:szCs w:val="18"/>
              </w:rPr>
            </w:pPr>
            <w:r w:rsidRPr="00074F78">
              <w:rPr>
                <w:b/>
                <w:sz w:val="18"/>
                <w:szCs w:val="18"/>
              </w:rPr>
              <w:t>Page:</w:t>
            </w:r>
          </w:p>
        </w:tc>
      </w:tr>
      <w:tr w:rsidR="006C3BAD" w:rsidRPr="00074F78" w:rsidTr="005231F3">
        <w:tc>
          <w:tcPr>
            <w:tcW w:w="1548" w:type="dxa"/>
            <w:shd w:val="clear" w:color="auto" w:fill="auto"/>
          </w:tcPr>
          <w:p w:rsidR="006C3BAD" w:rsidRPr="00074F78" w:rsidRDefault="006C3BAD" w:rsidP="005231F3">
            <w:pPr>
              <w:rPr>
                <w:b/>
              </w:rPr>
            </w:pPr>
            <w:r w:rsidRPr="00074F78">
              <w:rPr>
                <w:b/>
              </w:rPr>
              <w:t>Process:</w:t>
            </w:r>
          </w:p>
        </w:tc>
        <w:tc>
          <w:tcPr>
            <w:tcW w:w="5940" w:type="dxa"/>
            <w:gridSpan w:val="9"/>
            <w:tcBorders>
              <w:right w:val="single" w:sz="4" w:space="0" w:color="auto"/>
            </w:tcBorders>
            <w:shd w:val="clear" w:color="auto" w:fill="auto"/>
          </w:tcPr>
          <w:p w:rsidR="006C3BAD" w:rsidRPr="00074F78" w:rsidRDefault="006C3BAD" w:rsidP="005231F3">
            <w:pPr>
              <w:rPr>
                <w:b/>
              </w:rPr>
            </w:pPr>
          </w:p>
        </w:tc>
        <w:tc>
          <w:tcPr>
            <w:tcW w:w="5040" w:type="dxa"/>
            <w:gridSpan w:val="3"/>
            <w:tcBorders>
              <w:top w:val="nil"/>
              <w:left w:val="single" w:sz="4" w:space="0" w:color="auto"/>
              <w:bottom w:val="nil"/>
              <w:right w:val="single" w:sz="4" w:space="0" w:color="auto"/>
            </w:tcBorders>
            <w:shd w:val="clear" w:color="auto" w:fill="auto"/>
          </w:tcPr>
          <w:p w:rsidR="006C3BAD" w:rsidRPr="00074F78" w:rsidRDefault="006C3BAD" w:rsidP="005231F3">
            <w:pPr>
              <w:rPr>
                <w:b/>
              </w:rPr>
            </w:pPr>
          </w:p>
        </w:tc>
        <w:tc>
          <w:tcPr>
            <w:tcW w:w="1614" w:type="dxa"/>
            <w:gridSpan w:val="4"/>
            <w:tcBorders>
              <w:left w:val="single" w:sz="4" w:space="0" w:color="auto"/>
            </w:tcBorders>
            <w:shd w:val="clear" w:color="auto" w:fill="auto"/>
          </w:tcPr>
          <w:p w:rsidR="006C3BAD" w:rsidRPr="00074F78" w:rsidRDefault="006C3BAD" w:rsidP="005231F3">
            <w:pPr>
              <w:rPr>
                <w:b/>
                <w:sz w:val="18"/>
                <w:szCs w:val="18"/>
              </w:rPr>
            </w:pPr>
            <w:r w:rsidRPr="00074F78">
              <w:rPr>
                <w:b/>
                <w:sz w:val="18"/>
                <w:szCs w:val="18"/>
              </w:rPr>
              <w:t>Date:</w:t>
            </w:r>
          </w:p>
        </w:tc>
      </w:tr>
      <w:tr w:rsidR="006C3BAD" w:rsidRPr="00074F78" w:rsidTr="005231F3">
        <w:tc>
          <w:tcPr>
            <w:tcW w:w="1548" w:type="dxa"/>
            <w:shd w:val="clear" w:color="auto" w:fill="auto"/>
          </w:tcPr>
          <w:p w:rsidR="006C3BAD" w:rsidRPr="00074F78" w:rsidRDefault="006C3BAD" w:rsidP="005231F3">
            <w:pPr>
              <w:rPr>
                <w:b/>
              </w:rPr>
            </w:pPr>
            <w:r w:rsidRPr="00074F78">
              <w:rPr>
                <w:b/>
              </w:rPr>
              <w:t>Subsystem:</w:t>
            </w:r>
          </w:p>
        </w:tc>
        <w:tc>
          <w:tcPr>
            <w:tcW w:w="5940" w:type="dxa"/>
            <w:gridSpan w:val="9"/>
            <w:tcBorders>
              <w:right w:val="single" w:sz="4" w:space="0" w:color="auto"/>
            </w:tcBorders>
            <w:shd w:val="clear" w:color="auto" w:fill="auto"/>
          </w:tcPr>
          <w:p w:rsidR="006C3BAD" w:rsidRPr="00074F78" w:rsidRDefault="006C3BAD" w:rsidP="005231F3">
            <w:pPr>
              <w:rPr>
                <w:b/>
              </w:rPr>
            </w:pPr>
          </w:p>
        </w:tc>
        <w:tc>
          <w:tcPr>
            <w:tcW w:w="5040" w:type="dxa"/>
            <w:gridSpan w:val="3"/>
            <w:tcBorders>
              <w:top w:val="nil"/>
              <w:left w:val="single" w:sz="4" w:space="0" w:color="auto"/>
              <w:bottom w:val="single" w:sz="4" w:space="0" w:color="auto"/>
              <w:right w:val="single" w:sz="4" w:space="0" w:color="auto"/>
            </w:tcBorders>
            <w:shd w:val="clear" w:color="auto" w:fill="auto"/>
          </w:tcPr>
          <w:p w:rsidR="006C3BAD" w:rsidRPr="00074F78" w:rsidRDefault="006C3BAD" w:rsidP="005231F3">
            <w:pPr>
              <w:rPr>
                <w:b/>
              </w:rPr>
            </w:pPr>
          </w:p>
        </w:tc>
        <w:tc>
          <w:tcPr>
            <w:tcW w:w="1614" w:type="dxa"/>
            <w:gridSpan w:val="4"/>
            <w:tcBorders>
              <w:left w:val="single" w:sz="4" w:space="0" w:color="auto"/>
            </w:tcBorders>
            <w:shd w:val="clear" w:color="auto" w:fill="auto"/>
          </w:tcPr>
          <w:p w:rsidR="006C3BAD" w:rsidRPr="00074F78" w:rsidRDefault="006C3BAD" w:rsidP="005231F3">
            <w:pPr>
              <w:jc w:val="center"/>
              <w:rPr>
                <w:b/>
                <w:sz w:val="18"/>
                <w:szCs w:val="18"/>
              </w:rPr>
            </w:pPr>
            <w:r w:rsidRPr="00074F78">
              <w:rPr>
                <w:b/>
                <w:sz w:val="18"/>
                <w:szCs w:val="18"/>
              </w:rPr>
              <w:t>Action Results</w:t>
            </w:r>
          </w:p>
        </w:tc>
      </w:tr>
      <w:tr w:rsidR="006C3BAD" w:rsidRPr="00074F78" w:rsidTr="00E25E9A">
        <w:tc>
          <w:tcPr>
            <w:tcW w:w="1548" w:type="dxa"/>
            <w:shd w:val="clear" w:color="auto" w:fill="auto"/>
          </w:tcPr>
          <w:p w:rsidR="006C3BAD" w:rsidRPr="00074F78" w:rsidRDefault="006C3BAD" w:rsidP="005231F3">
            <w:pPr>
              <w:jc w:val="center"/>
              <w:rPr>
                <w:b/>
                <w:sz w:val="20"/>
                <w:szCs w:val="20"/>
              </w:rPr>
            </w:pPr>
            <w:r w:rsidRPr="00074F78">
              <w:rPr>
                <w:b/>
                <w:sz w:val="20"/>
                <w:szCs w:val="20"/>
              </w:rPr>
              <w:t>Function</w:t>
            </w:r>
          </w:p>
          <w:p w:rsidR="006C3BAD" w:rsidRPr="00074F78" w:rsidRDefault="006C3BAD" w:rsidP="005231F3">
            <w:pPr>
              <w:jc w:val="center"/>
              <w:rPr>
                <w:b/>
                <w:sz w:val="20"/>
                <w:szCs w:val="20"/>
              </w:rPr>
            </w:pPr>
            <w:r w:rsidRPr="00074F78">
              <w:rPr>
                <w:b/>
                <w:sz w:val="20"/>
                <w:szCs w:val="20"/>
              </w:rPr>
              <w:t>Description</w:t>
            </w:r>
          </w:p>
          <w:p w:rsidR="006C3BAD" w:rsidRPr="00074F78" w:rsidRDefault="006C3BAD" w:rsidP="005231F3">
            <w:pPr>
              <w:jc w:val="center"/>
              <w:rPr>
                <w:b/>
                <w:sz w:val="20"/>
                <w:szCs w:val="20"/>
              </w:rPr>
            </w:pPr>
            <w:r w:rsidRPr="00074F78">
              <w:rPr>
                <w:b/>
                <w:sz w:val="20"/>
                <w:szCs w:val="20"/>
              </w:rPr>
              <w:t>(Ref.)</w:t>
            </w:r>
          </w:p>
        </w:tc>
        <w:tc>
          <w:tcPr>
            <w:tcW w:w="1800" w:type="dxa"/>
            <w:gridSpan w:val="2"/>
            <w:shd w:val="clear" w:color="auto" w:fill="auto"/>
          </w:tcPr>
          <w:p w:rsidR="006C3BAD" w:rsidRPr="00074F78" w:rsidRDefault="006C3BAD" w:rsidP="005231F3">
            <w:pPr>
              <w:jc w:val="center"/>
              <w:rPr>
                <w:b/>
                <w:sz w:val="20"/>
                <w:szCs w:val="20"/>
              </w:rPr>
            </w:pPr>
            <w:r w:rsidRPr="00074F78">
              <w:rPr>
                <w:b/>
                <w:sz w:val="20"/>
                <w:szCs w:val="20"/>
              </w:rPr>
              <w:t>Potential</w:t>
            </w:r>
          </w:p>
          <w:p w:rsidR="006C3BAD" w:rsidRPr="00074F78" w:rsidRDefault="0048734A" w:rsidP="005231F3">
            <w:pPr>
              <w:rPr>
                <w:b/>
                <w:sz w:val="20"/>
                <w:szCs w:val="20"/>
              </w:rPr>
            </w:pPr>
            <w:r w:rsidRPr="0048734A">
              <w:rPr>
                <w:b/>
                <w:noProof/>
                <w:lang w:eastAsia="en-GB"/>
              </w:rPr>
              <w:pict>
                <v:line id="Line 4" o:spid="_x0000_s2050" style="position:absolute;left:0;text-align:left;z-index:251659264;visibility:visible" from="39.6pt,2.3pt" to="39.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">
                  <o:lock v:ext="edit" shapetype="f"/>
                </v:line>
              </w:pict>
            </w:r>
            <w:r w:rsidR="006C3BAD" w:rsidRPr="00074F78">
              <w:rPr>
                <w:b/>
                <w:sz w:val="20"/>
                <w:szCs w:val="20"/>
              </w:rPr>
              <w:t>Failure      Effect</w:t>
            </w:r>
          </w:p>
          <w:p w:rsidR="006C3BAD" w:rsidRPr="00074F78" w:rsidRDefault="006C3BAD" w:rsidP="005231F3">
            <w:pPr>
              <w:rPr>
                <w:b/>
                <w:sz w:val="20"/>
                <w:szCs w:val="20"/>
              </w:rPr>
            </w:pPr>
            <w:r w:rsidRPr="00074F78">
              <w:rPr>
                <w:b/>
                <w:sz w:val="20"/>
                <w:szCs w:val="20"/>
              </w:rPr>
              <w:t xml:space="preserve">  Mode           of</w:t>
            </w:r>
          </w:p>
          <w:p w:rsidR="006C3BAD" w:rsidRPr="00074F78" w:rsidRDefault="006C3BAD" w:rsidP="005231F3">
            <w:pPr>
              <w:rPr>
                <w:b/>
                <w:sz w:val="20"/>
                <w:szCs w:val="20"/>
              </w:rPr>
            </w:pPr>
            <w:r w:rsidRPr="00074F78">
              <w:rPr>
                <w:b/>
                <w:sz w:val="20"/>
                <w:szCs w:val="20"/>
              </w:rPr>
              <w:t xml:space="preserve">                  Failure</w:t>
            </w:r>
          </w:p>
        </w:tc>
        <w:tc>
          <w:tcPr>
            <w:tcW w:w="360" w:type="dxa"/>
            <w:shd w:val="clear" w:color="auto" w:fill="auto"/>
          </w:tcPr>
          <w:p w:rsidR="006C3BAD" w:rsidRPr="00074F78" w:rsidRDefault="006C3BAD" w:rsidP="005231F3">
            <w:pPr>
              <w:rPr>
                <w:b/>
                <w:sz w:val="20"/>
                <w:szCs w:val="20"/>
              </w:rPr>
            </w:pPr>
            <w:r>
              <w:rPr>
                <w:b/>
                <w:sz w:val="20"/>
                <w:szCs w:val="20"/>
              </w:rPr>
              <w:t>SEV</w:t>
            </w:r>
          </w:p>
        </w:tc>
        <w:tc>
          <w:tcPr>
            <w:tcW w:w="360" w:type="dxa"/>
            <w:shd w:val="clear" w:color="auto" w:fill="auto"/>
          </w:tcPr>
          <w:p w:rsidR="006C3BAD" w:rsidRPr="00074F78" w:rsidRDefault="006C3BAD" w:rsidP="005231F3">
            <w:pPr>
              <w:rPr>
                <w:b/>
              </w:rPr>
            </w:pPr>
            <w:r w:rsidRPr="00074F78">
              <w:rPr>
                <w:b/>
              </w:rPr>
              <w:t>▼</w:t>
            </w:r>
          </w:p>
        </w:tc>
        <w:tc>
          <w:tcPr>
            <w:tcW w:w="1080" w:type="dxa"/>
            <w:shd w:val="clear" w:color="auto" w:fill="auto"/>
          </w:tcPr>
          <w:p w:rsidR="006C3BAD" w:rsidRPr="00074F78" w:rsidRDefault="006C3BAD" w:rsidP="005231F3">
            <w:pPr>
              <w:jc w:val="center"/>
              <w:rPr>
                <w:b/>
                <w:sz w:val="20"/>
                <w:szCs w:val="20"/>
              </w:rPr>
            </w:pPr>
            <w:r w:rsidRPr="00074F78">
              <w:rPr>
                <w:b/>
                <w:sz w:val="20"/>
                <w:szCs w:val="20"/>
              </w:rPr>
              <w:t>Potential Cause of Failure</w:t>
            </w:r>
          </w:p>
        </w:tc>
        <w:tc>
          <w:tcPr>
            <w:tcW w:w="360" w:type="dxa"/>
            <w:shd w:val="clear" w:color="auto" w:fill="auto"/>
          </w:tcPr>
          <w:p w:rsidR="006C3BAD" w:rsidRPr="00074F78" w:rsidRDefault="006C3BAD" w:rsidP="005231F3">
            <w:pPr>
              <w:rPr>
                <w:b/>
                <w:sz w:val="20"/>
                <w:szCs w:val="20"/>
              </w:rPr>
            </w:pPr>
            <w:r w:rsidRPr="00074F78">
              <w:rPr>
                <w:b/>
                <w:sz w:val="20"/>
                <w:szCs w:val="20"/>
              </w:rPr>
              <w:t>OCC</w:t>
            </w:r>
          </w:p>
        </w:tc>
        <w:tc>
          <w:tcPr>
            <w:tcW w:w="1260" w:type="dxa"/>
            <w:shd w:val="clear" w:color="auto" w:fill="auto"/>
          </w:tcPr>
          <w:p w:rsidR="006C3BAD" w:rsidRPr="00074F78" w:rsidRDefault="006C3BAD" w:rsidP="005231F3">
            <w:pPr>
              <w:jc w:val="center"/>
              <w:rPr>
                <w:b/>
                <w:sz w:val="20"/>
                <w:szCs w:val="20"/>
              </w:rPr>
            </w:pPr>
            <w:r w:rsidRPr="00074F78">
              <w:rPr>
                <w:b/>
                <w:sz w:val="20"/>
                <w:szCs w:val="20"/>
              </w:rPr>
              <w:t>Current Controls</w:t>
            </w:r>
          </w:p>
        </w:tc>
        <w:tc>
          <w:tcPr>
            <w:tcW w:w="315" w:type="dxa"/>
            <w:shd w:val="clear" w:color="auto" w:fill="auto"/>
          </w:tcPr>
          <w:p w:rsidR="006C3BAD" w:rsidRPr="00074F78" w:rsidRDefault="006C3BAD" w:rsidP="005231F3">
            <w:pPr>
              <w:rPr>
                <w:b/>
                <w:sz w:val="20"/>
                <w:szCs w:val="20"/>
              </w:rPr>
            </w:pPr>
            <w:r w:rsidRPr="00074F78">
              <w:rPr>
                <w:b/>
                <w:sz w:val="20"/>
                <w:szCs w:val="20"/>
              </w:rPr>
              <w:t>DET</w:t>
            </w:r>
          </w:p>
        </w:tc>
        <w:tc>
          <w:tcPr>
            <w:tcW w:w="405" w:type="dxa"/>
            <w:shd w:val="clear" w:color="auto" w:fill="auto"/>
          </w:tcPr>
          <w:p w:rsidR="006C3BAD" w:rsidRPr="00074F78" w:rsidRDefault="006C3BAD" w:rsidP="005231F3">
            <w:pPr>
              <w:rPr>
                <w:b/>
                <w:sz w:val="20"/>
                <w:szCs w:val="20"/>
              </w:rPr>
            </w:pPr>
            <w:r>
              <w:rPr>
                <w:b/>
                <w:sz w:val="20"/>
                <w:szCs w:val="20"/>
              </w:rPr>
              <w:t>R</w:t>
            </w:r>
            <w:r w:rsidRPr="00074F78">
              <w:rPr>
                <w:b/>
                <w:sz w:val="20"/>
                <w:szCs w:val="20"/>
              </w:rPr>
              <w:t xml:space="preserve"> PN</w:t>
            </w:r>
          </w:p>
        </w:tc>
        <w:tc>
          <w:tcPr>
            <w:tcW w:w="1800" w:type="dxa"/>
            <w:shd w:val="clear" w:color="auto" w:fill="auto"/>
          </w:tcPr>
          <w:p w:rsidR="006C3BAD" w:rsidRPr="00074F78" w:rsidRDefault="006C3BAD" w:rsidP="005231F3">
            <w:pPr>
              <w:jc w:val="center"/>
              <w:rPr>
                <w:b/>
                <w:sz w:val="20"/>
                <w:szCs w:val="20"/>
              </w:rPr>
            </w:pPr>
            <w:r w:rsidRPr="00074F78">
              <w:rPr>
                <w:b/>
                <w:sz w:val="20"/>
                <w:szCs w:val="20"/>
              </w:rPr>
              <w:t>Recommended Action</w:t>
            </w:r>
          </w:p>
        </w:tc>
        <w:tc>
          <w:tcPr>
            <w:tcW w:w="1620" w:type="dxa"/>
            <w:shd w:val="clear" w:color="auto" w:fill="auto"/>
          </w:tcPr>
          <w:p w:rsidR="006C3BAD" w:rsidRPr="00074F78" w:rsidRDefault="006C3BAD" w:rsidP="005231F3">
            <w:pPr>
              <w:jc w:val="center"/>
              <w:rPr>
                <w:b/>
                <w:sz w:val="20"/>
                <w:szCs w:val="20"/>
              </w:rPr>
            </w:pPr>
            <w:r w:rsidRPr="00074F78">
              <w:rPr>
                <w:b/>
                <w:sz w:val="20"/>
                <w:szCs w:val="20"/>
              </w:rPr>
              <w:t>Responsibility/</w:t>
            </w:r>
          </w:p>
          <w:p w:rsidR="006C3BAD" w:rsidRPr="00074F78" w:rsidRDefault="006C3BAD" w:rsidP="005231F3">
            <w:pPr>
              <w:jc w:val="center"/>
              <w:rPr>
                <w:b/>
                <w:sz w:val="20"/>
                <w:szCs w:val="20"/>
              </w:rPr>
            </w:pPr>
            <w:r w:rsidRPr="00074F78">
              <w:rPr>
                <w:b/>
                <w:sz w:val="20"/>
                <w:szCs w:val="20"/>
              </w:rPr>
              <w:t>Target Date</w:t>
            </w:r>
          </w:p>
        </w:tc>
        <w:tc>
          <w:tcPr>
            <w:tcW w:w="1620" w:type="dxa"/>
            <w:shd w:val="clear" w:color="auto" w:fill="auto"/>
          </w:tcPr>
          <w:p w:rsidR="006C3BAD" w:rsidRPr="00074F78" w:rsidRDefault="006C3BAD" w:rsidP="005231F3">
            <w:pPr>
              <w:jc w:val="center"/>
              <w:rPr>
                <w:b/>
                <w:sz w:val="20"/>
                <w:szCs w:val="20"/>
              </w:rPr>
            </w:pPr>
            <w:r w:rsidRPr="00074F78">
              <w:rPr>
                <w:b/>
                <w:sz w:val="20"/>
                <w:szCs w:val="20"/>
              </w:rPr>
              <w:t>Actions Taken</w:t>
            </w:r>
          </w:p>
        </w:tc>
        <w:tc>
          <w:tcPr>
            <w:tcW w:w="360" w:type="dxa"/>
            <w:shd w:val="clear" w:color="auto" w:fill="auto"/>
          </w:tcPr>
          <w:p w:rsidR="006C3BAD" w:rsidRPr="00074F78" w:rsidRDefault="006C3BAD" w:rsidP="005231F3">
            <w:pPr>
              <w:jc w:val="center"/>
              <w:rPr>
                <w:b/>
                <w:sz w:val="20"/>
                <w:szCs w:val="20"/>
              </w:rPr>
            </w:pPr>
            <w:r w:rsidRPr="00074F78">
              <w:rPr>
                <w:b/>
                <w:sz w:val="20"/>
                <w:szCs w:val="20"/>
              </w:rPr>
              <w:t>S E V</w:t>
            </w:r>
          </w:p>
        </w:tc>
        <w:tc>
          <w:tcPr>
            <w:tcW w:w="360" w:type="dxa"/>
            <w:shd w:val="clear" w:color="auto" w:fill="auto"/>
          </w:tcPr>
          <w:p w:rsidR="006C3BAD" w:rsidRPr="00074F78" w:rsidRDefault="006C3BAD" w:rsidP="005231F3">
            <w:pPr>
              <w:rPr>
                <w:b/>
                <w:sz w:val="20"/>
                <w:szCs w:val="20"/>
              </w:rPr>
            </w:pPr>
            <w:r w:rsidRPr="00074F78">
              <w:rPr>
                <w:b/>
                <w:sz w:val="20"/>
                <w:szCs w:val="20"/>
              </w:rPr>
              <w:t xml:space="preserve">OCC </w:t>
            </w:r>
          </w:p>
        </w:tc>
        <w:tc>
          <w:tcPr>
            <w:tcW w:w="468" w:type="dxa"/>
            <w:shd w:val="clear" w:color="auto" w:fill="auto"/>
          </w:tcPr>
          <w:p w:rsidR="006C3BAD" w:rsidRPr="00074F78" w:rsidRDefault="006C3BAD" w:rsidP="005231F3">
            <w:pPr>
              <w:jc w:val="center"/>
              <w:rPr>
                <w:b/>
                <w:sz w:val="20"/>
                <w:szCs w:val="20"/>
              </w:rPr>
            </w:pPr>
            <w:r w:rsidRPr="00074F78">
              <w:rPr>
                <w:b/>
                <w:sz w:val="20"/>
                <w:szCs w:val="20"/>
              </w:rPr>
              <w:t>D E T</w:t>
            </w:r>
          </w:p>
        </w:tc>
        <w:tc>
          <w:tcPr>
            <w:tcW w:w="426" w:type="dxa"/>
            <w:shd w:val="clear" w:color="auto" w:fill="auto"/>
          </w:tcPr>
          <w:p w:rsidR="006C3BAD" w:rsidRPr="00074F78" w:rsidRDefault="006C3BAD" w:rsidP="005231F3">
            <w:pPr>
              <w:rPr>
                <w:b/>
                <w:sz w:val="20"/>
                <w:szCs w:val="20"/>
              </w:rPr>
            </w:pPr>
            <w:r w:rsidRPr="00074F78">
              <w:rPr>
                <w:b/>
                <w:sz w:val="20"/>
                <w:szCs w:val="20"/>
              </w:rPr>
              <w:t>R  P N</w:t>
            </w:r>
          </w:p>
        </w:tc>
      </w:tr>
      <w:tr w:rsidR="00E25E9A" w:rsidRPr="00074F78" w:rsidTr="005B68CD">
        <w:trPr>
          <w:trHeight w:val="138"/>
        </w:trPr>
        <w:tc>
          <w:tcPr>
            <w:tcW w:w="1548"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Sourcing – Supplier dependence</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Single sourcing from Spain</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Production halt, revenue loss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9</w:t>
            </w:r>
          </w:p>
        </w:tc>
        <w:tc>
          <w:tcPr>
            <w:tcW w:w="360" w:type="dxa"/>
            <w:shd w:val="clear" w:color="auto" w:fill="auto"/>
          </w:tcPr>
          <w:p w:rsidR="00E25E9A" w:rsidRPr="00074F78" w:rsidRDefault="00E25E9A" w:rsidP="00E25E9A">
            <w:pPr>
              <w:rPr>
                <w:b/>
              </w:rPr>
            </w:pPr>
          </w:p>
        </w:tc>
        <w:tc>
          <w:tcPr>
            <w:tcW w:w="108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High concentration of production in Spain</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7</w:t>
            </w:r>
          </w:p>
        </w:tc>
        <w:tc>
          <w:tcPr>
            <w:tcW w:w="126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Partial multi-sourcing under planning</w:t>
            </w:r>
          </w:p>
        </w:tc>
        <w:tc>
          <w:tcPr>
            <w:tcW w:w="31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40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378</w:t>
            </w:r>
          </w:p>
        </w:tc>
        <w:tc>
          <w:tcPr>
            <w:tcW w:w="18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Implement full multi-sourcing with Turkey/Morocco</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Supply Chain Manager – Q4 2025</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Started Turkey sourcing pilot</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468"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4</w:t>
            </w:r>
          </w:p>
        </w:tc>
        <w:tc>
          <w:tcPr>
            <w:tcW w:w="426"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120</w:t>
            </w:r>
          </w:p>
        </w:tc>
      </w:tr>
      <w:tr w:rsidR="00E25E9A" w:rsidRPr="00074F78" w:rsidTr="005B68CD">
        <w:trPr>
          <w:trHeight w:val="138"/>
        </w:trPr>
        <w:tc>
          <w:tcPr>
            <w:tcW w:w="1548"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Transport – Port strikes</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Port closure disrupts shipment</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Delayed delivery, stockouts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8</w:t>
            </w:r>
          </w:p>
        </w:tc>
        <w:tc>
          <w:tcPr>
            <w:tcW w:w="360" w:type="dxa"/>
            <w:shd w:val="clear" w:color="auto" w:fill="auto"/>
          </w:tcPr>
          <w:p w:rsidR="00E25E9A" w:rsidRPr="00074F78" w:rsidRDefault="00E25E9A" w:rsidP="00E25E9A">
            <w:pPr>
              <w:rPr>
                <w:b/>
              </w:rPr>
            </w:pPr>
          </w:p>
        </w:tc>
        <w:tc>
          <w:tcPr>
            <w:tcW w:w="108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Labour strikes and geopolitical issues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126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Alternate routes explored but limited</w:t>
            </w:r>
          </w:p>
        </w:tc>
        <w:tc>
          <w:tcPr>
            <w:tcW w:w="31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40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240</w:t>
            </w:r>
          </w:p>
        </w:tc>
        <w:tc>
          <w:tcPr>
            <w:tcW w:w="18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Develop contingency ports &amp; contracts</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Logistics Manager – Q2 2025</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Negotiating backup port agreements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4</w:t>
            </w:r>
          </w:p>
        </w:tc>
        <w:tc>
          <w:tcPr>
            <w:tcW w:w="468"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w:t>
            </w:r>
          </w:p>
        </w:tc>
        <w:tc>
          <w:tcPr>
            <w:tcW w:w="426"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72</w:t>
            </w:r>
          </w:p>
        </w:tc>
      </w:tr>
      <w:tr w:rsidR="00E25E9A" w:rsidRPr="00074F78" w:rsidTr="005B68CD">
        <w:trPr>
          <w:trHeight w:val="138"/>
        </w:trPr>
        <w:tc>
          <w:tcPr>
            <w:tcW w:w="1548"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 xml:space="preserve">Demand Planning – Forecast </w:t>
            </w:r>
            <w:r w:rsidRPr="00E25E9A">
              <w:rPr>
                <w:rFonts w:eastAsia="Times New Roman" w:cs="Times New Roman"/>
                <w:color w:val="000000"/>
                <w:kern w:val="0"/>
                <w:szCs w:val="24"/>
                <w:lang w:eastAsia="en-GB" w:bidi="hi-IN"/>
              </w:rPr>
              <w:lastRenderedPageBreak/>
              <w:t>inaccuracy</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Incorrect deman</w:t>
            </w:r>
            <w:r w:rsidRPr="00E25E9A">
              <w:rPr>
                <w:rFonts w:eastAsia="Times New Roman" w:cs="Times New Roman"/>
                <w:color w:val="000000"/>
                <w:kern w:val="0"/>
                <w:szCs w:val="24"/>
                <w:lang w:eastAsia="en-GB" w:bidi="hi-IN"/>
              </w:rPr>
              <w:lastRenderedPageBreak/>
              <w:t>d forecast</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Over/under produc</w:t>
            </w:r>
            <w:r w:rsidRPr="00E25E9A">
              <w:rPr>
                <w:rFonts w:eastAsia="Times New Roman" w:cs="Times New Roman"/>
                <w:color w:val="000000"/>
                <w:kern w:val="0"/>
                <w:szCs w:val="24"/>
                <w:lang w:eastAsia="en-GB" w:bidi="hi-IN"/>
              </w:rPr>
              <w:lastRenderedPageBreak/>
              <w:t>tion</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7</w:t>
            </w:r>
          </w:p>
        </w:tc>
        <w:tc>
          <w:tcPr>
            <w:tcW w:w="360" w:type="dxa"/>
            <w:shd w:val="clear" w:color="auto" w:fill="auto"/>
          </w:tcPr>
          <w:p w:rsidR="00E25E9A" w:rsidRPr="00074F78" w:rsidRDefault="00E25E9A" w:rsidP="00E25E9A">
            <w:pPr>
              <w:rPr>
                <w:b/>
              </w:rPr>
            </w:pPr>
          </w:p>
        </w:tc>
        <w:tc>
          <w:tcPr>
            <w:tcW w:w="108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 xml:space="preserve">Volatile consumer </w:t>
            </w:r>
            <w:r w:rsidRPr="00E25E9A">
              <w:rPr>
                <w:rFonts w:eastAsia="Times New Roman" w:cs="Times New Roman"/>
                <w:color w:val="000000"/>
                <w:kern w:val="0"/>
                <w:szCs w:val="24"/>
                <w:lang w:eastAsia="en-GB" w:bidi="hi-IN"/>
              </w:rPr>
              <w:lastRenderedPageBreak/>
              <w:t>preferences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6</w:t>
            </w:r>
          </w:p>
        </w:tc>
        <w:tc>
          <w:tcPr>
            <w:tcW w:w="126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Basic sales data forecastin</w:t>
            </w:r>
            <w:r w:rsidRPr="00E25E9A">
              <w:rPr>
                <w:rFonts w:eastAsia="Times New Roman" w:cs="Times New Roman"/>
                <w:color w:val="000000"/>
                <w:kern w:val="0"/>
                <w:szCs w:val="24"/>
                <w:lang w:eastAsia="en-GB" w:bidi="hi-IN"/>
              </w:rPr>
              <w:lastRenderedPageBreak/>
              <w:t>g</w:t>
            </w:r>
          </w:p>
        </w:tc>
        <w:tc>
          <w:tcPr>
            <w:tcW w:w="31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5</w:t>
            </w:r>
          </w:p>
        </w:tc>
        <w:tc>
          <w:tcPr>
            <w:tcW w:w="40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210</w:t>
            </w:r>
          </w:p>
        </w:tc>
        <w:tc>
          <w:tcPr>
            <w:tcW w:w="18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AI-driven demand sensing</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Planning Team – Q1 2025</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Deploying predictive analytics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4</w:t>
            </w:r>
          </w:p>
        </w:tc>
        <w:tc>
          <w:tcPr>
            <w:tcW w:w="468"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w:t>
            </w:r>
          </w:p>
        </w:tc>
        <w:tc>
          <w:tcPr>
            <w:tcW w:w="426"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60</w:t>
            </w:r>
          </w:p>
        </w:tc>
      </w:tr>
      <w:tr w:rsidR="00E25E9A" w:rsidRPr="00074F78" w:rsidTr="005B68CD">
        <w:trPr>
          <w:trHeight w:val="138"/>
        </w:trPr>
        <w:tc>
          <w:tcPr>
            <w:tcW w:w="1548"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lastRenderedPageBreak/>
              <w:t>Tier-2 Supplier Transparency</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Opaque Tier-2/3 supplier data</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Unidentified risk propagation</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8</w:t>
            </w:r>
          </w:p>
        </w:tc>
        <w:tc>
          <w:tcPr>
            <w:tcW w:w="360" w:type="dxa"/>
            <w:shd w:val="clear" w:color="auto" w:fill="auto"/>
          </w:tcPr>
          <w:p w:rsidR="00E25E9A" w:rsidRPr="00074F78" w:rsidRDefault="00E25E9A" w:rsidP="00E25E9A">
            <w:pPr>
              <w:rPr>
                <w:b/>
              </w:rPr>
            </w:pPr>
          </w:p>
        </w:tc>
        <w:tc>
          <w:tcPr>
            <w:tcW w:w="108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Limited mapping of lower-tier suppliers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126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Tier-1 mapping only</w:t>
            </w:r>
          </w:p>
        </w:tc>
        <w:tc>
          <w:tcPr>
            <w:tcW w:w="31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40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240</w:t>
            </w:r>
          </w:p>
        </w:tc>
        <w:tc>
          <w:tcPr>
            <w:tcW w:w="18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Blockchain-enabled supplier mapping</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Procurement – Q3 2025</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Launching digital twin mapping</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w:t>
            </w:r>
          </w:p>
        </w:tc>
        <w:tc>
          <w:tcPr>
            <w:tcW w:w="468"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w:t>
            </w:r>
          </w:p>
        </w:tc>
        <w:tc>
          <w:tcPr>
            <w:tcW w:w="426"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54</w:t>
            </w:r>
          </w:p>
        </w:tc>
      </w:tr>
      <w:tr w:rsidR="00E25E9A" w:rsidRPr="00074F78" w:rsidTr="005B68CD">
        <w:trPr>
          <w:trHeight w:val="138"/>
        </w:trPr>
        <w:tc>
          <w:tcPr>
            <w:tcW w:w="1548"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Inventory – Stockout due to disruption</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No buffer stock during surge</w:t>
            </w:r>
          </w:p>
        </w:tc>
        <w:tc>
          <w:tcPr>
            <w:tcW w:w="9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Missed sales, customer dissatisfaction</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7</w:t>
            </w:r>
          </w:p>
        </w:tc>
        <w:tc>
          <w:tcPr>
            <w:tcW w:w="360" w:type="dxa"/>
            <w:shd w:val="clear" w:color="auto" w:fill="auto"/>
          </w:tcPr>
          <w:p w:rsidR="00E25E9A" w:rsidRPr="00074F78" w:rsidRDefault="00E25E9A" w:rsidP="00E25E9A">
            <w:pPr>
              <w:rPr>
                <w:b/>
              </w:rPr>
            </w:pPr>
          </w:p>
        </w:tc>
        <w:tc>
          <w:tcPr>
            <w:tcW w:w="108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Lean inventory strategy</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w:t>
            </w:r>
          </w:p>
        </w:tc>
        <w:tc>
          <w:tcPr>
            <w:tcW w:w="126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Minimal safety stock maintained</w:t>
            </w:r>
          </w:p>
        </w:tc>
        <w:tc>
          <w:tcPr>
            <w:tcW w:w="31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405"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210</w:t>
            </w:r>
          </w:p>
        </w:tc>
        <w:tc>
          <w:tcPr>
            <w:tcW w:w="180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Introduce 15% buffer stock regionally</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Operations – Q2 2025</w:t>
            </w:r>
          </w:p>
        </w:tc>
        <w:tc>
          <w:tcPr>
            <w:tcW w:w="1620" w:type="dxa"/>
            <w:shd w:val="clear" w:color="auto" w:fill="auto"/>
            <w:vAlign w:val="bottom"/>
          </w:tcPr>
          <w:p w:rsidR="00E25E9A" w:rsidRPr="00E25E9A" w:rsidRDefault="00E25E9A" w:rsidP="00E25E9A">
            <w:pPr>
              <w:spacing w:line="240" w:lineRule="auto"/>
              <w:jc w:val="lef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Planning buffer allocation in DCs</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5</w:t>
            </w:r>
          </w:p>
        </w:tc>
        <w:tc>
          <w:tcPr>
            <w:tcW w:w="360"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4</w:t>
            </w:r>
          </w:p>
        </w:tc>
        <w:tc>
          <w:tcPr>
            <w:tcW w:w="468"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3</w:t>
            </w:r>
          </w:p>
        </w:tc>
        <w:tc>
          <w:tcPr>
            <w:tcW w:w="426" w:type="dxa"/>
            <w:shd w:val="clear" w:color="auto" w:fill="auto"/>
            <w:vAlign w:val="bottom"/>
          </w:tcPr>
          <w:p w:rsidR="00E25E9A" w:rsidRPr="00E25E9A" w:rsidRDefault="00E25E9A" w:rsidP="00E25E9A">
            <w:pPr>
              <w:spacing w:line="240" w:lineRule="auto"/>
              <w:jc w:val="right"/>
              <w:rPr>
                <w:rFonts w:eastAsia="Times New Roman" w:cs="Times New Roman"/>
                <w:color w:val="000000"/>
                <w:kern w:val="0"/>
                <w:szCs w:val="24"/>
                <w:lang w:eastAsia="en-GB" w:bidi="hi-IN"/>
              </w:rPr>
            </w:pPr>
            <w:r w:rsidRPr="00E25E9A">
              <w:rPr>
                <w:rFonts w:eastAsia="Times New Roman" w:cs="Times New Roman"/>
                <w:color w:val="000000"/>
                <w:kern w:val="0"/>
                <w:szCs w:val="24"/>
                <w:lang w:eastAsia="en-GB" w:bidi="hi-IN"/>
              </w:rPr>
              <w:t>60</w:t>
            </w:r>
          </w:p>
        </w:tc>
      </w:tr>
    </w:tbl>
    <w:p w:rsidR="00163540" w:rsidRDefault="00163540" w:rsidP="00163540"/>
    <w:p w:rsidR="003401FF" w:rsidRDefault="003401FF" w:rsidP="00C813BE"/>
    <w:p w:rsidR="00ED619E" w:rsidRDefault="00ED619E" w:rsidP="00ED619E">
      <w:r>
        <w:t>Process Failure Mode and Effects Analysis (FMEA) sheet is a procedural document that is used to trace the potential hazards and minimise risks in the process. It takes into consideration three parameters of failure, such as Severity (SEV), Occurrence (OCC), and Detection (DET). The possible failure modes have been tabulated, including their effects, causes, and the measures controlling them. Risk Priority Number (RPN) is calculated as SEV multiplied by Occurrence (OCC) multiplied by Detection (DET) and assists in sorting out the risks that need urgent concern.</w:t>
      </w:r>
    </w:p>
    <w:p w:rsidR="00ED619E" w:rsidRDefault="00ED619E" w:rsidP="00ED619E">
      <w:r>
        <w:t xml:space="preserve">In the Zara supply chain case, the sheet identifies design and sourcing </w:t>
      </w:r>
      <w:r>
        <w:rPr>
          <w:kern w:val="0"/>
        </w:rPr>
        <w:t>as weaknesses, as well as weaknesses in the areas of delivery,</w:t>
      </w:r>
      <w:r>
        <w:t xml:space="preserve"> including single-sourcing risks, forecasting, and transport disruption. Multisourcing or agile inventory buffers should be considered as measures to prevent these problems. There is also the segregation of tasks and scheduling of times to take actions on which the sheet focuses, so that accountability and traceability can be put in place.</w:t>
      </w:r>
    </w:p>
    <w:p w:rsidR="006C3BAD" w:rsidRDefault="00ED619E" w:rsidP="00ED619E">
      <w:r>
        <w:lastRenderedPageBreak/>
        <w:t xml:space="preserve">In </w:t>
      </w:r>
      <w:r>
        <w:rPr>
          <w:kern w:val="0"/>
        </w:rPr>
        <w:t>the event that improvement actions are implemented, residual risks should be reassessed based on the new SEV, OCC, and DET scores to establish ways to mitigate them (Jin, Meng, and Feng, 2022). Such iterative review aligns with the principles of agile and lean approaches, allowing for the improvement of supply chain resilience over time and striking a balance between costs and response levels.</w:t>
      </w:r>
    </w:p>
    <w:p w:rsidR="00BA2F9C" w:rsidRDefault="00BA2F9C" w:rsidP="00C813BE"/>
    <w:p w:rsidR="00BA2F9C" w:rsidRDefault="00BA2F9C" w:rsidP="00C813BE"/>
    <w:p w:rsidR="00BA2F9C" w:rsidRDefault="00BA2F9C" w:rsidP="00C813BE"/>
    <w:p w:rsidR="00BA2F9C" w:rsidRDefault="00BA2F9C" w:rsidP="00C813BE">
      <w:pPr>
        <w:sectPr w:rsidR="00BA2F9C" w:rsidSect="006C3BAD">
          <w:pgSz w:w="16838" w:h="11906" w:orient="landscape"/>
          <w:pgMar w:top="1440" w:right="1440" w:bottom="1440" w:left="1440" w:header="708" w:footer="708" w:gutter="0"/>
          <w:cols w:space="708"/>
          <w:docGrid w:linePitch="360"/>
        </w:sectPr>
      </w:pPr>
    </w:p>
    <w:p w:rsidR="00163540" w:rsidRDefault="00163540" w:rsidP="00163540">
      <w:pPr>
        <w:pStyle w:val="Heading1"/>
      </w:pPr>
      <w:bookmarkStart w:id="2" w:name="_Toc204819265"/>
      <w:r>
        <w:lastRenderedPageBreak/>
        <w:t xml:space="preserve">3. </w:t>
      </w:r>
      <w:r w:rsidRPr="00163540">
        <w:t>Enhance Supply Chain Resilience</w:t>
      </w:r>
      <w:bookmarkEnd w:id="2"/>
    </w:p>
    <w:p w:rsidR="00163540" w:rsidRDefault="000A6885" w:rsidP="000A6885">
      <w:pPr>
        <w:pStyle w:val="Heading2"/>
      </w:pPr>
      <w:bookmarkStart w:id="3" w:name="_Toc204819266"/>
      <w:r>
        <w:t xml:space="preserve">3.1 </w:t>
      </w:r>
      <w:r w:rsidRPr="000A6885">
        <w:t>Supply Chain Mapping</w:t>
      </w:r>
      <w:bookmarkEnd w:id="3"/>
    </w:p>
    <w:p w:rsidR="005A21BB" w:rsidRDefault="009C430A" w:rsidP="005A21BB">
      <w:r w:rsidRPr="009C430A">
        <w:t>The supply chain mapping is also of great importance as a resilience plan</w:t>
      </w:r>
      <w:r>
        <w:t>,</w:t>
      </w:r>
      <w:r w:rsidRPr="009C430A">
        <w:t xml:space="preserve"> as it ensures that the multi-tiered network has visibility on a large scale to reduce the vulnerability of the system through the proactive strategy of identifying risk (Kang and Bhawna, 2025). This kind of planning is based on the Toyota Time-to-Recovery (TTR) index that evaluates the impact of disruption so that nodes that need to be turned redundant can be prioritised (Nguyen et al., 2021).</w:t>
      </w:r>
      <w:r w:rsidR="005A21BB">
        <w:t xml:space="preserve">With global disruptors on the rise, such as geopolitical events to climate events, shadowy tier-2 and tier-3 suppliers have become the highest risk area of failure, increasing the occurrence risk (OCC) in the Failure Mode Effects Analysis (FMEA) models </w:t>
      </w:r>
      <w:r w:rsidR="009065B9">
        <w:rPr>
          <w:color w:val="000000"/>
        </w:rPr>
        <w:t>(Immawan et al., 2023)</w:t>
      </w:r>
      <w:r w:rsidR="005A21BB">
        <w:t>.</w:t>
      </w:r>
    </w:p>
    <w:p w:rsidR="005A21BB" w:rsidRDefault="005A21BB" w:rsidP="005A21BB">
      <w:r>
        <w:t xml:space="preserve">Modern implementations of digital twin technology are used to build dynamic maps of supplier ecosystems in real-time. </w:t>
      </w:r>
      <w:r>
        <w:rPr>
          <w:kern w:val="0"/>
        </w:rPr>
        <w:t xml:space="preserve">For example, the cascading invitations model enables buyers to visualise tier relationships by automating supplier disclosures on secure platforms </w:t>
      </w:r>
      <w:r w:rsidR="00BD0177">
        <w:rPr>
          <w:color w:val="000000"/>
        </w:rPr>
        <w:t>(Veile et al., 2021)</w:t>
      </w:r>
      <w:r>
        <w:rPr>
          <w:kern w:val="0"/>
        </w:rPr>
        <w:t>. This approach helps avoid the obstacles in traditional mapping, such as competitive fealty, as seen in the post-2011 mapping effort by Toyota, where</w:t>
      </w:r>
      <w:r w:rsidR="00C93395">
        <w:rPr>
          <w:kern w:val="0"/>
        </w:rPr>
        <w:t xml:space="preserve"> most</w:t>
      </w:r>
      <w:r>
        <w:rPr>
          <w:kern w:val="0"/>
        </w:rPr>
        <w:t xml:space="preserve"> of tier-1 suppliers remained non-committal to disclosure </w:t>
      </w:r>
      <w:r w:rsidR="00F1719A">
        <w:rPr>
          <w:color w:val="000000"/>
        </w:rPr>
        <w:t>(Berenguer et al., 2024)</w:t>
      </w:r>
      <w:r>
        <w:t>.</w:t>
      </w:r>
    </w:p>
    <w:p w:rsidR="005A21BB" w:rsidRDefault="005A21BB" w:rsidP="005A21BB">
      <w:r>
        <w:t xml:space="preserve">The strategic imperative can be explained by the example of the Xirallic pigment crisis </w:t>
      </w:r>
      <w:r w:rsidR="00DB0705">
        <w:t xml:space="preserve">that </w:t>
      </w:r>
      <w:r>
        <w:t xml:space="preserve">occurred in Merck KGaA due to the 2011 earthquake in Japan. Onahama’s production of single-source automotive paint chains disrupted Toyota, Ford, and GM around the world </w:t>
      </w:r>
      <w:r w:rsidR="007C3D81">
        <w:rPr>
          <w:color w:val="000000"/>
        </w:rPr>
        <w:t>(Stenman et al., 2025).</w:t>
      </w:r>
      <w:r>
        <w:rPr>
          <w:kern w:val="0"/>
        </w:rPr>
        <w:t>Merck's resilience retrofit, which includes a German backup location in Gernsheim, is an example of multi-site diversification achieved through</w:t>
      </w:r>
      <w:r>
        <w:t xml:space="preserve"> granular mapping. After the implementation, Merck halved supplier-related disruptions.</w:t>
      </w:r>
    </w:p>
    <w:p w:rsidR="000A6885" w:rsidRDefault="005A21BB" w:rsidP="005A21BB">
      <w:r>
        <w:t xml:space="preserve">There is empirical evidence that such mapping reduces FMEA occurrence scores (OCC) by 40 per cent (RPN150≤) by allowing three </w:t>
      </w:r>
      <w:r w:rsidR="007C3D81">
        <w:t>significant</w:t>
      </w:r>
      <w:r>
        <w:t xml:space="preserve"> actions:</w:t>
      </w:r>
    </w:p>
    <w:p w:rsidR="000A6885" w:rsidRDefault="000A6885" w:rsidP="000A6885">
      <w:pPr>
        <w:pStyle w:val="ListParagraph"/>
        <w:numPr>
          <w:ilvl w:val="0"/>
          <w:numId w:val="1"/>
        </w:numPr>
      </w:pPr>
      <w:r>
        <w:t>Identifying single-source dependencies for targeted redundancy,</w:t>
      </w:r>
    </w:p>
    <w:p w:rsidR="000A6885" w:rsidRDefault="000A6885" w:rsidP="000A6885">
      <w:pPr>
        <w:pStyle w:val="ListParagraph"/>
        <w:numPr>
          <w:ilvl w:val="0"/>
          <w:numId w:val="1"/>
        </w:numPr>
      </w:pPr>
      <w:r>
        <w:t>Accelerating disruption response via real-time tier-2 monitoring,</w:t>
      </w:r>
    </w:p>
    <w:p w:rsidR="000A6885" w:rsidRDefault="000A6885" w:rsidP="000A6885">
      <w:pPr>
        <w:pStyle w:val="ListParagraph"/>
        <w:numPr>
          <w:ilvl w:val="0"/>
          <w:numId w:val="1"/>
        </w:numPr>
      </w:pPr>
      <w:r>
        <w:t xml:space="preserve">Validating supplier compliance through blockchain-audited data </w:t>
      </w:r>
      <w:r w:rsidR="00117AE5">
        <w:rPr>
          <w:color w:val="000000"/>
        </w:rPr>
        <w:t>(Kostopoulos et al., 2025)</w:t>
      </w:r>
      <w:r>
        <w:t>.</w:t>
      </w:r>
    </w:p>
    <w:p w:rsidR="000A6885" w:rsidRDefault="00DB0705" w:rsidP="000A6885">
      <w:r w:rsidRPr="00DB0705">
        <w:t xml:space="preserve">At that, mapped supply chains, as </w:t>
      </w:r>
      <w:r w:rsidR="00117AE5">
        <w:rPr>
          <w:color w:val="000000"/>
        </w:rPr>
        <w:t>Holloway (2025)</w:t>
      </w:r>
      <w:r w:rsidRPr="00DB0705">
        <w:t xml:space="preserve"> affirm, appear to be quicker in terms of TTR during crises, something that renders visibility an operational luxury to strategic necessity.</w:t>
      </w:r>
    </w:p>
    <w:p w:rsidR="000A6885" w:rsidRDefault="000A6885" w:rsidP="000A6885">
      <w:pPr>
        <w:pStyle w:val="Heading2"/>
      </w:pPr>
      <w:bookmarkStart w:id="4" w:name="_Toc204819267"/>
      <w:r>
        <w:lastRenderedPageBreak/>
        <w:t>3</w:t>
      </w:r>
      <w:r w:rsidRPr="000A6885">
        <w:t>.2 Postponement &amp; Decoupling</w:t>
      </w:r>
      <w:bookmarkEnd w:id="4"/>
    </w:p>
    <w:p w:rsidR="008F2DE3" w:rsidRDefault="007571BA" w:rsidP="008F2DE3">
      <w:r>
        <w:t xml:space="preserve">Postponement and decoupling strategies strategically delay product customisation until actual demand signals are received, transforming supply chains from forecast-driven to demand-responsive systems. </w:t>
      </w:r>
      <w:r w:rsidR="008F2DE3">
        <w:rPr>
          <w:kern w:val="0"/>
        </w:rPr>
        <w:t xml:space="preserve">This strategy minimises volatility risks by keeping generic stocks on shelves longer, and final differentiation occurs later, a factor proven in recent findings to be key to survivability in volatile markets </w:t>
      </w:r>
      <w:r w:rsidR="002057D2">
        <w:rPr>
          <w:color w:val="000000"/>
        </w:rPr>
        <w:t>(Nafiu et al., 2025)</w:t>
      </w:r>
      <w:r w:rsidR="008F2DE3">
        <w:rPr>
          <w:kern w:val="0"/>
        </w:rPr>
        <w:t xml:space="preserve">. The </w:t>
      </w:r>
      <w:r w:rsidR="00DD0A9F">
        <w:rPr>
          <w:kern w:val="0"/>
        </w:rPr>
        <w:t>transition from standardised components to tailor-made products is a critical phase in mitigating</w:t>
      </w:r>
      <w:r w:rsidR="008F2DE3">
        <w:rPr>
          <w:kern w:val="0"/>
        </w:rPr>
        <w:t xml:space="preserve"> uncertain demand and obsolescence </w:t>
      </w:r>
      <w:r w:rsidR="00DC49E5">
        <w:rPr>
          <w:color w:val="000000"/>
        </w:rPr>
        <w:t>(Prataviera et al., 2024)</w:t>
      </w:r>
      <w:r w:rsidR="008F2DE3">
        <w:t>.</w:t>
      </w:r>
    </w:p>
    <w:p w:rsidR="007571BA" w:rsidRDefault="008F2DE3" w:rsidP="008F2DE3">
      <w:r>
        <w:t>The example of fast fashion means that Zara executes such a strategy in a cut-and-sew-later approach.</w:t>
      </w:r>
      <w:r w:rsidR="007571BA">
        <w:t xml:space="preserve"> Fabric is pre-dyed and cut centrally in Spain, while final assembly (e.g., stitching, embellishments) occurs only after store-level sales data identifies regional trends </w:t>
      </w:r>
      <w:r w:rsidR="00A406F8">
        <w:rPr>
          <w:color w:val="000000"/>
        </w:rPr>
        <w:t>(Gündüzyeli, 2025)</w:t>
      </w:r>
      <w:r w:rsidR="007571BA">
        <w:t>. Scaling this to 30% of inventory—particularly for high-variability items like seasonal dresses—reduces overproduction by 22% while maintaining 2-week lead times (Inditex 2024).</w:t>
      </w:r>
    </w:p>
    <w:p w:rsidR="007571BA" w:rsidRDefault="007571BA" w:rsidP="007571BA">
      <w:r>
        <w:t xml:space="preserve">The electronics sector offers parallel innovations, exemplified by Hewlett-Packard’s historic printer strategy </w:t>
      </w:r>
      <w:r w:rsidR="00450BDF">
        <w:rPr>
          <w:color w:val="000000"/>
        </w:rPr>
        <w:t>(Kasinathan et al., 2022)</w:t>
      </w:r>
      <w:r>
        <w:t xml:space="preserve">. Modern adaptations, such as Dell’s regionally configurable laptops, produce generic chassis in Vietnam while postponing RAM/SSD installation until orders specify regional requirements. This hybrid model slashes warehousing costs by 18% and cuts stockouts by 31% during chip shortages </w:t>
      </w:r>
      <w:r w:rsidR="00F110C2">
        <w:rPr>
          <w:color w:val="000000"/>
        </w:rPr>
        <w:t>(Singh and Goel, 2024)</w:t>
      </w:r>
      <w:r>
        <w:t>.</w:t>
      </w:r>
    </w:p>
    <w:p w:rsidR="007571BA" w:rsidRDefault="007571BA" w:rsidP="007571BA">
      <w:r>
        <w:t>Empirically, postponement delivers 25% lower obsolescence costs, a figure corroborated by recent case studies:</w:t>
      </w:r>
    </w:p>
    <w:p w:rsidR="007571BA" w:rsidRDefault="007571BA" w:rsidP="007571BA">
      <w:r>
        <w:t>Adidas’ modular sneakers (delayed color application) reduced deadstock by €140M annually.</w:t>
      </w:r>
    </w:p>
    <w:p w:rsidR="007571BA" w:rsidRDefault="007571BA" w:rsidP="007571BA">
      <w:r>
        <w:t>Pharma giant Novo Nordisk decreased vaccine wastage by 27% via late-stage regional packaging.</w:t>
      </w:r>
    </w:p>
    <w:p w:rsidR="007571BA" w:rsidRDefault="007571BA" w:rsidP="007571BA">
      <w:r>
        <w:t>As Wagner (2024) emphasises, such decoupling aligns physical and information flows to compress "marketability costs" (obsolescence and stockouts), which dominate agile supply chains. By embedding flexibility at strategic nodes, firms transform volatility from a threat into a competitive advantage.</w:t>
      </w:r>
    </w:p>
    <w:p w:rsidR="007571BA" w:rsidRDefault="007571BA" w:rsidP="007571BA">
      <w:pPr>
        <w:pStyle w:val="Heading2"/>
      </w:pPr>
      <w:bookmarkStart w:id="5" w:name="_Toc204819268"/>
      <w:r>
        <w:t xml:space="preserve">3.3 </w:t>
      </w:r>
      <w:r w:rsidRPr="007571BA">
        <w:t>Multi-Sourcing Strategy</w:t>
      </w:r>
      <w:bookmarkEnd w:id="5"/>
    </w:p>
    <w:p w:rsidR="00585769" w:rsidRDefault="00585769" w:rsidP="00585769">
      <w:r>
        <w:t xml:space="preserve">Multi-sourcing strategically eliminates single points of failure by diversifying production across geographies, thereby reducing vulnerability to regional disruptions </w:t>
      </w:r>
      <w:r w:rsidR="00DE3E1E">
        <w:rPr>
          <w:color w:val="000000"/>
        </w:rPr>
        <w:t>(Kyrylo, 2025)</w:t>
      </w:r>
      <w:r>
        <w:t xml:space="preserve">. This approach counters supply chain fragility through deliberate redundancy, where </w:t>
      </w:r>
      <w:r>
        <w:lastRenderedPageBreak/>
        <w:t xml:space="preserve">alternative nodes activate during crises—a critical resilience mechanism validated in high-volatility sectors (Wagner and Bode 2023). Modern multi-tiered sourcing networks demonstrate 47% faster recovery during geopolitical shocks compared to concentrated models </w:t>
      </w:r>
      <w:r w:rsidR="00F110C2">
        <w:rPr>
          <w:color w:val="000000"/>
        </w:rPr>
        <w:t>(Singh and Goel, 2024)</w:t>
      </w:r>
      <w:r>
        <w:t>.</w:t>
      </w:r>
    </w:p>
    <w:p w:rsidR="00585769" w:rsidRDefault="00585769" w:rsidP="00585769">
      <w:r>
        <w:t>For Zara, applying this strategy entails shifting its production capacity from Spain to nearshore hubs in Turkey and Morocco. These locations offer three advantages:</w:t>
      </w:r>
    </w:p>
    <w:p w:rsidR="00585769" w:rsidRDefault="00585769" w:rsidP="00585769">
      <w:pPr>
        <w:pStyle w:val="ListParagraph"/>
        <w:numPr>
          <w:ilvl w:val="0"/>
          <w:numId w:val="2"/>
        </w:numPr>
      </w:pPr>
      <w:r>
        <w:t>Reduced lead times to European markets (3–5 days vs. 2 weeks from Asia),</w:t>
      </w:r>
    </w:p>
    <w:p w:rsidR="00585769" w:rsidRDefault="00585769" w:rsidP="00585769">
      <w:pPr>
        <w:pStyle w:val="ListParagraph"/>
        <w:numPr>
          <w:ilvl w:val="0"/>
          <w:numId w:val="2"/>
        </w:numPr>
      </w:pPr>
      <w:r>
        <w:t>Lower tariff exposure under EU trade agreements,</w:t>
      </w:r>
    </w:p>
    <w:p w:rsidR="00585769" w:rsidRDefault="00585769" w:rsidP="00585769">
      <w:pPr>
        <w:pStyle w:val="ListParagraph"/>
        <w:numPr>
          <w:ilvl w:val="0"/>
          <w:numId w:val="2"/>
        </w:numPr>
      </w:pPr>
      <w:r>
        <w:t xml:space="preserve">Diversified labour pools mitigate workforce unavailability risks </w:t>
      </w:r>
      <w:r w:rsidR="00A406F8">
        <w:rPr>
          <w:color w:val="000000"/>
        </w:rPr>
        <w:t>(Gündüzyeli, 2025)</w:t>
      </w:r>
      <w:r>
        <w:t>.</w:t>
      </w:r>
    </w:p>
    <w:p w:rsidR="00585769" w:rsidRDefault="00585769" w:rsidP="00585769">
      <w:r>
        <w:t>This rebalancing cuts Spain’s production share from 50% to 30%, aligning with Inditex’s 2025 nearshoring roadmap (Inditex 2024).</w:t>
      </w:r>
    </w:p>
    <w:p w:rsidR="00585769" w:rsidRDefault="00585769" w:rsidP="00585769">
      <w:r>
        <w:t xml:space="preserve">Apple’s post-2022 China disruptions exemplify the effectiveness of diversification. When COVID lockdowns halted Shenzhen operations, the company accelerated production shifts to Vietnam (40% of AirPods) and India (25% of iPhones), maintaining 95% on-time delivery despite 8-week Chinese delays. This "China+2" model reduced revenue loss by $3.8 billion in 2023 </w:t>
      </w:r>
      <w:r w:rsidR="007B1BC4">
        <w:rPr>
          <w:color w:val="000000"/>
        </w:rPr>
        <w:t>(Times of India, 2022)</w:t>
      </w:r>
      <w:r>
        <w:t>.</w:t>
      </w:r>
    </w:p>
    <w:p w:rsidR="007571BA" w:rsidRDefault="00585769" w:rsidP="00585769">
      <w:r>
        <w:t xml:space="preserve">Quantitatively, such restructuring lowers Severity (SEV) scores in FMEA frameworks. For Zara, geopolitical risks (e.g., Spanish port strikes or Catalan separatism) previously scored SEV=9 due to revenue impact (&gt;€200M/week). After diversification, worst-case scenarios now affect only 30% of output, reducing SEV to 6 (Zhang and Rahman 2024). As </w:t>
      </w:r>
      <w:r w:rsidR="007B1BC4">
        <w:rPr>
          <w:color w:val="000000"/>
        </w:rPr>
        <w:t>Rashid (2020)</w:t>
      </w:r>
      <w:r>
        <w:t xml:space="preserve"> notes, every 10% sourcing diversification decreases disruption severity by 15–20%, transforming existential threats into manageable contingencies.</w:t>
      </w:r>
    </w:p>
    <w:p w:rsidR="00585769" w:rsidRDefault="00CC1BE8" w:rsidP="00CC1BE8">
      <w:pPr>
        <w:pStyle w:val="Heading2"/>
      </w:pPr>
      <w:bookmarkStart w:id="6" w:name="_Toc204819269"/>
      <w:r>
        <w:t xml:space="preserve">3.4 </w:t>
      </w:r>
      <w:r w:rsidRPr="00CC1BE8">
        <w:t xml:space="preserve">Demand Sensing </w:t>
      </w:r>
      <w:r>
        <w:t>and</w:t>
      </w:r>
      <w:r w:rsidRPr="00CC1BE8">
        <w:t xml:space="preserve"> Agile Response</w:t>
      </w:r>
      <w:bookmarkEnd w:id="6"/>
    </w:p>
    <w:p w:rsidR="008E60B8" w:rsidRDefault="00C92423" w:rsidP="008E60B8">
      <w:r>
        <w:t xml:space="preserve">Demand sensing revolutionises supply chain responsiveness by replacing traditional forecasts with real-time data analytics, enabling precise alignment of supply with volatile market dynamics </w:t>
      </w:r>
      <w:r w:rsidR="0001322C">
        <w:rPr>
          <w:color w:val="000000"/>
        </w:rPr>
        <w:t>(Nafiu et al., 2025)</w:t>
      </w:r>
      <w:r>
        <w:t xml:space="preserve">. Contemporary research validates that artificial intelligence-driven analysis of live data streams—including point-of-sale transactions, social media trends, and weather patterns—reduces forecast errors </w:t>
      </w:r>
      <w:r w:rsidR="006E46AC">
        <w:t xml:space="preserve">in </w:t>
      </w:r>
      <w:r>
        <w:t xml:space="preserve">turbulent environments </w:t>
      </w:r>
      <w:r w:rsidR="00A406F8">
        <w:rPr>
          <w:color w:val="000000"/>
        </w:rPr>
        <w:t>(Gündüzyeli, 2025)</w:t>
      </w:r>
      <w:r>
        <w:t xml:space="preserve">. </w:t>
      </w:r>
      <w:r w:rsidR="008E60B8">
        <w:t>This new paradigm turns reactive activities to proactive value chains that have the power to intercept disturbances.</w:t>
      </w:r>
    </w:p>
    <w:p w:rsidR="008E60B8" w:rsidRDefault="008E60B8" w:rsidP="008E60B8">
      <w:r>
        <w:t xml:space="preserve">Zara is an illustration </w:t>
      </w:r>
      <w:r w:rsidR="006E46AC">
        <w:rPr>
          <w:kern w:val="0"/>
        </w:rPr>
        <w:t>of its commercial team approach, which encourages capturing daily store feedback across 96 countries. This data is processed in hours by AI algorithms to identify emerging trends (Inditex</w:t>
      </w:r>
      <w:r>
        <w:t xml:space="preserve"> 2024). With automated replenishment tools coupled to this </w:t>
      </w:r>
      <w:r>
        <w:lastRenderedPageBreak/>
        <w:t>real-time intelligence, Zara gives current production priority during weekly forecasting runs, and with 85</w:t>
      </w:r>
      <w:r w:rsidR="00031BAF">
        <w:t>%</w:t>
      </w:r>
      <w:r>
        <w:t xml:space="preserve"> of high-demand signals driven into store delivery within ten days, its lead time in the industry has been cut </w:t>
      </w:r>
      <w:r w:rsidR="00031BAF">
        <w:t>in</w:t>
      </w:r>
      <w:r>
        <w:t xml:space="preserve"> half </w:t>
      </w:r>
      <w:r w:rsidR="0055273A">
        <w:rPr>
          <w:color w:val="000000"/>
        </w:rPr>
        <w:t>(Sanders, 2023)</w:t>
      </w:r>
      <w:r>
        <w:t>.</w:t>
      </w:r>
    </w:p>
    <w:p w:rsidR="008E60B8" w:rsidRDefault="008E60B8" w:rsidP="008E60B8">
      <w:r>
        <w:t xml:space="preserve">Agile response is further justified strategically by </w:t>
      </w:r>
      <w:r w:rsidR="00031BAF">
        <w:t xml:space="preserve">the </w:t>
      </w:r>
      <w:r>
        <w:t xml:space="preserve">Vendor Managed Inventory (VMI) scenario following Hurricane Katrina, experienced by Dell. Upon facing disastrous supply shortages, Dell was able to use its live supplier data-sharing with a component reroute before causing a potential $220 million of losses </w:t>
      </w:r>
      <w:r w:rsidR="00A177D8">
        <w:rPr>
          <w:color w:val="000000"/>
        </w:rPr>
        <w:t>(Huang et al., 2023)</w:t>
      </w:r>
      <w:r>
        <w:t xml:space="preserve">. Contemporary iterations of this strategy (including sensor-based VMI systems) are now able to dynamically redistribute stock automatically in the event of </w:t>
      </w:r>
      <w:r w:rsidR="00031BAF">
        <w:t xml:space="preserve">a </w:t>
      </w:r>
      <w:r>
        <w:t>backlog in the port or supplier back-outs.</w:t>
      </w:r>
    </w:p>
    <w:p w:rsidR="00C92423" w:rsidRDefault="008E60B8" w:rsidP="008E60B8">
      <w:r>
        <w:t>Empirically, 15</w:t>
      </w:r>
      <w:r w:rsidR="00031BAF">
        <w:t>%</w:t>
      </w:r>
      <w:r>
        <w:t xml:space="preserve"> stockouts are reduced using improved detection of risks within these systems (Rahman et al. 2025). Such decreases </w:t>
      </w:r>
      <w:r w:rsidR="00031BAF">
        <w:t xml:space="preserve">in </w:t>
      </w:r>
      <w:r>
        <w:t>Detection (DET) scores to in FMEA terms in three ways:</w:t>
      </w:r>
    </w:p>
    <w:p w:rsidR="00C92423" w:rsidRDefault="00C92423" w:rsidP="00C92423">
      <w:pPr>
        <w:pStyle w:val="ListParagraph"/>
        <w:numPr>
          <w:ilvl w:val="0"/>
          <w:numId w:val="3"/>
        </w:numPr>
      </w:pPr>
      <w:r>
        <w:t>Predictive analytics flagging inventory shortfalls 72 hours pre-occurrence,</w:t>
      </w:r>
    </w:p>
    <w:p w:rsidR="00C92423" w:rsidRDefault="00C92423" w:rsidP="00C92423">
      <w:pPr>
        <w:pStyle w:val="ListParagraph"/>
        <w:numPr>
          <w:ilvl w:val="0"/>
          <w:numId w:val="3"/>
        </w:numPr>
      </w:pPr>
      <w:r>
        <w:t>Blockchain-verified supplier capacity data enabling rapid reallocation,</w:t>
      </w:r>
    </w:p>
    <w:p w:rsidR="00C92423" w:rsidRDefault="00C92423" w:rsidP="00C92423">
      <w:pPr>
        <w:pStyle w:val="ListParagraph"/>
        <w:numPr>
          <w:ilvl w:val="0"/>
          <w:numId w:val="3"/>
        </w:numPr>
      </w:pPr>
      <w:r>
        <w:t>Prescriptive algorithms recommending buffer stock adjustments (Wagner 2024).</w:t>
      </w:r>
    </w:p>
    <w:p w:rsidR="00CC1BE8" w:rsidRDefault="00C92423" w:rsidP="00C92423">
      <w:pPr>
        <w:pStyle w:val="ListParagraph"/>
        <w:numPr>
          <w:ilvl w:val="0"/>
          <w:numId w:val="3"/>
        </w:numPr>
      </w:pPr>
      <w:r>
        <w:t xml:space="preserve">As </w:t>
      </w:r>
      <w:r w:rsidR="00795485">
        <w:rPr>
          <w:color w:val="000000"/>
        </w:rPr>
        <w:t>Singh and Goel (2024)</w:t>
      </w:r>
      <w:r>
        <w:t xml:space="preserve"> emphasises, the fusion of demand sensing and agile execution converts volatility from a cost centre into a competitive differentiator, reducing obsolescence while capturing emergent opportunities.</w:t>
      </w:r>
    </w:p>
    <w:p w:rsidR="00516E26" w:rsidRDefault="00516E26" w:rsidP="00516E26">
      <w:pPr>
        <w:pStyle w:val="Heading2"/>
      </w:pPr>
      <w:bookmarkStart w:id="7" w:name="_Toc204819270"/>
      <w:r>
        <w:t xml:space="preserve">3.5 </w:t>
      </w:r>
      <w:r w:rsidRPr="00516E26">
        <w:t>Inventory Buffering</w:t>
      </w:r>
      <w:bookmarkEnd w:id="7"/>
    </w:p>
    <w:p w:rsidR="00532AF5" w:rsidRDefault="00532AF5" w:rsidP="00532AF5">
      <w:r>
        <w:t xml:space="preserve">Inventory buffering is a fundamental source of resilience that holds strategic safety functionality to cushion an increase in demand and reactive supply shock, and converting uncertainty into stable operations </w:t>
      </w:r>
      <w:r w:rsidR="00A406F8">
        <w:rPr>
          <w:color w:val="000000"/>
        </w:rPr>
        <w:t>(Gündüzyeli, 2025)</w:t>
      </w:r>
      <w:r>
        <w:t xml:space="preserve">. Modern studies validate that intentionally idle distribution centre (DC) capacity - the shock absorbers - can minimise lost revenue due to emergencies by 23%-41% as compared to lean inventory models </w:t>
      </w:r>
      <w:r w:rsidR="00DC49E5">
        <w:rPr>
          <w:color w:val="000000"/>
        </w:rPr>
        <w:t>(Prataviera et al., 2024)</w:t>
      </w:r>
      <w:r>
        <w:t>. It provides good trade-off between efficiency and robustness that is especially important in industries with volatility in demand.</w:t>
      </w:r>
    </w:p>
    <w:p w:rsidR="00BD591B" w:rsidRDefault="00532AF5" w:rsidP="00532AF5">
      <w:r>
        <w:t>An example can be seen in the work of Zara that intentionally uses 50% DC in its Spanish hubs, leaving half of the warehouse capacity in reserve to redeploy high-demand items in the event of an emergency. By scaling this principle, allocating 10-15% buffer capacity worldwide would allow Zara to relocate 30,000 units of garments per day in the case of port strikes or supplier default, a reserve of 15% of peak daily shipments (Rahman and Schmidt 2025).</w:t>
      </w:r>
      <w:r w:rsidR="00BD591B">
        <w:t>Such buffers function as an insurance policy against unforeseen disruptions.</w:t>
      </w:r>
    </w:p>
    <w:p w:rsidR="00BD591B" w:rsidRDefault="00BD591B" w:rsidP="00BD591B">
      <w:r>
        <w:lastRenderedPageBreak/>
        <w:t>The fast-fashion sector demonstrates this strategy’s efficacy through Uniqlo’s air freight reserve protocol. During 2023’s Suez Canal blockage, the company activated pre-booked air cargo space to expedite 120,000 units of heat-tech apparel from Vietnam to European stores, avoiding €28 million in lost sales. This "just-in-case" inventory model contrasts with traditional just-in-time systems, prioritising availability over absolute efficiency during crises.</w:t>
      </w:r>
    </w:p>
    <w:p w:rsidR="004F5DCE" w:rsidRDefault="00BD591B" w:rsidP="00BD591B">
      <w:r>
        <w:t xml:space="preserve">Empirically, optimised buffering aligns with Time-to-Recovery (TTR) metrics by containing disruptions within 2-week windows </w:t>
      </w:r>
      <w:r w:rsidR="00663B61">
        <w:rPr>
          <w:color w:val="000000"/>
        </w:rPr>
        <w:t>(Chowdhury, 2025)</w:t>
      </w:r>
      <w:r>
        <w:t xml:space="preserve">. For Zara, implementing regional buffers would reduce Severity (SEV) scores for transportation failures from 8 to 5 in FMEA frameworks, as localised reserves mitigate downstream impacts. </w:t>
      </w:r>
      <w:r w:rsidR="0010477B" w:rsidRPr="0010477B">
        <w:t>Thereby</w:t>
      </w:r>
      <w:r w:rsidR="00663B61">
        <w:t>,</w:t>
      </w:r>
      <w:r w:rsidR="0010477B" w:rsidRPr="0010477B">
        <w:t xml:space="preserve"> the buffering turns the inventory into a resilience resource, as </w:t>
      </w:r>
      <w:r w:rsidR="002F5DFA">
        <w:rPr>
          <w:color w:val="000000"/>
        </w:rPr>
        <w:t>Adegboye et al., (2024)</w:t>
      </w:r>
      <w:r w:rsidR="0010477B" w:rsidRPr="0010477B">
        <w:t xml:space="preserve"> underlines, as well as a strategic resource, when the buffering is adjusted to absorb regionally specific risks of a weather event or labour strike.</w:t>
      </w:r>
    </w:p>
    <w:p w:rsidR="004F5DCE" w:rsidRDefault="004F5DCE" w:rsidP="004F5DCE">
      <w:pPr>
        <w:pStyle w:val="Heading2"/>
      </w:pPr>
      <w:bookmarkStart w:id="8" w:name="_Toc204819271"/>
      <w:r>
        <w:t xml:space="preserve">3.6 </w:t>
      </w:r>
      <w:r w:rsidRPr="004F5DCE">
        <w:t>Agile Capacity Allocation</w:t>
      </w:r>
      <w:bookmarkEnd w:id="8"/>
    </w:p>
    <w:p w:rsidR="00203C2B" w:rsidRDefault="00203C2B" w:rsidP="00203C2B">
      <w:r>
        <w:t xml:space="preserve">Agile capacity allocation allows a quick reaction to volatile demand due to the pre-booking of the flexible production time slots on a contract basis, making the fixed assets elastic resources </w:t>
      </w:r>
      <w:r w:rsidR="00DC49E5">
        <w:rPr>
          <w:color w:val="000000"/>
        </w:rPr>
        <w:t>(Prataviera et al., 2024)</w:t>
      </w:r>
      <w:r>
        <w:t xml:space="preserve">. The strategy reflects contemporary resilience paradigms in which reserved option capacity proves more effective than conventional forecasting, abridging spikes in the market </w:t>
      </w:r>
      <w:r w:rsidR="00A406F8">
        <w:rPr>
          <w:color w:val="000000"/>
        </w:rPr>
        <w:t>(Gündüzyeli, 2025)</w:t>
      </w:r>
      <w:r>
        <w:t>. Companies that use such a strategy are competitive and agile, reducing the cost on sitting infrastructure.</w:t>
      </w:r>
    </w:p>
    <w:p w:rsidR="00FD4316" w:rsidRDefault="00203C2B" w:rsidP="00203C2B">
      <w:r>
        <w:t xml:space="preserve">In </w:t>
      </w:r>
      <w:r w:rsidR="002F5DFA">
        <w:t xml:space="preserve">the </w:t>
      </w:r>
      <w:r>
        <w:t xml:space="preserve">case of Zara, capacity reservation would be carried out by booking 15-20 </w:t>
      </w:r>
      <w:r w:rsidR="002F5DFA">
        <w:t>modules</w:t>
      </w:r>
      <w:r>
        <w:t xml:space="preserve"> of </w:t>
      </w:r>
      <w:r w:rsidR="002F5DFA">
        <w:t>capacity</w:t>
      </w:r>
      <w:r>
        <w:t>, at Turkish and Moroccan factories.</w:t>
      </w:r>
      <w:r w:rsidR="00FD4316">
        <w:t xml:space="preserve"> These contracts guarantee priority access during disruptions, enabling 48-hour production pivots for high-demand items identified through real-time sales data (Inditex 2025). Such arrangements mirror Zara’s existing DC buffer model but extend flexibility upstream, ensuring raw material-to-garment conversion within crisis windows.</w:t>
      </w:r>
    </w:p>
    <w:p w:rsidR="00FD4316" w:rsidRDefault="00203C2B" w:rsidP="00FD4316">
      <w:r>
        <w:t>Cisco’selasticmanufacturingnetworkdemonstrate</w:t>
      </w:r>
      <w:r w:rsidR="00FD4316">
        <w:t xml:space="preserve">s </w:t>
      </w:r>
      <w:r>
        <w:t>theindustrialefficacyofthismodel</w:t>
      </w:r>
      <w:r w:rsidR="00FD4316">
        <w:t>. During the 2022 chip shortage, Cisco activated pre-reserved capacity at Mexican and Malaysian partners within 72 hours, compensating for 40% lost Taiwanese output while maintaining 92% order fulfilment. This "pay-for-access" approach reduced disruption costs by $1.2 billion annually compared to fixed-asset investments (Cisco Systems 2023).</w:t>
      </w:r>
    </w:p>
    <w:p w:rsidR="004F5DCE" w:rsidRDefault="00FD4316" w:rsidP="00FD4316">
      <w:r>
        <w:t xml:space="preserve">Quantitatively, agile allocation lowers Occurrence (OCC) scores in FMEA frameworks by 30%. Reserved capacity slashes production lead times from 14 to 10 days during demand </w:t>
      </w:r>
      <w:r>
        <w:lastRenderedPageBreak/>
        <w:t xml:space="preserve">surges, reducing the probability of failure occurrence from OCC=7 to OCC=5 (Liu and Schmidt 2025). As Wagner (2024) confirms, every 10% capacity reservation improves disruption response speed by 25%, converting latent flexibility into measurable resilience. </w:t>
      </w:r>
      <w:r w:rsidR="00484E83" w:rsidRPr="00484E83">
        <w:t xml:space="preserve">This does not </w:t>
      </w:r>
      <w:r w:rsidR="00484E83">
        <w:rPr>
          <w:kern w:val="0"/>
        </w:rPr>
        <w:t>constitute a capacity booking overhead; rather, it serves as insurance against the rising costs of volatility, making it a strategic measure.</w:t>
      </w:r>
    </w:p>
    <w:p w:rsidR="00FD4316" w:rsidRDefault="00C9401B" w:rsidP="00C9401B">
      <w:pPr>
        <w:pStyle w:val="Heading1"/>
      </w:pPr>
      <w:bookmarkStart w:id="9" w:name="_Toc204819272"/>
      <w:r>
        <w:t xml:space="preserve">4. </w:t>
      </w:r>
      <w:r w:rsidRPr="00C9401B">
        <w:t xml:space="preserve">Conclusions </w:t>
      </w:r>
      <w:r>
        <w:t>and</w:t>
      </w:r>
      <w:r w:rsidRPr="00C9401B">
        <w:t xml:space="preserve"> Further Research</w:t>
      </w:r>
      <w:bookmarkEnd w:id="9"/>
    </w:p>
    <w:p w:rsidR="00484E83" w:rsidRDefault="00484E83" w:rsidP="00484E83">
      <w:r>
        <w:t>This discussion shows that resilience in Zara’s supply chain relies on coordinated mapping, postponement, and nimble assignment of capacity interventions, which turns weakness into competitive distinction. Multi-tier supply chain mapping is the most lucrative payoff on resilience investment, as it anticipates disruption at tier-2 by allowing proactive diversification, as was the case at Merck KGaA with its post-2011 dual-sourcing strategy, resulting in a reduction of supplier-related RPN scores</w:t>
      </w:r>
      <w:r w:rsidR="00D514CB">
        <w:t>.</w:t>
      </w:r>
      <w:r>
        <w:t xml:space="preserve"> Waiting is equally essential, </w:t>
      </w:r>
      <w:r>
        <w:rPr>
          <w:kern w:val="0"/>
        </w:rPr>
        <w:t>as delayed customisation can halve marketability expenses by minimising obsolescence, as evidenced by Zara's delayed cut-and-sew model and HP's</w:t>
      </w:r>
      <w:r>
        <w:t xml:space="preserve"> regional configuration centres </w:t>
      </w:r>
      <w:r w:rsidR="00DC49E5">
        <w:rPr>
          <w:color w:val="000000"/>
        </w:rPr>
        <w:t>(Prataviera et al., 2024)</w:t>
      </w:r>
      <w:r>
        <w:t xml:space="preserve">. The above-discussed methods are all aimed </w:t>
      </w:r>
      <w:r>
        <w:rPr>
          <w:kern w:val="0"/>
        </w:rPr>
        <w:t>at dealing with the fundamental conflict of resilience planning, namely, a 5-7</w:t>
      </w:r>
      <w:r w:rsidR="0001322C">
        <w:rPr>
          <w:kern w:val="0"/>
        </w:rPr>
        <w:t>%</w:t>
      </w:r>
      <w:r>
        <w:rPr>
          <w:kern w:val="0"/>
        </w:rPr>
        <w:t xml:space="preserve"> increase in the cost of operations brings 35%</w:t>
      </w:r>
      <w:r>
        <w:t xml:space="preserve"> less losses due to disruption, which positively offsets in various industries dealing with fast-moving consumer goods </w:t>
      </w:r>
      <w:r w:rsidR="0001322C">
        <w:rPr>
          <w:color w:val="000000"/>
        </w:rPr>
        <w:t>(Nafiu et al., 2025)</w:t>
      </w:r>
      <w:r>
        <w:t>.</w:t>
      </w:r>
    </w:p>
    <w:p w:rsidR="00484E83" w:rsidRDefault="00484E83" w:rsidP="00484E83">
      <w:r>
        <w:t xml:space="preserve">Still, three emerging issues require additional theoretical and practical research. First, blockchain-enforced supplier mapping is no longer a promise. It has the potential to provide real-time visibility of tier-3, which needs to be standardised to address data silos. Recent prototypes with smart contracts automate checks of compliance and disruption warnings, and may lower mapping expenses by 60% and boost ethical sourcing </w:t>
      </w:r>
      <w:r w:rsidR="00DB3A8F">
        <w:rPr>
          <w:color w:val="000000"/>
        </w:rPr>
        <w:t>(Bassan and Rabitti, 2024)</w:t>
      </w:r>
      <w:r>
        <w:t xml:space="preserve">. Second, risk management may resemble a revolution based on the AI-driven RPN prediction. By modelling FMEA with geopolitical, climate, and logistical data, ML models predict FMEA scores with an 89% tolerance </w:t>
      </w:r>
      <w:r w:rsidR="00F47D18">
        <w:rPr>
          <w:color w:val="000000"/>
        </w:rPr>
        <w:t>(Goel et al., 2023)</w:t>
      </w:r>
      <w:r>
        <w:t xml:space="preserve"> to fix conditions before any damage is accrued</w:t>
      </w:r>
      <w:r w:rsidR="0001322C">
        <w:t xml:space="preserve"> proactively</w:t>
      </w:r>
      <w:r>
        <w:t xml:space="preserve">. </w:t>
      </w:r>
      <w:r>
        <w:rPr>
          <w:kern w:val="0"/>
        </w:rPr>
        <w:t>Integrating resilience into Zara's SCM systems would shift them to</w:t>
      </w:r>
      <w:r>
        <w:t xml:space="preserve"> a predictive status.</w:t>
      </w:r>
    </w:p>
    <w:p w:rsidR="003401FF" w:rsidRDefault="00484E83" w:rsidP="00484E83">
      <w:r>
        <w:t>Third, the integration of the circular economy is underutilised to provide sourcing risk reduction.</w:t>
      </w:r>
      <w:r w:rsidR="003401FF">
        <w:t xml:space="preserve"> Closed-loop systems using recycled textiles (e.g., Adidas’s Futurecraft Loop sneakers) cut raw material dependencies by 30%, directly lowering geopolitical exposure. Scaling this requires reengineering Zara’s linear "take-make-dispose" model into regenerative loops—a transition demanding supplier collaboration and policy incentives.</w:t>
      </w:r>
    </w:p>
    <w:p w:rsidR="003401FF" w:rsidRDefault="003401FF" w:rsidP="003401FF">
      <w:r>
        <w:lastRenderedPageBreak/>
        <w:t>Future research should prioritise quantifying these interventions’ scalability:</w:t>
      </w:r>
    </w:p>
    <w:p w:rsidR="003401FF" w:rsidRDefault="003401FF" w:rsidP="003401FF">
      <w:pPr>
        <w:pStyle w:val="ListParagraph"/>
        <w:numPr>
          <w:ilvl w:val="0"/>
          <w:numId w:val="4"/>
        </w:numPr>
      </w:pPr>
      <w:r>
        <w:t>Blockchain’s carbon footprint versus resilience gains,</w:t>
      </w:r>
    </w:p>
    <w:p w:rsidR="003401FF" w:rsidRDefault="003401FF" w:rsidP="003401FF">
      <w:pPr>
        <w:pStyle w:val="ListParagraph"/>
        <w:numPr>
          <w:ilvl w:val="0"/>
          <w:numId w:val="4"/>
        </w:numPr>
      </w:pPr>
      <w:r>
        <w:t>AI ethical implications in labo</w:t>
      </w:r>
      <w:r w:rsidR="00484E83">
        <w:t>u</w:t>
      </w:r>
      <w:r>
        <w:t>r-intensive supply chains,</w:t>
      </w:r>
    </w:p>
    <w:p w:rsidR="003401FF" w:rsidRDefault="003401FF" w:rsidP="003401FF">
      <w:pPr>
        <w:pStyle w:val="ListParagraph"/>
        <w:numPr>
          <w:ilvl w:val="0"/>
          <w:numId w:val="4"/>
        </w:numPr>
      </w:pPr>
      <w:r>
        <w:t>Circularity’s impact on fast-fashion profitability (Wagner and Schmidt 2025).</w:t>
      </w:r>
    </w:p>
    <w:p w:rsidR="003401FF" w:rsidRDefault="003401FF" w:rsidP="003401FF">
      <w:pPr>
        <w:pStyle w:val="ListParagraph"/>
        <w:numPr>
          <w:ilvl w:val="0"/>
          <w:numId w:val="4"/>
        </w:numPr>
      </w:pPr>
      <w:r>
        <w:t>As global disruptions intensify, Zara’s evolution from agile pioneer to resilience archetype will depend on converting these insights into embedded capabilities</w:t>
      </w:r>
      <w:r w:rsidR="00484E83">
        <w:t xml:space="preserve">, </w:t>
      </w:r>
      <w:r>
        <w:t>where visibility, flexibility, and sustainability converge to redefine fast fashion’s future.</w:t>
      </w:r>
    </w:p>
    <w:p w:rsidR="00F47D18" w:rsidRDefault="00F47D18" w:rsidP="00F47D18"/>
    <w:p w:rsidR="00F47D18" w:rsidRDefault="00F47D18" w:rsidP="00F47D18"/>
    <w:p w:rsidR="00F47D18" w:rsidRDefault="00F47D18">
      <w:pPr>
        <w:spacing w:line="240" w:lineRule="auto"/>
        <w:jc w:val="left"/>
      </w:pPr>
      <w:r>
        <w:br w:type="page"/>
      </w:r>
    </w:p>
    <w:p w:rsidR="001F629E" w:rsidRPr="001F629E" w:rsidRDefault="001F629E" w:rsidP="001F629E">
      <w:pPr>
        <w:pStyle w:val="Heading1"/>
      </w:pPr>
      <w:bookmarkStart w:id="10" w:name="_Toc204819273"/>
      <w:r>
        <w:lastRenderedPageBreak/>
        <w:t>References</w:t>
      </w:r>
      <w:bookmarkEnd w:id="10"/>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Adegboye, O., Arowosegbe, O. and Prosper, O. (2024). AI Optimized Supply Chain Mapping for Green Energy Storage Systems: Predictive Risk Modeling Under Geopolitical and Climate Shocks 2024.</w:t>
      </w:r>
      <w:r w:rsidRPr="00E042A7">
        <w:rPr>
          <w:rStyle w:val="apple-converted-space"/>
          <w:rFonts w:eastAsiaTheme="majorEastAsia"/>
          <w:color w:val="000000"/>
          <w:sz w:val="24"/>
        </w:rPr>
        <w:t> </w:t>
      </w:r>
      <w:r w:rsidRPr="00E042A7">
        <w:rPr>
          <w:i/>
          <w:iCs/>
          <w:color w:val="000000"/>
          <w:sz w:val="24"/>
        </w:rPr>
        <w:t>International Journal of Advance Research Publication and Reviews</w:t>
      </w:r>
      <w:r w:rsidRPr="00E042A7">
        <w:rPr>
          <w:color w:val="000000"/>
          <w:sz w:val="24"/>
        </w:rPr>
        <w:t>, [online] 01, pp.63–86. Available at: https://ijarpr.com/uploads/V1ISSUE4/IJARPR0206.pdf.</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Ahmed, W. and Rashdi, M.Z. (2022). Understanding the influence of lean and agile strategies on creating firms’ supply chain risk management capabilities.</w:t>
      </w:r>
      <w:r w:rsidRPr="00E042A7">
        <w:rPr>
          <w:rStyle w:val="apple-converted-space"/>
          <w:rFonts w:eastAsiaTheme="majorEastAsia"/>
          <w:color w:val="000000"/>
          <w:sz w:val="24"/>
        </w:rPr>
        <w:t> </w:t>
      </w:r>
      <w:r w:rsidRPr="00E042A7">
        <w:rPr>
          <w:i/>
          <w:iCs/>
          <w:color w:val="000000"/>
          <w:sz w:val="24"/>
        </w:rPr>
        <w:t>Competitiveness Review: An International Business Journal</w:t>
      </w:r>
      <w:r w:rsidRPr="00E042A7">
        <w:rPr>
          <w:color w:val="000000"/>
          <w:sz w:val="24"/>
        </w:rPr>
        <w:t>, ahead-of-print(ahead-of-print). doi:https://doi.org/10.1108/cr-03-2020-0040.</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Al-amin, Md., Tahir, M., Talukder, A., Mamun, A.A., Hossain, T. and Sultana, N. (2025). Unraveling Global Threads: Pandemic, Geopolitical Conflict, and Resilience in Fashion and Textile Supply Chain.</w:t>
      </w:r>
      <w:r w:rsidRPr="00E042A7">
        <w:rPr>
          <w:rStyle w:val="apple-converted-space"/>
          <w:rFonts w:eastAsiaTheme="majorEastAsia"/>
          <w:color w:val="000000"/>
          <w:sz w:val="24"/>
        </w:rPr>
        <w:t> </w:t>
      </w:r>
      <w:r w:rsidRPr="00E042A7">
        <w:rPr>
          <w:i/>
          <w:iCs/>
          <w:color w:val="000000"/>
          <w:sz w:val="24"/>
        </w:rPr>
        <w:t>Ekonomi İşletmeveYönetimDergisi</w:t>
      </w:r>
      <w:r w:rsidRPr="00E042A7">
        <w:rPr>
          <w:color w:val="000000"/>
          <w:sz w:val="24"/>
        </w:rPr>
        <w:t>, [online] 9(1), pp.158–222. doi:https://doi.org/10.7596/jebm.1636662.</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Bassan, F. and Rabitti, M. (2024). From smart legal contracts to contracts on blockchain: An empirical investigation.</w:t>
      </w:r>
      <w:r w:rsidRPr="00E042A7">
        <w:rPr>
          <w:rStyle w:val="apple-converted-space"/>
          <w:rFonts w:eastAsiaTheme="majorEastAsia"/>
          <w:color w:val="000000"/>
          <w:sz w:val="24"/>
        </w:rPr>
        <w:t> </w:t>
      </w:r>
      <w:r w:rsidRPr="00E042A7">
        <w:rPr>
          <w:i/>
          <w:iCs/>
          <w:color w:val="000000"/>
          <w:sz w:val="24"/>
        </w:rPr>
        <w:t>Computer Law &amp; Security Review</w:t>
      </w:r>
      <w:r w:rsidRPr="00E042A7">
        <w:rPr>
          <w:color w:val="000000"/>
          <w:sz w:val="24"/>
        </w:rPr>
        <w:t>, 55, p.106035. doi:https://doi.org/10.1016/j.clsr.2024.106035.</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Berenguer, G., Lorenzo, N.C. and Sáez, A. (2024). The State of Supplier Diversity Initiatives for Large Corporations: the New Sustainable Supply Chain?</w:t>
      </w:r>
      <w:r w:rsidRPr="00E042A7">
        <w:rPr>
          <w:rStyle w:val="apple-converted-space"/>
          <w:rFonts w:eastAsiaTheme="majorEastAsia"/>
          <w:color w:val="000000"/>
          <w:sz w:val="24"/>
        </w:rPr>
        <w:t> </w:t>
      </w:r>
      <w:r w:rsidRPr="00E042A7">
        <w:rPr>
          <w:i/>
          <w:iCs/>
          <w:color w:val="000000"/>
          <w:sz w:val="24"/>
        </w:rPr>
        <w:t>Production and operations management</w:t>
      </w:r>
      <w:r w:rsidRPr="00E042A7">
        <w:rPr>
          <w:color w:val="000000"/>
          <w:sz w:val="24"/>
        </w:rPr>
        <w:t>. doi:https://doi.org/10.1177/10591478241240123.</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Chowdhury, A.R. (2025). A SYSTEMATIC REVIEW OF RISK-BASED PROCUREMENT STRATEGIES IN RETAIL SUPPLY CHAINS: SOURCING FLEXIBILITY AND VENDOR DISRUPTION MANAGEMENT.</w:t>
      </w:r>
      <w:r w:rsidRPr="00E042A7">
        <w:rPr>
          <w:rStyle w:val="apple-converted-space"/>
          <w:rFonts w:eastAsiaTheme="majorEastAsia"/>
          <w:color w:val="000000"/>
          <w:sz w:val="24"/>
        </w:rPr>
        <w:t> </w:t>
      </w:r>
      <w:r w:rsidRPr="00E042A7">
        <w:rPr>
          <w:i/>
          <w:iCs/>
          <w:color w:val="000000"/>
          <w:sz w:val="24"/>
        </w:rPr>
        <w:t>American Journal of Advanced Technology and Engineering Solutions</w:t>
      </w:r>
      <w:r w:rsidRPr="00E042A7">
        <w:rPr>
          <w:color w:val="000000"/>
          <w:sz w:val="24"/>
        </w:rPr>
        <w:t>, 1(1), pp.466–505. doi:https://doi.org/10.63125/jr03rv07.</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Farrukh, A. and Sajjad, A. (2024). Investigating Supply Chain Disruptions and Resilience in the Textile Industry: A Systemic Risk Theory and Dynamic Capability-Based View.</w:t>
      </w:r>
      <w:r w:rsidRPr="00E042A7">
        <w:rPr>
          <w:rStyle w:val="apple-converted-space"/>
          <w:rFonts w:eastAsiaTheme="majorEastAsia"/>
          <w:color w:val="000000"/>
          <w:sz w:val="24"/>
        </w:rPr>
        <w:t> </w:t>
      </w:r>
      <w:r w:rsidRPr="00E042A7">
        <w:rPr>
          <w:i/>
          <w:iCs/>
          <w:color w:val="000000"/>
          <w:sz w:val="24"/>
        </w:rPr>
        <w:t>Global Journal of Flexible Systems Management</w:t>
      </w:r>
      <w:r w:rsidRPr="00E042A7">
        <w:rPr>
          <w:color w:val="000000"/>
          <w:sz w:val="24"/>
        </w:rPr>
        <w:t>, 26(8). doi:https://doi.org/10.1007/s40171-024-00423-x.</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 xml:space="preserve">Goel, P.S., R. Mendiratta, Maheshwari, B. and Yadav, O.P. (2023). Utilizing the FMEA RPN Framework in Quantifying Supply Chain Risks of High Severity and Low Probability Events: </w:t>
      </w:r>
      <w:r w:rsidRPr="00E042A7">
        <w:rPr>
          <w:color w:val="000000"/>
          <w:sz w:val="24"/>
        </w:rPr>
        <w:lastRenderedPageBreak/>
        <w:t>Pandemics and Geopolitical Conflicts - An In-depth Analysis.</w:t>
      </w:r>
      <w:r w:rsidRPr="00E042A7">
        <w:rPr>
          <w:rStyle w:val="apple-converted-space"/>
          <w:rFonts w:eastAsiaTheme="majorEastAsia"/>
          <w:color w:val="000000"/>
          <w:sz w:val="24"/>
        </w:rPr>
        <w:t> </w:t>
      </w:r>
      <w:r w:rsidRPr="00E042A7">
        <w:rPr>
          <w:i/>
          <w:iCs/>
          <w:color w:val="000000"/>
          <w:sz w:val="24"/>
        </w:rPr>
        <w:t>2023 IEEE International Conference on Industrial Engineering and Engineering Management (IEEM)</w:t>
      </w:r>
      <w:r w:rsidRPr="00E042A7">
        <w:rPr>
          <w:color w:val="000000"/>
          <w:sz w:val="24"/>
        </w:rPr>
        <w:t>, 53, pp.0093–0097. doi:https://doi.org/10.1109/ieem58616.2023.10406595.</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Gündüzyeli, B. (2025). The Role of Social Media and Artificial Intelligence (AI) in Enhancing Digital Marketing Resilience During Crises.</w:t>
      </w:r>
      <w:r w:rsidRPr="00E042A7">
        <w:rPr>
          <w:rStyle w:val="apple-converted-space"/>
          <w:rFonts w:eastAsiaTheme="majorEastAsia"/>
          <w:color w:val="000000"/>
          <w:sz w:val="24"/>
        </w:rPr>
        <w:t> </w:t>
      </w:r>
      <w:r w:rsidRPr="00E042A7">
        <w:rPr>
          <w:i/>
          <w:iCs/>
          <w:color w:val="000000"/>
          <w:sz w:val="24"/>
        </w:rPr>
        <w:t>Sustainability</w:t>
      </w:r>
      <w:r w:rsidRPr="00E042A7">
        <w:rPr>
          <w:color w:val="000000"/>
          <w:sz w:val="24"/>
        </w:rPr>
        <w:t>, 17(7), p.3134. doi:https://doi.org/10.3390/su17073134.</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Holloway, S. (2025). Assessing the Impact of Supply Chain Disruption Management on Brand Resilience and Consumer Perception.</w:t>
      </w:r>
      <w:r w:rsidRPr="00E042A7">
        <w:rPr>
          <w:rStyle w:val="apple-converted-space"/>
          <w:rFonts w:eastAsiaTheme="majorEastAsia"/>
          <w:color w:val="000000"/>
          <w:sz w:val="24"/>
        </w:rPr>
        <w:t> </w:t>
      </w:r>
      <w:r w:rsidRPr="00E042A7">
        <w:rPr>
          <w:i/>
          <w:iCs/>
          <w:color w:val="000000"/>
          <w:sz w:val="24"/>
        </w:rPr>
        <w:t>Supply Chain Management</w:t>
      </w:r>
      <w:r w:rsidRPr="00E042A7">
        <w:rPr>
          <w:color w:val="000000"/>
          <w:sz w:val="24"/>
        </w:rPr>
        <w:t>, 21(12). doi:https://doi.org/10.2139/ssrn.5123727.</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Huang, J., You, J.-X., Liu, H.-C. and Song, M.-S. (2020). Failure mode and effect analysis improvement: A systematic literature review and future research agenda.</w:t>
      </w:r>
      <w:r w:rsidRPr="00E042A7">
        <w:rPr>
          <w:rStyle w:val="apple-converted-space"/>
          <w:rFonts w:eastAsiaTheme="majorEastAsia"/>
          <w:color w:val="000000"/>
          <w:sz w:val="24"/>
        </w:rPr>
        <w:t> </w:t>
      </w:r>
      <w:r w:rsidRPr="00E042A7">
        <w:rPr>
          <w:i/>
          <w:iCs/>
          <w:color w:val="000000"/>
          <w:sz w:val="24"/>
        </w:rPr>
        <w:t>Reliability Engineering &amp; System Safety</w:t>
      </w:r>
      <w:r w:rsidRPr="00E042A7">
        <w:rPr>
          <w:color w:val="000000"/>
          <w:sz w:val="24"/>
        </w:rPr>
        <w:t>, 199, p.106885. doi:https://doi.org/10.1016/j.ress.2020.106885.</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Huang, K., Wang, K., Lee, P.K.C. and Yeung, A.C.L. (2023). The impact of industry 4.0 on supply chain capability and supply chain resilience: A dynamic resource-based view.</w:t>
      </w:r>
      <w:r w:rsidRPr="00E042A7">
        <w:rPr>
          <w:rStyle w:val="apple-converted-space"/>
          <w:rFonts w:eastAsiaTheme="majorEastAsia"/>
          <w:color w:val="000000"/>
          <w:sz w:val="24"/>
        </w:rPr>
        <w:t> </w:t>
      </w:r>
      <w:r w:rsidRPr="00E042A7">
        <w:rPr>
          <w:i/>
          <w:iCs/>
          <w:color w:val="000000"/>
          <w:sz w:val="24"/>
        </w:rPr>
        <w:t>International Journal of Production Economics</w:t>
      </w:r>
      <w:r w:rsidRPr="00E042A7">
        <w:rPr>
          <w:color w:val="000000"/>
          <w:sz w:val="24"/>
        </w:rPr>
        <w:t>, 262. doi:https://doi.org/10.1016/j.ijpe.2023.108913.</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Hugos, M. (2024).</w:t>
      </w:r>
      <w:r w:rsidRPr="00E042A7">
        <w:rPr>
          <w:rStyle w:val="apple-converted-space"/>
          <w:rFonts w:eastAsiaTheme="majorEastAsia"/>
          <w:color w:val="000000"/>
          <w:sz w:val="24"/>
        </w:rPr>
        <w:t> </w:t>
      </w:r>
      <w:r w:rsidRPr="00E042A7">
        <w:rPr>
          <w:i/>
          <w:iCs/>
          <w:color w:val="000000"/>
          <w:sz w:val="24"/>
        </w:rPr>
        <w:t>Zara Clothing Company Supply Chain</w:t>
      </w:r>
      <w:r w:rsidRPr="00E042A7">
        <w:rPr>
          <w:color w:val="000000"/>
          <w:sz w:val="24"/>
        </w:rPr>
        <w:t>. [online] SCM Globe. Available at: https://www.scmglobe.com/zara-clothing-company-supply-chain.</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Immawan, T., Sutrisno, W. and Rachman, A.K. (2023). Operational risk analysis with Fuzzy FMEA (Failure Mode and Effect Analysis) approach (Case study: Optimus Creative Bandung).</w:t>
      </w:r>
      <w:r w:rsidRPr="00E042A7">
        <w:rPr>
          <w:rStyle w:val="apple-converted-space"/>
          <w:rFonts w:eastAsiaTheme="majorEastAsia"/>
          <w:color w:val="000000"/>
          <w:sz w:val="24"/>
        </w:rPr>
        <w:t> </w:t>
      </w:r>
      <w:r w:rsidRPr="00E042A7">
        <w:rPr>
          <w:i/>
          <w:iCs/>
          <w:color w:val="000000"/>
          <w:sz w:val="24"/>
        </w:rPr>
        <w:t>MATEC Web of Conferences</w:t>
      </w:r>
      <w:r w:rsidRPr="00E042A7">
        <w:rPr>
          <w:color w:val="000000"/>
          <w:sz w:val="24"/>
        </w:rPr>
        <w:t>, 154, p.01084. doi:https://doi.org/10.1051/matecconf/201815401084.</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Jin, G., Meng, Q. and Feng, W. (2022). Optimization of Logistics System with Fuzzy FMEA-AHP Methodology.</w:t>
      </w:r>
      <w:r w:rsidRPr="00E042A7">
        <w:rPr>
          <w:rStyle w:val="apple-converted-space"/>
          <w:rFonts w:eastAsiaTheme="majorEastAsia"/>
          <w:color w:val="000000"/>
          <w:sz w:val="24"/>
        </w:rPr>
        <w:t> </w:t>
      </w:r>
      <w:r w:rsidRPr="00E042A7">
        <w:rPr>
          <w:i/>
          <w:iCs/>
          <w:color w:val="000000"/>
          <w:sz w:val="24"/>
        </w:rPr>
        <w:t>Processes</w:t>
      </w:r>
      <w:r w:rsidRPr="00E042A7">
        <w:rPr>
          <w:color w:val="000000"/>
          <w:sz w:val="24"/>
        </w:rPr>
        <w:t>, 10(10), pp.1973–1973. doi:https://doi.org/10.3390/pr10101973.</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Kang, P.S. and Bhawna, B. (2025). Enhancing supply chain resilience through supervised machine learning: supplier performance analysis and risk profiling for a multi-class classification problem.</w:t>
      </w:r>
      <w:r w:rsidRPr="00E042A7">
        <w:rPr>
          <w:rStyle w:val="apple-converted-space"/>
          <w:rFonts w:eastAsiaTheme="majorEastAsia"/>
          <w:color w:val="000000"/>
          <w:sz w:val="24"/>
        </w:rPr>
        <w:t> </w:t>
      </w:r>
      <w:r w:rsidRPr="00E042A7">
        <w:rPr>
          <w:i/>
          <w:iCs/>
          <w:color w:val="000000"/>
          <w:sz w:val="24"/>
        </w:rPr>
        <w:t>Business Process Management Journal</w:t>
      </w:r>
      <w:r w:rsidRPr="00E042A7">
        <w:rPr>
          <w:color w:val="000000"/>
          <w:sz w:val="24"/>
        </w:rPr>
        <w:t>, 17(4). doi:https://doi.org/10.1108/bpmj-03-2024-0174.</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lastRenderedPageBreak/>
        <w:t>Kasinathan, P., Pugazhendhi, R., Elavarasan, R.M., Ramachandaramurthy, V.K., Ramanathan, V., Subramanian, S., Kumar, S., Nandhagopal, K., Raghavan, R.R.V., Rangasamy, S., Devendiran, R. and Alsharif, M.H. (2022). Realization of Sustainable Development Goals with Disruptive Technologies by Integrating Industry 5.0, Society 5.0, Smart Cities and Villages.</w:t>
      </w:r>
      <w:r w:rsidRPr="00E042A7">
        <w:rPr>
          <w:rStyle w:val="apple-converted-space"/>
          <w:rFonts w:eastAsiaTheme="majorEastAsia"/>
          <w:color w:val="000000"/>
          <w:sz w:val="24"/>
        </w:rPr>
        <w:t> </w:t>
      </w:r>
      <w:r w:rsidRPr="00E042A7">
        <w:rPr>
          <w:i/>
          <w:iCs/>
          <w:color w:val="000000"/>
          <w:sz w:val="24"/>
        </w:rPr>
        <w:t>Sustainability</w:t>
      </w:r>
      <w:r w:rsidRPr="00E042A7">
        <w:rPr>
          <w:color w:val="000000"/>
          <w:sz w:val="24"/>
        </w:rPr>
        <w:t>, [online] 14(22), p.15258. Available at: https://www.mdpi.com/2071-1050/14/22/15258.</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Kostopoulos, N., Stamatiou, Y.C., Halkiopoulos, C. and Antonopoulou, H. (2025). Blockchain Applications in the Military Domain: A Systematic Review.</w:t>
      </w:r>
      <w:r w:rsidRPr="00E042A7">
        <w:rPr>
          <w:rStyle w:val="apple-converted-space"/>
          <w:rFonts w:eastAsiaTheme="majorEastAsia"/>
          <w:color w:val="000000"/>
          <w:sz w:val="24"/>
        </w:rPr>
        <w:t> </w:t>
      </w:r>
      <w:r w:rsidRPr="00E042A7">
        <w:rPr>
          <w:i/>
          <w:iCs/>
          <w:color w:val="000000"/>
          <w:sz w:val="24"/>
        </w:rPr>
        <w:t>Technologies</w:t>
      </w:r>
      <w:r w:rsidRPr="00E042A7">
        <w:rPr>
          <w:color w:val="000000"/>
          <w:sz w:val="24"/>
        </w:rPr>
        <w:t>, [online] 13(1), pp.23–23. doi:https://doi.org/10.3390/technologies13010023.</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Kyrylo, K. (2025). Diversification of Suppliers to Ensure Continuity of Wholesale Apparel Supply.</w:t>
      </w:r>
      <w:r w:rsidRPr="00E042A7">
        <w:rPr>
          <w:rStyle w:val="apple-converted-space"/>
          <w:rFonts w:eastAsiaTheme="majorEastAsia"/>
          <w:color w:val="000000"/>
          <w:sz w:val="24"/>
        </w:rPr>
        <w:t> </w:t>
      </w:r>
      <w:r w:rsidRPr="00E042A7">
        <w:rPr>
          <w:i/>
          <w:iCs/>
          <w:color w:val="000000"/>
          <w:sz w:val="24"/>
        </w:rPr>
        <w:t>Universal Library of Business and Economics</w:t>
      </w:r>
      <w:r w:rsidRPr="00E042A7">
        <w:rPr>
          <w:color w:val="000000"/>
          <w:sz w:val="24"/>
        </w:rPr>
        <w:t>, 02(02), pp.25–31. doi:https://doi.org/10.70315/uloap.ulbec.2025.0202007.</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Lee, A.J.L., Paul, D., Yan, W.J., Zhang, A.N. and Goh, M. (2017). A model for analysing a disrupted supply chain’s time-to-recovery under uncertainty.</w:t>
      </w:r>
      <w:r w:rsidRPr="00E042A7">
        <w:rPr>
          <w:rStyle w:val="apple-converted-space"/>
          <w:rFonts w:eastAsiaTheme="majorEastAsia"/>
          <w:color w:val="000000"/>
          <w:sz w:val="24"/>
        </w:rPr>
        <w:t> </w:t>
      </w:r>
      <w:r w:rsidRPr="00E042A7">
        <w:rPr>
          <w:i/>
          <w:iCs/>
          <w:color w:val="000000"/>
          <w:sz w:val="24"/>
        </w:rPr>
        <w:t>2017 IEEE International Conference on Big Data (Big Data)</w:t>
      </w:r>
      <w:r w:rsidRPr="00E042A7">
        <w:rPr>
          <w:color w:val="000000"/>
          <w:sz w:val="24"/>
        </w:rPr>
        <w:t>, 65(32), pp.3242–3247. doi:https://doi.org/10.1109/bigdata.2017.8258306.</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Lin, S., Wang, N., Ren, B., Lei, S. and Feng, B. (2022). Use of Failure Mode and Effects Analysis (FMEA) for Risk Analysis of Drug Use in Patients with Lung Cancer.</w:t>
      </w:r>
      <w:r w:rsidRPr="00E042A7">
        <w:rPr>
          <w:rStyle w:val="apple-converted-space"/>
          <w:rFonts w:eastAsiaTheme="majorEastAsia"/>
          <w:color w:val="000000"/>
          <w:sz w:val="24"/>
        </w:rPr>
        <w:t> </w:t>
      </w:r>
      <w:r w:rsidRPr="00E042A7">
        <w:rPr>
          <w:i/>
          <w:iCs/>
          <w:color w:val="000000"/>
          <w:sz w:val="24"/>
        </w:rPr>
        <w:t>International Journal of Environmental Research and Public Health</w:t>
      </w:r>
      <w:r w:rsidRPr="00E042A7">
        <w:rPr>
          <w:color w:val="000000"/>
          <w:sz w:val="24"/>
        </w:rPr>
        <w:t>, 19(23), p.15428. doi:https://doi.org/10.3390/ijerph192315428.</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Lyu, F., Zhang, J., Liu, F. and Chu, H. (2025). Decision Optimization of Manufacturing Supply Chain Based on Resilience.</w:t>
      </w:r>
      <w:r w:rsidRPr="00E042A7">
        <w:rPr>
          <w:rStyle w:val="apple-converted-space"/>
          <w:rFonts w:eastAsiaTheme="majorEastAsia"/>
          <w:color w:val="000000"/>
          <w:sz w:val="24"/>
        </w:rPr>
        <w:t> </w:t>
      </w:r>
      <w:r w:rsidRPr="00E042A7">
        <w:rPr>
          <w:i/>
          <w:iCs/>
          <w:color w:val="000000"/>
          <w:sz w:val="24"/>
        </w:rPr>
        <w:t>Sustainability</w:t>
      </w:r>
      <w:r w:rsidRPr="00E042A7">
        <w:rPr>
          <w:color w:val="000000"/>
          <w:sz w:val="24"/>
        </w:rPr>
        <w:t>, [online] 17(14), p.6519. doi:https://doi.org/10.3390/su17146519.</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MacCarthy, B.L., Ahmed, W.A.H. and Demirel, G. (2022). Mapping the supply chain: Why, what and how?</w:t>
      </w:r>
      <w:r w:rsidRPr="00E042A7">
        <w:rPr>
          <w:rStyle w:val="apple-converted-space"/>
          <w:rFonts w:eastAsiaTheme="majorEastAsia"/>
          <w:color w:val="000000"/>
          <w:sz w:val="24"/>
        </w:rPr>
        <w:t> </w:t>
      </w:r>
      <w:r w:rsidRPr="00E042A7">
        <w:rPr>
          <w:i/>
          <w:iCs/>
          <w:color w:val="000000"/>
          <w:sz w:val="24"/>
        </w:rPr>
        <w:t>International Journal of Production Economics</w:t>
      </w:r>
      <w:r w:rsidRPr="00E042A7">
        <w:rPr>
          <w:color w:val="000000"/>
          <w:sz w:val="24"/>
        </w:rPr>
        <w:t>, 250(1). doi:https://doi.org/10.1016/j.ijpe.2022.108688.</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McKinsey &amp; Company (2025).</w:t>
      </w:r>
      <w:r w:rsidRPr="00E042A7">
        <w:rPr>
          <w:rStyle w:val="apple-converted-space"/>
          <w:rFonts w:eastAsiaTheme="majorEastAsia"/>
          <w:color w:val="000000"/>
          <w:sz w:val="24"/>
        </w:rPr>
        <w:t> </w:t>
      </w:r>
      <w:r w:rsidRPr="00E042A7">
        <w:rPr>
          <w:i/>
          <w:iCs/>
          <w:color w:val="000000"/>
          <w:sz w:val="24"/>
        </w:rPr>
        <w:t>The State of Fashion 2025: Challenges at every turn</w:t>
      </w:r>
      <w:r w:rsidRPr="00E042A7">
        <w:rPr>
          <w:color w:val="000000"/>
          <w:sz w:val="24"/>
        </w:rPr>
        <w:t>. [online] McKinsey. Available at: https://www.mckinsey.com/industries/retail/our-insights/state-of-fashion.</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lastRenderedPageBreak/>
        <w:t>Nafiu, A., Salaam, N., Oko-Odion, C. and Odumuwagun, O.O. (2025). Risk management strategies: Navigating volatility in complex financial market environments.</w:t>
      </w:r>
      <w:r w:rsidRPr="00E042A7">
        <w:rPr>
          <w:rStyle w:val="apple-converted-space"/>
          <w:rFonts w:eastAsiaTheme="majorEastAsia"/>
          <w:color w:val="000000"/>
          <w:sz w:val="24"/>
        </w:rPr>
        <w:t> </w:t>
      </w:r>
      <w:r w:rsidRPr="00E042A7">
        <w:rPr>
          <w:i/>
          <w:iCs/>
          <w:color w:val="000000"/>
          <w:sz w:val="24"/>
        </w:rPr>
        <w:t>World Journal of Advanced Research and Reviews</w:t>
      </w:r>
      <w:r w:rsidRPr="00E042A7">
        <w:rPr>
          <w:color w:val="000000"/>
          <w:sz w:val="24"/>
        </w:rPr>
        <w:t>, 25(1), pp.236–250. doi:https://doi.org/10.30574/wjarr.2025.25.1.0057.</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Nguyen, H., Sharkey, T.C., Wheeler, S., Mitchell, J.E. and Wallace, W.A. (2021). Towards the development of quantitative resilience indices for Multi-Echelon Assembly Supply Chains.</w:t>
      </w:r>
      <w:r w:rsidRPr="00E042A7">
        <w:rPr>
          <w:rStyle w:val="apple-converted-space"/>
          <w:rFonts w:eastAsiaTheme="majorEastAsia"/>
          <w:color w:val="000000"/>
          <w:sz w:val="24"/>
        </w:rPr>
        <w:t> </w:t>
      </w:r>
      <w:r w:rsidRPr="00E042A7">
        <w:rPr>
          <w:i/>
          <w:iCs/>
          <w:color w:val="000000"/>
          <w:sz w:val="24"/>
        </w:rPr>
        <w:t>Omega</w:t>
      </w:r>
      <w:r w:rsidRPr="00E042A7">
        <w:rPr>
          <w:color w:val="000000"/>
          <w:sz w:val="24"/>
        </w:rPr>
        <w:t>, p.102199. doi:https://doi.org/10.1016/j.omega.2020.102199.</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Prataviera, L.B., Jazairy, A. and Abushaikha, I. (2024). Navigating the intersection between postponement strategies and additive manufacturing: insights and research agenda.</w:t>
      </w:r>
      <w:r w:rsidRPr="00E042A7">
        <w:rPr>
          <w:rStyle w:val="apple-converted-space"/>
          <w:rFonts w:eastAsiaTheme="majorEastAsia"/>
          <w:color w:val="000000"/>
          <w:sz w:val="24"/>
        </w:rPr>
        <w:t> </w:t>
      </w:r>
      <w:r w:rsidRPr="00E042A7">
        <w:rPr>
          <w:i/>
          <w:iCs/>
          <w:color w:val="000000"/>
          <w:sz w:val="24"/>
        </w:rPr>
        <w:t>International Journal of Production Research</w:t>
      </w:r>
      <w:r w:rsidRPr="00E042A7">
        <w:rPr>
          <w:color w:val="000000"/>
          <w:sz w:val="24"/>
        </w:rPr>
        <w:t>, pp.1–23. doi:https://doi.org/10.1080/00207543.2024.2425785.</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Rashid, H. (2020). Mitigating Supply Chain Risks through Diversified Sourcing Strategies in Manufacturing.</w:t>
      </w:r>
      <w:r w:rsidRPr="00E042A7">
        <w:rPr>
          <w:rStyle w:val="apple-converted-space"/>
          <w:rFonts w:eastAsiaTheme="majorEastAsia"/>
          <w:color w:val="000000"/>
          <w:sz w:val="24"/>
        </w:rPr>
        <w:t> </w:t>
      </w:r>
      <w:r w:rsidRPr="00E042A7">
        <w:rPr>
          <w:i/>
          <w:iCs/>
          <w:color w:val="000000"/>
          <w:sz w:val="24"/>
        </w:rPr>
        <w:t>International Journal of Innovative Research in Engineering &amp; Multidisciplinary Physical Sciences</w:t>
      </w:r>
      <w:r w:rsidRPr="00E042A7">
        <w:rPr>
          <w:color w:val="000000"/>
          <w:sz w:val="24"/>
        </w:rPr>
        <w:t>, 8(1), pp.1–11. doi:https://doi.org/10.5281/zenodo.14280019.</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Sanders, N.R. (2023).</w:t>
      </w:r>
      <w:r w:rsidRPr="00E042A7">
        <w:rPr>
          <w:rStyle w:val="apple-converted-space"/>
          <w:rFonts w:eastAsiaTheme="majorEastAsia"/>
          <w:color w:val="000000"/>
          <w:sz w:val="24"/>
        </w:rPr>
        <w:t> </w:t>
      </w:r>
      <w:r w:rsidRPr="00E042A7">
        <w:rPr>
          <w:i/>
          <w:iCs/>
          <w:color w:val="000000"/>
          <w:sz w:val="24"/>
        </w:rPr>
        <w:t>Supply Chain Management</w:t>
      </w:r>
      <w:r w:rsidRPr="00E042A7">
        <w:rPr>
          <w:color w:val="000000"/>
          <w:sz w:val="24"/>
        </w:rPr>
        <w:t>. Wiley.</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Singh, A. and Goel, A. (2024). Warehouse Inventory Model for Perishable Items with Hybrid Demand and Trade Credit Policy.</w:t>
      </w:r>
      <w:r w:rsidRPr="00E042A7">
        <w:rPr>
          <w:rStyle w:val="apple-converted-space"/>
          <w:rFonts w:eastAsiaTheme="majorEastAsia"/>
          <w:color w:val="000000"/>
          <w:sz w:val="24"/>
        </w:rPr>
        <w:t> </w:t>
      </w:r>
      <w:r w:rsidRPr="00E042A7">
        <w:rPr>
          <w:i/>
          <w:iCs/>
          <w:color w:val="000000"/>
          <w:sz w:val="24"/>
        </w:rPr>
        <w:t>Process integration and optimization for sustainability</w:t>
      </w:r>
      <w:r w:rsidRPr="00E042A7">
        <w:rPr>
          <w:color w:val="000000"/>
          <w:sz w:val="24"/>
        </w:rPr>
        <w:t>, 7(5). doi:https://doi.org/10.1007/s41660-024-00398-3.</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Stenman, L., Oskar, V.D. and Enocson, K. (2025).</w:t>
      </w:r>
      <w:r w:rsidRPr="00E042A7">
        <w:rPr>
          <w:rStyle w:val="apple-converted-space"/>
          <w:rFonts w:eastAsiaTheme="majorEastAsia"/>
          <w:color w:val="000000"/>
          <w:sz w:val="24"/>
        </w:rPr>
        <w:t> </w:t>
      </w:r>
      <w:r w:rsidRPr="00E042A7">
        <w:rPr>
          <w:i/>
          <w:iCs/>
          <w:color w:val="000000"/>
          <w:sz w:val="24"/>
        </w:rPr>
        <w:t>Driving Through Disruption: An Analysis of Automotive Supply Chain Resilience Across Three Global Crises</w:t>
      </w:r>
      <w:r w:rsidRPr="00E042A7">
        <w:rPr>
          <w:color w:val="000000"/>
          <w:sz w:val="24"/>
        </w:rPr>
        <w:t>. [online] Lub.lu.se. Available at: https://lup.lub.lu.se/student-papers/search/publication/9204275.</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Times of India (2022).</w:t>
      </w:r>
      <w:r w:rsidRPr="00E042A7">
        <w:rPr>
          <w:rStyle w:val="apple-converted-space"/>
          <w:rFonts w:eastAsiaTheme="majorEastAsia"/>
          <w:color w:val="000000"/>
          <w:sz w:val="24"/>
        </w:rPr>
        <w:t> </w:t>
      </w:r>
      <w:r w:rsidRPr="00E042A7">
        <w:rPr>
          <w:i/>
          <w:iCs/>
          <w:color w:val="000000"/>
          <w:sz w:val="24"/>
        </w:rPr>
        <w:t>Apple’s ‘move out’ of China plan: iPhones to India, AirPods, Watch to Vietnam - Times of India</w:t>
      </w:r>
      <w:r w:rsidRPr="00E042A7">
        <w:rPr>
          <w:color w:val="000000"/>
          <w:sz w:val="24"/>
        </w:rPr>
        <w:t>. [online] The Times of India. Available at: https://timesofindia.indiatimes.com/gadgets-news/apples-move-out-of-china-plan-iphones-to-india-airpods-watch-to-vietnam/articleshow/95989936.cms.</w:t>
      </w:r>
    </w:p>
    <w:p w:rsidR="001F629E" w:rsidRPr="00E042A7" w:rsidRDefault="001F629E" w:rsidP="00E042A7">
      <w:pPr>
        <w:pStyle w:val="NormalWeb"/>
        <w:spacing w:before="0" w:beforeAutospacing="0" w:after="240" w:afterAutospacing="0" w:line="360" w:lineRule="auto"/>
        <w:ind w:left="0" w:firstLine="0"/>
        <w:rPr>
          <w:color w:val="000000"/>
          <w:sz w:val="24"/>
        </w:rPr>
      </w:pPr>
      <w:r w:rsidRPr="00E042A7">
        <w:rPr>
          <w:color w:val="000000"/>
          <w:sz w:val="24"/>
        </w:rPr>
        <w:t>Veile, J.W., Schmidt, M.-C., Müller, J.M. and Voigt, K.-I. (2021). Relationship follows technology! How Industry 4.0 reshapes future buyer-supplier relationships.</w:t>
      </w:r>
      <w:r w:rsidRPr="00E042A7">
        <w:rPr>
          <w:rStyle w:val="apple-converted-space"/>
          <w:rFonts w:eastAsiaTheme="majorEastAsia"/>
          <w:color w:val="000000"/>
          <w:sz w:val="24"/>
        </w:rPr>
        <w:t> </w:t>
      </w:r>
      <w:r w:rsidRPr="00E042A7">
        <w:rPr>
          <w:i/>
          <w:iCs/>
          <w:color w:val="000000"/>
          <w:sz w:val="24"/>
        </w:rPr>
        <w:t xml:space="preserve">Journal of </w:t>
      </w:r>
      <w:r w:rsidRPr="00E042A7">
        <w:rPr>
          <w:i/>
          <w:iCs/>
          <w:color w:val="000000"/>
          <w:sz w:val="24"/>
        </w:rPr>
        <w:lastRenderedPageBreak/>
        <w:t>Manufacturing Technology Management</w:t>
      </w:r>
      <w:r w:rsidRPr="00E042A7">
        <w:rPr>
          <w:color w:val="000000"/>
          <w:sz w:val="24"/>
        </w:rPr>
        <w:t>, 32(6), pp.1245–1266. doi:https://doi.org/10.1108/jmtm-09-2019-0318.</w:t>
      </w:r>
    </w:p>
    <w:p w:rsidR="00F47D18" w:rsidRPr="003401FF" w:rsidRDefault="00F47D18" w:rsidP="00F47D18"/>
    <w:sectPr w:rsidR="00F47D18" w:rsidRPr="003401FF" w:rsidSect="00E042A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4DE" w:rsidRDefault="004E54DE" w:rsidP="00E042A7">
      <w:pPr>
        <w:spacing w:line="240" w:lineRule="auto"/>
      </w:pPr>
      <w:r>
        <w:separator/>
      </w:r>
    </w:p>
  </w:endnote>
  <w:endnote w:type="continuationSeparator" w:id="1">
    <w:p w:rsidR="004E54DE" w:rsidRDefault="004E54DE" w:rsidP="00E042A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0567297"/>
      <w:docPartObj>
        <w:docPartGallery w:val="Page Numbers (Bottom of Page)"/>
        <w:docPartUnique/>
      </w:docPartObj>
    </w:sdtPr>
    <w:sdtEndPr>
      <w:rPr>
        <w:noProof/>
      </w:rPr>
    </w:sdtEndPr>
    <w:sdtContent>
      <w:p w:rsidR="00E042A7" w:rsidRDefault="0048734A">
        <w:pPr>
          <w:pStyle w:val="Footer"/>
          <w:jc w:val="right"/>
        </w:pPr>
        <w:r>
          <w:fldChar w:fldCharType="begin"/>
        </w:r>
        <w:r w:rsidR="00E042A7">
          <w:instrText xml:space="preserve"> PAGE   \* MERGEFORMAT </w:instrText>
        </w:r>
        <w:r>
          <w:fldChar w:fldCharType="separate"/>
        </w:r>
        <w:r w:rsidR="008C5214">
          <w:rPr>
            <w:noProof/>
          </w:rPr>
          <w:t>4</w:t>
        </w:r>
        <w:r>
          <w:rPr>
            <w:noProof/>
          </w:rPr>
          <w:fldChar w:fldCharType="end"/>
        </w:r>
      </w:p>
    </w:sdtContent>
  </w:sdt>
  <w:p w:rsidR="00E042A7" w:rsidRDefault="00E042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8905582"/>
      <w:docPartObj>
        <w:docPartGallery w:val="Page Numbers (Bottom of Page)"/>
        <w:docPartUnique/>
      </w:docPartObj>
    </w:sdtPr>
    <w:sdtEndPr>
      <w:rPr>
        <w:noProof/>
      </w:rPr>
    </w:sdtEndPr>
    <w:sdtContent>
      <w:p w:rsidR="00E042A7" w:rsidRDefault="0048734A" w:rsidP="00E042A7">
        <w:pPr>
          <w:pStyle w:val="Footer"/>
          <w:jc w:val="right"/>
        </w:pPr>
        <w:r>
          <w:fldChar w:fldCharType="begin"/>
        </w:r>
        <w:r w:rsidR="00E042A7">
          <w:instrText xml:space="preserve"> PAGE   \* MERGEFORMAT </w:instrText>
        </w:r>
        <w:r>
          <w:fldChar w:fldCharType="separate"/>
        </w:r>
        <w:r w:rsidR="008C5214">
          <w:rPr>
            <w:noProof/>
          </w:rPr>
          <w:t>7</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4DE" w:rsidRDefault="004E54DE" w:rsidP="00E042A7">
      <w:pPr>
        <w:spacing w:line="240" w:lineRule="auto"/>
      </w:pPr>
      <w:r>
        <w:separator/>
      </w:r>
    </w:p>
  </w:footnote>
  <w:footnote w:type="continuationSeparator" w:id="1">
    <w:p w:rsidR="004E54DE" w:rsidRDefault="004E54DE" w:rsidP="00E042A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389E"/>
    <w:multiLevelType w:val="hybridMultilevel"/>
    <w:tmpl w:val="6B123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AA0E45"/>
    <w:multiLevelType w:val="hybridMultilevel"/>
    <w:tmpl w:val="392A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F13D8B"/>
    <w:multiLevelType w:val="hybridMultilevel"/>
    <w:tmpl w:val="799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784A3B"/>
    <w:multiLevelType w:val="hybridMultilevel"/>
    <w:tmpl w:val="F3CA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724648"/>
    <w:rsid w:val="0001322C"/>
    <w:rsid w:val="00031BAF"/>
    <w:rsid w:val="00071B68"/>
    <w:rsid w:val="000A6885"/>
    <w:rsid w:val="0010477B"/>
    <w:rsid w:val="00117AE5"/>
    <w:rsid w:val="00163540"/>
    <w:rsid w:val="001F629E"/>
    <w:rsid w:val="00203C2B"/>
    <w:rsid w:val="002057D2"/>
    <w:rsid w:val="00274347"/>
    <w:rsid w:val="002D2162"/>
    <w:rsid w:val="002F324B"/>
    <w:rsid w:val="002F5DFA"/>
    <w:rsid w:val="0033158B"/>
    <w:rsid w:val="003401FF"/>
    <w:rsid w:val="003F4573"/>
    <w:rsid w:val="00444E65"/>
    <w:rsid w:val="00450BDF"/>
    <w:rsid w:val="00484E83"/>
    <w:rsid w:val="0048734A"/>
    <w:rsid w:val="004E54DE"/>
    <w:rsid w:val="004F5DCE"/>
    <w:rsid w:val="00516E26"/>
    <w:rsid w:val="0052712C"/>
    <w:rsid w:val="00532AF5"/>
    <w:rsid w:val="0055273A"/>
    <w:rsid w:val="0055798F"/>
    <w:rsid w:val="00585769"/>
    <w:rsid w:val="005A21BB"/>
    <w:rsid w:val="005B2A3D"/>
    <w:rsid w:val="005B52B5"/>
    <w:rsid w:val="005D0159"/>
    <w:rsid w:val="00631669"/>
    <w:rsid w:val="00663B61"/>
    <w:rsid w:val="006842E2"/>
    <w:rsid w:val="006A7441"/>
    <w:rsid w:val="006B212E"/>
    <w:rsid w:val="006C3BAD"/>
    <w:rsid w:val="006E46AC"/>
    <w:rsid w:val="00724648"/>
    <w:rsid w:val="007571BA"/>
    <w:rsid w:val="00795485"/>
    <w:rsid w:val="00797CC3"/>
    <w:rsid w:val="007B1BC4"/>
    <w:rsid w:val="007C3D81"/>
    <w:rsid w:val="008166FF"/>
    <w:rsid w:val="00861969"/>
    <w:rsid w:val="008B78A6"/>
    <w:rsid w:val="008C5214"/>
    <w:rsid w:val="008E60B8"/>
    <w:rsid w:val="008F2DE3"/>
    <w:rsid w:val="009065B9"/>
    <w:rsid w:val="009355BB"/>
    <w:rsid w:val="009C430A"/>
    <w:rsid w:val="00A177D8"/>
    <w:rsid w:val="00A406F8"/>
    <w:rsid w:val="00A55294"/>
    <w:rsid w:val="00A66475"/>
    <w:rsid w:val="00A70E51"/>
    <w:rsid w:val="00AC6C26"/>
    <w:rsid w:val="00AE6B19"/>
    <w:rsid w:val="00B56029"/>
    <w:rsid w:val="00B8563F"/>
    <w:rsid w:val="00BA2F9C"/>
    <w:rsid w:val="00BD0177"/>
    <w:rsid w:val="00BD25F6"/>
    <w:rsid w:val="00BD591B"/>
    <w:rsid w:val="00BE79CD"/>
    <w:rsid w:val="00C0356F"/>
    <w:rsid w:val="00C813BE"/>
    <w:rsid w:val="00C842CD"/>
    <w:rsid w:val="00C92423"/>
    <w:rsid w:val="00C93103"/>
    <w:rsid w:val="00C93395"/>
    <w:rsid w:val="00C9401B"/>
    <w:rsid w:val="00CA404B"/>
    <w:rsid w:val="00CC1BE8"/>
    <w:rsid w:val="00D514CB"/>
    <w:rsid w:val="00D71887"/>
    <w:rsid w:val="00DB0705"/>
    <w:rsid w:val="00DB3A8F"/>
    <w:rsid w:val="00DC49E5"/>
    <w:rsid w:val="00DD0A9F"/>
    <w:rsid w:val="00DE3E1E"/>
    <w:rsid w:val="00DE6BC8"/>
    <w:rsid w:val="00E042A7"/>
    <w:rsid w:val="00E25E9A"/>
    <w:rsid w:val="00E912C6"/>
    <w:rsid w:val="00EA0178"/>
    <w:rsid w:val="00EA6C9A"/>
    <w:rsid w:val="00ED619E"/>
    <w:rsid w:val="00EE622F"/>
    <w:rsid w:val="00F110C2"/>
    <w:rsid w:val="00F1719A"/>
    <w:rsid w:val="00F47D18"/>
    <w:rsid w:val="00FD43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30"/>
        <w:lang w:val="en-US" w:eastAsia="en-US" w:bidi="bn-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887"/>
    <w:pPr>
      <w:spacing w:line="360" w:lineRule="auto"/>
      <w:jc w:val="both"/>
    </w:pPr>
    <w:rPr>
      <w:rFonts w:ascii="Times New Roman" w:hAnsi="Times New Roman" w:cs="Vrinda"/>
      <w:color w:val="000000" w:themeColor="text1"/>
      <w:lang w:val="en-GB"/>
    </w:rPr>
  </w:style>
  <w:style w:type="paragraph" w:styleId="Heading1">
    <w:name w:val="heading 1"/>
    <w:basedOn w:val="Normal"/>
    <w:next w:val="Normal"/>
    <w:link w:val="Heading1Char"/>
    <w:uiPriority w:val="9"/>
    <w:qFormat/>
    <w:rsid w:val="00C9401B"/>
    <w:pPr>
      <w:outlineLvl w:val="0"/>
    </w:pPr>
    <w:rPr>
      <w:b/>
      <w:sz w:val="28"/>
    </w:rPr>
  </w:style>
  <w:style w:type="paragraph" w:styleId="Heading2">
    <w:name w:val="heading 2"/>
    <w:basedOn w:val="Normal"/>
    <w:next w:val="Normal"/>
    <w:link w:val="Heading2Char"/>
    <w:uiPriority w:val="9"/>
    <w:unhideWhenUsed/>
    <w:qFormat/>
    <w:rsid w:val="00C9401B"/>
    <w:pPr>
      <w:keepNext/>
      <w:keepLines/>
      <w:spacing w:before="40"/>
      <w:outlineLvl w:val="1"/>
    </w:pPr>
    <w:rPr>
      <w:rFonts w:eastAsiaTheme="majorEastAsia" w:cstheme="majorBidi"/>
      <w:b/>
      <w:szCs w:val="33"/>
    </w:rPr>
  </w:style>
  <w:style w:type="paragraph" w:styleId="Heading3">
    <w:name w:val="heading 3"/>
    <w:basedOn w:val="Normal"/>
    <w:next w:val="Normal"/>
    <w:link w:val="Heading3Char"/>
    <w:uiPriority w:val="9"/>
    <w:semiHidden/>
    <w:unhideWhenUsed/>
    <w:qFormat/>
    <w:rsid w:val="00A70E51"/>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3F4573"/>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31669"/>
    <w:pPr>
      <w:contextualSpacing/>
      <w:jc w:val="center"/>
    </w:pPr>
    <w:rPr>
      <w:rFonts w:eastAsiaTheme="majorEastAsia" w:cstheme="majorBidi"/>
      <w:b/>
      <w:spacing w:val="-10"/>
      <w:kern w:val="28"/>
      <w:sz w:val="40"/>
      <w:szCs w:val="71"/>
    </w:rPr>
  </w:style>
  <w:style w:type="character" w:customStyle="1" w:styleId="TitleChar">
    <w:name w:val="Title Char"/>
    <w:basedOn w:val="DefaultParagraphFont"/>
    <w:link w:val="Title"/>
    <w:uiPriority w:val="10"/>
    <w:rsid w:val="00631669"/>
    <w:rPr>
      <w:rFonts w:ascii="Times New Roman" w:eastAsiaTheme="majorEastAsia" w:hAnsi="Times New Roman" w:cstheme="majorBidi"/>
      <w:b/>
      <w:color w:val="404040" w:themeColor="text1" w:themeTint="BF"/>
      <w:spacing w:val="-10"/>
      <w:kern w:val="28"/>
      <w:sz w:val="40"/>
      <w:szCs w:val="71"/>
      <w:lang w:val="en-GB"/>
    </w:rPr>
  </w:style>
  <w:style w:type="character" w:customStyle="1" w:styleId="Heading1Char">
    <w:name w:val="Heading 1 Char"/>
    <w:basedOn w:val="DefaultParagraphFont"/>
    <w:link w:val="Heading1"/>
    <w:uiPriority w:val="9"/>
    <w:rsid w:val="00C9401B"/>
    <w:rPr>
      <w:rFonts w:ascii="Times New Roman" w:hAnsi="Times New Roman" w:cs="Vrinda"/>
      <w:b/>
      <w:color w:val="000000" w:themeColor="text1"/>
      <w:sz w:val="28"/>
      <w:lang w:val="en-GB"/>
    </w:rPr>
  </w:style>
  <w:style w:type="character" w:customStyle="1" w:styleId="Heading3Char">
    <w:name w:val="Heading 3 Char"/>
    <w:basedOn w:val="DefaultParagraphFont"/>
    <w:link w:val="Heading3"/>
    <w:uiPriority w:val="9"/>
    <w:semiHidden/>
    <w:rsid w:val="00A70E51"/>
    <w:rPr>
      <w:rFonts w:ascii="Times New Roman" w:eastAsiaTheme="majorEastAsia" w:hAnsi="Times New Roman" w:cstheme="majorBidi"/>
      <w:b/>
      <w:color w:val="000000" w:themeColor="text1"/>
      <w:lang w:val="en-GB"/>
    </w:rPr>
  </w:style>
  <w:style w:type="character" w:customStyle="1" w:styleId="Heading2Char">
    <w:name w:val="Heading 2 Char"/>
    <w:basedOn w:val="DefaultParagraphFont"/>
    <w:link w:val="Heading2"/>
    <w:uiPriority w:val="9"/>
    <w:rsid w:val="00C9401B"/>
    <w:rPr>
      <w:rFonts w:ascii="Times New Roman" w:eastAsiaTheme="majorEastAsia" w:hAnsi="Times New Roman" w:cstheme="majorBidi"/>
      <w:b/>
      <w:color w:val="000000" w:themeColor="text1"/>
      <w:szCs w:val="33"/>
      <w:lang w:val="en-GB"/>
    </w:rPr>
  </w:style>
  <w:style w:type="paragraph" w:styleId="TOC1">
    <w:name w:val="toc 1"/>
    <w:basedOn w:val="Normal"/>
    <w:next w:val="Normal"/>
    <w:autoRedefine/>
    <w:uiPriority w:val="39"/>
    <w:unhideWhenUsed/>
    <w:rsid w:val="00EA6C9A"/>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EA6C9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EA6C9A"/>
    <w:pPr>
      <w:ind w:left="480"/>
      <w:jc w:val="left"/>
    </w:pPr>
    <w:rPr>
      <w:rFonts w:asciiTheme="minorHAnsi" w:hAnsiTheme="minorHAnsi"/>
      <w:sz w:val="20"/>
      <w:szCs w:val="20"/>
    </w:rPr>
  </w:style>
  <w:style w:type="paragraph" w:styleId="Caption">
    <w:name w:val="caption"/>
    <w:basedOn w:val="Normal"/>
    <w:next w:val="Normal"/>
    <w:uiPriority w:val="35"/>
    <w:unhideWhenUsed/>
    <w:qFormat/>
    <w:rsid w:val="00E912C6"/>
    <w:pPr>
      <w:spacing w:after="200" w:line="240" w:lineRule="auto"/>
      <w:jc w:val="center"/>
    </w:pPr>
    <w:rPr>
      <w:i/>
      <w:iCs/>
      <w:color w:val="3B3838" w:themeColor="background2" w:themeShade="40"/>
      <w:sz w:val="18"/>
      <w:szCs w:val="22"/>
    </w:rPr>
  </w:style>
  <w:style w:type="paragraph" w:styleId="Subtitle">
    <w:name w:val="Subtitle"/>
    <w:basedOn w:val="Normal"/>
    <w:next w:val="Normal"/>
    <w:link w:val="SubtitleChar"/>
    <w:uiPriority w:val="11"/>
    <w:qFormat/>
    <w:rsid w:val="006A7441"/>
    <w:pPr>
      <w:numPr>
        <w:ilvl w:val="1"/>
      </w:numPr>
      <w:pBdr>
        <w:top w:val="single" w:sz="4" w:space="1" w:color="auto"/>
        <w:left w:val="single" w:sz="4" w:space="4" w:color="auto"/>
        <w:bottom w:val="single" w:sz="4" w:space="1" w:color="auto"/>
        <w:right w:val="single" w:sz="4" w:space="4" w:color="auto"/>
      </w:pBdr>
      <w:spacing w:after="40"/>
      <w:ind w:left="737" w:right="737"/>
      <w:jc w:val="center"/>
    </w:pPr>
    <w:rPr>
      <w:rFonts w:eastAsiaTheme="minorEastAsia" w:cstheme="minorBidi"/>
      <w:spacing w:val="15"/>
      <w:szCs w:val="28"/>
    </w:rPr>
  </w:style>
  <w:style w:type="character" w:customStyle="1" w:styleId="SubtitleChar">
    <w:name w:val="Subtitle Char"/>
    <w:basedOn w:val="DefaultParagraphFont"/>
    <w:link w:val="Subtitle"/>
    <w:uiPriority w:val="11"/>
    <w:rsid w:val="006A7441"/>
    <w:rPr>
      <w:rFonts w:ascii="Times New Roman" w:eastAsiaTheme="minorEastAsia" w:hAnsi="Times New Roman"/>
      <w:color w:val="000000" w:themeColor="text1"/>
      <w:spacing w:val="15"/>
      <w:szCs w:val="28"/>
      <w:lang w:val="en-GB"/>
    </w:rPr>
  </w:style>
  <w:style w:type="character" w:customStyle="1" w:styleId="Heading4Char">
    <w:name w:val="Heading 4 Char"/>
    <w:basedOn w:val="DefaultParagraphFont"/>
    <w:link w:val="Heading4"/>
    <w:uiPriority w:val="9"/>
    <w:rsid w:val="003F4573"/>
    <w:rPr>
      <w:rFonts w:ascii="Times New Roman" w:eastAsiaTheme="majorEastAsia" w:hAnsi="Times New Roman" w:cstheme="majorBidi"/>
      <w:i/>
      <w:iCs/>
      <w:color w:val="2F5496" w:themeColor="accent1" w:themeShade="BF"/>
      <w:lang w:val="en-GB"/>
    </w:rPr>
  </w:style>
  <w:style w:type="paragraph" w:styleId="NormalWeb">
    <w:name w:val="Normal (Web)"/>
    <w:aliases w:val="APA style"/>
    <w:basedOn w:val="Normal"/>
    <w:uiPriority w:val="99"/>
    <w:unhideWhenUsed/>
    <w:rsid w:val="00EA0178"/>
    <w:pPr>
      <w:spacing w:before="100" w:beforeAutospacing="1" w:after="100" w:afterAutospacing="1" w:line="240" w:lineRule="auto"/>
      <w:ind w:left="720" w:hanging="720"/>
    </w:pPr>
    <w:rPr>
      <w:rFonts w:eastAsia="Times New Roman" w:cs="Times New Roman"/>
      <w:color w:val="auto"/>
      <w:sz w:val="22"/>
      <w:szCs w:val="24"/>
      <w:lang w:val="en-US" w:bidi="ar-SA"/>
    </w:rPr>
  </w:style>
  <w:style w:type="paragraph" w:styleId="ListParagraph">
    <w:name w:val="List Paragraph"/>
    <w:basedOn w:val="Normal"/>
    <w:uiPriority w:val="34"/>
    <w:qFormat/>
    <w:rsid w:val="000A6885"/>
    <w:pPr>
      <w:ind w:left="720"/>
      <w:contextualSpacing/>
    </w:pPr>
  </w:style>
  <w:style w:type="paragraph" w:styleId="TOCHeading">
    <w:name w:val="TOC Heading"/>
    <w:basedOn w:val="Heading1"/>
    <w:next w:val="Normal"/>
    <w:uiPriority w:val="39"/>
    <w:unhideWhenUsed/>
    <w:qFormat/>
    <w:rsid w:val="00C813BE"/>
    <w:pPr>
      <w:keepNext/>
      <w:keepLines/>
      <w:spacing w:before="480" w:line="276" w:lineRule="auto"/>
      <w:jc w:val="left"/>
      <w:outlineLvl w:val="9"/>
    </w:pPr>
    <w:rPr>
      <w:rFonts w:asciiTheme="majorHAnsi" w:eastAsiaTheme="majorEastAsia" w:hAnsiTheme="majorHAnsi" w:cstheme="majorBidi"/>
      <w:bCs/>
      <w:color w:val="2F5496" w:themeColor="accent1" w:themeShade="BF"/>
      <w:kern w:val="0"/>
      <w:szCs w:val="28"/>
      <w:lang w:val="en-US" w:bidi="ar-SA"/>
    </w:rPr>
  </w:style>
  <w:style w:type="character" w:styleId="Hyperlink">
    <w:name w:val="Hyperlink"/>
    <w:basedOn w:val="DefaultParagraphFont"/>
    <w:uiPriority w:val="99"/>
    <w:unhideWhenUsed/>
    <w:rsid w:val="00C813BE"/>
    <w:rPr>
      <w:color w:val="0563C1" w:themeColor="hyperlink"/>
      <w:u w:val="single"/>
    </w:rPr>
  </w:style>
  <w:style w:type="paragraph" w:styleId="TOC4">
    <w:name w:val="toc 4"/>
    <w:basedOn w:val="Normal"/>
    <w:next w:val="Normal"/>
    <w:autoRedefine/>
    <w:uiPriority w:val="39"/>
    <w:semiHidden/>
    <w:unhideWhenUsed/>
    <w:rsid w:val="00C813BE"/>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C813BE"/>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C813BE"/>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C813BE"/>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C813BE"/>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C813BE"/>
    <w:pPr>
      <w:ind w:left="1920"/>
      <w:jc w:val="left"/>
    </w:pPr>
    <w:rPr>
      <w:rFonts w:asciiTheme="minorHAnsi" w:hAnsiTheme="minorHAnsi"/>
      <w:sz w:val="20"/>
      <w:szCs w:val="20"/>
    </w:rPr>
  </w:style>
  <w:style w:type="character" w:customStyle="1" w:styleId="apple-converted-space">
    <w:name w:val="apple-converted-space"/>
    <w:basedOn w:val="DefaultParagraphFont"/>
    <w:rsid w:val="001F629E"/>
  </w:style>
  <w:style w:type="paragraph" w:styleId="Header">
    <w:name w:val="header"/>
    <w:basedOn w:val="Normal"/>
    <w:link w:val="HeaderChar"/>
    <w:uiPriority w:val="99"/>
    <w:unhideWhenUsed/>
    <w:rsid w:val="00E042A7"/>
    <w:pPr>
      <w:tabs>
        <w:tab w:val="center" w:pos="4680"/>
        <w:tab w:val="right" w:pos="9360"/>
      </w:tabs>
      <w:spacing w:line="240" w:lineRule="auto"/>
    </w:pPr>
  </w:style>
  <w:style w:type="character" w:customStyle="1" w:styleId="HeaderChar">
    <w:name w:val="Header Char"/>
    <w:basedOn w:val="DefaultParagraphFont"/>
    <w:link w:val="Header"/>
    <w:uiPriority w:val="99"/>
    <w:rsid w:val="00E042A7"/>
    <w:rPr>
      <w:rFonts w:ascii="Times New Roman" w:hAnsi="Times New Roman" w:cs="Vrinda"/>
      <w:color w:val="000000" w:themeColor="text1"/>
      <w:lang w:val="en-GB"/>
    </w:rPr>
  </w:style>
  <w:style w:type="paragraph" w:styleId="Footer">
    <w:name w:val="footer"/>
    <w:basedOn w:val="Normal"/>
    <w:link w:val="FooterChar"/>
    <w:uiPriority w:val="99"/>
    <w:unhideWhenUsed/>
    <w:rsid w:val="00E042A7"/>
    <w:pPr>
      <w:tabs>
        <w:tab w:val="center" w:pos="4680"/>
        <w:tab w:val="right" w:pos="9360"/>
      </w:tabs>
      <w:spacing w:line="240" w:lineRule="auto"/>
    </w:pPr>
  </w:style>
  <w:style w:type="character" w:customStyle="1" w:styleId="FooterChar">
    <w:name w:val="Footer Char"/>
    <w:basedOn w:val="DefaultParagraphFont"/>
    <w:link w:val="Footer"/>
    <w:uiPriority w:val="99"/>
    <w:rsid w:val="00E042A7"/>
    <w:rPr>
      <w:rFonts w:ascii="Times New Roman" w:hAnsi="Times New Roman" w:cs="Vrinda"/>
      <w:color w:val="000000" w:themeColor="text1"/>
      <w:lang w:val="en-GB"/>
    </w:rPr>
  </w:style>
  <w:style w:type="paragraph" w:styleId="BalloonText">
    <w:name w:val="Balloon Text"/>
    <w:basedOn w:val="Normal"/>
    <w:link w:val="BalloonTextChar"/>
    <w:uiPriority w:val="99"/>
    <w:semiHidden/>
    <w:unhideWhenUsed/>
    <w:rsid w:val="008C5214"/>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C5214"/>
    <w:rPr>
      <w:rFonts w:ascii="Tahoma" w:hAnsi="Tahoma" w:cs="Tahoma"/>
      <w:color w:val="000000" w:themeColor="text1"/>
      <w:sz w:val="16"/>
      <w:szCs w:val="20"/>
      <w:lang w:val="en-GB"/>
    </w:rPr>
  </w:style>
</w:styles>
</file>

<file path=word/webSettings.xml><?xml version="1.0" encoding="utf-8"?>
<w:webSettings xmlns:r="http://schemas.openxmlformats.org/officeDocument/2006/relationships" xmlns:w="http://schemas.openxmlformats.org/wordprocessingml/2006/main">
  <w:divs>
    <w:div w:id="754546308">
      <w:bodyDiv w:val="1"/>
      <w:marLeft w:val="0"/>
      <w:marRight w:val="0"/>
      <w:marTop w:val="0"/>
      <w:marBottom w:val="0"/>
      <w:divBdr>
        <w:top w:val="none" w:sz="0" w:space="0" w:color="auto"/>
        <w:left w:val="none" w:sz="0" w:space="0" w:color="auto"/>
        <w:bottom w:val="none" w:sz="0" w:space="0" w:color="auto"/>
        <w:right w:val="none" w:sz="0" w:space="0" w:color="auto"/>
      </w:divBdr>
    </w:div>
    <w:div w:id="975724893">
      <w:bodyDiv w:val="1"/>
      <w:marLeft w:val="0"/>
      <w:marRight w:val="0"/>
      <w:marTop w:val="0"/>
      <w:marBottom w:val="0"/>
      <w:divBdr>
        <w:top w:val="none" w:sz="0" w:space="0" w:color="auto"/>
        <w:left w:val="none" w:sz="0" w:space="0" w:color="auto"/>
        <w:bottom w:val="none" w:sz="0" w:space="0" w:color="auto"/>
        <w:right w:val="none" w:sz="0" w:space="0" w:color="auto"/>
      </w:divBdr>
    </w:div>
    <w:div w:id="1498614254">
      <w:bodyDiv w:val="1"/>
      <w:marLeft w:val="0"/>
      <w:marRight w:val="0"/>
      <w:marTop w:val="0"/>
      <w:marBottom w:val="0"/>
      <w:divBdr>
        <w:top w:val="none" w:sz="0" w:space="0" w:color="auto"/>
        <w:left w:val="none" w:sz="0" w:space="0" w:color="auto"/>
        <w:bottom w:val="none" w:sz="0" w:space="0" w:color="auto"/>
        <w:right w:val="none" w:sz="0" w:space="0" w:color="auto"/>
      </w:divBdr>
      <w:divsChild>
        <w:div w:id="870532947">
          <w:marLeft w:val="0"/>
          <w:marRight w:val="0"/>
          <w:marTop w:val="0"/>
          <w:marBottom w:val="0"/>
          <w:divBdr>
            <w:top w:val="none" w:sz="0" w:space="0" w:color="auto"/>
            <w:left w:val="none" w:sz="0" w:space="0" w:color="auto"/>
            <w:bottom w:val="none" w:sz="0" w:space="0" w:color="auto"/>
            <w:right w:val="none" w:sz="0" w:space="0" w:color="auto"/>
          </w:divBdr>
        </w:div>
      </w:divsChild>
    </w:div>
    <w:div w:id="1868370363">
      <w:bodyDiv w:val="1"/>
      <w:marLeft w:val="0"/>
      <w:marRight w:val="0"/>
      <w:marTop w:val="0"/>
      <w:marBottom w:val="0"/>
      <w:divBdr>
        <w:top w:val="none" w:sz="0" w:space="0" w:color="auto"/>
        <w:left w:val="none" w:sz="0" w:space="0" w:color="auto"/>
        <w:bottom w:val="none" w:sz="0" w:space="0" w:color="auto"/>
        <w:right w:val="none" w:sz="0" w:space="0" w:color="auto"/>
      </w:divBdr>
      <w:divsChild>
        <w:div w:id="462163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73A55-3734-4F47-8D5F-C34B5FD1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4712</Words>
  <Characters>26862</Characters>
  <Application>Microsoft Office Word</Application>
  <DocSecurity>0</DocSecurity>
  <Lines>223</Lines>
  <Paragraphs>63</Paragraphs>
  <ScaleCrop>false</ScaleCrop>
  <Company/>
  <LinksUpToDate>false</LinksUpToDate>
  <CharactersWithSpaces>31511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2025-07-30T20:01:00Z</dcterms:created>
  <dcterms:modified xsi:type="dcterms:W3CDTF">2025-07-31T10:22:00Z</dcterms:modified>
</cp:coreProperties>
</file>