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F72E40B">
      <w:pPr>
        <w:pStyle w:val="2"/>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ascii="宋体" w:hAnsi="宋体" w:eastAsia="宋体" w:cs="宋体"/>
          <w:sz w:val="24"/>
          <w:szCs w:val="24"/>
        </w:rPr>
      </w:pPr>
      <w:bookmarkStart w:id="0" w:name="_Toc8081"/>
      <w:r>
        <w:rPr>
          <w:rFonts w:ascii="宋体" w:hAnsi="宋体" w:eastAsia="宋体" w:cs="宋体"/>
          <w:sz w:val="24"/>
          <w:szCs w:val="24"/>
        </w:rPr>
        <w:drawing>
          <wp:inline distT="0" distB="0" distL="114300" distR="114300">
            <wp:extent cx="1571625" cy="786130"/>
            <wp:effectExtent l="0" t="0" r="9525" b="13970"/>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7"/>
                    <a:stretch>
                      <a:fillRect/>
                    </a:stretch>
                  </pic:blipFill>
                  <pic:spPr>
                    <a:xfrm>
                      <a:off x="0" y="0"/>
                      <a:ext cx="1571625" cy="786130"/>
                    </a:xfrm>
                    <a:prstGeom prst="rect">
                      <a:avLst/>
                    </a:prstGeom>
                    <a:noFill/>
                    <a:ln w="9525">
                      <a:noFill/>
                    </a:ln>
                  </pic:spPr>
                </pic:pic>
              </a:graphicData>
            </a:graphic>
          </wp:inline>
        </w:drawing>
      </w:r>
      <w:bookmarkEnd w:id="0"/>
    </w:p>
    <w:p w14:paraId="0D812665">
      <w:pPr>
        <w:pStyle w:val="2"/>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rPr>
      </w:pPr>
    </w:p>
    <w:p w14:paraId="3152B1F4">
      <w:pPr>
        <w:pStyle w:val="2"/>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rPr>
      </w:pPr>
    </w:p>
    <w:p w14:paraId="64F94D39">
      <w:pPr>
        <w:pStyle w:val="2"/>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rPr>
      </w:pPr>
    </w:p>
    <w:p w14:paraId="55E9290F">
      <w:pPr>
        <w:pStyle w:val="2"/>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rPr>
      </w:pPr>
      <w:bookmarkStart w:id="1" w:name="_Toc3097"/>
      <w:bookmarkStart w:id="9" w:name="_GoBack"/>
      <w:r>
        <w:rPr>
          <w:rFonts w:hint="default" w:ascii="Times New Roman" w:hAnsi="Times New Roman" w:cs="Times New Roman"/>
        </w:rPr>
        <w:t>Greed, Responsibility, and the Purpose of Business: Ethical Foundations and the Volkswagen Emissions Scandal</w:t>
      </w:r>
      <w:bookmarkEnd w:id="1"/>
    </w:p>
    <w:bookmarkEnd w:id="9"/>
    <w:p w14:paraId="58E54C8A">
      <w:pPr>
        <w:rPr>
          <w:rFonts w:hint="default"/>
        </w:rPr>
      </w:pPr>
    </w:p>
    <w:p w14:paraId="37A5A472">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Tianchun Han</w:t>
      </w:r>
    </w:p>
    <w:p w14:paraId="459AEA47">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2503556</w:t>
      </w:r>
    </w:p>
    <w:p w14:paraId="146708BC">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b w:val="0"/>
          <w:bCs w:val="0"/>
          <w:sz w:val="24"/>
          <w:szCs w:val="24"/>
          <w:lang w:val="en-US" w:eastAsia="zh-CN"/>
        </w:rPr>
      </w:pPr>
      <w:r>
        <w:rPr>
          <w:rFonts w:hint="default" w:ascii="Times New Roman" w:hAnsi="Times New Roman" w:cs="Times New Roman"/>
          <w:bCs/>
          <w:sz w:val="24"/>
          <w:szCs w:val="24"/>
        </w:rPr>
        <w:t>BA Business Management</w:t>
      </w:r>
      <w:r>
        <w:rPr>
          <w:rFonts w:hint="default" w:ascii="Times New Roman" w:hAnsi="Times New Roman" w:cs="Times New Roman"/>
          <w:bCs/>
          <w:sz w:val="24"/>
          <w:szCs w:val="24"/>
          <w:lang w:val="en-US" w:eastAsia="zh-CN"/>
        </w:rPr>
        <w:t>,</w:t>
      </w:r>
      <w:r>
        <w:rPr>
          <w:rFonts w:hint="default" w:ascii="Times New Roman" w:hAnsi="Times New Roman" w:eastAsia="Helvetica" w:cs="Times New Roman"/>
          <w:i w:val="0"/>
          <w:iCs w:val="0"/>
          <w:caps w:val="0"/>
          <w:color w:val="333333"/>
          <w:spacing w:val="0"/>
          <w:sz w:val="24"/>
          <w:szCs w:val="24"/>
          <w:shd w:val="clear" w:fill="FFFFFF"/>
        </w:rPr>
        <w:t>University of Wales Trinity Saint David</w:t>
      </w:r>
    </w:p>
    <w:p w14:paraId="18959305">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BMBM6008</w:t>
      </w:r>
      <w:r>
        <w:rPr>
          <w:rFonts w:hint="default"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rPr>
        <w:t>Global Ethics</w:t>
      </w:r>
    </w:p>
    <w:p w14:paraId="7D71B19F">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Segoe UI" w:cs="Times New Roman"/>
          <w:b w:val="0"/>
          <w:bCs w:val="0"/>
          <w:i w:val="0"/>
          <w:iCs w:val="0"/>
          <w:caps w:val="0"/>
          <w:color w:val="1D2125"/>
          <w:spacing w:val="0"/>
          <w:sz w:val="24"/>
          <w:szCs w:val="24"/>
          <w:shd w:val="clear" w:fill="FFFFFF"/>
          <w:lang w:eastAsia="zh-CN"/>
        </w:rPr>
      </w:pPr>
      <w:r>
        <w:rPr>
          <w:rStyle w:val="11"/>
          <w:rFonts w:hint="default" w:ascii="Times New Roman" w:hAnsi="Times New Roman" w:eastAsia="宋体" w:cs="Times New Roman"/>
          <w:b w:val="0"/>
          <w:bCs w:val="0"/>
          <w:i w:val="0"/>
          <w:iCs w:val="0"/>
          <w:caps w:val="0"/>
          <w:color w:val="1D2125"/>
          <w:spacing w:val="0"/>
          <w:sz w:val="24"/>
          <w:szCs w:val="24"/>
          <w:shd w:val="clear" w:fill="FFFFFF"/>
          <w:lang w:val="en-US" w:eastAsia="zh-CN"/>
        </w:rPr>
        <w:t>Dr.</w:t>
      </w:r>
      <w:r>
        <w:rPr>
          <w:rStyle w:val="11"/>
          <w:rFonts w:hint="default" w:ascii="Times New Roman" w:hAnsi="Times New Roman" w:eastAsia="Segoe UI" w:cs="Times New Roman"/>
          <w:b w:val="0"/>
          <w:bCs w:val="0"/>
          <w:i w:val="0"/>
          <w:iCs w:val="0"/>
          <w:caps w:val="0"/>
          <w:color w:val="1D2125"/>
          <w:spacing w:val="0"/>
          <w:sz w:val="24"/>
          <w:szCs w:val="24"/>
          <w:shd w:val="clear" w:fill="FFFFFF"/>
        </w:rPr>
        <w:t>Arpu Kumar</w:t>
      </w:r>
      <w:r>
        <w:rPr>
          <w:rFonts w:hint="default" w:ascii="Times New Roman" w:hAnsi="Times New Roman" w:eastAsia="Segoe UI" w:cs="Times New Roman"/>
          <w:b w:val="0"/>
          <w:bCs w:val="0"/>
          <w:i w:val="0"/>
          <w:iCs w:val="0"/>
          <w:caps w:val="0"/>
          <w:color w:val="1D2125"/>
          <w:spacing w:val="0"/>
          <w:sz w:val="24"/>
          <w:szCs w:val="24"/>
          <w:shd w:val="clear" w:fill="FFFFFF"/>
          <w:lang w:eastAsia="zh-CN"/>
        </w:rPr>
        <w:t> </w:t>
      </w:r>
    </w:p>
    <w:p w14:paraId="7404496B">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val="0"/>
          <w:bCs w:val="0"/>
          <w:sz w:val="24"/>
          <w:szCs w:val="24"/>
        </w:rPr>
      </w:pPr>
      <w:r>
        <w:rPr>
          <w:rFonts w:hint="default" w:ascii="Times New Roman" w:hAnsi="Times New Roman" w:cs="Times New Roman"/>
          <w:bCs/>
          <w:sz w:val="24"/>
          <w:szCs w:val="24"/>
          <w:lang w:eastAsia="en-US"/>
        </w:rPr>
        <w:t xml:space="preserve">November </w:t>
      </w:r>
      <w:r>
        <w:rPr>
          <w:rFonts w:hint="default" w:ascii="Times New Roman" w:hAnsi="Times New Roman" w:cs="Times New Roman"/>
          <w:bCs/>
          <w:sz w:val="24"/>
          <w:szCs w:val="24"/>
          <w:lang w:val="en-US" w:eastAsia="zh-CN"/>
        </w:rPr>
        <w:t>20,</w:t>
      </w:r>
      <w:r>
        <w:rPr>
          <w:rFonts w:hint="default" w:ascii="Times New Roman" w:hAnsi="Times New Roman" w:cs="Times New Roman"/>
          <w:bCs/>
          <w:sz w:val="24"/>
          <w:szCs w:val="24"/>
          <w:lang w:eastAsia="en-US"/>
        </w:rPr>
        <w:t>2025</w:t>
      </w:r>
    </w:p>
    <w:p w14:paraId="59411C79">
      <w:pPr>
        <w:jc w:val="center"/>
        <w:rPr>
          <w:rFonts w:ascii="Arial" w:hAnsi="Arial" w:cs="Arial"/>
          <w:bCs/>
          <w:sz w:val="22"/>
          <w:szCs w:val="22"/>
        </w:rPr>
      </w:pPr>
    </w:p>
    <w:p w14:paraId="4783A5DF">
      <w:pPr>
        <w:jc w:val="center"/>
        <w:rPr>
          <w:rFonts w:hint="default" w:ascii="Arial" w:hAnsi="Arial" w:cs="Arial"/>
          <w:bCs/>
          <w:sz w:val="22"/>
          <w:szCs w:val="22"/>
          <w:lang w:val="en-US" w:eastAsia="zh-CN"/>
        </w:rPr>
      </w:pPr>
    </w:p>
    <w:p w14:paraId="064AEC12">
      <w:pPr>
        <w:pStyle w:val="2"/>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lang w:val="en-US" w:eastAsia="zh-CN"/>
        </w:rPr>
      </w:pPr>
    </w:p>
    <w:p w14:paraId="28A41C97">
      <w:pPr>
        <w:rPr>
          <w:rFonts w:hint="default"/>
          <w:lang w:val="en-US" w:eastAsia="zh-CN"/>
        </w:rPr>
        <w:sectPr>
          <w:pgSz w:w="11906" w:h="16838"/>
          <w:pgMar w:top="1440" w:right="1800" w:bottom="1440" w:left="1800" w:header="851" w:footer="992" w:gutter="0"/>
          <w:pgNumType w:fmt="decimal"/>
          <w:cols w:space="425" w:num="1"/>
          <w:docGrid w:type="lines" w:linePitch="312" w:charSpace="0"/>
        </w:sectPr>
      </w:pPr>
    </w:p>
    <w:p w14:paraId="00C84AE0">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jc w:val="center"/>
        <w:textAlignment w:val="auto"/>
        <w:rPr>
          <w:rFonts w:hint="default" w:ascii="Times New Roman" w:hAnsi="Times New Roman" w:cs="Times New Roman"/>
          <w:sz w:val="24"/>
          <w:szCs w:val="24"/>
        </w:rPr>
      </w:pPr>
      <w:r>
        <w:rPr>
          <w:rFonts w:hint="default" w:ascii="Times New Roman" w:hAnsi="Times New Roman" w:eastAsia="宋体" w:cs="Times New Roman"/>
          <w:b/>
          <w:bCs/>
          <w:kern w:val="0"/>
          <w:sz w:val="24"/>
          <w:szCs w:val="24"/>
          <w:lang w:val="en-US" w:eastAsia="zh-CN" w:bidi="ar"/>
        </w:rPr>
        <w:t>Abstract</w:t>
      </w:r>
    </w:p>
    <w:p w14:paraId="5132E9E6">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This report examines whether the pursuit of profit maximisation constitutes a legitimate principle for modern business operations. Through a case study of the Volkswagen emissions scandal, it analyzes the widespread societal impacts arising from corporations' relentless pursuit of profit. Drawing upon Kantian deontology, virtue ethics, stakeholder theory, and broader social theoretical perspectives, the report evaluates the ethical and practical limitations of profit-maximising behaviour and addresses the question of ‘the purpose of business’.</w:t>
      </w:r>
    </w:p>
    <w:p w14:paraId="27676623">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Finally, it offers several actionable recommendations for corporate managers to integrate commercial pursuits with social responsibility. Analysis indicates that while profit-seeking remains a core characteristic of capitalist enterprises, unrestrained profit-seeking often leads to significant negative societal impacts: environmental degradation, undermining fair competition, consumer fraud, and erosion of public trust.</w:t>
      </w:r>
    </w:p>
    <w:p w14:paraId="5BD63DC7">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The Volkswagen emissions scandal exemplifies these issues: the corporation's unrestrained profit-seeking and competitive ambitions led it to manipulate official vehicle emissions tests, ultimately damaging its global reputation and incurring economic costs running into billions of dollars.</w:t>
      </w:r>
    </w:p>
    <w:p w14:paraId="46FA461C">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jc w:val="left"/>
        <w:textAlignment w:val="auto"/>
        <w:rPr>
          <w:rFonts w:hint="default" w:ascii="Times New Roman" w:hAnsi="Times New Roman" w:eastAsia="宋体" w:cs="Times New Roman"/>
          <w:kern w:val="0"/>
          <w:sz w:val="24"/>
          <w:szCs w:val="24"/>
          <w:lang w:val="en-US" w:eastAsia="zh-CN" w:bidi="ar"/>
        </w:rPr>
        <w:sectPr>
          <w:footerReference r:id="rId3" w:type="default"/>
          <w:pgSz w:w="11906" w:h="16838"/>
          <w:pgMar w:top="1440" w:right="1800" w:bottom="1440" w:left="1800" w:header="851" w:footer="992" w:gutter="0"/>
          <w:pgNumType w:fmt="decimal" w:start="1"/>
          <w:cols w:space="425" w:num="1"/>
          <w:docGrid w:type="lines" w:linePitch="312" w:charSpace="0"/>
        </w:sectPr>
      </w:pPr>
      <w:r>
        <w:rPr>
          <w:rFonts w:hint="default" w:ascii="Times New Roman" w:hAnsi="Times New Roman" w:eastAsia="宋体" w:cs="Times New Roman"/>
          <w:kern w:val="0"/>
          <w:sz w:val="24"/>
          <w:szCs w:val="24"/>
          <w:lang w:val="en-US" w:eastAsia="zh-CN" w:bidi="ar"/>
        </w:rPr>
        <w:t xml:space="preserve">Greed—the pursuit of private gain regardless of stakeholder interests and ethical constraints—lacks moral legitimacy and cannot secure an enterprise's long-term sustainable development. This report concludes that modern enterprises must embed </w:t>
      </w:r>
    </w:p>
    <w:p w14:paraId="3F97DA30">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jc w:val="left"/>
        <w:textAlignment w:val="auto"/>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ethical principles within their fundamental governance philosophy and strengthen stakeholder engagement to ensure organisational legitimacy and stable development.</w:t>
      </w:r>
    </w:p>
    <w:p w14:paraId="3825A25F">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jc w:val="left"/>
        <w:textAlignment w:val="auto"/>
        <w:rPr>
          <w:rFonts w:hint="default" w:ascii="Times New Roman" w:hAnsi="Times New Roman" w:eastAsia="宋体" w:cs="Times New Roman"/>
          <w:kern w:val="0"/>
          <w:sz w:val="21"/>
          <w:szCs w:val="24"/>
          <w:lang w:val="en-US" w:eastAsia="zh-CN" w:bidi="ar"/>
        </w:rPr>
        <w:sectPr>
          <w:footerReference r:id="rId4" w:type="default"/>
          <w:pgSz w:w="11906" w:h="16838"/>
          <w:pgMar w:top="1440" w:right="1440" w:bottom="1440" w:left="1440" w:header="851" w:footer="992" w:gutter="0"/>
          <w:pgNumType w:fmt="decimal"/>
          <w:cols w:space="425" w:num="1"/>
          <w:docGrid w:type="lines" w:linePitch="312" w:charSpace="0"/>
        </w:sectPr>
      </w:pPr>
    </w:p>
    <w:sdt>
      <w:sdtPr>
        <w:rPr>
          <w:rFonts w:ascii="宋体" w:hAnsi="宋体" w:eastAsia="宋体" w:cstheme="minorBidi"/>
          <w:kern w:val="2"/>
          <w:sz w:val="21"/>
          <w:szCs w:val="24"/>
          <w:lang w:val="en-US" w:eastAsia="zh-CN" w:bidi="ar-SA"/>
        </w:rPr>
        <w:id w:val="147465999"/>
        <w15:color w:val="DBDBDB"/>
        <w:docPartObj>
          <w:docPartGallery w:val="Table of Contents"/>
          <w:docPartUnique/>
        </w:docPartObj>
      </w:sdtPr>
      <w:sdtEndPr>
        <w:rPr>
          <w:rFonts w:hint="default" w:ascii="Times New Roman" w:hAnsi="Times New Roman" w:eastAsia="宋体" w:cs="Times New Roman"/>
          <w:kern w:val="0"/>
          <w:sz w:val="21"/>
          <w:szCs w:val="24"/>
          <w:lang w:val="en-US" w:eastAsia="zh-CN" w:bidi="ar"/>
        </w:rPr>
      </w:sdtEndPr>
      <w:sdtContent>
        <w:p w14:paraId="53652BCE">
          <w:pPr>
            <w:spacing w:before="0" w:beforeLines="0" w:after="0" w:afterLines="0" w:line="240" w:lineRule="auto"/>
            <w:ind w:left="0" w:leftChars="0" w:right="0" w:rightChars="0" w:firstLine="0" w:firstLineChars="0"/>
            <w:jc w:val="center"/>
          </w:pPr>
          <w:r>
            <w:rPr>
              <w:rFonts w:hint="default" w:ascii="Times New Roman" w:hAnsi="Times New Roman" w:eastAsia="宋体" w:cs="Times New Roman"/>
              <w:b/>
              <w:bCs/>
              <w:kern w:val="2"/>
              <w:sz w:val="24"/>
              <w:szCs w:val="24"/>
              <w:lang w:val="en-US" w:eastAsia="zh-CN" w:bidi="ar-SA"/>
            </w:rPr>
            <w:t>Content</w:t>
          </w:r>
        </w:p>
        <w:p w14:paraId="44D3E4CE">
          <w:pPr>
            <w:pStyle w:val="7"/>
            <w:tabs>
              <w:tab w:val="right" w:leader="dot" w:pos="9026"/>
            </w:tabs>
          </w:pP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TOC \o "1-1" \h \u </w:instrText>
          </w:r>
          <w:r>
            <w:rPr>
              <w:rFonts w:hint="default" w:ascii="Times New Roman" w:hAnsi="Times New Roman" w:eastAsia="宋体" w:cs="Times New Roman"/>
              <w:kern w:val="0"/>
              <w:sz w:val="24"/>
              <w:szCs w:val="24"/>
              <w:lang w:val="en-US" w:eastAsia="zh-CN" w:bidi="ar"/>
            </w:rPr>
            <w:fldChar w:fldCharType="separate"/>
          </w:r>
        </w:p>
        <w:p w14:paraId="66E14AB6">
          <w:pPr>
            <w:pStyle w:val="7"/>
            <w:keepNext w:val="0"/>
            <w:keepLines w:val="0"/>
            <w:pageBreakBefore w:val="0"/>
            <w:widowControl w:val="0"/>
            <w:tabs>
              <w:tab w:val="right" w:leader="dot" w:pos="902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\l _Toc1720 </w:instrText>
          </w:r>
          <w:r>
            <w:rPr>
              <w:rFonts w:hint="default" w:ascii="Times New Roman" w:hAnsi="Times New Roman" w:eastAsia="宋体" w:cs="Times New Roman"/>
              <w:kern w:val="0"/>
              <w:sz w:val="24"/>
              <w:szCs w:val="24"/>
              <w:lang w:val="en-US" w:eastAsia="zh-CN" w:bidi="ar"/>
            </w:rPr>
            <w:fldChar w:fldCharType="separate"/>
          </w:r>
          <w:r>
            <w:rPr>
              <w:rFonts w:hint="default" w:ascii="Times New Roman" w:hAnsi="Times New Roman" w:eastAsia="宋体" w:cs="Times New Roman"/>
              <w:bCs/>
              <w:kern w:val="0"/>
              <w:sz w:val="24"/>
              <w:szCs w:val="24"/>
              <w:lang w:val="en-US" w:eastAsia="zh-CN" w:bidi="ar"/>
            </w:rPr>
            <w:t>1.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_Toc1720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bidi="ar"/>
            </w:rPr>
            <w:fldChar w:fldCharType="end"/>
          </w:r>
        </w:p>
        <w:p w14:paraId="2B2D17A6">
          <w:pPr>
            <w:pStyle w:val="7"/>
            <w:keepNext w:val="0"/>
            <w:keepLines w:val="0"/>
            <w:pageBreakBefore w:val="0"/>
            <w:widowControl w:val="0"/>
            <w:tabs>
              <w:tab w:val="right" w:leader="dot" w:pos="902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\l _Toc3816 </w:instrText>
          </w:r>
          <w:r>
            <w:rPr>
              <w:rFonts w:hint="default" w:ascii="Times New Roman" w:hAnsi="Times New Roman" w:eastAsia="宋体" w:cs="Times New Roman"/>
              <w:kern w:val="0"/>
              <w:sz w:val="24"/>
              <w:szCs w:val="24"/>
              <w:lang w:val="en-US" w:eastAsia="zh-CN" w:bidi="ar"/>
            </w:rPr>
            <w:fldChar w:fldCharType="separate"/>
          </w:r>
          <w:r>
            <w:rPr>
              <w:rFonts w:hint="default" w:ascii="Times New Roman" w:hAnsi="Times New Roman" w:eastAsia="宋体" w:cs="Times New Roman"/>
              <w:bCs/>
              <w:kern w:val="0"/>
              <w:sz w:val="24"/>
              <w:szCs w:val="24"/>
              <w:lang w:val="en-US" w:eastAsia="zh-CN" w:bidi="ar"/>
            </w:rPr>
            <w:t>2. The Philosophical Foundations of Business Ethics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_Toc3816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bidi="ar"/>
            </w:rPr>
            <w:fldChar w:fldCharType="end"/>
          </w:r>
        </w:p>
        <w:p w14:paraId="7177DA60">
          <w:pPr>
            <w:pStyle w:val="7"/>
            <w:keepNext w:val="0"/>
            <w:keepLines w:val="0"/>
            <w:pageBreakBefore w:val="0"/>
            <w:widowControl w:val="0"/>
            <w:tabs>
              <w:tab w:val="right" w:leader="dot" w:pos="902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\l _Toc9249 </w:instrText>
          </w:r>
          <w:r>
            <w:rPr>
              <w:rFonts w:hint="default" w:ascii="Times New Roman" w:hAnsi="Times New Roman" w:eastAsia="宋体" w:cs="Times New Roman"/>
              <w:kern w:val="0"/>
              <w:sz w:val="24"/>
              <w:szCs w:val="24"/>
              <w:lang w:val="en-US" w:eastAsia="zh-CN" w:bidi="ar"/>
            </w:rPr>
            <w:fldChar w:fldCharType="separate"/>
          </w:r>
          <w:r>
            <w:rPr>
              <w:rFonts w:hint="default" w:ascii="Times New Roman" w:hAnsi="Times New Roman" w:eastAsia="宋体" w:cs="Times New Roman"/>
              <w:bCs/>
              <w:kern w:val="0"/>
              <w:sz w:val="24"/>
              <w:szCs w:val="24"/>
              <w:lang w:val="en-US" w:eastAsia="zh-CN" w:bidi="ar"/>
            </w:rPr>
            <w:t>3. Case Study: Volkswagen Emissions Scandal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_Toc9249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bidi="ar"/>
            </w:rPr>
            <w:fldChar w:fldCharType="end"/>
          </w:r>
        </w:p>
        <w:p w14:paraId="1DC8D11F">
          <w:pPr>
            <w:pStyle w:val="7"/>
            <w:keepNext w:val="0"/>
            <w:keepLines w:val="0"/>
            <w:pageBreakBefore w:val="0"/>
            <w:widowControl w:val="0"/>
            <w:tabs>
              <w:tab w:val="right" w:leader="dot" w:pos="902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\l _Toc22858 </w:instrText>
          </w:r>
          <w:r>
            <w:rPr>
              <w:rFonts w:hint="default" w:ascii="Times New Roman" w:hAnsi="Times New Roman" w:eastAsia="宋体" w:cs="Times New Roman"/>
              <w:kern w:val="0"/>
              <w:sz w:val="24"/>
              <w:szCs w:val="24"/>
              <w:lang w:val="en-US" w:eastAsia="zh-CN" w:bidi="ar"/>
            </w:rPr>
            <w:fldChar w:fldCharType="separate"/>
          </w:r>
          <w:r>
            <w:rPr>
              <w:rFonts w:hint="default" w:ascii="Times New Roman" w:hAnsi="Times New Roman" w:eastAsia="宋体" w:cs="Times New Roman"/>
              <w:bCs/>
              <w:kern w:val="0"/>
              <w:sz w:val="24"/>
              <w:szCs w:val="24"/>
              <w:lang w:val="en-US" w:eastAsia="zh-CN" w:bidi="ar"/>
            </w:rPr>
            <w:t>4. The Purpose of Business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_Toc22858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bidi="ar"/>
            </w:rPr>
            <w:fldChar w:fldCharType="end"/>
          </w:r>
        </w:p>
        <w:p w14:paraId="27326256">
          <w:pPr>
            <w:pStyle w:val="7"/>
            <w:keepNext w:val="0"/>
            <w:keepLines w:val="0"/>
            <w:pageBreakBefore w:val="0"/>
            <w:widowControl w:val="0"/>
            <w:tabs>
              <w:tab w:val="right" w:leader="dot" w:pos="902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\l _Toc8391 </w:instrText>
          </w:r>
          <w:r>
            <w:rPr>
              <w:rFonts w:hint="default" w:ascii="Times New Roman" w:hAnsi="Times New Roman" w:eastAsia="宋体" w:cs="Times New Roman"/>
              <w:kern w:val="0"/>
              <w:sz w:val="24"/>
              <w:szCs w:val="24"/>
              <w:lang w:val="en-US" w:eastAsia="zh-CN" w:bidi="ar"/>
            </w:rPr>
            <w:fldChar w:fldCharType="separate"/>
          </w:r>
          <w:r>
            <w:rPr>
              <w:rFonts w:hint="default" w:ascii="Times New Roman" w:hAnsi="Times New Roman" w:eastAsia="宋体" w:cs="Times New Roman"/>
              <w:bCs/>
              <w:kern w:val="0"/>
              <w:sz w:val="24"/>
              <w:szCs w:val="24"/>
              <w:lang w:val="en-US" w:eastAsia="zh-CN" w:bidi="ar"/>
            </w:rPr>
            <w:t>5. Recommendations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_Toc8391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bidi="ar"/>
            </w:rPr>
            <w:fldChar w:fldCharType="end"/>
          </w:r>
        </w:p>
        <w:p w14:paraId="0C9DDE47">
          <w:pPr>
            <w:pStyle w:val="7"/>
            <w:keepNext w:val="0"/>
            <w:keepLines w:val="0"/>
            <w:pageBreakBefore w:val="0"/>
            <w:widowControl w:val="0"/>
            <w:tabs>
              <w:tab w:val="right" w:leader="dot" w:pos="9026"/>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\l _Toc1304 </w:instrText>
          </w:r>
          <w:r>
            <w:rPr>
              <w:rFonts w:hint="default" w:ascii="Times New Roman" w:hAnsi="Times New Roman" w:eastAsia="宋体" w:cs="Times New Roman"/>
              <w:kern w:val="0"/>
              <w:sz w:val="24"/>
              <w:szCs w:val="24"/>
              <w:lang w:val="en-US" w:eastAsia="zh-CN" w:bidi="ar"/>
            </w:rPr>
            <w:fldChar w:fldCharType="separate"/>
          </w:r>
          <w:r>
            <w:rPr>
              <w:rFonts w:hint="default" w:ascii="Times New Roman" w:hAnsi="Times New Roman" w:eastAsia="宋体" w:cs="Times New Roman"/>
              <w:bCs/>
              <w:kern w:val="0"/>
              <w:sz w:val="24"/>
              <w:szCs w:val="24"/>
              <w:lang w:val="en-US" w:eastAsia="zh-CN" w:bidi="ar"/>
            </w:rPr>
            <w:t>6.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_Toc1304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bidi="ar"/>
            </w:rPr>
            <w:fldChar w:fldCharType="end"/>
          </w:r>
        </w:p>
        <w:p w14:paraId="784BF8F3">
          <w:pPr>
            <w:pStyle w:val="7"/>
            <w:keepNext w:val="0"/>
            <w:keepLines w:val="0"/>
            <w:pageBreakBefore w:val="0"/>
            <w:widowControl w:val="0"/>
            <w:tabs>
              <w:tab w:val="right" w:leader="dot" w:pos="9026"/>
            </w:tabs>
            <w:kinsoku/>
            <w:wordWrap/>
            <w:overflowPunct/>
            <w:topLinePunct w:val="0"/>
            <w:autoSpaceDE/>
            <w:autoSpaceDN/>
            <w:bidi w:val="0"/>
            <w:adjustRightInd/>
            <w:snapToGrid/>
            <w:spacing w:line="480" w:lineRule="auto"/>
            <w:textAlignment w:val="auto"/>
          </w:pP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\l _Toc6333 </w:instrText>
          </w:r>
          <w:r>
            <w:rPr>
              <w:rFonts w:hint="default" w:ascii="Times New Roman" w:hAnsi="Times New Roman" w:eastAsia="宋体" w:cs="Times New Roman"/>
              <w:kern w:val="0"/>
              <w:sz w:val="24"/>
              <w:szCs w:val="24"/>
              <w:lang w:val="en-US" w:eastAsia="zh-CN" w:bidi="ar"/>
            </w:rPr>
            <w:fldChar w:fldCharType="separate"/>
          </w:r>
          <w:r>
            <w:rPr>
              <w:rFonts w:hint="default" w:ascii="Times New Roman" w:hAnsi="Times New Roman" w:cs="Times New Roman"/>
              <w:bCs/>
              <w:sz w:val="24"/>
              <w:szCs w:val="24"/>
              <w:lang w:val="en-US" w:eastAsia="zh-CN"/>
            </w:rPr>
            <w:t>R</w:t>
          </w:r>
          <w:r>
            <w:rPr>
              <w:rFonts w:hint="default" w:ascii="Times New Roman" w:hAnsi="Times New Roman" w:cs="Times New Roman"/>
              <w:bCs/>
              <w:sz w:val="24"/>
              <w:szCs w:val="24"/>
            </w:rPr>
            <w:t>eference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_Toc6333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bidi="ar"/>
            </w:rPr>
            <w:fldChar w:fldCharType="end"/>
          </w:r>
        </w:p>
        <w:p w14:paraId="4E3E96FD">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jc w:val="left"/>
            <w:textAlignment w:val="auto"/>
            <w:rPr>
              <w:rFonts w:hint="default" w:ascii="Times New Roman" w:hAnsi="Times New Roman" w:eastAsia="宋体" w:cs="Times New Roman"/>
              <w:kern w:val="0"/>
              <w:sz w:val="21"/>
              <w:szCs w:val="24"/>
              <w:lang w:val="en-US" w:eastAsia="zh-CN" w:bidi="ar"/>
            </w:rPr>
          </w:pPr>
          <w:r>
            <w:rPr>
              <w:rFonts w:hint="default" w:ascii="Times New Roman" w:hAnsi="Times New Roman" w:eastAsia="宋体" w:cs="Times New Roman"/>
              <w:kern w:val="0"/>
              <w:szCs w:val="24"/>
              <w:lang w:val="en-US" w:eastAsia="zh-CN" w:bidi="ar"/>
            </w:rPr>
            <w:fldChar w:fldCharType="end"/>
          </w:r>
        </w:p>
      </w:sdtContent>
    </w:sdt>
    <w:p w14:paraId="75280D88">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jc w:val="left"/>
        <w:textAlignment w:val="auto"/>
        <w:rPr>
          <w:rFonts w:hint="default" w:ascii="Times New Roman" w:hAnsi="Times New Roman" w:eastAsia="宋体" w:cs="Times New Roman"/>
          <w:kern w:val="0"/>
          <w:sz w:val="21"/>
          <w:szCs w:val="24"/>
          <w:lang w:val="en-US" w:eastAsia="zh-CN" w:bidi="ar"/>
        </w:rPr>
      </w:pPr>
    </w:p>
    <w:p w14:paraId="325FCF60">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jc w:val="left"/>
        <w:textAlignment w:val="auto"/>
        <w:rPr>
          <w:rFonts w:hint="default" w:ascii="Times New Roman" w:hAnsi="Times New Roman" w:eastAsia="宋体" w:cs="Times New Roman"/>
          <w:b/>
          <w:bCs/>
          <w:kern w:val="0"/>
          <w:sz w:val="24"/>
          <w:szCs w:val="24"/>
          <w:lang w:val="en-US" w:eastAsia="zh-CN" w:bidi="ar"/>
        </w:rPr>
      </w:pPr>
    </w:p>
    <w:p w14:paraId="53572D06">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jc w:val="left"/>
        <w:textAlignment w:val="auto"/>
        <w:rPr>
          <w:rFonts w:hint="default" w:ascii="Times New Roman" w:hAnsi="Times New Roman" w:eastAsia="宋体" w:cs="Times New Roman"/>
          <w:b/>
          <w:bCs/>
          <w:kern w:val="0"/>
          <w:sz w:val="24"/>
          <w:szCs w:val="24"/>
          <w:lang w:val="en-US" w:eastAsia="zh-CN" w:bidi="ar"/>
        </w:rPr>
      </w:pPr>
    </w:p>
    <w:p w14:paraId="2CBD5749">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jc w:val="left"/>
        <w:textAlignment w:val="auto"/>
        <w:rPr>
          <w:rFonts w:hint="default" w:ascii="Times New Roman" w:hAnsi="Times New Roman" w:eastAsia="宋体" w:cs="Times New Roman"/>
          <w:b/>
          <w:bCs/>
          <w:kern w:val="0"/>
          <w:sz w:val="24"/>
          <w:szCs w:val="24"/>
          <w:lang w:val="en-US" w:eastAsia="zh-CN" w:bidi="ar"/>
        </w:rPr>
      </w:pPr>
    </w:p>
    <w:p w14:paraId="792E6D68">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jc w:val="left"/>
        <w:textAlignment w:val="auto"/>
        <w:rPr>
          <w:rFonts w:hint="default" w:ascii="Times New Roman" w:hAnsi="Times New Roman" w:eastAsia="宋体" w:cs="Times New Roman"/>
          <w:b/>
          <w:bCs/>
          <w:kern w:val="0"/>
          <w:sz w:val="24"/>
          <w:szCs w:val="24"/>
          <w:lang w:val="en-US" w:eastAsia="zh-CN" w:bidi="ar"/>
        </w:rPr>
      </w:pPr>
    </w:p>
    <w:p w14:paraId="17C5E341">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jc w:val="left"/>
        <w:textAlignment w:val="auto"/>
        <w:rPr>
          <w:rFonts w:hint="default" w:ascii="Times New Roman" w:hAnsi="Times New Roman" w:eastAsia="宋体" w:cs="Times New Roman"/>
          <w:b/>
          <w:bCs/>
          <w:kern w:val="0"/>
          <w:sz w:val="24"/>
          <w:szCs w:val="24"/>
          <w:lang w:val="en-US" w:eastAsia="zh-CN" w:bidi="ar"/>
        </w:rPr>
      </w:pPr>
    </w:p>
    <w:p w14:paraId="67D9C6BF">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jc w:val="left"/>
        <w:textAlignment w:val="auto"/>
        <w:rPr>
          <w:rFonts w:hint="default" w:ascii="Times New Roman" w:hAnsi="Times New Roman" w:eastAsia="宋体" w:cs="Times New Roman"/>
          <w:b/>
          <w:bCs/>
          <w:kern w:val="0"/>
          <w:sz w:val="24"/>
          <w:szCs w:val="24"/>
          <w:lang w:val="en-US" w:eastAsia="zh-CN" w:bidi="ar"/>
        </w:rPr>
      </w:pPr>
    </w:p>
    <w:p w14:paraId="53EB8122">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jc w:val="left"/>
        <w:textAlignment w:val="auto"/>
        <w:rPr>
          <w:rFonts w:hint="default" w:ascii="Times New Roman" w:hAnsi="Times New Roman" w:eastAsia="宋体" w:cs="Times New Roman"/>
          <w:b/>
          <w:bCs/>
          <w:kern w:val="0"/>
          <w:sz w:val="24"/>
          <w:szCs w:val="24"/>
          <w:lang w:val="en-US" w:eastAsia="zh-CN" w:bidi="ar"/>
        </w:rPr>
      </w:pPr>
    </w:p>
    <w:p w14:paraId="751506F7">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jc w:val="left"/>
        <w:textAlignment w:val="auto"/>
        <w:rPr>
          <w:rFonts w:hint="default" w:ascii="Times New Roman" w:hAnsi="Times New Roman" w:eastAsia="宋体" w:cs="Times New Roman"/>
          <w:b/>
          <w:bCs/>
          <w:kern w:val="0"/>
          <w:sz w:val="24"/>
          <w:szCs w:val="24"/>
          <w:lang w:val="en-US" w:eastAsia="zh-CN" w:bidi="ar"/>
        </w:rPr>
      </w:pPr>
    </w:p>
    <w:p w14:paraId="1EACAEDD">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jc w:val="left"/>
        <w:textAlignment w:val="auto"/>
        <w:rPr>
          <w:rFonts w:hint="default" w:ascii="Times New Roman" w:hAnsi="Times New Roman" w:eastAsia="宋体" w:cs="Times New Roman"/>
          <w:b/>
          <w:bCs/>
          <w:kern w:val="0"/>
          <w:sz w:val="24"/>
          <w:szCs w:val="24"/>
          <w:lang w:val="en-US" w:eastAsia="zh-CN" w:bidi="ar"/>
        </w:rPr>
      </w:pPr>
    </w:p>
    <w:p w14:paraId="0C7E87DB">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jc w:val="left"/>
        <w:textAlignment w:val="auto"/>
        <w:rPr>
          <w:rFonts w:hint="default" w:ascii="Times New Roman" w:hAnsi="Times New Roman" w:eastAsia="宋体" w:cs="Times New Roman"/>
          <w:b/>
          <w:bCs/>
          <w:kern w:val="0"/>
          <w:sz w:val="24"/>
          <w:szCs w:val="24"/>
          <w:lang w:val="en-US" w:eastAsia="zh-CN" w:bidi="ar"/>
        </w:rPr>
      </w:pPr>
    </w:p>
    <w:p w14:paraId="34154CE1">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jc w:val="both"/>
        <w:textAlignment w:val="auto"/>
        <w:rPr>
          <w:rFonts w:hint="default" w:ascii="Times New Roman" w:hAnsi="Times New Roman" w:eastAsia="宋体" w:cs="Times New Roman"/>
          <w:b/>
          <w:bCs/>
          <w:kern w:val="0"/>
          <w:sz w:val="24"/>
          <w:szCs w:val="24"/>
          <w:lang w:val="en-US" w:eastAsia="zh-CN" w:bidi="ar"/>
        </w:rPr>
        <w:sectPr>
          <w:pgSz w:w="11906" w:h="16838"/>
          <w:pgMar w:top="1440" w:right="1440" w:bottom="1440" w:left="1440" w:header="851" w:footer="992" w:gutter="0"/>
          <w:pgNumType w:fmt="decimal"/>
          <w:cols w:space="425" w:num="1"/>
          <w:docGrid w:type="lines" w:linePitch="312" w:charSpace="0"/>
        </w:sectPr>
      </w:pPr>
    </w:p>
    <w:p w14:paraId="7CA123A8">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ind w:firstLine="0"/>
        <w:jc w:val="center"/>
        <w:textAlignment w:val="auto"/>
        <w:outlineLvl w:val="0"/>
        <w:rPr>
          <w:rFonts w:hint="default" w:ascii="Times New Roman" w:hAnsi="Times New Roman" w:cs="Times New Roman"/>
          <w:sz w:val="24"/>
          <w:szCs w:val="24"/>
        </w:rPr>
      </w:pPr>
      <w:bookmarkStart w:id="2" w:name="_Toc1720"/>
      <w:r>
        <w:rPr>
          <w:rFonts w:hint="default" w:ascii="Times New Roman" w:hAnsi="Times New Roman" w:eastAsia="宋体" w:cs="Times New Roman"/>
          <w:b/>
          <w:bCs/>
          <w:kern w:val="0"/>
          <w:sz w:val="24"/>
          <w:szCs w:val="24"/>
          <w:lang w:val="en-US" w:eastAsia="zh-CN" w:bidi="ar"/>
        </w:rPr>
        <w:t>1. Introduction</w:t>
      </w:r>
      <w:bookmarkEnd w:id="2"/>
    </w:p>
    <w:p w14:paraId="520563AD">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ind w:firstLine="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‘Whether greed is justified’ remains a central controversy in business ethics, economic philosophy, and modern corporate governance. In 1970, Milton Friedman published his seminal article ‘The Social Responsibility of Business Is to Make a Profit.’ This neoliberal economic theory, emerging from reflections on government intervention, asserted that a corporation's primary duty is to maximise shareholder value. It championed shareholder supremacy and posited that free markets possess formidable self-regulating capabilities, contending that self-interested corporate behaviour would ultimately benefit society and foster collective welfare. However, amid profound societal transformations driven by globalisation, capitalist expansion, and technological progress, new inequalities, environmental crises, and technological barriers have emerged. Public vigilance regarding environmental degradation, labour exploitation, and data misuse has intensified. Frequent revelations of corporations prioritising financial gains over societal interests have heightened scrutiny of corporate misconduct. Consequently, traditional value orientations urgently require reassessment to align with contemporary demands. Simultaneously, persistent corporate misconduct cases compel us to re-examine the prevailing business environment. These form the twin core tenets of this report.</w:t>
      </w:r>
    </w:p>
    <w:p w14:paraId="61AD5B1A">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ind w:firstLine="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Theoretically, business ethics offers multifaceted frameworks for evaluating such claims: Kantian deontology emphasises duty and moral norms, establishing ‘human beings as ends in themselves, not merely as means’ as a foundational principle; Virtue ethics focuses on how moral character within organisational culture shapes corporate behaviour; stakeholder theory further indicates that enterprises bear responsibilities not only to shareholders but also to employees, consumers, and regulatory bodies. Collectively, these theories reveal that profit maximisation divorced from moral responsibility inflicts profound long-term harm. Both theoretical analysis and social reality point to the same conclusion: legitimacy and public trust form the bedrock of sustainable corporate operation.</w:t>
      </w:r>
    </w:p>
    <w:p w14:paraId="0DEF0365">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ind w:firstLine="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Building upon this research context, this report examines the Volkswagen emissions scandal—a case of profound cautionary significance—to explore the ethical implications of greed within contemporary complex societies. It elucidates why ethical considerations are indispensable to business development and how ethics can be embedded within corporate strategic planning. Business has become inextricably linked to every facet of modern life, forming a vital foundation for societal functioning. Uncovering the necessity of ethical constraints and interrogating the fundamental purpose and societal value of business are not only crucial research topics but also hold profound significance for human welfare.</w:t>
      </w:r>
    </w:p>
    <w:p w14:paraId="29F5A146">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ind w:firstLine="0"/>
        <w:jc w:val="center"/>
        <w:textAlignment w:val="auto"/>
        <w:outlineLvl w:val="0"/>
        <w:rPr>
          <w:rFonts w:hint="default" w:ascii="Times New Roman" w:hAnsi="Times New Roman" w:cs="Times New Roman"/>
          <w:sz w:val="24"/>
          <w:szCs w:val="24"/>
        </w:rPr>
      </w:pPr>
      <w:bookmarkStart w:id="3" w:name="_Toc3816"/>
      <w:r>
        <w:rPr>
          <w:rFonts w:hint="default" w:ascii="Times New Roman" w:hAnsi="Times New Roman" w:eastAsia="宋体" w:cs="Times New Roman"/>
          <w:b/>
          <w:bCs/>
          <w:kern w:val="0"/>
          <w:sz w:val="24"/>
          <w:szCs w:val="24"/>
          <w:lang w:val="en-US" w:eastAsia="zh-CN" w:bidi="ar"/>
        </w:rPr>
        <w:t>2. The Philosophical Foundations of Business Ethics</w:t>
      </w:r>
      <w:bookmarkEnd w:id="3"/>
    </w:p>
    <w:p w14:paraId="2909F5B4">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ind w:firstLine="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Since the inception of corporate organisations, debates over their essence and purpose have persisted (Dobson, 2022). What precisely is the purpose of a business? Does it exist solely for profit, or must it bear broader social responsibilities? At the heart of this debate lies ‘greed.’ Within the commercial sphere, greed is typically defined as the pursuit of personal gain at the expense of others' interests (Zeelenberg et al., 2024). To clarify the ethical implications of greed, this section examines deontology, virtue ethics, and utilitarianism from a business ethics perspective, elucidating how these theories reveal the moral and practical shortcomings and risks inherent in greed-driven commercial decisions. This ethical analysis aims to explore its philosophical roots, including normative understandings of relevant concepts and theoretical frameworks (Böhm et al., 2022), thereby deepening our comprehension of the subject.</w:t>
      </w:r>
    </w:p>
    <w:p w14:paraId="06CE15FB">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jc w:val="both"/>
        <w:textAlignment w:val="auto"/>
        <w:outlineLvl w:val="1"/>
        <w:rPr>
          <w:rFonts w:hint="default" w:ascii="Times New Roman" w:hAnsi="Times New Roman" w:cs="Times New Roman"/>
          <w:sz w:val="24"/>
          <w:szCs w:val="24"/>
        </w:rPr>
      </w:pPr>
      <w:r>
        <w:rPr>
          <w:rFonts w:hint="default" w:ascii="Times New Roman" w:hAnsi="Times New Roman" w:eastAsia="宋体" w:cs="Times New Roman"/>
          <w:b/>
          <w:bCs/>
          <w:kern w:val="0"/>
          <w:sz w:val="24"/>
          <w:szCs w:val="24"/>
          <w:lang w:val="en-US" w:eastAsia="zh-CN" w:bidi="ar"/>
        </w:rPr>
        <w:t>2.1 Deontology</w:t>
      </w:r>
    </w:p>
    <w:p w14:paraId="3A3E0340">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ind w:firstLine="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‘Man is an end, not a means’ constitutes the core principle of deontological ethics, grounded in Kantian thought, which exerts profound influence in business ethics research. Kant emphasised the rational foundation of moral conduct, proposing an ethical system not predicated on external ends. This system rests upon a strict sense of duty (Vignini and Rusconi, 2023) and must be grounded in binding universal principles (Queloz and Van Ackeren, 2024). The ‘categorical imperative’ demands that actions be universally applicable, emphasising respect for others and responsibility towards them (Schaefer, 2008). In commercial contexts, this necessitates enterprises upholding integrity, transparency, and contractual obligations, treating all stakeholders as subjects with independent rights rather than instruments for profit maximisation. Greed-driven commercial practices frequently violate these core obligations by disregarding others' dignity and rights, thereby failing to meet deontology's universal demands for ethical conduct.</w:t>
      </w:r>
    </w:p>
    <w:p w14:paraId="391C743C">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jc w:val="left"/>
        <w:textAlignment w:val="auto"/>
        <w:outlineLvl w:val="1"/>
        <w:rPr>
          <w:rFonts w:hint="default" w:ascii="Times New Roman" w:hAnsi="Times New Roman" w:cs="Times New Roman"/>
          <w:sz w:val="24"/>
          <w:szCs w:val="24"/>
        </w:rPr>
      </w:pPr>
      <w:r>
        <w:rPr>
          <w:rFonts w:hint="default" w:ascii="Times New Roman" w:hAnsi="Times New Roman" w:eastAsia="宋体" w:cs="Times New Roman"/>
          <w:b/>
          <w:bCs/>
          <w:kern w:val="0"/>
          <w:sz w:val="24"/>
          <w:szCs w:val="24"/>
          <w:lang w:val="en-US" w:eastAsia="zh-CN" w:bidi="ar"/>
        </w:rPr>
        <w:t>2.2 Virtue Ethics</w:t>
      </w:r>
    </w:p>
    <w:p w14:paraId="508F18BB">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ind w:firstLine="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Virtue ethics traces its origins to Aristotle, who posited that happiness stems from the practice of virtue, with happiness and prosperity constituting humanity's loftiest pursuits. The core of virtue ethics lies not in rules or outcomes, but in the cultivation of moral character and the development of virtue (Koehn, 2024). Within the commercial sphere, virtue ethics emphasises the significance of an organisation's moral attributes and value orientation. Enterprises are not merely profit-seeking entities but should also embody ethical ‘goodness’. A rapacious pursuit of profit runs counter to virtue ethics, encouraging excessive competition, undermining principles of integrity, and normalising moral laxity. In Aristotle's Nicomachean Ethics, personal interests and the interests of others are not fundamentally in conflict; true happiness arises from promoting the common good and acts of generosity (Stamatikos, 2024). Consequently, incorporating stakeholders into business practices is a crucial pathway to achieving ‘goodness.’ Enterprises lacking virtue are more prone to systemic moral hazards and may even trigger catastrophic organisational misconduct.</w:t>
      </w:r>
    </w:p>
    <w:p w14:paraId="51C8FF1D">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jc w:val="left"/>
        <w:textAlignment w:val="auto"/>
        <w:outlineLvl w:val="1"/>
        <w:rPr>
          <w:rFonts w:hint="default" w:ascii="Times New Roman" w:hAnsi="Times New Roman" w:cs="Times New Roman"/>
          <w:sz w:val="24"/>
          <w:szCs w:val="24"/>
        </w:rPr>
      </w:pPr>
      <w:r>
        <w:rPr>
          <w:rFonts w:hint="default" w:ascii="Times New Roman" w:hAnsi="Times New Roman" w:eastAsia="宋体" w:cs="Times New Roman"/>
          <w:b/>
          <w:bCs/>
          <w:kern w:val="0"/>
          <w:sz w:val="24"/>
          <w:szCs w:val="24"/>
          <w:lang w:val="en-US" w:eastAsia="zh-CN" w:bidi="ar"/>
        </w:rPr>
        <w:t>2.3 Utilitarianism</w:t>
      </w:r>
    </w:p>
    <w:p w14:paraId="30C81A7A">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ind w:firstLine="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Utilitarianism posits that morally ‘correct’ actions are those that yield ‘the greatest happiness for the greatest number.’ Consequently, it offers enterprises a set of practice principles oriented towards collective welfare (Mishra, Newey, and Spee, 2025). In commercial operations, utilitarianism typically manifests through cost-benefit analysis, risk assessment, and the measurement of long-term social and environmental impacts. The principle of equality underpins utilitarianism: when evaluating the consequences of actions, the interests of all stakeholders should be considered equally (Koh, 2024). Whilst the pursuit of profit may yield positive outcomes such as driving innovation and creating employment, greed prioritises short-term gains over overall welfare. This leads enterprises to disregard externalities and public interests, thereby distorting decision-making structures and causing damage to overall utility.</w:t>
      </w:r>
    </w:p>
    <w:p w14:paraId="2E9E62B1">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jc w:val="left"/>
        <w:textAlignment w:val="auto"/>
        <w:outlineLvl w:val="1"/>
        <w:rPr>
          <w:rFonts w:hint="default" w:ascii="Times New Roman" w:hAnsi="Times New Roman" w:cs="Times New Roman"/>
          <w:b/>
          <w:bCs/>
          <w:sz w:val="24"/>
          <w:szCs w:val="24"/>
        </w:rPr>
      </w:pPr>
      <w:r>
        <w:rPr>
          <w:rFonts w:hint="default" w:ascii="Times New Roman" w:hAnsi="Times New Roman" w:eastAsia="宋体" w:cs="Times New Roman"/>
          <w:b/>
          <w:bCs/>
          <w:kern w:val="0"/>
          <w:sz w:val="24"/>
          <w:szCs w:val="24"/>
          <w:lang w:val="en-US" w:eastAsia="zh-CN" w:bidi="ar"/>
        </w:rPr>
        <w:t>2.4 Summary</w:t>
      </w:r>
    </w:p>
    <w:p w14:paraId="0BD34B7D">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ind w:firstLine="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Taken together, these three ethical frameworks reveal why greed exhibits both moral and practical failings within the modern commercial context. Kantian deontology demonstrates that greed-driven conduct violates the fundamental duty to regard individuals as autonomous agents, thereby undermining the moral legitimacy of corporate behaviour. Virtue ethics further demonstrates that a culture shaped by excessive self-interest erodes an organisation's moral character. Concurrently, utilitarian arguments show greed fails to maximise overall benefit: when immediate private gain supersedes the long-term welfare of broader stakeholders, significant negative externalities arise, ultimately diminishing collective well-being. Though grounded in distinct philosophical traditions, these three perspectives converge upon the same conclusion: greed is ethically untenable and strategically unsustainable. It undermines moral obligations, jeopardises stakeholders, and ultimately threatens the very long-term viability of the enterprise itself.</w:t>
      </w:r>
    </w:p>
    <w:p w14:paraId="14A320A6">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ind w:firstLine="0"/>
        <w:jc w:val="center"/>
        <w:textAlignment w:val="auto"/>
        <w:outlineLvl w:val="0"/>
        <w:rPr>
          <w:rFonts w:hint="default" w:ascii="Times New Roman" w:hAnsi="Times New Roman" w:cs="Times New Roman"/>
          <w:sz w:val="24"/>
          <w:szCs w:val="24"/>
        </w:rPr>
      </w:pPr>
      <w:bookmarkStart w:id="4" w:name="_Toc9249"/>
      <w:r>
        <w:rPr>
          <w:rFonts w:hint="default" w:ascii="Times New Roman" w:hAnsi="Times New Roman" w:eastAsia="宋体" w:cs="Times New Roman"/>
          <w:b/>
          <w:bCs/>
          <w:kern w:val="0"/>
          <w:sz w:val="24"/>
          <w:szCs w:val="24"/>
          <w:lang w:val="en-US" w:eastAsia="zh-CN" w:bidi="ar"/>
        </w:rPr>
        <w:t>3. Case Study: Volkswagen Emissions Scandal</w:t>
      </w:r>
      <w:bookmarkEnd w:id="4"/>
    </w:p>
    <w:p w14:paraId="64E945F3">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jc w:val="left"/>
        <w:textAlignment w:val="auto"/>
        <w:outlineLvl w:val="1"/>
        <w:rPr>
          <w:rFonts w:hint="default" w:ascii="Times New Roman" w:hAnsi="Times New Roman" w:cs="Times New Roman"/>
          <w:sz w:val="24"/>
          <w:szCs w:val="24"/>
        </w:rPr>
      </w:pPr>
      <w:r>
        <w:rPr>
          <w:rFonts w:hint="default" w:ascii="Times New Roman" w:hAnsi="Times New Roman" w:eastAsia="宋体" w:cs="Times New Roman"/>
          <w:b/>
          <w:bCs/>
          <w:kern w:val="0"/>
          <w:sz w:val="24"/>
          <w:szCs w:val="24"/>
          <w:lang w:val="en-US" w:eastAsia="zh-CN" w:bidi="ar"/>
        </w:rPr>
        <w:t>3.1 Case Background</w:t>
      </w:r>
    </w:p>
    <w:p w14:paraId="7691C329">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ind w:firstLine="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Scandals may be broadly defined as publicly disclosed incidents constituting serious breaches of ethical or legal norms (Kuang, 2022). The Volkswagen emissions scandal refers to the incident uncovered by the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"https://zh.wikipedia.org/wiki/%E7%BE%8E%E5%9B%BD%E5%9B%BD%E5%AE%B6%E7%8E%AF%E5%A2%83%E4%BF%9D%E6%8A%A4%E5%B1%80" </w:instrText>
      </w:r>
      <w:r>
        <w:rPr>
          <w:rFonts w:hint="default" w:ascii="Times New Roman" w:hAnsi="Times New Roman" w:eastAsia="宋体" w:cs="Times New Roman"/>
          <w:kern w:val="0"/>
          <w:sz w:val="24"/>
          <w:szCs w:val="24"/>
          <w:lang w:val="en-US" w:eastAsia="zh-CN" w:bidi="ar"/>
        </w:rPr>
        <w:fldChar w:fldCharType="separate"/>
      </w:r>
      <w:r>
        <w:rPr>
          <w:rStyle w:val="12"/>
          <w:rFonts w:hint="default" w:ascii="Times New Roman" w:hAnsi="Times New Roman" w:eastAsia="宋体" w:cs="Times New Roman"/>
          <w:sz w:val="24"/>
          <w:szCs w:val="24"/>
        </w:rPr>
        <w:t>US Environmental Protection Agency</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 xml:space="preserve"> in September 2015, where vehicles sold by the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"https://zh.wikipedia.org/wiki/%E5%A4%A7%E4%BC%97%E9%9B%86%E5%9B%A2" </w:instrText>
      </w:r>
      <w:r>
        <w:rPr>
          <w:rFonts w:hint="default" w:ascii="Times New Roman" w:hAnsi="Times New Roman" w:eastAsia="宋体" w:cs="Times New Roman"/>
          <w:kern w:val="0"/>
          <w:sz w:val="24"/>
          <w:szCs w:val="24"/>
          <w:lang w:val="en-US" w:eastAsia="zh-CN" w:bidi="ar"/>
        </w:rPr>
        <w:fldChar w:fldCharType="separate"/>
      </w:r>
      <w:r>
        <w:rPr>
          <w:rStyle w:val="12"/>
          <w:rFonts w:hint="default" w:ascii="Times New Roman" w:hAnsi="Times New Roman" w:eastAsia="宋体" w:cs="Times New Roman"/>
          <w:sz w:val="24"/>
          <w:szCs w:val="24"/>
        </w:rPr>
        <w:t>Volkswagen Group</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 xml:space="preserve"> in the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"https://zh.wikipedia.org/wiki/%E7%BE%8E%E5%9C%8B" </w:instrText>
      </w:r>
      <w:r>
        <w:rPr>
          <w:rFonts w:hint="default" w:ascii="Times New Roman" w:hAnsi="Times New Roman" w:eastAsia="宋体" w:cs="Times New Roman"/>
          <w:kern w:val="0"/>
          <w:sz w:val="24"/>
          <w:szCs w:val="24"/>
          <w:lang w:val="en-US" w:eastAsia="zh-CN" w:bidi="ar"/>
        </w:rPr>
        <w:fldChar w:fldCharType="separate"/>
      </w:r>
      <w:r>
        <w:rPr>
          <w:rStyle w:val="12"/>
          <w:rFonts w:hint="default" w:ascii="Times New Roman" w:hAnsi="Times New Roman" w:eastAsia="宋体" w:cs="Times New Roman"/>
          <w:sz w:val="24"/>
          <w:szCs w:val="24"/>
        </w:rPr>
        <w:t>United States</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 xml:space="preserve"> were found to have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"https://zh.wikipedia.org/wiki/%E5%8F%91%E5%8A%A8%E6%9C%BA%E6%8E%A7%E5%88%B6%E5%99%A8" </w:instrText>
      </w:r>
      <w:r>
        <w:rPr>
          <w:rFonts w:hint="default" w:ascii="Times New Roman" w:hAnsi="Times New Roman" w:eastAsia="宋体" w:cs="Times New Roman"/>
          <w:kern w:val="0"/>
          <w:sz w:val="24"/>
          <w:szCs w:val="24"/>
          <w:lang w:val="en-US" w:eastAsia="zh-CN" w:bidi="ar"/>
        </w:rPr>
        <w:fldChar w:fldCharType="separate"/>
      </w:r>
      <w:r>
        <w:rPr>
          <w:rStyle w:val="12"/>
          <w:rFonts w:hint="default" w:ascii="Times New Roman" w:hAnsi="Times New Roman" w:eastAsia="宋体" w:cs="Times New Roman"/>
          <w:sz w:val="24"/>
          <w:szCs w:val="24"/>
        </w:rPr>
        <w:t>engine control units</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 xml:space="preserve"> implanted with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"https://zh.wikipedia.org/wiki/%E6%B8%9B%E6%95%88%E8%A3%9D%E7%BD%AE" </w:instrText>
      </w:r>
      <w:r>
        <w:rPr>
          <w:rFonts w:hint="default" w:ascii="Times New Roman" w:hAnsi="Times New Roman" w:eastAsia="宋体" w:cs="Times New Roman"/>
          <w:kern w:val="0"/>
          <w:sz w:val="24"/>
          <w:szCs w:val="24"/>
          <w:lang w:val="en-US" w:eastAsia="zh-CN" w:bidi="ar"/>
        </w:rPr>
        <w:fldChar w:fldCharType="separate"/>
      </w:r>
      <w:r>
        <w:rPr>
          <w:rStyle w:val="12"/>
          <w:rFonts w:hint="default" w:ascii="Times New Roman" w:hAnsi="Times New Roman" w:eastAsia="宋体" w:cs="Times New Roman"/>
          <w:sz w:val="24"/>
          <w:szCs w:val="24"/>
        </w:rPr>
        <w:t>specialised</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"https://zh.wikipedia.org/wiki/%E8%BB%9F%E9%AB%94" </w:instrText>
      </w:r>
      <w:r>
        <w:rPr>
          <w:rFonts w:hint="default" w:ascii="Times New Roman" w:hAnsi="Times New Roman" w:eastAsia="宋体" w:cs="Times New Roman"/>
          <w:kern w:val="0"/>
          <w:sz w:val="24"/>
          <w:szCs w:val="24"/>
          <w:lang w:val="en-US" w:eastAsia="zh-CN" w:bidi="ar"/>
        </w:rPr>
        <w:fldChar w:fldCharType="separate"/>
      </w:r>
      <w:r>
        <w:rPr>
          <w:rStyle w:val="12"/>
          <w:rFonts w:hint="default" w:ascii="Times New Roman" w:hAnsi="Times New Roman" w:eastAsia="宋体" w:cs="Times New Roman"/>
          <w:sz w:val="24"/>
          <w:szCs w:val="24"/>
        </w:rPr>
        <w:t>software</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 xml:space="preserve"> designed to circumvent official emissions testing. It was only in the years following the scandal's initial exposure that it gradually became apparent: a significant portion of the global automotive industry may have participated in illegal practices violating emissions standards. This may well rank among the most severe cases of economic fraud in history (Barth et al., 2022). The following analysis examines the societal repercussions of this case, illustrating the losses incurred when unrestrained profit-seeking disregards ethics and regulations. It further explores corporate social contracts and responsibilities through the lens of stakeholder theory.</w:t>
      </w:r>
    </w:p>
    <w:p w14:paraId="5ED71B45">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jc w:val="left"/>
        <w:textAlignment w:val="auto"/>
        <w:outlineLvl w:val="1"/>
        <w:rPr>
          <w:rFonts w:hint="default" w:ascii="Times New Roman" w:hAnsi="Times New Roman" w:cs="Times New Roman"/>
          <w:sz w:val="24"/>
          <w:szCs w:val="24"/>
        </w:rPr>
      </w:pPr>
      <w:r>
        <w:rPr>
          <w:rFonts w:hint="default" w:ascii="Times New Roman" w:hAnsi="Times New Roman" w:eastAsia="宋体" w:cs="Times New Roman"/>
          <w:b/>
          <w:bCs/>
          <w:kern w:val="0"/>
          <w:sz w:val="24"/>
          <w:szCs w:val="24"/>
          <w:lang w:val="en-US" w:eastAsia="zh-CN" w:bidi="ar"/>
        </w:rPr>
        <w:t>3.2 The Significance of Stakeholders</w:t>
      </w:r>
    </w:p>
    <w:p w14:paraId="1BB3DD04">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ind w:firstLine="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In the Volkswagen case, the capricious, obstinate, and fickle leadership style of senior management permeated the entire corporate structure. This led engineering teams to maintain silence in order to appease leadership, thereby condoning the installation of cheating devices. It was precisely this short-sighted pursuit of immediate profit that resulted in the improper relaxation of ethical standards, ultimately precipitating severe consequences (Disch, 2024) that directly harmed consumers, regulators, employees, suppliers, and the broader public—that is, stakeholders. In 1984, American economist Freeman defined stakeholders as ‘any individual or group that can influence the achievement of corporate objectives, or who can be affected by the process of achieving those objectives,’ proposing that the relationship between a company and its stakeholders is fundamentally a mutually beneficial ‘contractual’ arrangement. In this case, all stakeholders suffered repercussions: consumers were deceived into believing they purchased environmentally friendly vehicles, which proved untrue; regulators were misled, undermining the credibility of regulatory oversight; and local communities were unknowingly exposed to heightened pollution levels, creating environmental hazards and public health risks. Volkswagen treated these stakeholders as tools for market expansion and financial gain, breaching the spirit of the contractual relationship. This ultimately led to a dramatic decline in Volkswagen's global reputation. Consequently, this incident serves as a stark warning: enterprises that disregard stakeholder concerns and overlook critical challenges within the current knowledge economy often face significant public backlash (Awa, Etim, and Ogbonda, 2024).</w:t>
      </w:r>
    </w:p>
    <w:p w14:paraId="147EA0FC">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jc w:val="left"/>
        <w:textAlignment w:val="auto"/>
        <w:outlineLvl w:val="1"/>
        <w:rPr>
          <w:rFonts w:hint="default" w:ascii="Times New Roman" w:hAnsi="Times New Roman" w:cs="Times New Roman"/>
          <w:sz w:val="24"/>
          <w:szCs w:val="24"/>
        </w:rPr>
      </w:pPr>
      <w:r>
        <w:rPr>
          <w:rFonts w:hint="default" w:ascii="Times New Roman" w:hAnsi="Times New Roman" w:eastAsia="宋体" w:cs="Times New Roman"/>
          <w:b/>
          <w:bCs/>
          <w:kern w:val="0"/>
          <w:sz w:val="24"/>
          <w:szCs w:val="24"/>
          <w:lang w:val="en-US" w:eastAsia="zh-CN" w:bidi="ar"/>
        </w:rPr>
        <w:t>3.3 Corporate Social Responsibility</w:t>
      </w:r>
    </w:p>
    <w:p w14:paraId="54947C8F">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ind w:firstLine="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For enterprises, embracing social responsibility constitutes a genuine win-win scenario. By safeguarding stakeholder interests, it simultaneously generates long-term financial returns, thereby advancing the objective of maximising corporate value (Jiang and Chen, 2021). Responsibility-related social norms constitute shared beliefs that guide individuals towards responsible conduct (You, 2024). These norms promote public welfare activities and social investments that yield positive outcomes even without direct economic returns, while discouraging irresponsible behaviour that pursues private gain at others' expense. Such norms prove particularly crucial when enterprises undertake social responsibility initiatives, as these projects often aim to improve community environments or advance societal progress.</w:t>
      </w:r>
    </w:p>
    <w:p w14:paraId="24863565">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ind w:firstLine="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In Volkswagen's ‘Dieselgate’ scandal, the corporation not only violated fundamental obligations to consumers, the public, and the environment, but also disregarded the reputational damage incurred by deviating from social norms, thereby forfeiting an opportunity to bolster public trust through responsible conduct. Social responsibility and legal accountability constitute the fundamental pillars of corporate governance (Badri, 2025). Volkswagen's case further demonstrates that social responsibility extends beyond responding to external oversight; it is intrinsically linked to an organisation's internal governance structures and value orientations. When an organisation prioritises market share and profit growth as its sole objectives, decision-makers frequently overlook societal welfare considerations such as environmental protection, consumer rights, and public health. Therefore, embedding social responsibility within corporate culture and governance logic represents a critical pathway to averting moral hazard and systemic misconduct.</w:t>
      </w:r>
    </w:p>
    <w:p w14:paraId="1FFF2ABB">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jc w:val="left"/>
        <w:textAlignment w:val="auto"/>
        <w:outlineLvl w:val="1"/>
        <w:rPr>
          <w:rFonts w:hint="default" w:ascii="Times New Roman" w:hAnsi="Times New Roman" w:cs="Times New Roman"/>
          <w:b/>
          <w:bCs/>
          <w:sz w:val="24"/>
          <w:szCs w:val="24"/>
        </w:rPr>
      </w:pPr>
      <w:r>
        <w:rPr>
          <w:rFonts w:hint="default" w:ascii="Times New Roman" w:hAnsi="Times New Roman" w:eastAsia="宋体" w:cs="Times New Roman"/>
          <w:b/>
          <w:bCs/>
          <w:kern w:val="0"/>
          <w:sz w:val="24"/>
          <w:szCs w:val="24"/>
          <w:lang w:val="en-US" w:eastAsia="zh-CN" w:bidi="ar"/>
        </w:rPr>
        <w:t>3.4 Summary</w:t>
      </w:r>
    </w:p>
    <w:p w14:paraId="23E40D09">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ind w:firstLine="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The issues exposed by the Volkswagen emissions scandal demonstrate that when corporate decision-making structures prioritise short-term profits and market competition as sole benchmarks, ethical constraints and social responsibility are readily marginalised. This incident not only resulted in consumer rights being compromised, regulatory systems being undermined, and public environmental quality being diminished, but also subjected the company itself to a severe reputational crisis and substantial economic losses.</w:t>
      </w:r>
    </w:p>
    <w:p w14:paraId="4EC0D942">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ind w:firstLine="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This case underscores that business practices disregarding stakeholder concerns and social responsibilities not only violate ethical principles but also undermine an organisation's long-term stability. Consequently, any entity pursuing sustainable competitiveness must systematically integrate stakeholder orientation and social responsibility requirements into its strategic framework. This approach mitigates moral hazard whilst enhancing legitimacy and resilience within complex commercial environments.</w:t>
      </w:r>
    </w:p>
    <w:p w14:paraId="72AF3E0D">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ind w:firstLine="0"/>
        <w:jc w:val="center"/>
        <w:textAlignment w:val="auto"/>
        <w:outlineLvl w:val="0"/>
        <w:rPr>
          <w:rFonts w:hint="default" w:ascii="Times New Roman" w:hAnsi="Times New Roman" w:cs="Times New Roman"/>
          <w:b/>
          <w:bCs/>
          <w:sz w:val="24"/>
          <w:szCs w:val="24"/>
        </w:rPr>
      </w:pPr>
      <w:bookmarkStart w:id="5" w:name="_Toc22858"/>
      <w:r>
        <w:rPr>
          <w:rFonts w:hint="default" w:ascii="Times New Roman" w:hAnsi="Times New Roman" w:eastAsia="宋体" w:cs="Times New Roman"/>
          <w:b/>
          <w:bCs/>
          <w:kern w:val="0"/>
          <w:sz w:val="24"/>
          <w:szCs w:val="24"/>
          <w:lang w:val="en-US" w:eastAsia="zh-CN" w:bidi="ar"/>
        </w:rPr>
        <w:t>4. The Purpose of Business</w:t>
      </w:r>
      <w:bookmarkEnd w:id="5"/>
    </w:p>
    <w:p w14:paraId="4FB22BA7">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ind w:firstLine="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The theoretical and case analyses above provide a robust foundation for understanding the fundamental question: ‘What is the purpose of business?’ As a key organisational form within the economic system, business primarily functions to transform raw materials into goods and services that satisfy humanity's diverse needs, whether these are defined as subjective or objective (Koch, 2010). However, commerce possesses not only economic significance but is also deeply embedded within broader social structures. As a social institution, its existence aims to facilitate economic activity and, at a macro level, promote the healthy functioning of society as a whole (Ali, Abbas, and Joseph, 2024). From an enterprise perspective, profit is essential for survival and development; yet from a societal viewpoint, businesses constitute part of the social fabric, their actions and consequences inevitably impacting broader public interests.</w:t>
      </w:r>
    </w:p>
    <w:p w14:paraId="79994973">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ind w:firstLine="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Consequently, commercial practices cannot exist in isolation from their social context. A business's growth, stability, and exposure to risk are intrinsically linked to societal stability, environmental quality, and public trust. Consequently, any philosophy that prioritises profit maximisation as its sole objective—particularly when disregarding ethical considerations and stakeholder impacts—places commercial logic above societal wellbeing, thereby obscuring the interdependence between business and society. Predatory profit-seeking exemplifies this perilous tendency: it elevates short-term corporate gains above public interest, undermining not only the enterprise's own legitimacy but also threatening the entire commercial system's functionality.</w:t>
      </w:r>
    </w:p>
    <w:p w14:paraId="3A54010C">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ind w:firstLine="0"/>
        <w:jc w:val="center"/>
        <w:textAlignment w:val="auto"/>
        <w:outlineLvl w:val="0"/>
        <w:rPr>
          <w:rFonts w:hint="default" w:ascii="Times New Roman" w:hAnsi="Times New Roman" w:cs="Times New Roman"/>
          <w:sz w:val="24"/>
          <w:szCs w:val="24"/>
        </w:rPr>
      </w:pPr>
      <w:bookmarkStart w:id="6" w:name="_Toc8391"/>
      <w:r>
        <w:rPr>
          <w:rFonts w:hint="default" w:ascii="Times New Roman" w:hAnsi="Times New Roman" w:eastAsia="宋体" w:cs="Times New Roman"/>
          <w:b/>
          <w:bCs/>
          <w:kern w:val="0"/>
          <w:sz w:val="24"/>
          <w:szCs w:val="24"/>
          <w:lang w:val="en-US" w:eastAsia="zh-CN" w:bidi="ar"/>
        </w:rPr>
        <w:t>5. Recommendations</w:t>
      </w:r>
      <w:bookmarkEnd w:id="6"/>
    </w:p>
    <w:p w14:paraId="3A642817">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ind w:firstLine="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Building upon the core discussions in this report, the following recommendations are directed towards key actors engaged in commercial activities, aiming to promote a more systematic understanding and fulfilment of corporate social responsibilities. Firstly, for corporate managers, ethical issues should not be reduced to technical cost-benefit assessments; rather, they should develop more mature moral discernment and complex decision-making capabilities. Understanding ‘what constitutes the good’ and how to strike appropriate balances among diverse interests constitutes an indispensable capability in contemporary corporate governance. Concurrently, managers should draw upon exemplary corporate cases demonstrating ethical legitimacy and societal contribution to recognise the inherent ethical possibilities within commercial activities (Svanberg and Svanberg, 2022). Building upon this, profit targets should be set in accordance with the social contract undertaken by the enterprise (Kaptein, 2025).</w:t>
      </w:r>
    </w:p>
    <w:p w14:paraId="76667AA8">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ind w:firstLine="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Secondly, governments, as institutional regulators, should strive to further refine legal frameworks safeguarding human rights and public interests, establishing robust external oversight mechanisms to ensure corporate conduct remains within morally and institutionally accountable boundaries (Moncrieff, 2022). Institutional constraints provided through governmental regulations, supervision, and transparency requirements will serve as vital safeguards against the proliferation of moral hazards.</w:t>
      </w:r>
    </w:p>
    <w:p w14:paraId="37179430">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ind w:firstLine="0"/>
        <w:jc w:val="center"/>
        <w:textAlignment w:val="auto"/>
        <w:outlineLvl w:val="0"/>
        <w:rPr>
          <w:rFonts w:hint="default" w:ascii="Times New Roman" w:hAnsi="Times New Roman" w:cs="Times New Roman"/>
          <w:b/>
          <w:bCs/>
          <w:sz w:val="24"/>
          <w:szCs w:val="24"/>
        </w:rPr>
      </w:pPr>
      <w:bookmarkStart w:id="7" w:name="_Toc1304"/>
      <w:r>
        <w:rPr>
          <w:rFonts w:hint="default" w:ascii="Times New Roman" w:hAnsi="Times New Roman" w:eastAsia="宋体" w:cs="Times New Roman"/>
          <w:b/>
          <w:bCs/>
          <w:kern w:val="0"/>
          <w:sz w:val="24"/>
          <w:szCs w:val="24"/>
          <w:lang w:val="en-US" w:eastAsia="zh-CN" w:bidi="ar"/>
        </w:rPr>
        <w:t>6. Conclusion</w:t>
      </w:r>
      <w:bookmarkEnd w:id="7"/>
    </w:p>
    <w:p w14:paraId="223C6F2A">
      <w:pPr>
        <w:keepNext w:val="0"/>
        <w:keepLines w:val="0"/>
        <w:pageBreakBefore w:val="0"/>
        <w:widowControl/>
        <w:suppressLineNumbers w:val="0"/>
        <w:kinsoku/>
        <w:wordWrap/>
        <w:overflowPunct/>
        <w:topLinePunct w:val="0"/>
        <w:autoSpaceDE/>
        <w:autoSpaceDN/>
        <w:bidi w:val="0"/>
        <w:adjustRightInd/>
        <w:snapToGrid/>
        <w:spacing w:before="105" w:beforeAutospacing="0" w:after="105" w:afterAutospacing="0" w:line="480" w:lineRule="auto"/>
        <w:ind w:firstLine="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In summary, this report demonstrates through ethical theory and analysis of mass emissions scandals that greed-driven profit maximisation lacks moral legitimacy and, in practice, undermines corporate long-term resilience. Deontology emphasises respect for others, virtue ethics stresses the cultivation of organisational character, while stakeholder theory highlights the interdependence between business and society. These frameworks collectively demonstrate that business is not an isolated profit-seeking machine, but an institutional practice embedded within the broader social structure. Neglecting social responsibility not only jeopardises public welfare but also undermines corporate legitimacy and long-term viability. Therefore, corporate governance must integrate ethics into strategic and decision-making systems to ensure commercial activities balance economic efficiency with societal value.</w:t>
      </w:r>
    </w:p>
    <w:p w14:paraId="3A3CB111">
      <w:pPr>
        <w:keepNext w:val="0"/>
        <w:keepLines w:val="0"/>
        <w:widowControl/>
        <w:numPr>
          <w:numId w:val="0"/>
        </w:numPr>
        <w:suppressLineNumbers w:val="0"/>
        <w:spacing w:line="20" w:lineRule="atLeast"/>
        <w:ind w:leftChars="0"/>
        <w:jc w:val="left"/>
        <w:rPr>
          <w:rFonts w:hint="default" w:ascii="Times New Roman" w:hAnsi="Times New Roman" w:eastAsia="宋体" w:cs="Times New Roman"/>
          <w:kern w:val="0"/>
          <w:sz w:val="24"/>
          <w:szCs w:val="24"/>
          <w:lang w:val="en-US" w:eastAsia="zh-CN" w:bidi="ar"/>
        </w:rPr>
      </w:pPr>
    </w:p>
    <w:p w14:paraId="09B6D0FC">
      <w:pPr>
        <w:pStyle w:val="8"/>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outlineLvl w:val="0"/>
        <w:rPr>
          <w:rFonts w:hint="default" w:ascii="Times New Roman" w:hAnsi="Times New Roman" w:eastAsia="宋体" w:cs="Times New Roman"/>
          <w:kern w:val="0"/>
          <w:sz w:val="24"/>
          <w:szCs w:val="24"/>
          <w:lang w:val="en-US" w:eastAsia="zh-CN" w:bidi="ar"/>
        </w:rPr>
      </w:pPr>
      <w:bookmarkStart w:id="8" w:name="_Toc6333"/>
      <w:r>
        <w:rPr>
          <w:rFonts w:hint="eastAsia" w:ascii="Times New Roman" w:hAnsi="Times New Roman" w:cs="Times New Roman"/>
          <w:b/>
          <w:bCs/>
          <w:lang w:val="en-US" w:eastAsia="zh-CN"/>
        </w:rPr>
        <w:t>R</w:t>
      </w:r>
      <w:r>
        <w:rPr>
          <w:rFonts w:hint="default" w:ascii="Times New Roman" w:hAnsi="Times New Roman" w:cs="Times New Roman"/>
          <w:b/>
          <w:bCs/>
        </w:rPr>
        <w:t>eference</w:t>
      </w:r>
      <w:bookmarkEnd w:id="8"/>
    </w:p>
    <w:p w14:paraId="301962D3">
      <w:pPr>
        <w:keepNext w:val="0"/>
        <w:keepLines w:val="0"/>
        <w:pageBreakBefore w:val="0"/>
        <w:widowControl/>
        <w:numPr>
          <w:ilvl w:val="0"/>
          <w:numId w:val="0"/>
        </w:numPr>
        <w:suppressLineNumbers w:val="0"/>
        <w:kinsoku/>
        <w:wordWrap/>
        <w:overflowPunct/>
        <w:topLinePunct w:val="0"/>
        <w:autoSpaceDE/>
        <w:autoSpaceDN/>
        <w:bidi w:val="0"/>
        <w:adjustRightInd/>
        <w:snapToGrid/>
        <w:spacing w:line="20" w:lineRule="atLeast"/>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Ali, M.A., Abbas, F. and Joseph, R. (2024) ‘Back to the basics: is business ethics an oxymoron?’, </w:t>
      </w:r>
      <w:r>
        <w:rPr>
          <w:rFonts w:hint="default" w:ascii="Times New Roman" w:hAnsi="Times New Roman" w:eastAsia="宋体" w:cs="Times New Roman"/>
          <w:i/>
          <w:iCs/>
          <w:kern w:val="0"/>
          <w:sz w:val="24"/>
          <w:szCs w:val="24"/>
          <w:lang w:val="en-US" w:eastAsia="zh-CN" w:bidi="ar"/>
        </w:rPr>
        <w:t>Society and Business Review</w:t>
      </w:r>
      <w:r>
        <w:rPr>
          <w:rFonts w:hint="default" w:ascii="Times New Roman" w:hAnsi="Times New Roman" w:eastAsia="宋体" w:cs="Times New Roman"/>
          <w:kern w:val="0"/>
          <w:sz w:val="24"/>
          <w:szCs w:val="24"/>
          <w:lang w:val="en-US" w:eastAsia="zh-CN" w:bidi="ar"/>
        </w:rPr>
        <w:t xml:space="preserve">, 19(4), pp. 655–671.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"https://doi.org/10.1108/SBR-12-2023-0384" </w:instrText>
      </w:r>
      <w:r>
        <w:rPr>
          <w:rFonts w:hint="default" w:ascii="Times New Roman" w:hAnsi="Times New Roman" w:eastAsia="宋体" w:cs="Times New Roman"/>
          <w:kern w:val="0"/>
          <w:sz w:val="24"/>
          <w:szCs w:val="24"/>
          <w:lang w:val="en-US" w:eastAsia="zh-CN" w:bidi="ar"/>
        </w:rPr>
        <w:fldChar w:fldCharType="separate"/>
      </w:r>
      <w:r>
        <w:rPr>
          <w:rStyle w:val="12"/>
          <w:rFonts w:hint="default" w:ascii="Times New Roman" w:hAnsi="Times New Roman" w:eastAsia="宋体" w:cs="Times New Roman"/>
          <w:sz w:val="24"/>
          <w:szCs w:val="24"/>
        </w:rPr>
        <w:t>https://doi.org/10.1108/SBR-12-2023-0384</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244F0FB9">
      <w:pPr>
        <w:keepNext w:val="0"/>
        <w:keepLines w:val="0"/>
        <w:pageBreakBefore w:val="0"/>
        <w:widowControl/>
        <w:numPr>
          <w:ilvl w:val="0"/>
          <w:numId w:val="0"/>
        </w:numPr>
        <w:suppressLineNumbers w:val="0"/>
        <w:kinsoku/>
        <w:wordWrap/>
        <w:overflowPunct/>
        <w:topLinePunct w:val="0"/>
        <w:autoSpaceDE/>
        <w:autoSpaceDN/>
        <w:bidi w:val="0"/>
        <w:adjustRightInd/>
        <w:snapToGrid/>
        <w:spacing w:line="20" w:lineRule="atLeast"/>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Awa, H.O., Etim, W. and Ogbonda, E. (2024) ‘Stakeholders, stakeholder theory and Corporate Social Responsibility (CSR)’, </w:t>
      </w:r>
      <w:r>
        <w:rPr>
          <w:rFonts w:hint="default" w:ascii="Times New Roman" w:hAnsi="Times New Roman" w:eastAsia="宋体" w:cs="Times New Roman"/>
          <w:i/>
          <w:iCs/>
          <w:kern w:val="0"/>
          <w:sz w:val="24"/>
          <w:szCs w:val="24"/>
          <w:lang w:val="en-US" w:eastAsia="zh-CN" w:bidi="ar"/>
        </w:rPr>
        <w:t>International Journal of Corporate Social Responsibility</w:t>
      </w:r>
      <w:r>
        <w:rPr>
          <w:rFonts w:hint="default" w:ascii="Times New Roman" w:hAnsi="Times New Roman" w:eastAsia="宋体" w:cs="Times New Roman"/>
          <w:kern w:val="0"/>
          <w:sz w:val="24"/>
          <w:szCs w:val="24"/>
          <w:lang w:val="en-US" w:eastAsia="zh-CN" w:bidi="ar"/>
        </w:rPr>
        <w:t xml:space="preserve">, 9(1), p. 11.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"https://doi.org/10.1186/s40991-024-00094-y" </w:instrText>
      </w:r>
      <w:r>
        <w:rPr>
          <w:rFonts w:hint="default" w:ascii="Times New Roman" w:hAnsi="Times New Roman" w:eastAsia="宋体" w:cs="Times New Roman"/>
          <w:kern w:val="0"/>
          <w:sz w:val="24"/>
          <w:szCs w:val="24"/>
          <w:lang w:val="en-US" w:eastAsia="zh-CN" w:bidi="ar"/>
        </w:rPr>
        <w:fldChar w:fldCharType="separate"/>
      </w:r>
      <w:r>
        <w:rPr>
          <w:rStyle w:val="12"/>
          <w:rFonts w:hint="default" w:ascii="Times New Roman" w:hAnsi="Times New Roman" w:eastAsia="宋体" w:cs="Times New Roman"/>
          <w:sz w:val="24"/>
          <w:szCs w:val="24"/>
        </w:rPr>
        <w:t>https://doi.org/10.1186/s40991-024-00094-y</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65CD6537">
      <w:pPr>
        <w:keepNext w:val="0"/>
        <w:keepLines w:val="0"/>
        <w:pageBreakBefore w:val="0"/>
        <w:widowControl/>
        <w:numPr>
          <w:ilvl w:val="0"/>
          <w:numId w:val="0"/>
        </w:numPr>
        <w:suppressLineNumbers w:val="0"/>
        <w:kinsoku/>
        <w:wordWrap/>
        <w:overflowPunct/>
        <w:topLinePunct w:val="0"/>
        <w:autoSpaceDE/>
        <w:autoSpaceDN/>
        <w:bidi w:val="0"/>
        <w:adjustRightInd/>
        <w:snapToGrid/>
        <w:spacing w:line="20" w:lineRule="atLeast"/>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Badri, L.E. (2025) ‘Corporate Social Responsibility: Historical Overview and Conceptual Framework’, </w:t>
      </w:r>
      <w:r>
        <w:rPr>
          <w:rFonts w:hint="default" w:ascii="Times New Roman" w:hAnsi="Times New Roman" w:eastAsia="宋体" w:cs="Times New Roman"/>
          <w:i/>
          <w:iCs/>
          <w:kern w:val="0"/>
          <w:sz w:val="24"/>
          <w:szCs w:val="24"/>
          <w:lang w:val="en-US" w:eastAsia="zh-CN" w:bidi="ar"/>
        </w:rPr>
        <w:t>Journal of Environmental Management and Tourism</w:t>
      </w:r>
      <w:r>
        <w:rPr>
          <w:rFonts w:hint="default" w:ascii="Times New Roman" w:hAnsi="Times New Roman" w:eastAsia="宋体" w:cs="Times New Roman"/>
          <w:kern w:val="0"/>
          <w:sz w:val="24"/>
          <w:szCs w:val="24"/>
          <w:lang w:val="en-US" w:eastAsia="zh-CN" w:bidi="ar"/>
        </w:rPr>
        <w:t xml:space="preserve"> [Preprint], (1).</w:t>
      </w:r>
    </w:p>
    <w:p w14:paraId="6C33DB06">
      <w:pPr>
        <w:keepNext w:val="0"/>
        <w:keepLines w:val="0"/>
        <w:pageBreakBefore w:val="0"/>
        <w:widowControl/>
        <w:numPr>
          <w:ilvl w:val="0"/>
          <w:numId w:val="0"/>
        </w:numPr>
        <w:suppressLineNumbers w:val="0"/>
        <w:kinsoku/>
        <w:wordWrap/>
        <w:overflowPunct/>
        <w:topLinePunct w:val="0"/>
        <w:autoSpaceDE/>
        <w:autoSpaceDN/>
        <w:bidi w:val="0"/>
        <w:adjustRightInd/>
        <w:snapToGrid/>
        <w:spacing w:line="20" w:lineRule="atLeast"/>
        <w:ind w:left="720" w:leftChars="0" w:hanging="720"/>
        <w:jc w:val="left"/>
        <w:textAlignment w:val="auto"/>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 xml:space="preserve">Barth, F. </w:t>
      </w:r>
      <w:r>
        <w:rPr>
          <w:rFonts w:hint="default" w:ascii="Times New Roman" w:hAnsi="Times New Roman" w:eastAsia="宋体" w:cs="Times New Roman"/>
          <w:i/>
          <w:iCs/>
          <w:kern w:val="0"/>
          <w:sz w:val="24"/>
          <w:szCs w:val="24"/>
          <w:lang w:val="en-US" w:eastAsia="zh-CN" w:bidi="ar"/>
        </w:rPr>
        <w:t>et al.</w:t>
      </w:r>
      <w:r>
        <w:rPr>
          <w:rFonts w:hint="default" w:ascii="Times New Roman" w:hAnsi="Times New Roman" w:eastAsia="宋体" w:cs="Times New Roman"/>
          <w:kern w:val="0"/>
          <w:sz w:val="24"/>
          <w:szCs w:val="24"/>
          <w:lang w:val="en-US" w:eastAsia="zh-CN" w:bidi="ar"/>
        </w:rPr>
        <w:t xml:space="preserve"> (2022) ‘Spillover Effects from the Volkswagen Emissions Scandal: An Analysis of Stock and Corporate Bond Markets’, </w:t>
      </w:r>
      <w:r>
        <w:rPr>
          <w:rFonts w:hint="default" w:ascii="Times New Roman" w:hAnsi="Times New Roman" w:eastAsia="宋体" w:cs="Times New Roman"/>
          <w:i/>
          <w:iCs/>
          <w:kern w:val="0"/>
          <w:sz w:val="24"/>
          <w:szCs w:val="24"/>
          <w:lang w:val="en-US" w:eastAsia="zh-CN" w:bidi="ar"/>
        </w:rPr>
        <w:t>Schmalenbach Journal of Business Research</w:t>
      </w:r>
      <w:r>
        <w:rPr>
          <w:rFonts w:hint="default" w:ascii="Times New Roman" w:hAnsi="Times New Roman" w:eastAsia="宋体" w:cs="Times New Roman"/>
          <w:kern w:val="0"/>
          <w:sz w:val="24"/>
          <w:szCs w:val="24"/>
          <w:lang w:val="en-US" w:eastAsia="zh-CN" w:bidi="ar"/>
        </w:rPr>
        <w:t xml:space="preserve">, 74(1), pp. 37–76.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"https://doi.org/10.1007/s41471-021-00121-9" </w:instrText>
      </w:r>
      <w:r>
        <w:rPr>
          <w:rFonts w:hint="default" w:ascii="Times New Roman" w:hAnsi="Times New Roman" w:eastAsia="宋体" w:cs="Times New Roman"/>
          <w:kern w:val="0"/>
          <w:sz w:val="24"/>
          <w:szCs w:val="24"/>
          <w:lang w:val="en-US" w:eastAsia="zh-CN" w:bidi="ar"/>
        </w:rPr>
        <w:fldChar w:fldCharType="separate"/>
      </w:r>
      <w:r>
        <w:rPr>
          <w:rStyle w:val="12"/>
          <w:rFonts w:hint="default" w:ascii="Times New Roman" w:hAnsi="Times New Roman" w:eastAsia="宋体" w:cs="Times New Roman"/>
          <w:sz w:val="24"/>
          <w:szCs w:val="24"/>
        </w:rPr>
        <w:t>https://doi.org/10.1007/s41471-021-00121-9</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1BBCD033">
      <w:pPr>
        <w:keepNext w:val="0"/>
        <w:keepLines w:val="0"/>
        <w:pageBreakBefore w:val="0"/>
        <w:widowControl/>
        <w:numPr>
          <w:ilvl w:val="0"/>
          <w:numId w:val="0"/>
        </w:numPr>
        <w:suppressLineNumbers w:val="0"/>
        <w:kinsoku/>
        <w:wordWrap/>
        <w:overflowPunct/>
        <w:topLinePunct w:val="0"/>
        <w:autoSpaceDE/>
        <w:autoSpaceDN/>
        <w:bidi w:val="0"/>
        <w:adjustRightInd/>
        <w:snapToGrid/>
        <w:spacing w:line="20" w:lineRule="atLeast"/>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Böhm, S. </w:t>
      </w:r>
      <w:r>
        <w:rPr>
          <w:rFonts w:hint="default" w:ascii="Times New Roman" w:hAnsi="Times New Roman" w:eastAsia="宋体" w:cs="Times New Roman"/>
          <w:i/>
          <w:iCs/>
          <w:kern w:val="0"/>
          <w:sz w:val="24"/>
          <w:szCs w:val="24"/>
          <w:lang w:val="en-US" w:eastAsia="zh-CN" w:bidi="ar"/>
        </w:rPr>
        <w:t>et al.</w:t>
      </w:r>
      <w:r>
        <w:rPr>
          <w:rFonts w:hint="default" w:ascii="Times New Roman" w:hAnsi="Times New Roman" w:eastAsia="宋体" w:cs="Times New Roman"/>
          <w:kern w:val="0"/>
          <w:sz w:val="24"/>
          <w:szCs w:val="24"/>
          <w:lang w:val="en-US" w:eastAsia="zh-CN" w:bidi="ar"/>
        </w:rPr>
        <w:t xml:space="preserve"> (2022) ‘Ethics at the Centre of Global and Local Challenges: Thoughts on the Future of Business Ethics’, </w:t>
      </w:r>
      <w:r>
        <w:rPr>
          <w:rFonts w:hint="default" w:ascii="Times New Roman" w:hAnsi="Times New Roman" w:eastAsia="宋体" w:cs="Times New Roman"/>
          <w:i/>
          <w:iCs/>
          <w:kern w:val="0"/>
          <w:sz w:val="24"/>
          <w:szCs w:val="24"/>
          <w:lang w:val="en-US" w:eastAsia="zh-CN" w:bidi="ar"/>
        </w:rPr>
        <w:t>Journal of Business Ethics</w:t>
      </w:r>
      <w:r>
        <w:rPr>
          <w:rFonts w:hint="default" w:ascii="Times New Roman" w:hAnsi="Times New Roman" w:eastAsia="宋体" w:cs="Times New Roman"/>
          <w:kern w:val="0"/>
          <w:sz w:val="24"/>
          <w:szCs w:val="24"/>
          <w:lang w:val="en-US" w:eastAsia="zh-CN" w:bidi="ar"/>
        </w:rPr>
        <w:t xml:space="preserve">, 180(3), pp. 835–861.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"https://doi.org/10.1007/s10551-022-05239-2" </w:instrText>
      </w:r>
      <w:r>
        <w:rPr>
          <w:rFonts w:hint="default" w:ascii="Times New Roman" w:hAnsi="Times New Roman" w:eastAsia="宋体" w:cs="Times New Roman"/>
          <w:kern w:val="0"/>
          <w:sz w:val="24"/>
          <w:szCs w:val="24"/>
          <w:lang w:val="en-US" w:eastAsia="zh-CN" w:bidi="ar"/>
        </w:rPr>
        <w:fldChar w:fldCharType="separate"/>
      </w:r>
      <w:r>
        <w:rPr>
          <w:rStyle w:val="12"/>
          <w:rFonts w:hint="default" w:ascii="Times New Roman" w:hAnsi="Times New Roman" w:eastAsia="宋体" w:cs="Times New Roman"/>
          <w:sz w:val="24"/>
          <w:szCs w:val="24"/>
        </w:rPr>
        <w:t>https://doi.org/10.1007/s10551-022-05239-2</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03FEF318">
      <w:pPr>
        <w:keepNext w:val="0"/>
        <w:keepLines w:val="0"/>
        <w:pageBreakBefore w:val="0"/>
        <w:widowControl/>
        <w:numPr>
          <w:ilvl w:val="0"/>
          <w:numId w:val="0"/>
        </w:numPr>
        <w:suppressLineNumbers w:val="0"/>
        <w:kinsoku/>
        <w:wordWrap/>
        <w:overflowPunct/>
        <w:topLinePunct w:val="0"/>
        <w:autoSpaceDE/>
        <w:autoSpaceDN/>
        <w:bidi w:val="0"/>
        <w:adjustRightInd/>
        <w:snapToGrid/>
        <w:spacing w:line="20" w:lineRule="atLeast"/>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Disch, H. (2024) ‘EXPLORING BUSINESS ETHICS AND RESPONSIBILITY: A CASE STUDY IN THE AUTOMOBILE INDUSTRY’, </w:t>
      </w:r>
      <w:r>
        <w:rPr>
          <w:rFonts w:hint="default" w:ascii="Times New Roman" w:hAnsi="Times New Roman" w:eastAsia="宋体" w:cs="Times New Roman"/>
          <w:i/>
          <w:iCs/>
          <w:kern w:val="0"/>
          <w:sz w:val="24"/>
          <w:szCs w:val="24"/>
          <w:lang w:val="en-US" w:eastAsia="zh-CN" w:bidi="ar"/>
        </w:rPr>
        <w:t>Issues In Information Systems</w:t>
      </w:r>
      <w:r>
        <w:rPr>
          <w:rFonts w:hint="default" w:ascii="Times New Roman" w:hAnsi="Times New Roman" w:eastAsia="宋体" w:cs="Times New Roman"/>
          <w:kern w:val="0"/>
          <w:sz w:val="24"/>
          <w:szCs w:val="24"/>
          <w:lang w:val="en-US" w:eastAsia="zh-CN" w:bidi="ar"/>
        </w:rPr>
        <w:t xml:space="preserve"> [Preprint].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"https://doi.org/10.48009/1_iis_2024_118" </w:instrText>
      </w:r>
      <w:r>
        <w:rPr>
          <w:rFonts w:hint="default" w:ascii="Times New Roman" w:hAnsi="Times New Roman" w:eastAsia="宋体" w:cs="Times New Roman"/>
          <w:kern w:val="0"/>
          <w:sz w:val="24"/>
          <w:szCs w:val="24"/>
          <w:lang w:val="en-US" w:eastAsia="zh-CN" w:bidi="ar"/>
        </w:rPr>
        <w:fldChar w:fldCharType="separate"/>
      </w:r>
      <w:r>
        <w:rPr>
          <w:rStyle w:val="12"/>
          <w:rFonts w:hint="default" w:ascii="Times New Roman" w:hAnsi="Times New Roman" w:eastAsia="宋体" w:cs="Times New Roman"/>
          <w:sz w:val="24"/>
          <w:szCs w:val="24"/>
        </w:rPr>
        <w:t>https://doi.org/10.48009/1_iis_2024_118</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3ED84515">
      <w:pPr>
        <w:keepNext w:val="0"/>
        <w:keepLines w:val="0"/>
        <w:pageBreakBefore w:val="0"/>
        <w:widowControl/>
        <w:numPr>
          <w:ilvl w:val="0"/>
          <w:numId w:val="0"/>
        </w:numPr>
        <w:suppressLineNumbers w:val="0"/>
        <w:kinsoku/>
        <w:wordWrap/>
        <w:overflowPunct/>
        <w:topLinePunct w:val="0"/>
        <w:autoSpaceDE/>
        <w:autoSpaceDN/>
        <w:bidi w:val="0"/>
        <w:adjustRightInd/>
        <w:snapToGrid/>
        <w:spacing w:line="20" w:lineRule="atLeast"/>
        <w:ind w:left="720" w:leftChars="0" w:hanging="720"/>
        <w:jc w:val="left"/>
        <w:textAlignment w:val="auto"/>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 xml:space="preserve">Dobson, J. (2022) ‘Virtue Ethics, Aesthetics, and Reflective Practices in Business’, </w:t>
      </w:r>
      <w:r>
        <w:rPr>
          <w:rFonts w:hint="default" w:ascii="Times New Roman" w:hAnsi="Times New Roman" w:eastAsia="宋体" w:cs="Times New Roman"/>
          <w:i/>
          <w:iCs/>
          <w:kern w:val="0"/>
          <w:sz w:val="24"/>
          <w:szCs w:val="24"/>
          <w:lang w:val="en-US" w:eastAsia="zh-CN" w:bidi="ar"/>
        </w:rPr>
        <w:t>Philosophy of Management</w:t>
      </w:r>
      <w:r>
        <w:rPr>
          <w:rFonts w:hint="default" w:ascii="Times New Roman" w:hAnsi="Times New Roman" w:eastAsia="宋体" w:cs="Times New Roman"/>
          <w:kern w:val="0"/>
          <w:sz w:val="24"/>
          <w:szCs w:val="24"/>
          <w:lang w:val="en-US" w:eastAsia="zh-CN" w:bidi="ar"/>
        </w:rPr>
        <w:t xml:space="preserve">, 21(4), pp. 493–505.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"https://doi.org/10.1007/s40926-022-00197-1" </w:instrText>
      </w:r>
      <w:r>
        <w:rPr>
          <w:rFonts w:hint="default" w:ascii="Times New Roman" w:hAnsi="Times New Roman" w:eastAsia="宋体" w:cs="Times New Roman"/>
          <w:kern w:val="0"/>
          <w:sz w:val="24"/>
          <w:szCs w:val="24"/>
          <w:lang w:val="en-US" w:eastAsia="zh-CN" w:bidi="ar"/>
        </w:rPr>
        <w:fldChar w:fldCharType="separate"/>
      </w:r>
      <w:r>
        <w:rPr>
          <w:rStyle w:val="12"/>
          <w:rFonts w:hint="default" w:ascii="Times New Roman" w:hAnsi="Times New Roman" w:eastAsia="宋体" w:cs="Times New Roman"/>
          <w:sz w:val="24"/>
          <w:szCs w:val="24"/>
        </w:rPr>
        <w:t>https://doi.org/10.1007/s40926-022-00197-1</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58363DB8">
      <w:pPr>
        <w:keepNext w:val="0"/>
        <w:keepLines w:val="0"/>
        <w:pageBreakBefore w:val="0"/>
        <w:widowControl/>
        <w:numPr>
          <w:ilvl w:val="0"/>
          <w:numId w:val="0"/>
        </w:numPr>
        <w:suppressLineNumbers w:val="0"/>
        <w:kinsoku/>
        <w:wordWrap/>
        <w:overflowPunct/>
        <w:topLinePunct w:val="0"/>
        <w:autoSpaceDE/>
        <w:autoSpaceDN/>
        <w:bidi w:val="0"/>
        <w:adjustRightInd/>
        <w:snapToGrid/>
        <w:spacing w:line="20" w:lineRule="atLeast"/>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Jiang, H. and Chen, W.K. (2021) ‘Corporate Performance Pressure, Goodwill and Corporate Social Responsibility’.</w:t>
      </w:r>
    </w:p>
    <w:p w14:paraId="305F4674">
      <w:pPr>
        <w:keepNext w:val="0"/>
        <w:keepLines w:val="0"/>
        <w:pageBreakBefore w:val="0"/>
        <w:widowControl/>
        <w:numPr>
          <w:ilvl w:val="0"/>
          <w:numId w:val="0"/>
        </w:numPr>
        <w:suppressLineNumbers w:val="0"/>
        <w:kinsoku/>
        <w:wordWrap/>
        <w:overflowPunct/>
        <w:topLinePunct w:val="0"/>
        <w:autoSpaceDE/>
        <w:autoSpaceDN/>
        <w:bidi w:val="0"/>
        <w:adjustRightInd/>
        <w:snapToGrid/>
        <w:spacing w:line="20" w:lineRule="atLeast"/>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Kaptein, M. (2025) ‘A Profit Cap is not yet a General Moral Duty for Companies: A Corporate Social Contract Perspective’, </w:t>
      </w:r>
      <w:r>
        <w:rPr>
          <w:rFonts w:hint="default" w:ascii="Times New Roman" w:hAnsi="Times New Roman" w:eastAsia="宋体" w:cs="Times New Roman"/>
          <w:i/>
          <w:iCs/>
          <w:kern w:val="0"/>
          <w:sz w:val="24"/>
          <w:szCs w:val="24"/>
          <w:lang w:val="en-US" w:eastAsia="zh-CN" w:bidi="ar"/>
        </w:rPr>
        <w:t>Journal of Business Ethics</w:t>
      </w:r>
      <w:r>
        <w:rPr>
          <w:rFonts w:hint="default" w:ascii="Times New Roman" w:hAnsi="Times New Roman" w:eastAsia="宋体" w:cs="Times New Roman"/>
          <w:kern w:val="0"/>
          <w:sz w:val="24"/>
          <w:szCs w:val="24"/>
          <w:lang w:val="en-US" w:eastAsia="zh-CN" w:bidi="ar"/>
        </w:rPr>
        <w:t xml:space="preserve">, 199(2), pp. 351–364.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"https://doi.org/10.1007/s10551-024-05834-5" </w:instrText>
      </w:r>
      <w:r>
        <w:rPr>
          <w:rFonts w:hint="default" w:ascii="Times New Roman" w:hAnsi="Times New Roman" w:eastAsia="宋体" w:cs="Times New Roman"/>
          <w:kern w:val="0"/>
          <w:sz w:val="24"/>
          <w:szCs w:val="24"/>
          <w:lang w:val="en-US" w:eastAsia="zh-CN" w:bidi="ar"/>
        </w:rPr>
        <w:fldChar w:fldCharType="separate"/>
      </w:r>
      <w:r>
        <w:rPr>
          <w:rStyle w:val="12"/>
          <w:rFonts w:hint="default" w:ascii="Times New Roman" w:hAnsi="Times New Roman" w:eastAsia="宋体" w:cs="Times New Roman"/>
          <w:sz w:val="24"/>
          <w:szCs w:val="24"/>
        </w:rPr>
        <w:t>https://doi.org/10.1007/s10551-024-05834-5</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5BA869E3">
      <w:pPr>
        <w:keepNext w:val="0"/>
        <w:keepLines w:val="0"/>
        <w:pageBreakBefore w:val="0"/>
        <w:widowControl/>
        <w:numPr>
          <w:ilvl w:val="0"/>
          <w:numId w:val="0"/>
        </w:numPr>
        <w:suppressLineNumbers w:val="0"/>
        <w:kinsoku/>
        <w:wordWrap/>
        <w:overflowPunct/>
        <w:topLinePunct w:val="0"/>
        <w:autoSpaceDE/>
        <w:autoSpaceDN/>
        <w:bidi w:val="0"/>
        <w:adjustRightInd/>
        <w:snapToGrid/>
        <w:spacing w:line="20" w:lineRule="atLeast"/>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Koch, C. (2010) ‘An ethical justification of profit maximization’, </w:t>
      </w:r>
      <w:r>
        <w:rPr>
          <w:rFonts w:hint="default" w:ascii="Times New Roman" w:hAnsi="Times New Roman" w:eastAsia="宋体" w:cs="Times New Roman"/>
          <w:i/>
          <w:iCs/>
          <w:kern w:val="0"/>
          <w:sz w:val="24"/>
          <w:szCs w:val="24"/>
          <w:lang w:val="en-US" w:eastAsia="zh-CN" w:bidi="ar"/>
        </w:rPr>
        <w:t>Society and Business Review</w:t>
      </w:r>
      <w:r>
        <w:rPr>
          <w:rFonts w:hint="default" w:ascii="Times New Roman" w:hAnsi="Times New Roman" w:eastAsia="宋体" w:cs="Times New Roman"/>
          <w:kern w:val="0"/>
          <w:sz w:val="24"/>
          <w:szCs w:val="24"/>
          <w:lang w:val="en-US" w:eastAsia="zh-CN" w:bidi="ar"/>
        </w:rPr>
        <w:t xml:space="preserve">. Edited by J. Dahl Rendtorff, 5(3), pp. 270–280.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"https://doi.org/10.1108/17465681011079491" </w:instrText>
      </w:r>
      <w:r>
        <w:rPr>
          <w:rFonts w:hint="default" w:ascii="Times New Roman" w:hAnsi="Times New Roman" w:eastAsia="宋体" w:cs="Times New Roman"/>
          <w:kern w:val="0"/>
          <w:sz w:val="24"/>
          <w:szCs w:val="24"/>
          <w:lang w:val="en-US" w:eastAsia="zh-CN" w:bidi="ar"/>
        </w:rPr>
        <w:fldChar w:fldCharType="separate"/>
      </w:r>
      <w:r>
        <w:rPr>
          <w:rStyle w:val="12"/>
          <w:rFonts w:hint="default" w:ascii="Times New Roman" w:hAnsi="Times New Roman" w:eastAsia="宋体" w:cs="Times New Roman"/>
          <w:sz w:val="24"/>
          <w:szCs w:val="24"/>
        </w:rPr>
        <w:t>https://doi.org/10.1108/17465681011079491</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13F41D8C">
      <w:pPr>
        <w:keepNext w:val="0"/>
        <w:keepLines w:val="0"/>
        <w:pageBreakBefore w:val="0"/>
        <w:widowControl/>
        <w:numPr>
          <w:ilvl w:val="0"/>
          <w:numId w:val="0"/>
        </w:numPr>
        <w:suppressLineNumbers w:val="0"/>
        <w:kinsoku/>
        <w:wordWrap/>
        <w:overflowPunct/>
        <w:topLinePunct w:val="0"/>
        <w:autoSpaceDE/>
        <w:autoSpaceDN/>
        <w:bidi w:val="0"/>
        <w:adjustRightInd/>
        <w:snapToGrid/>
        <w:spacing w:line="20" w:lineRule="atLeast"/>
        <w:ind w:left="720" w:leftChars="0" w:hanging="720"/>
        <w:jc w:val="left"/>
        <w:textAlignment w:val="auto"/>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i w:val="0"/>
          <w:iCs w:val="0"/>
          <w:caps w:val="0"/>
          <w:color w:val="auto"/>
          <w:spacing w:val="0"/>
          <w:sz w:val="24"/>
          <w:szCs w:val="24"/>
          <w:shd w:val="clear" w:fill="FFFFFF"/>
        </w:rPr>
        <w:t>KOH, J., 2024. </w:t>
      </w:r>
      <w:r>
        <w:rPr>
          <w:rFonts w:hint="default" w:ascii="Times New Roman" w:hAnsi="Times New Roman" w:eastAsia="宋体" w:cs="Times New Roman"/>
          <w:i/>
          <w:iCs/>
          <w:caps w:val="0"/>
          <w:color w:val="auto"/>
          <w:spacing w:val="0"/>
          <w:sz w:val="24"/>
          <w:szCs w:val="24"/>
          <w:shd w:val="clear" w:fill="FFFFFF"/>
        </w:rPr>
        <w:t>Utilitarianism and Effective Altruism</w:t>
      </w:r>
      <w:r>
        <w:rPr>
          <w:rFonts w:hint="default" w:ascii="Times New Roman" w:hAnsi="Times New Roman" w:eastAsia="宋体" w:cs="Times New Roman"/>
          <w:i w:val="0"/>
          <w:iCs w:val="0"/>
          <w:caps w:val="0"/>
          <w:color w:val="auto"/>
          <w:spacing w:val="0"/>
          <w:sz w:val="24"/>
          <w:szCs w:val="24"/>
          <w:shd w:val="clear" w:fill="FFFFFF"/>
        </w:rPr>
        <w:t>, National University of Singapore (Singapore).</w:t>
      </w:r>
    </w:p>
    <w:p w14:paraId="4F15E5CA">
      <w:pPr>
        <w:keepNext w:val="0"/>
        <w:keepLines w:val="0"/>
        <w:pageBreakBefore w:val="0"/>
        <w:widowControl/>
        <w:numPr>
          <w:ilvl w:val="0"/>
          <w:numId w:val="0"/>
        </w:numPr>
        <w:suppressLineNumbers w:val="0"/>
        <w:kinsoku/>
        <w:wordWrap/>
        <w:overflowPunct/>
        <w:topLinePunct w:val="0"/>
        <w:autoSpaceDE/>
        <w:autoSpaceDN/>
        <w:bidi w:val="0"/>
        <w:adjustRightInd/>
        <w:snapToGrid/>
        <w:spacing w:line="20" w:lineRule="atLeast"/>
        <w:ind w:left="720" w:leftChars="0" w:hanging="720"/>
        <w:jc w:val="left"/>
        <w:textAlignment w:val="auto"/>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Kuang, Y. (2022) ‘BRAND SCANDALS AND BRAND COMMUNITIES: INSIGHTS FROM THE VOLKSWAGEN EMISSION SCANDAL’.</w:t>
      </w:r>
    </w:p>
    <w:p w14:paraId="5485287E">
      <w:pPr>
        <w:keepNext w:val="0"/>
        <w:keepLines w:val="0"/>
        <w:pageBreakBefore w:val="0"/>
        <w:widowControl/>
        <w:numPr>
          <w:ilvl w:val="0"/>
          <w:numId w:val="0"/>
        </w:numPr>
        <w:suppressLineNumbers w:val="0"/>
        <w:kinsoku/>
        <w:wordWrap/>
        <w:overflowPunct/>
        <w:topLinePunct w:val="0"/>
        <w:autoSpaceDE/>
        <w:autoSpaceDN/>
        <w:bidi w:val="0"/>
        <w:adjustRightInd/>
        <w:snapToGrid/>
        <w:spacing w:line="20" w:lineRule="atLeast"/>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Mishra, A., Newey, L. and Spee, P. (2025) ‘Greatest Good for the Greatest Number – the Role of Managers’ Ethical Meaning-Making and Subjective Wellbeing Complexity’, </w:t>
      </w:r>
      <w:r>
        <w:rPr>
          <w:rFonts w:hint="default" w:ascii="Times New Roman" w:hAnsi="Times New Roman" w:eastAsia="宋体" w:cs="Times New Roman"/>
          <w:i/>
          <w:iCs/>
          <w:kern w:val="0"/>
          <w:sz w:val="24"/>
          <w:szCs w:val="24"/>
          <w:lang w:val="en-US" w:eastAsia="zh-CN" w:bidi="ar"/>
        </w:rPr>
        <w:t>Journal of Business Ethics</w:t>
      </w:r>
      <w:r>
        <w:rPr>
          <w:rFonts w:hint="default" w:ascii="Times New Roman" w:hAnsi="Times New Roman" w:eastAsia="宋体" w:cs="Times New Roman"/>
          <w:kern w:val="0"/>
          <w:sz w:val="24"/>
          <w:szCs w:val="24"/>
          <w:lang w:val="en-US" w:eastAsia="zh-CN" w:bidi="ar"/>
        </w:rPr>
        <w:t xml:space="preserve">, 197(3), pp. 557–579.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"https://doi.org/10.1007/s10551-024-05748-2" </w:instrText>
      </w:r>
      <w:r>
        <w:rPr>
          <w:rFonts w:hint="default" w:ascii="Times New Roman" w:hAnsi="Times New Roman" w:eastAsia="宋体" w:cs="Times New Roman"/>
          <w:kern w:val="0"/>
          <w:sz w:val="24"/>
          <w:szCs w:val="24"/>
          <w:lang w:val="en-US" w:eastAsia="zh-CN" w:bidi="ar"/>
        </w:rPr>
        <w:fldChar w:fldCharType="separate"/>
      </w:r>
      <w:r>
        <w:rPr>
          <w:rStyle w:val="12"/>
          <w:rFonts w:hint="default" w:ascii="Times New Roman" w:hAnsi="Times New Roman" w:eastAsia="宋体" w:cs="Times New Roman"/>
          <w:sz w:val="24"/>
          <w:szCs w:val="24"/>
        </w:rPr>
        <w:t>https://doi.org/10.1007/s10551-024-05748-2</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7B0A00DD">
      <w:pPr>
        <w:keepNext w:val="0"/>
        <w:keepLines w:val="0"/>
        <w:pageBreakBefore w:val="0"/>
        <w:widowControl/>
        <w:numPr>
          <w:ilvl w:val="0"/>
          <w:numId w:val="0"/>
        </w:numPr>
        <w:suppressLineNumbers w:val="0"/>
        <w:kinsoku/>
        <w:wordWrap/>
        <w:overflowPunct/>
        <w:topLinePunct w:val="0"/>
        <w:autoSpaceDE/>
        <w:autoSpaceDN/>
        <w:bidi w:val="0"/>
        <w:adjustRightInd/>
        <w:snapToGrid/>
        <w:spacing w:line="20" w:lineRule="atLeast"/>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Moncrieff, L. (2022) ‘“Creabimus!” Creatively re-thinking the corporation and the social contract’, </w:t>
      </w:r>
      <w:r>
        <w:rPr>
          <w:rFonts w:hint="default" w:ascii="Times New Roman" w:hAnsi="Times New Roman" w:eastAsia="宋体" w:cs="Times New Roman"/>
          <w:i/>
          <w:iCs/>
          <w:kern w:val="0"/>
          <w:sz w:val="24"/>
          <w:szCs w:val="24"/>
          <w:lang w:val="en-US" w:eastAsia="zh-CN" w:bidi="ar"/>
        </w:rPr>
        <w:t>European Law Open</w:t>
      </w:r>
      <w:r>
        <w:rPr>
          <w:rFonts w:hint="default" w:ascii="Times New Roman" w:hAnsi="Times New Roman" w:eastAsia="宋体" w:cs="Times New Roman"/>
          <w:kern w:val="0"/>
          <w:sz w:val="24"/>
          <w:szCs w:val="24"/>
          <w:lang w:val="en-US" w:eastAsia="zh-CN" w:bidi="ar"/>
        </w:rPr>
        <w:t xml:space="preserve">, 1(4), pp. 914–956.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"https://doi.org/10.1017/elo.2023.12" </w:instrText>
      </w:r>
      <w:r>
        <w:rPr>
          <w:rFonts w:hint="default" w:ascii="Times New Roman" w:hAnsi="Times New Roman" w:eastAsia="宋体" w:cs="Times New Roman"/>
          <w:kern w:val="0"/>
          <w:sz w:val="24"/>
          <w:szCs w:val="24"/>
          <w:lang w:val="en-US" w:eastAsia="zh-CN" w:bidi="ar"/>
        </w:rPr>
        <w:fldChar w:fldCharType="separate"/>
      </w:r>
      <w:r>
        <w:rPr>
          <w:rStyle w:val="12"/>
          <w:rFonts w:hint="default" w:ascii="Times New Roman" w:hAnsi="Times New Roman" w:eastAsia="宋体" w:cs="Times New Roman"/>
          <w:sz w:val="24"/>
          <w:szCs w:val="24"/>
        </w:rPr>
        <w:t>https://doi.org/10.1017/elo.2023.12</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34BB2B0D">
      <w:pPr>
        <w:keepNext w:val="0"/>
        <w:keepLines w:val="0"/>
        <w:pageBreakBefore w:val="0"/>
        <w:widowControl/>
        <w:numPr>
          <w:ilvl w:val="0"/>
          <w:numId w:val="0"/>
        </w:numPr>
        <w:suppressLineNumbers w:val="0"/>
        <w:kinsoku/>
        <w:wordWrap/>
        <w:overflowPunct/>
        <w:topLinePunct w:val="0"/>
        <w:autoSpaceDE/>
        <w:autoSpaceDN/>
        <w:bidi w:val="0"/>
        <w:adjustRightInd/>
        <w:snapToGrid/>
        <w:spacing w:line="20" w:lineRule="atLeast"/>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Queloz, M. and Van Ackeren, M. (2024) ‘Virtue Ethics and the Morality System’, </w:t>
      </w:r>
      <w:r>
        <w:rPr>
          <w:rFonts w:hint="default" w:ascii="Times New Roman" w:hAnsi="Times New Roman" w:eastAsia="宋体" w:cs="Times New Roman"/>
          <w:i/>
          <w:iCs/>
          <w:kern w:val="0"/>
          <w:sz w:val="24"/>
          <w:szCs w:val="24"/>
          <w:lang w:val="en-US" w:eastAsia="zh-CN" w:bidi="ar"/>
        </w:rPr>
        <w:t>Topoi</w:t>
      </w:r>
      <w:r>
        <w:rPr>
          <w:rFonts w:hint="default" w:ascii="Times New Roman" w:hAnsi="Times New Roman" w:eastAsia="宋体" w:cs="Times New Roman"/>
          <w:kern w:val="0"/>
          <w:sz w:val="24"/>
          <w:szCs w:val="24"/>
          <w:lang w:val="en-US" w:eastAsia="zh-CN" w:bidi="ar"/>
        </w:rPr>
        <w:t xml:space="preserve">, 43(2), pp. 413–424.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"https://doi.org/10.1007/s11245-023-09964-9" </w:instrText>
      </w:r>
      <w:r>
        <w:rPr>
          <w:rFonts w:hint="default" w:ascii="Times New Roman" w:hAnsi="Times New Roman" w:eastAsia="宋体" w:cs="Times New Roman"/>
          <w:kern w:val="0"/>
          <w:sz w:val="24"/>
          <w:szCs w:val="24"/>
          <w:lang w:val="en-US" w:eastAsia="zh-CN" w:bidi="ar"/>
        </w:rPr>
        <w:fldChar w:fldCharType="separate"/>
      </w:r>
      <w:r>
        <w:rPr>
          <w:rStyle w:val="12"/>
          <w:rFonts w:hint="default" w:ascii="Times New Roman" w:hAnsi="Times New Roman" w:eastAsia="宋体" w:cs="Times New Roman"/>
          <w:sz w:val="24"/>
          <w:szCs w:val="24"/>
        </w:rPr>
        <w:t>https://doi.org/10.1007/s11245-023-09964-9</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3D63BADB">
      <w:pPr>
        <w:keepNext w:val="0"/>
        <w:keepLines w:val="0"/>
        <w:pageBreakBefore w:val="0"/>
        <w:widowControl/>
        <w:numPr>
          <w:ilvl w:val="0"/>
          <w:numId w:val="0"/>
        </w:numPr>
        <w:suppressLineNumbers w:val="0"/>
        <w:kinsoku/>
        <w:wordWrap/>
        <w:overflowPunct/>
        <w:topLinePunct w:val="0"/>
        <w:autoSpaceDE/>
        <w:autoSpaceDN/>
        <w:bidi w:val="0"/>
        <w:adjustRightInd/>
        <w:snapToGrid/>
        <w:spacing w:line="20" w:lineRule="atLeast"/>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Schaefer, B.P. (2008) ‘Shareholders and Social Responsibility’, </w:t>
      </w:r>
      <w:r>
        <w:rPr>
          <w:rFonts w:hint="default" w:ascii="Times New Roman" w:hAnsi="Times New Roman" w:eastAsia="宋体" w:cs="Times New Roman"/>
          <w:i/>
          <w:iCs/>
          <w:kern w:val="0"/>
          <w:sz w:val="24"/>
          <w:szCs w:val="24"/>
          <w:lang w:val="en-US" w:eastAsia="zh-CN" w:bidi="ar"/>
        </w:rPr>
        <w:t>Journal of Business Ethics</w:t>
      </w:r>
      <w:r>
        <w:rPr>
          <w:rFonts w:hint="default" w:ascii="Times New Roman" w:hAnsi="Times New Roman" w:eastAsia="宋体" w:cs="Times New Roman"/>
          <w:kern w:val="0"/>
          <w:sz w:val="24"/>
          <w:szCs w:val="24"/>
          <w:lang w:val="en-US" w:eastAsia="zh-CN" w:bidi="ar"/>
        </w:rPr>
        <w:t xml:space="preserve">, 81(2), pp. 297–312.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"https://doi.org/10.1007/s10551-007-9495-0" </w:instrText>
      </w:r>
      <w:r>
        <w:rPr>
          <w:rFonts w:hint="default" w:ascii="Times New Roman" w:hAnsi="Times New Roman" w:eastAsia="宋体" w:cs="Times New Roman"/>
          <w:kern w:val="0"/>
          <w:sz w:val="24"/>
          <w:szCs w:val="24"/>
          <w:lang w:val="en-US" w:eastAsia="zh-CN" w:bidi="ar"/>
        </w:rPr>
        <w:fldChar w:fldCharType="separate"/>
      </w:r>
      <w:r>
        <w:rPr>
          <w:rStyle w:val="12"/>
          <w:rFonts w:hint="default" w:ascii="Times New Roman" w:hAnsi="Times New Roman" w:eastAsia="宋体" w:cs="Times New Roman"/>
          <w:sz w:val="24"/>
          <w:szCs w:val="24"/>
        </w:rPr>
        <w:t>https://doi.org/10.1007/s10551-007-9495-0</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423A318B">
      <w:pPr>
        <w:keepNext w:val="0"/>
        <w:keepLines w:val="0"/>
        <w:pageBreakBefore w:val="0"/>
        <w:widowControl/>
        <w:numPr>
          <w:ilvl w:val="0"/>
          <w:numId w:val="0"/>
        </w:numPr>
        <w:suppressLineNumbers w:val="0"/>
        <w:kinsoku/>
        <w:wordWrap/>
        <w:overflowPunct/>
        <w:topLinePunct w:val="0"/>
        <w:autoSpaceDE/>
        <w:autoSpaceDN/>
        <w:bidi w:val="0"/>
        <w:adjustRightInd/>
        <w:snapToGrid/>
        <w:spacing w:line="20" w:lineRule="atLeast"/>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Smith, A.E. </w:t>
      </w:r>
      <w:r>
        <w:rPr>
          <w:rFonts w:hint="default" w:ascii="Times New Roman" w:hAnsi="Times New Roman" w:eastAsia="宋体" w:cs="Times New Roman"/>
          <w:i/>
          <w:iCs/>
          <w:kern w:val="0"/>
          <w:sz w:val="24"/>
          <w:szCs w:val="24"/>
          <w:lang w:val="en-US" w:eastAsia="zh-CN" w:bidi="ar"/>
        </w:rPr>
        <w:t>et al.</w:t>
      </w:r>
      <w:r>
        <w:rPr>
          <w:rFonts w:hint="default" w:ascii="Times New Roman" w:hAnsi="Times New Roman" w:eastAsia="宋体" w:cs="Times New Roman"/>
          <w:kern w:val="0"/>
          <w:sz w:val="24"/>
          <w:szCs w:val="24"/>
          <w:lang w:val="en-US" w:eastAsia="zh-CN" w:bidi="ar"/>
        </w:rPr>
        <w:t xml:space="preserve"> (2023) ‘A Meta-Analytical Assessment of the Effect of Deontological Evaluations and Teleological Evaluations on Ethical Judgments/Intentions’, </w:t>
      </w:r>
      <w:r>
        <w:rPr>
          <w:rFonts w:hint="default" w:ascii="Times New Roman" w:hAnsi="Times New Roman" w:eastAsia="宋体" w:cs="Times New Roman"/>
          <w:i/>
          <w:iCs/>
          <w:kern w:val="0"/>
          <w:sz w:val="24"/>
          <w:szCs w:val="24"/>
          <w:lang w:val="en-US" w:eastAsia="zh-CN" w:bidi="ar"/>
        </w:rPr>
        <w:t>Journal of Business Ethics</w:t>
      </w:r>
      <w:r>
        <w:rPr>
          <w:rFonts w:hint="default" w:ascii="Times New Roman" w:hAnsi="Times New Roman" w:eastAsia="宋体" w:cs="Times New Roman"/>
          <w:kern w:val="0"/>
          <w:sz w:val="24"/>
          <w:szCs w:val="24"/>
          <w:lang w:val="en-US" w:eastAsia="zh-CN" w:bidi="ar"/>
        </w:rPr>
        <w:t xml:space="preserve">, 188(3), pp. 553–588.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"https://doi.org/10.1007/s10551-022-05311-x" </w:instrText>
      </w:r>
      <w:r>
        <w:rPr>
          <w:rFonts w:hint="default" w:ascii="Times New Roman" w:hAnsi="Times New Roman" w:eastAsia="宋体" w:cs="Times New Roman"/>
          <w:kern w:val="0"/>
          <w:sz w:val="24"/>
          <w:szCs w:val="24"/>
          <w:lang w:val="en-US" w:eastAsia="zh-CN" w:bidi="ar"/>
        </w:rPr>
        <w:fldChar w:fldCharType="separate"/>
      </w:r>
      <w:r>
        <w:rPr>
          <w:rStyle w:val="12"/>
          <w:rFonts w:hint="default" w:ascii="Times New Roman" w:hAnsi="Times New Roman" w:eastAsia="宋体" w:cs="Times New Roman"/>
          <w:sz w:val="24"/>
          <w:szCs w:val="24"/>
        </w:rPr>
        <w:t>https://doi.org/10.1007/s10551-022-05311-x</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519C4DC5">
      <w:pPr>
        <w:keepNext w:val="0"/>
        <w:keepLines w:val="0"/>
        <w:pageBreakBefore w:val="0"/>
        <w:widowControl/>
        <w:numPr>
          <w:ilvl w:val="0"/>
          <w:numId w:val="0"/>
        </w:numPr>
        <w:suppressLineNumbers w:val="0"/>
        <w:kinsoku/>
        <w:wordWrap/>
        <w:overflowPunct/>
        <w:topLinePunct w:val="0"/>
        <w:autoSpaceDE/>
        <w:autoSpaceDN/>
        <w:bidi w:val="0"/>
        <w:adjustRightInd/>
        <w:snapToGrid/>
        <w:spacing w:line="20" w:lineRule="atLeast"/>
        <w:ind w:left="720" w:leftChars="0" w:hanging="720"/>
        <w:jc w:val="left"/>
        <w:textAlignment w:val="auto"/>
        <w:rPr>
          <w:rFonts w:hint="default" w:ascii="Times New Roman" w:hAnsi="Times New Roman" w:eastAsia="宋体" w:cs="Times New Roman"/>
          <w:color w:val="auto"/>
          <w:kern w:val="0"/>
          <w:sz w:val="24"/>
          <w:szCs w:val="24"/>
          <w:lang w:val="en-US" w:eastAsia="zh-CN" w:bidi="ar"/>
        </w:rPr>
      </w:pPr>
      <w:r>
        <w:rPr>
          <w:rFonts w:hint="default" w:ascii="Times New Roman" w:hAnsi="Times New Roman" w:eastAsia="宋体" w:cs="Times New Roman"/>
          <w:i w:val="0"/>
          <w:iCs w:val="0"/>
          <w:caps w:val="0"/>
          <w:color w:val="auto"/>
          <w:spacing w:val="0"/>
          <w:sz w:val="24"/>
          <w:szCs w:val="24"/>
          <w:shd w:val="clear" w:fill="FFFFFF"/>
        </w:rPr>
        <w:t>STAMATIKOS, A.D., 2024. </w:t>
      </w:r>
      <w:r>
        <w:rPr>
          <w:rFonts w:hint="default" w:ascii="Times New Roman" w:hAnsi="Times New Roman" w:eastAsia="宋体" w:cs="Times New Roman"/>
          <w:i/>
          <w:iCs/>
          <w:caps w:val="0"/>
          <w:color w:val="auto"/>
          <w:spacing w:val="0"/>
          <w:sz w:val="24"/>
          <w:szCs w:val="24"/>
          <w:shd w:val="clear" w:fill="FFFFFF"/>
        </w:rPr>
        <w:t>Life, Aristotle, and the Pursuit of Happiness: Reimagining Virtuous Action as a Highest Good for the Individual</w:t>
      </w:r>
      <w:r>
        <w:rPr>
          <w:rFonts w:hint="default" w:ascii="Times New Roman" w:hAnsi="Times New Roman" w:eastAsia="宋体" w:cs="Times New Roman"/>
          <w:i w:val="0"/>
          <w:iCs w:val="0"/>
          <w:caps w:val="0"/>
          <w:color w:val="auto"/>
          <w:spacing w:val="0"/>
          <w:sz w:val="24"/>
          <w:szCs w:val="24"/>
          <w:shd w:val="clear" w:fill="FFFFFF"/>
        </w:rPr>
        <w:t>, Southern Illinois University at Carbondale.</w:t>
      </w:r>
    </w:p>
    <w:p w14:paraId="73B293A7">
      <w:pPr>
        <w:keepNext w:val="0"/>
        <w:keepLines w:val="0"/>
        <w:pageBreakBefore w:val="0"/>
        <w:widowControl/>
        <w:numPr>
          <w:ilvl w:val="0"/>
          <w:numId w:val="0"/>
        </w:numPr>
        <w:suppressLineNumbers w:val="0"/>
        <w:kinsoku/>
        <w:wordWrap/>
        <w:overflowPunct/>
        <w:topLinePunct w:val="0"/>
        <w:autoSpaceDE/>
        <w:autoSpaceDN/>
        <w:bidi w:val="0"/>
        <w:adjustRightInd/>
        <w:snapToGrid/>
        <w:spacing w:line="20" w:lineRule="atLeast"/>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Svanberg, M.K. and Svanberg, C.F.C. (2022) ‘The Anti-Egoist Perspective in Business Ethics and its Anti-Business Manifestations’, </w:t>
      </w:r>
      <w:r>
        <w:rPr>
          <w:rFonts w:hint="default" w:ascii="Times New Roman" w:hAnsi="Times New Roman" w:eastAsia="宋体" w:cs="Times New Roman"/>
          <w:i/>
          <w:iCs/>
          <w:kern w:val="0"/>
          <w:sz w:val="24"/>
          <w:szCs w:val="24"/>
          <w:lang w:val="en-US" w:eastAsia="zh-CN" w:bidi="ar"/>
        </w:rPr>
        <w:t>Philosophy of Management</w:t>
      </w:r>
      <w:r>
        <w:rPr>
          <w:rFonts w:hint="default" w:ascii="Times New Roman" w:hAnsi="Times New Roman" w:eastAsia="宋体" w:cs="Times New Roman"/>
          <w:kern w:val="0"/>
          <w:sz w:val="24"/>
          <w:szCs w:val="24"/>
          <w:lang w:val="en-US" w:eastAsia="zh-CN" w:bidi="ar"/>
        </w:rPr>
        <w:t xml:space="preserve">, 21(4), pp. 569–596.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"https://doi.org/10.1007/s40926-022-00202-7" </w:instrText>
      </w:r>
      <w:r>
        <w:rPr>
          <w:rFonts w:hint="default" w:ascii="Times New Roman" w:hAnsi="Times New Roman" w:eastAsia="宋体" w:cs="Times New Roman"/>
          <w:kern w:val="0"/>
          <w:sz w:val="24"/>
          <w:szCs w:val="24"/>
          <w:lang w:val="en-US" w:eastAsia="zh-CN" w:bidi="ar"/>
        </w:rPr>
        <w:fldChar w:fldCharType="separate"/>
      </w:r>
      <w:r>
        <w:rPr>
          <w:rStyle w:val="12"/>
          <w:rFonts w:hint="default" w:ascii="Times New Roman" w:hAnsi="Times New Roman" w:eastAsia="宋体" w:cs="Times New Roman"/>
          <w:sz w:val="24"/>
          <w:szCs w:val="24"/>
        </w:rPr>
        <w:t>https://doi.org/10.1007/s40926-022-00202-7</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3F92CC71">
      <w:pPr>
        <w:keepNext w:val="0"/>
        <w:keepLines w:val="0"/>
        <w:pageBreakBefore w:val="0"/>
        <w:widowControl/>
        <w:numPr>
          <w:ilvl w:val="0"/>
          <w:numId w:val="0"/>
        </w:numPr>
        <w:suppressLineNumbers w:val="0"/>
        <w:kinsoku/>
        <w:wordWrap/>
        <w:overflowPunct/>
        <w:topLinePunct w:val="0"/>
        <w:autoSpaceDE/>
        <w:autoSpaceDN/>
        <w:bidi w:val="0"/>
        <w:adjustRightInd/>
        <w:snapToGrid/>
        <w:spacing w:line="20" w:lineRule="atLeast"/>
        <w:ind w:left="720" w:leftChars="0" w:hanging="720"/>
        <w:jc w:val="left"/>
        <w:textAlignment w:val="auto"/>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 xml:space="preserve">Vignini, S. and Rusconi, G. (2023) ‘Business Ethics: Moral or Amoral? An analysis from the perspective of Kantian ethics’, </w:t>
      </w:r>
      <w:r>
        <w:rPr>
          <w:rFonts w:hint="default" w:ascii="Times New Roman" w:hAnsi="Times New Roman" w:eastAsia="宋体" w:cs="Times New Roman"/>
          <w:i/>
          <w:iCs/>
          <w:kern w:val="0"/>
          <w:sz w:val="24"/>
          <w:szCs w:val="24"/>
          <w:lang w:val="en-US" w:eastAsia="zh-CN" w:bidi="ar"/>
        </w:rPr>
        <w:t>Australasian Business, Accounting and Finance Journal</w:t>
      </w:r>
      <w:r>
        <w:rPr>
          <w:rFonts w:hint="default" w:ascii="Times New Roman" w:hAnsi="Times New Roman" w:eastAsia="宋体" w:cs="Times New Roman"/>
          <w:kern w:val="0"/>
          <w:sz w:val="24"/>
          <w:szCs w:val="24"/>
          <w:lang w:val="en-US" w:eastAsia="zh-CN" w:bidi="ar"/>
        </w:rPr>
        <w:t xml:space="preserve">, 17(3), pp. 23–39.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"https://doi.org/10.14453/aabfj.v17i3.03" </w:instrText>
      </w:r>
      <w:r>
        <w:rPr>
          <w:rFonts w:hint="default" w:ascii="Times New Roman" w:hAnsi="Times New Roman" w:eastAsia="宋体" w:cs="Times New Roman"/>
          <w:kern w:val="0"/>
          <w:sz w:val="24"/>
          <w:szCs w:val="24"/>
          <w:lang w:val="en-US" w:eastAsia="zh-CN" w:bidi="ar"/>
        </w:rPr>
        <w:fldChar w:fldCharType="separate"/>
      </w:r>
      <w:r>
        <w:rPr>
          <w:rStyle w:val="12"/>
          <w:rFonts w:hint="default" w:ascii="Times New Roman" w:hAnsi="Times New Roman" w:eastAsia="宋体" w:cs="Times New Roman"/>
          <w:sz w:val="24"/>
          <w:szCs w:val="24"/>
        </w:rPr>
        <w:t>https://doi.org/10.14453/aabfj.v17i3.03</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686F9491">
      <w:pPr>
        <w:keepNext w:val="0"/>
        <w:keepLines w:val="0"/>
        <w:pageBreakBefore w:val="0"/>
        <w:widowControl/>
        <w:numPr>
          <w:ilvl w:val="0"/>
          <w:numId w:val="0"/>
        </w:numPr>
        <w:suppressLineNumbers w:val="0"/>
        <w:kinsoku/>
        <w:wordWrap/>
        <w:overflowPunct/>
        <w:topLinePunct w:val="0"/>
        <w:autoSpaceDE/>
        <w:autoSpaceDN/>
        <w:bidi w:val="0"/>
        <w:adjustRightInd/>
        <w:snapToGrid/>
        <w:spacing w:line="20" w:lineRule="atLeast"/>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You, L. (2024) ‘The Impact of Social Norms of Responsibility on Corporate Social Responsibility Short Title: The Impact of Social Norms of Responsibility on Corporate Social Responsibility’, </w:t>
      </w:r>
      <w:r>
        <w:rPr>
          <w:rFonts w:hint="default" w:ascii="Times New Roman" w:hAnsi="Times New Roman" w:eastAsia="宋体" w:cs="Times New Roman"/>
          <w:i/>
          <w:iCs/>
          <w:kern w:val="0"/>
          <w:sz w:val="24"/>
          <w:szCs w:val="24"/>
          <w:lang w:val="en-US" w:eastAsia="zh-CN" w:bidi="ar"/>
        </w:rPr>
        <w:t>Journal of Business Ethics</w:t>
      </w:r>
      <w:r>
        <w:rPr>
          <w:rFonts w:hint="default" w:ascii="Times New Roman" w:hAnsi="Times New Roman" w:eastAsia="宋体" w:cs="Times New Roman"/>
          <w:kern w:val="0"/>
          <w:sz w:val="24"/>
          <w:szCs w:val="24"/>
          <w:lang w:val="en-US" w:eastAsia="zh-CN" w:bidi="ar"/>
        </w:rPr>
        <w:t xml:space="preserve">, 190(2), pp. 309–326.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"https://doi.org/10.1007/s10551-023-05417-w" </w:instrText>
      </w:r>
      <w:r>
        <w:rPr>
          <w:rFonts w:hint="default" w:ascii="Times New Roman" w:hAnsi="Times New Roman" w:eastAsia="宋体" w:cs="Times New Roman"/>
          <w:kern w:val="0"/>
          <w:sz w:val="24"/>
          <w:szCs w:val="24"/>
          <w:lang w:val="en-US" w:eastAsia="zh-CN" w:bidi="ar"/>
        </w:rPr>
        <w:fldChar w:fldCharType="separate"/>
      </w:r>
      <w:r>
        <w:rPr>
          <w:rStyle w:val="12"/>
          <w:rFonts w:hint="default" w:ascii="Times New Roman" w:hAnsi="Times New Roman" w:eastAsia="宋体" w:cs="Times New Roman"/>
          <w:sz w:val="24"/>
          <w:szCs w:val="24"/>
        </w:rPr>
        <w:t>https://doi.org/10.1007/s10551-023-05417-w</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3BD2864A">
      <w:pPr>
        <w:keepNext w:val="0"/>
        <w:keepLines w:val="0"/>
        <w:pageBreakBefore w:val="0"/>
        <w:widowControl/>
        <w:numPr>
          <w:ilvl w:val="0"/>
          <w:numId w:val="0"/>
        </w:numPr>
        <w:suppressLineNumbers w:val="0"/>
        <w:kinsoku/>
        <w:wordWrap/>
        <w:overflowPunct/>
        <w:topLinePunct w:val="0"/>
        <w:autoSpaceDE/>
        <w:autoSpaceDN/>
        <w:bidi w:val="0"/>
        <w:adjustRightInd/>
        <w:snapToGrid/>
        <w:spacing w:line="20" w:lineRule="atLeast"/>
        <w:ind w:left="720" w:leftChars="0" w:hanging="720"/>
        <w:jc w:val="lef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Zeelenberg, M. </w:t>
      </w:r>
      <w:r>
        <w:rPr>
          <w:rFonts w:hint="default" w:ascii="Times New Roman" w:hAnsi="Times New Roman" w:eastAsia="宋体" w:cs="Times New Roman"/>
          <w:i/>
          <w:iCs/>
          <w:kern w:val="0"/>
          <w:sz w:val="24"/>
          <w:szCs w:val="24"/>
          <w:lang w:val="en-US" w:eastAsia="zh-CN" w:bidi="ar"/>
        </w:rPr>
        <w:t>et al.</w:t>
      </w:r>
      <w:r>
        <w:rPr>
          <w:rFonts w:hint="default" w:ascii="Times New Roman" w:hAnsi="Times New Roman" w:eastAsia="宋体" w:cs="Times New Roman"/>
          <w:kern w:val="0"/>
          <w:sz w:val="24"/>
          <w:szCs w:val="24"/>
          <w:lang w:val="en-US" w:eastAsia="zh-CN" w:bidi="ar"/>
        </w:rPr>
        <w:t xml:space="preserve"> (2024) ‘Disentangling greed and self-interest’, </w:t>
      </w:r>
      <w:r>
        <w:rPr>
          <w:rFonts w:hint="default" w:ascii="Times New Roman" w:hAnsi="Times New Roman" w:eastAsia="宋体" w:cs="Times New Roman"/>
          <w:i/>
          <w:iCs/>
          <w:kern w:val="0"/>
          <w:sz w:val="24"/>
          <w:szCs w:val="24"/>
          <w:lang w:val="en-US" w:eastAsia="zh-CN" w:bidi="ar"/>
        </w:rPr>
        <w:t>Discover Psychology</w:t>
      </w:r>
      <w:r>
        <w:rPr>
          <w:rFonts w:hint="default" w:ascii="Times New Roman" w:hAnsi="Times New Roman" w:eastAsia="宋体" w:cs="Times New Roman"/>
          <w:kern w:val="0"/>
          <w:sz w:val="24"/>
          <w:szCs w:val="24"/>
          <w:lang w:val="en-US" w:eastAsia="zh-CN" w:bidi="ar"/>
        </w:rPr>
        <w:t xml:space="preserve">, 4(1), p. 118. Available at: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"https://doi.org/10.1007/s44202-024-00211-9" </w:instrText>
      </w:r>
      <w:r>
        <w:rPr>
          <w:rFonts w:hint="default" w:ascii="Times New Roman" w:hAnsi="Times New Roman" w:eastAsia="宋体" w:cs="Times New Roman"/>
          <w:kern w:val="0"/>
          <w:sz w:val="24"/>
          <w:szCs w:val="24"/>
          <w:lang w:val="en-US" w:eastAsia="zh-CN" w:bidi="ar"/>
        </w:rPr>
        <w:fldChar w:fldCharType="separate"/>
      </w:r>
      <w:r>
        <w:rPr>
          <w:rStyle w:val="12"/>
          <w:rFonts w:hint="default" w:ascii="Times New Roman" w:hAnsi="Times New Roman" w:eastAsia="宋体" w:cs="Times New Roman"/>
          <w:sz w:val="24"/>
          <w:szCs w:val="24"/>
        </w:rPr>
        <w:t>https://doi.org/10.1007/s44202-024-00211-9</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w:t>
      </w:r>
    </w:p>
    <w:p w14:paraId="571CA456">
      <w:pPr>
        <w:keepNext w:val="0"/>
        <w:keepLines w:val="0"/>
        <w:pageBreakBefore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sz w:val="24"/>
          <w:szCs w:val="24"/>
        </w:rPr>
      </w:pPr>
    </w:p>
    <w:sectPr>
      <w:footerReference r:id="rId5"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Noto Serif SC">
    <w:panose1 w:val="02020200000000000000"/>
    <w:charset w:val="86"/>
    <w:family w:val="auto"/>
    <w:pitch w:val="default"/>
    <w:sig w:usb0="20000083" w:usb1="2ADF3C10" w:usb2="00000016" w:usb3="00000000" w:csb0="60060107" w:csb1="00000000"/>
  </w:font>
  <w:font w:name="Segoe UI">
    <w:panose1 w:val="020B0502040204020203"/>
    <w:charset w:val="00"/>
    <w:family w:val="auto"/>
    <w:pitch w:val="default"/>
    <w:sig w:usb0="E4002EFF" w:usb1="C000E47F"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3BCF2C9">
    <w:pPr>
      <w:pStyle w:val="5"/>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2392AC4">
    <w:pPr>
      <w:pStyle w:val="5"/>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DFB722F">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3FFF1745">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uow4KzICAABhBAAADgAAAAAAAAABACAAAAAfAQAAZHJzL2Uyb0RvYy54bWxQSwUG&#10;AAAAAAYABgBZAQAAwwUAAAAA&#10;">
              <v:fill on="f" focussize="0,0"/>
              <v:stroke on="f" weight="0.5pt"/>
              <v:imagedata o:title=""/>
              <o:lock v:ext="edit" aspectratio="f"/>
              <v:textbox inset="0mm,0mm,0mm,0mm" style="mso-fit-shape-to-text:t;">
                <w:txbxContent>
                  <w:p w14:paraId="3FFF1745">
                    <w:pPr>
                      <w:pStyle w:val="5"/>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7"/>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B8638E1"/>
    <w:rsid w:val="4B8638E1"/>
    <w:rsid w:val="7412197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paragraph" w:styleId="4">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10">
    <w:name w:val="Default Paragraph Font"/>
    <w:semiHidden/>
    <w:qFormat/>
    <w:uiPriority w:val="0"/>
  </w:style>
  <w:style w:type="table" w:default="1" w:styleId="9">
    <w:name w:val="Normal Table"/>
    <w:semiHidden/>
    <w:uiPriority w:val="0"/>
    <w:tblPr>
      <w:tblCellMar>
        <w:top w:w="0" w:type="dxa"/>
        <w:left w:w="108" w:type="dxa"/>
        <w:bottom w:w="0" w:type="dxa"/>
        <w:right w:w="108" w:type="dxa"/>
      </w:tblCellMar>
    </w:tbl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toc 1"/>
    <w:basedOn w:val="1"/>
    <w:next w:val="1"/>
    <w:uiPriority w:val="0"/>
  </w:style>
  <w:style w:type="paragraph" w:styleId="8">
    <w:name w:val="Normal (Web)"/>
    <w:basedOn w:val="1"/>
    <w:uiPriority w:val="0"/>
    <w:pPr>
      <w:spacing w:before="0" w:beforeAutospacing="1" w:after="0" w:afterAutospacing="1"/>
      <w:ind w:left="0" w:right="0"/>
      <w:jc w:val="left"/>
    </w:pPr>
    <w:rPr>
      <w:kern w:val="0"/>
      <w:sz w:val="24"/>
      <w:lang w:val="en-US" w:eastAsia="zh-CN" w:bidi="ar"/>
    </w:rPr>
  </w:style>
  <w:style w:type="character" w:styleId="11">
    <w:name w:val="Strong"/>
    <w:basedOn w:val="10"/>
    <w:qFormat/>
    <w:uiPriority w:val="0"/>
    <w:rPr>
      <w:b/>
    </w:rPr>
  </w:style>
  <w:style w:type="character" w:styleId="12">
    <w:name w:val="Hyperlink"/>
    <w:basedOn w:val="10"/>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17</Pages>
  <Words>0</Words>
  <Characters>0</Characters>
  <Lines>0</Lines>
  <Paragraphs>0</Paragraphs>
  <TotalTime>9</TotalTime>
  <ScaleCrop>false</ScaleCrop>
  <LinksUpToDate>false</LinksUpToDate>
  <CharactersWithSpaces>0</CharactersWithSpaces>
  <Application>WPS Office_12.1.0.23542_F1E327BC-269C-435d-A152-05C5408002CA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2025-11-21T20:34:00Z</dcterms:created>
  <dc:creator>—</dc:creator>
  <cp:lastModifiedBy>—</cp:lastModifiedBy>
  <dcterms:modified xsi:type="dcterms:W3CDTF">2025-11-21T21:57:11Z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2052-12.1.0.23542</vt:lpwstr>
  </property>
  <property fmtid="{D5CDD505-2E9C-101B-9397-08002B2CF9AE}" pid="3" name="ICV">
    <vt:lpwstr>298BBCD22F604964ABA33504D9A76DAC_11</vt:lpwstr>
  </property>
  <property fmtid="{D5CDD505-2E9C-101B-9397-08002B2CF9AE}" pid="4" name="KSOTemplateDocerSaveRecord">
    <vt:lpwstr>eyJoZGlkIjoiZTIxZGVhNzI3ZGFmYzdmMmFjZTcxMDEyYWFlYzhjMjMiLCJ1c2VySWQiOiIzMDE1NzQxMzMifQ==</vt:lpwstr>
  </property>
</Properties>
</file>