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B06DD" w14:textId="77777777" w:rsidR="00C50A51" w:rsidRDefault="00C50A51"/>
    <w:p w14:paraId="6052316F" w14:textId="77777777" w:rsidR="00C50A51" w:rsidRDefault="00C50A51"/>
    <w:p w14:paraId="7E7E6B91" w14:textId="5E7EB7CB" w:rsidR="00973CE9" w:rsidRPr="003A26D0" w:rsidRDefault="00C50A51" w:rsidP="00F277B8">
      <w:pPr>
        <w:jc w:val="center"/>
        <w:rPr>
          <w:rFonts w:ascii="Times New Roman" w:hAnsi="Times New Roman" w:cs="Times New Roman"/>
          <w:b/>
          <w:bCs/>
          <w:sz w:val="24"/>
          <w:szCs w:val="24"/>
          <w:u w:val="single"/>
        </w:rPr>
      </w:pPr>
      <w:r w:rsidRPr="003A26D0">
        <w:rPr>
          <w:rFonts w:ascii="Times New Roman" w:hAnsi="Times New Roman" w:cs="Times New Roman"/>
          <w:b/>
          <w:bCs/>
          <w:sz w:val="24"/>
          <w:szCs w:val="24"/>
          <w:u w:val="single"/>
        </w:rPr>
        <w:t xml:space="preserve">Specialist </w:t>
      </w:r>
      <w:r w:rsidR="003642B3" w:rsidRPr="003A26D0">
        <w:rPr>
          <w:rFonts w:ascii="Times New Roman" w:hAnsi="Times New Roman" w:cs="Times New Roman"/>
          <w:b/>
          <w:bCs/>
          <w:sz w:val="24"/>
          <w:szCs w:val="24"/>
          <w:u w:val="single"/>
        </w:rPr>
        <w:t xml:space="preserve">Employment </w:t>
      </w:r>
      <w:r w:rsidRPr="003A26D0">
        <w:rPr>
          <w:rFonts w:ascii="Times New Roman" w:hAnsi="Times New Roman" w:cs="Times New Roman"/>
          <w:b/>
          <w:bCs/>
          <w:sz w:val="24"/>
          <w:szCs w:val="24"/>
          <w:u w:val="single"/>
        </w:rPr>
        <w:t>Law</w:t>
      </w:r>
    </w:p>
    <w:p w14:paraId="3328BEF5" w14:textId="77777777" w:rsidR="00C50A51" w:rsidRPr="003A26D0" w:rsidRDefault="00C50A51">
      <w:pPr>
        <w:rPr>
          <w:rFonts w:ascii="Times New Roman" w:hAnsi="Times New Roman" w:cs="Times New Roman"/>
          <w:sz w:val="24"/>
          <w:szCs w:val="24"/>
        </w:rPr>
      </w:pPr>
    </w:p>
    <w:p w14:paraId="62E6A8AF" w14:textId="77777777" w:rsidR="006648EA" w:rsidRDefault="00FC39C9" w:rsidP="006648EA">
      <w:pPr>
        <w:pStyle w:val="ListParagraph"/>
        <w:numPr>
          <w:ilvl w:val="0"/>
          <w:numId w:val="11"/>
        </w:numPr>
        <w:spacing w:before="100" w:beforeAutospacing="1" w:after="100" w:afterAutospacing="1" w:line="240" w:lineRule="auto"/>
        <w:ind w:left="0"/>
        <w:rPr>
          <w:rFonts w:ascii="Times New Roman" w:eastAsia="Times New Roman" w:hAnsi="Times New Roman" w:cs="Times New Roman"/>
          <w:b/>
          <w:bCs/>
          <w:kern w:val="0"/>
          <w:sz w:val="24"/>
          <w:szCs w:val="24"/>
          <w:lang w:eastAsia="en-GB"/>
          <w14:ligatures w14:val="none"/>
        </w:rPr>
      </w:pPr>
      <w:r w:rsidRPr="003A26D0">
        <w:rPr>
          <w:rFonts w:ascii="Times New Roman" w:eastAsia="Times New Roman" w:hAnsi="Times New Roman" w:cs="Times New Roman"/>
          <w:b/>
          <w:bCs/>
          <w:kern w:val="0"/>
          <w:sz w:val="24"/>
          <w:szCs w:val="24"/>
          <w:lang w:eastAsia="en-GB"/>
          <w14:ligatures w14:val="none"/>
        </w:rPr>
        <w:t>(AC 1.1)</w:t>
      </w:r>
    </w:p>
    <w:p w14:paraId="151017F3" w14:textId="77777777" w:rsidR="00C16955" w:rsidRPr="003A26D0" w:rsidRDefault="00C16955" w:rsidP="00C16955">
      <w:pPr>
        <w:pStyle w:val="ListParagraph"/>
        <w:spacing w:before="100" w:beforeAutospacing="1" w:after="100" w:afterAutospacing="1" w:line="240" w:lineRule="auto"/>
        <w:ind w:left="0"/>
        <w:rPr>
          <w:rFonts w:ascii="Times New Roman" w:eastAsia="Times New Roman" w:hAnsi="Times New Roman" w:cs="Times New Roman"/>
          <w:b/>
          <w:bCs/>
          <w:kern w:val="0"/>
          <w:sz w:val="24"/>
          <w:szCs w:val="24"/>
          <w:lang w:eastAsia="en-GB"/>
          <w14:ligatures w14:val="none"/>
        </w:rPr>
      </w:pPr>
    </w:p>
    <w:p w14:paraId="6DD0254E" w14:textId="1502AB6A" w:rsidR="006648EA" w:rsidRPr="003A26D0" w:rsidRDefault="006648EA" w:rsidP="006648EA">
      <w:pPr>
        <w:pStyle w:val="ListParagraph"/>
        <w:spacing w:before="100" w:beforeAutospacing="1" w:after="100" w:afterAutospacing="1" w:line="240" w:lineRule="auto"/>
        <w:ind w:left="0"/>
        <w:rPr>
          <w:rFonts w:ascii="Times New Roman" w:eastAsia="Times New Roman" w:hAnsi="Times New Roman" w:cs="Times New Roman"/>
          <w:b/>
          <w:bCs/>
          <w:kern w:val="0"/>
          <w:sz w:val="24"/>
          <w:szCs w:val="24"/>
          <w:lang w:eastAsia="en-GB"/>
          <w14:ligatures w14:val="none"/>
        </w:rPr>
      </w:pPr>
      <w:r w:rsidRPr="003A26D0">
        <w:rPr>
          <w:rFonts w:ascii="Times New Roman" w:hAnsi="Times New Roman" w:cs="Times New Roman"/>
          <w:sz w:val="24"/>
          <w:szCs w:val="24"/>
        </w:rPr>
        <w:t xml:space="preserve">Thank you for your email and for sharing your concern on how regulatory activities take up a significant portion of your working time. I understand your concern and appreciate your commitment to enhancing the employment experience for our colleagues at the Trust. Although you feel your time is not spent enhancing the employment experience for staff, </w:t>
      </w:r>
      <w:r w:rsidR="007A01D1" w:rsidRPr="003A26D0">
        <w:rPr>
          <w:rFonts w:ascii="Times New Roman" w:hAnsi="Times New Roman" w:cs="Times New Roman"/>
          <w:sz w:val="24"/>
          <w:szCs w:val="24"/>
        </w:rPr>
        <w:t xml:space="preserve">your involvement in </w:t>
      </w:r>
      <w:r w:rsidRPr="003A26D0">
        <w:rPr>
          <w:rFonts w:ascii="Times New Roman" w:hAnsi="Times New Roman" w:cs="Times New Roman"/>
          <w:sz w:val="24"/>
          <w:szCs w:val="24"/>
        </w:rPr>
        <w:t xml:space="preserve">employment regulations do play a fundamental role in creating a fair, safe, and inclusive working environment for everyone, which does improve the overall employee experience. Without </w:t>
      </w:r>
      <w:r w:rsidR="009059AF" w:rsidRPr="003A26D0">
        <w:rPr>
          <w:rFonts w:ascii="Times New Roman" w:hAnsi="Times New Roman" w:cs="Times New Roman"/>
          <w:sz w:val="24"/>
          <w:szCs w:val="24"/>
        </w:rPr>
        <w:t xml:space="preserve">the work that you do, </w:t>
      </w:r>
      <w:r w:rsidRPr="003A26D0">
        <w:rPr>
          <w:rFonts w:ascii="Times New Roman" w:hAnsi="Times New Roman" w:cs="Times New Roman"/>
          <w:sz w:val="24"/>
          <w:szCs w:val="24"/>
        </w:rPr>
        <w:t>these protections, workplace disputes and inequalities could escalate, leading to dissatisfaction, higher staff turnover, and reputational risks for the organisation.</w:t>
      </w:r>
    </w:p>
    <w:p w14:paraId="65341F5D" w14:textId="10B31908" w:rsidR="006648EA" w:rsidRPr="003A26D0" w:rsidRDefault="006648EA" w:rsidP="006648EA">
      <w:pPr>
        <w:pStyle w:val="NormalWeb"/>
      </w:pPr>
      <w:r w:rsidRPr="003A26D0">
        <w:t>The</w:t>
      </w:r>
      <w:r w:rsidR="00671F87">
        <w:t xml:space="preserve"> main purpose</w:t>
      </w:r>
      <w:r w:rsidRPr="003A26D0">
        <w:t xml:space="preserve"> of employment regulation is to protect employees’ rights and ensure fair treatment across the board. The </w:t>
      </w:r>
      <w:r w:rsidRPr="003A26D0">
        <w:rPr>
          <w:rStyle w:val="Strong"/>
          <w:rFonts w:eastAsiaTheme="majorEastAsia"/>
          <w:b w:val="0"/>
          <w:bCs w:val="0"/>
        </w:rPr>
        <w:t>Equality Act 2010</w:t>
      </w:r>
      <w:r w:rsidRPr="003A26D0">
        <w:t xml:space="preserve"> provides a framework to stop discrimination such as age, race, or gender. </w:t>
      </w:r>
      <w:r w:rsidR="00671F87" w:rsidRPr="00671F87">
        <w:t xml:space="preserve">By working within this legal framework, we not only meet our obligations but also create a culture of fairness and respect. </w:t>
      </w:r>
      <w:r w:rsidRPr="003A26D0">
        <w:rPr>
          <w:rStyle w:val="Strong"/>
          <w:rFonts w:eastAsiaTheme="majorEastAsia"/>
          <w:b w:val="0"/>
          <w:bCs w:val="0"/>
        </w:rPr>
        <w:t>Daniels (2022)</w:t>
      </w:r>
      <w:r w:rsidRPr="003A26D0">
        <w:t xml:space="preserve"> </w:t>
      </w:r>
      <w:r w:rsidR="009A7C7F" w:rsidRPr="003A26D0">
        <w:t>tells us</w:t>
      </w:r>
      <w:r w:rsidRPr="003A26D0">
        <w:t xml:space="preserve"> </w:t>
      </w:r>
      <w:r w:rsidR="00671F87" w:rsidRPr="00671F87">
        <w:t>that when organisations actively prevent discrimination, they help build a diverse and inclusive workforce, which has benefits for both employee engagement and overall performance.</w:t>
      </w:r>
    </w:p>
    <w:p w14:paraId="1BA420B5" w14:textId="0D1EB366" w:rsidR="006648EA" w:rsidRPr="003A26D0" w:rsidRDefault="006648EA" w:rsidP="006648EA">
      <w:pPr>
        <w:pStyle w:val="NormalWeb"/>
      </w:pPr>
      <w:r w:rsidRPr="003A26D0">
        <w:t xml:space="preserve">Another objective of employment regulation is to ensure that we have safety in the workplace. The </w:t>
      </w:r>
      <w:r w:rsidRPr="003A26D0">
        <w:rPr>
          <w:rStyle w:val="Strong"/>
          <w:rFonts w:eastAsiaTheme="majorEastAsia"/>
          <w:b w:val="0"/>
          <w:bCs w:val="0"/>
        </w:rPr>
        <w:t>Health and Safety at Work Act 1974</w:t>
      </w:r>
      <w:r w:rsidRPr="003A26D0">
        <w:t xml:space="preserve"> requires that employers identify risks and put measures in place to prevent them. For a healthcare environment like ours, prioritising safety is critical to maintaining staff wellbeing and helping them to deliver high-quality care. </w:t>
      </w:r>
      <w:r w:rsidRPr="003A26D0">
        <w:rPr>
          <w:rStyle w:val="Strong"/>
          <w:rFonts w:eastAsiaTheme="majorEastAsia"/>
          <w:b w:val="0"/>
          <w:bCs w:val="0"/>
        </w:rPr>
        <w:t>Armstrong and Taylor (2022)</w:t>
      </w:r>
      <w:r w:rsidRPr="003A26D0">
        <w:t xml:space="preserve"> show that these regulations not only safeguard employees but also improve efficiency by reducing sickness and staff turnover. </w:t>
      </w:r>
      <w:r w:rsidR="00335F63" w:rsidRPr="00335F63">
        <w:t>When employees know their workplace is safe, they feel more secure and engaged in their roles</w:t>
      </w:r>
    </w:p>
    <w:p w14:paraId="3F8B11F7" w14:textId="5889CA4B" w:rsidR="004F7E9D" w:rsidRPr="003A26D0" w:rsidRDefault="004F7E9D" w:rsidP="006648EA">
      <w:pPr>
        <w:pStyle w:val="NormalWeb"/>
      </w:pPr>
      <w:r w:rsidRPr="003A26D0">
        <w:t xml:space="preserve">Employment regulations protect both employees and employers by ensuring fair treatment and setting clear expectations. The </w:t>
      </w:r>
      <w:r w:rsidRPr="003A26D0">
        <w:rPr>
          <w:rStyle w:val="Strong"/>
          <w:rFonts w:eastAsiaTheme="majorEastAsia"/>
          <w:b w:val="0"/>
          <w:bCs w:val="0"/>
        </w:rPr>
        <w:t>Employment Rights Act 1996</w:t>
      </w:r>
      <w:r w:rsidRPr="003A26D0">
        <w:rPr>
          <w:b/>
          <w:bCs/>
        </w:rPr>
        <w:t xml:space="preserve"> </w:t>
      </w:r>
      <w:r w:rsidRPr="003A26D0">
        <w:t>p</w:t>
      </w:r>
      <w:r w:rsidR="007A01D1" w:rsidRPr="003A26D0">
        <w:t>rotects</w:t>
      </w:r>
      <w:r w:rsidR="00B1245A" w:rsidRPr="003A26D0">
        <w:t xml:space="preserve"> employees from unfair dismissal and redundancy, ensuring fairness and stability in the workplace</w:t>
      </w:r>
      <w:r w:rsidRPr="003A26D0">
        <w:t>. Following employment law promotes integrity, improves relationships, and increases employee engagement</w:t>
      </w:r>
      <w:r w:rsidR="00B1245A" w:rsidRPr="003A26D0">
        <w:t>.</w:t>
      </w:r>
      <w:r w:rsidRPr="003A26D0">
        <w:t xml:space="preserve"> </w:t>
      </w:r>
      <w:r w:rsidR="009059AF" w:rsidRPr="003A26D0">
        <w:t>L</w:t>
      </w:r>
      <w:r w:rsidRPr="003A26D0">
        <w:t xml:space="preserve">egal compliance </w:t>
      </w:r>
      <w:r w:rsidR="00B1245A" w:rsidRPr="003A26D0">
        <w:t xml:space="preserve">helps our staff have trust in us while also </w:t>
      </w:r>
      <w:r w:rsidRPr="003A26D0">
        <w:t>reduc</w:t>
      </w:r>
      <w:r w:rsidR="00B1245A" w:rsidRPr="003A26D0">
        <w:t>ing</w:t>
      </w:r>
      <w:r w:rsidRPr="003A26D0">
        <w:t xml:space="preserve"> workplace </w:t>
      </w:r>
      <w:r w:rsidR="00B1245A" w:rsidRPr="003A26D0">
        <w:t>disputes and</w:t>
      </w:r>
      <w:r w:rsidRPr="003A26D0">
        <w:t xml:space="preserve"> supports a positive working environment. By clarifying rights and responsibilities, these regulations help prevent conflicts and create fairer workplaces for all.</w:t>
      </w:r>
    </w:p>
    <w:p w14:paraId="240B7133" w14:textId="447882B1" w:rsidR="006648EA" w:rsidRPr="003A26D0" w:rsidRDefault="006648EA" w:rsidP="006648EA">
      <w:pPr>
        <w:pStyle w:val="NormalWeb"/>
      </w:pPr>
      <w:r w:rsidRPr="003A26D0">
        <w:t xml:space="preserve">While it may feel that time spent on regulatory matters takes you away from other priorities, this effort does contribute to improving the Trust’s employment experience. By </w:t>
      </w:r>
      <w:r w:rsidR="009059AF" w:rsidRPr="003A26D0">
        <w:t>including</w:t>
      </w:r>
      <w:r w:rsidRPr="003A26D0">
        <w:t xml:space="preserve"> compliance into our daily practices, we reduce risks of litigation, enhance our reputation, and create a supportive workplace where</w:t>
      </w:r>
      <w:r w:rsidR="00970C1E" w:rsidRPr="003A26D0">
        <w:t xml:space="preserve"> our</w:t>
      </w:r>
      <w:r w:rsidRPr="003A26D0">
        <w:t xml:space="preserve"> colleagues feel valued and protected. </w:t>
      </w:r>
      <w:r w:rsidR="00970C1E" w:rsidRPr="003A26D0">
        <w:t>Not only is the work you’re doing helping our current staff, it is also helping us t</w:t>
      </w:r>
      <w:r w:rsidRPr="003A26D0">
        <w:t>o recruit top talent.</w:t>
      </w:r>
    </w:p>
    <w:p w14:paraId="66027111" w14:textId="0A8E846D" w:rsidR="006648EA" w:rsidRPr="003A26D0" w:rsidRDefault="006648EA" w:rsidP="006648EA">
      <w:pPr>
        <w:pStyle w:val="NormalWeb"/>
      </w:pPr>
      <w:r w:rsidRPr="003A26D0">
        <w:lastRenderedPageBreak/>
        <w:t xml:space="preserve">I appreciate your efforts and encourage you to see the regulatory work you are carrying out as key to maintaining high standards. Thank you for your hard work and the vital role you play in </w:t>
      </w:r>
      <w:r w:rsidR="00970C1E" w:rsidRPr="003A26D0">
        <w:t>promoting</w:t>
      </w:r>
      <w:r w:rsidRPr="003A26D0">
        <w:t xml:space="preserve"> excellence within the Trust.</w:t>
      </w:r>
    </w:p>
    <w:p w14:paraId="1D245894" w14:textId="77777777" w:rsidR="006648EA" w:rsidRPr="003A26D0" w:rsidRDefault="006648EA" w:rsidP="006648EA">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3FFFA688" w14:textId="79DD533D" w:rsidR="00C50A51" w:rsidRPr="003A26D0" w:rsidRDefault="00E45BE0" w:rsidP="00B9634F">
      <w:pPr>
        <w:pStyle w:val="ListParagraph"/>
        <w:numPr>
          <w:ilvl w:val="0"/>
          <w:numId w:val="11"/>
        </w:numPr>
        <w:spacing w:before="100" w:beforeAutospacing="1" w:after="100" w:afterAutospacing="1" w:line="240" w:lineRule="auto"/>
        <w:ind w:left="0"/>
        <w:rPr>
          <w:rFonts w:ascii="Times New Roman" w:eastAsia="Times New Roman" w:hAnsi="Times New Roman" w:cs="Times New Roman"/>
          <w:b/>
          <w:bCs/>
          <w:kern w:val="0"/>
          <w:sz w:val="24"/>
          <w:szCs w:val="24"/>
          <w:lang w:eastAsia="en-GB"/>
          <w14:ligatures w14:val="none"/>
        </w:rPr>
      </w:pPr>
      <w:r w:rsidRPr="003A26D0">
        <w:rPr>
          <w:rFonts w:ascii="Times New Roman" w:eastAsia="Times New Roman" w:hAnsi="Times New Roman" w:cs="Times New Roman"/>
          <w:b/>
          <w:bCs/>
          <w:kern w:val="0"/>
          <w:sz w:val="24"/>
          <w:szCs w:val="24"/>
          <w:lang w:eastAsia="en-GB"/>
          <w14:ligatures w14:val="none"/>
        </w:rPr>
        <w:t>(</w:t>
      </w:r>
      <w:r w:rsidR="006A64F7" w:rsidRPr="003A26D0">
        <w:rPr>
          <w:rFonts w:ascii="Times New Roman" w:eastAsia="Times New Roman" w:hAnsi="Times New Roman" w:cs="Times New Roman"/>
          <w:b/>
          <w:bCs/>
          <w:kern w:val="0"/>
          <w:sz w:val="24"/>
          <w:szCs w:val="24"/>
          <w:lang w:eastAsia="en-GB"/>
          <w14:ligatures w14:val="none"/>
        </w:rPr>
        <w:t>AC 1.2</w:t>
      </w:r>
      <w:r w:rsidRPr="003A26D0">
        <w:rPr>
          <w:rFonts w:ascii="Times New Roman" w:eastAsia="Times New Roman" w:hAnsi="Times New Roman" w:cs="Times New Roman"/>
          <w:b/>
          <w:bCs/>
          <w:kern w:val="0"/>
          <w:sz w:val="24"/>
          <w:szCs w:val="24"/>
          <w:lang w:eastAsia="en-GB"/>
          <w14:ligatures w14:val="none"/>
        </w:rPr>
        <w:t>)</w:t>
      </w:r>
    </w:p>
    <w:p w14:paraId="0ED6394E" w14:textId="77777777" w:rsidR="00601C1D" w:rsidRPr="003A26D0" w:rsidRDefault="00601C1D" w:rsidP="00601C1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Thank you for your query regarding the status of European Court of Justice (ECJ) judgments following the UK’s departure from the European Union in 2020.</w:t>
      </w:r>
    </w:p>
    <w:p w14:paraId="6604C09D" w14:textId="708B1782" w:rsidR="00601C1D" w:rsidRPr="003A26D0" w:rsidRDefault="00601C1D" w:rsidP="00601C1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Before Brexit, ECJ rulings were binding on UK courts in matters of EU law, meaning they had to be followed. The EU (Withdrawal) Act 2018 and the Retained EU Law (Revocation and Reform) Act 2023 (REUL) changed this, allowing the UK to modify or remove laws previously taken from the EU. Since 1 January 2024, ECJ rulings are no longer automatically binding, though they can still be considered where relevant, particularly in areas where UK law has not yet changed. Courts now have the power to review and set aside ECJ decisions if they conflict with UK law or policy.</w:t>
      </w:r>
    </w:p>
    <w:p w14:paraId="3BA9A5D2" w14:textId="0C7A9B64" w:rsidR="00601C1D" w:rsidRPr="003A26D0" w:rsidRDefault="00601C1D" w:rsidP="00601C1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While UK courts no longer have to follow ECJ rulings, decisions made before Brexit still apply unless changed by UK legislation. The UK Supreme Court and Court of Appeal can now </w:t>
      </w:r>
      <w:r w:rsidR="007803A7" w:rsidRPr="003A26D0">
        <w:rPr>
          <w:rFonts w:ascii="Times New Roman" w:eastAsia="Times New Roman" w:hAnsi="Times New Roman" w:cs="Times New Roman"/>
          <w:kern w:val="0"/>
          <w:sz w:val="24"/>
          <w:szCs w:val="24"/>
          <w:lang w:eastAsia="en-GB"/>
          <w14:ligatures w14:val="none"/>
        </w:rPr>
        <w:t>move away</w:t>
      </w:r>
      <w:r w:rsidRPr="003A26D0">
        <w:rPr>
          <w:rFonts w:ascii="Times New Roman" w:eastAsia="Times New Roman" w:hAnsi="Times New Roman" w:cs="Times New Roman"/>
          <w:kern w:val="0"/>
          <w:sz w:val="24"/>
          <w:szCs w:val="24"/>
          <w:lang w:eastAsia="en-GB"/>
          <w14:ligatures w14:val="none"/>
        </w:rPr>
        <w:t xml:space="preserve"> from these rulings if necessary, ensuring that UK employment law evolves independently. Employment tribunals and the Employment Appeal Tribunal (EAT) can escalate cases involving retained EU law to higher courts for clarification.</w:t>
      </w:r>
    </w:p>
    <w:p w14:paraId="3EB1ADCD" w14:textId="7A68E1B9" w:rsidR="00601C1D" w:rsidRPr="003A26D0" w:rsidRDefault="00601C1D" w:rsidP="00601C1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A good example of this shift can be seen in holiday pay calculations. ECJ case law, such as British Gas Trading Ltd v Lock (2016), previously established that normal pay should include regular overtime and commission. UK tribunals followed this approach, but post-Brexit, courts may revisit how holiday pay is calculated under UK law.</w:t>
      </w:r>
    </w:p>
    <w:p w14:paraId="6A31B4F9" w14:textId="27EAE9F0" w:rsidR="00601C1D" w:rsidRPr="003A26D0" w:rsidRDefault="00601C1D" w:rsidP="00601C1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Employment tribunals continue to play a vital role in resolving workplace disputes, handling claims related to unfair dismissal, discrimination, and redundancy. They offer employees an accessible and cost-effective route to challenge unlawful employment practices, while the EAT ensures consistency in how employment law is interpreted</w:t>
      </w:r>
      <w:r w:rsidR="00FD3BB9" w:rsidRPr="003A26D0">
        <w:rPr>
          <w:rFonts w:ascii="Times New Roman" w:eastAsia="Times New Roman" w:hAnsi="Times New Roman" w:cs="Times New Roman"/>
          <w:kern w:val="0"/>
          <w:sz w:val="24"/>
          <w:szCs w:val="24"/>
          <w:lang w:eastAsia="en-GB"/>
          <w14:ligatures w14:val="none"/>
        </w:rPr>
        <w:t>.</w:t>
      </w:r>
      <w:r w:rsidR="00E12A94" w:rsidRPr="003A26D0">
        <w:rPr>
          <w:rFonts w:ascii="Times New Roman" w:hAnsi="Times New Roman" w:cs="Times New Roman"/>
          <w:sz w:val="24"/>
          <w:szCs w:val="24"/>
        </w:rPr>
        <w:t xml:space="preserve"> </w:t>
      </w:r>
      <w:r w:rsidR="00E12A94" w:rsidRPr="003A26D0">
        <w:rPr>
          <w:rFonts w:ascii="Times New Roman" w:hAnsi="Times New Roman" w:cs="Times New Roman"/>
          <w:sz w:val="24"/>
          <w:szCs w:val="24"/>
        </w:rPr>
        <w:t>(Unison, 2024</w:t>
      </w:r>
      <w:r w:rsidR="00E12A94" w:rsidRPr="003A26D0">
        <w:rPr>
          <w:rFonts w:ascii="Times New Roman" w:hAnsi="Times New Roman" w:cs="Times New Roman"/>
          <w:sz w:val="24"/>
          <w:szCs w:val="24"/>
        </w:rPr>
        <w:t>)</w:t>
      </w:r>
    </w:p>
    <w:p w14:paraId="533D48CF" w14:textId="10CE0741" w:rsidR="00601C1D" w:rsidRPr="003A26D0" w:rsidRDefault="00601C1D" w:rsidP="00601C1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The case of Uber BV v Aslam (2021) </w:t>
      </w:r>
      <w:r w:rsidR="00E12A94" w:rsidRPr="003A26D0">
        <w:rPr>
          <w:rFonts w:ascii="Times New Roman" w:eastAsia="Times New Roman" w:hAnsi="Times New Roman" w:cs="Times New Roman"/>
          <w:kern w:val="0"/>
          <w:sz w:val="24"/>
          <w:szCs w:val="24"/>
          <w:lang w:eastAsia="en-GB"/>
          <w14:ligatures w14:val="none"/>
        </w:rPr>
        <w:t xml:space="preserve">shows us </w:t>
      </w:r>
      <w:r w:rsidRPr="003A26D0">
        <w:rPr>
          <w:rFonts w:ascii="Times New Roman" w:eastAsia="Times New Roman" w:hAnsi="Times New Roman" w:cs="Times New Roman"/>
          <w:kern w:val="0"/>
          <w:sz w:val="24"/>
          <w:szCs w:val="24"/>
          <w:lang w:eastAsia="en-GB"/>
          <w14:ligatures w14:val="none"/>
        </w:rPr>
        <w:t>how UK courts enforce employment law independently of ECJ influence. The employment tribunal initially ruled that Uber drivers were "workers" rather than self-employed, meaning they were entitled to rights such as holiday pay and the national minimum wage. Uber appealed, but the UK Supreme Court upheld the ruling, reinforcing worker protections under UK law.</w:t>
      </w:r>
    </w:p>
    <w:p w14:paraId="1B56D307" w14:textId="1840323A" w:rsidR="006A64F7" w:rsidRPr="003A26D0" w:rsidRDefault="00601C1D" w:rsidP="00601C1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Although ECJ rulings remain relevant, they are no longer binding on UK courts. Employment tribunals will continue to uphold employment rights, ensuring compliance with UK-specific laws and adapting to legal changes in the post-Brexit era. If you need any further clarification, </w:t>
      </w:r>
      <w:r w:rsidR="00E12A94" w:rsidRPr="003A26D0">
        <w:rPr>
          <w:rFonts w:ascii="Times New Roman" w:eastAsia="Times New Roman" w:hAnsi="Times New Roman" w:cs="Times New Roman"/>
          <w:kern w:val="0"/>
          <w:sz w:val="24"/>
          <w:szCs w:val="24"/>
          <w:lang w:eastAsia="en-GB"/>
          <w14:ligatures w14:val="none"/>
        </w:rPr>
        <w:t>please let me know and I will be happy</w:t>
      </w:r>
      <w:r w:rsidRPr="003A26D0">
        <w:rPr>
          <w:rFonts w:ascii="Times New Roman" w:eastAsia="Times New Roman" w:hAnsi="Times New Roman" w:cs="Times New Roman"/>
          <w:kern w:val="0"/>
          <w:sz w:val="24"/>
          <w:szCs w:val="24"/>
          <w:lang w:eastAsia="en-GB"/>
          <w14:ligatures w14:val="none"/>
        </w:rPr>
        <w:t xml:space="preserve"> to discuss this in more detail.</w:t>
      </w:r>
    </w:p>
    <w:p w14:paraId="37D002FE" w14:textId="6A3F6376" w:rsidR="00C50A51" w:rsidRPr="003A26D0" w:rsidRDefault="00E45BE0" w:rsidP="00B9634F">
      <w:pPr>
        <w:pStyle w:val="ListParagraph"/>
        <w:numPr>
          <w:ilvl w:val="0"/>
          <w:numId w:val="11"/>
        </w:numPr>
        <w:spacing w:before="100" w:beforeAutospacing="1" w:after="100" w:afterAutospacing="1" w:line="240" w:lineRule="auto"/>
        <w:ind w:left="0"/>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b/>
          <w:bCs/>
          <w:kern w:val="0"/>
          <w:sz w:val="24"/>
          <w:szCs w:val="24"/>
          <w:lang w:eastAsia="en-GB"/>
          <w14:ligatures w14:val="none"/>
        </w:rPr>
        <w:t xml:space="preserve">(AC </w:t>
      </w:r>
      <w:r w:rsidR="005657B8" w:rsidRPr="003A26D0">
        <w:rPr>
          <w:rFonts w:ascii="Times New Roman" w:eastAsia="Times New Roman" w:hAnsi="Times New Roman" w:cs="Times New Roman"/>
          <w:b/>
          <w:bCs/>
          <w:kern w:val="0"/>
          <w:sz w:val="24"/>
          <w:szCs w:val="24"/>
          <w:lang w:eastAsia="en-GB"/>
          <w14:ligatures w14:val="none"/>
        </w:rPr>
        <w:t>2.1</w:t>
      </w:r>
      <w:r w:rsidRPr="003A26D0">
        <w:rPr>
          <w:rFonts w:ascii="Times New Roman" w:eastAsia="Times New Roman" w:hAnsi="Times New Roman" w:cs="Times New Roman"/>
          <w:b/>
          <w:bCs/>
          <w:kern w:val="0"/>
          <w:sz w:val="24"/>
          <w:szCs w:val="24"/>
          <w:lang w:eastAsia="en-GB"/>
          <w14:ligatures w14:val="none"/>
        </w:rPr>
        <w:t>)</w:t>
      </w:r>
    </w:p>
    <w:p w14:paraId="79BED7B4" w14:textId="77777777" w:rsidR="00741DF7" w:rsidRPr="003A26D0" w:rsidRDefault="00741DF7" w:rsidP="00741DF7">
      <w:pPr>
        <w:pStyle w:val="ListParagraph"/>
        <w:spacing w:before="100" w:beforeAutospacing="1" w:after="100" w:afterAutospacing="1" w:line="240" w:lineRule="auto"/>
        <w:ind w:left="0"/>
        <w:rPr>
          <w:rFonts w:ascii="Times New Roman" w:eastAsia="Times New Roman" w:hAnsi="Times New Roman" w:cs="Times New Roman"/>
          <w:kern w:val="0"/>
          <w:sz w:val="24"/>
          <w:szCs w:val="24"/>
          <w:lang w:eastAsia="en-GB"/>
          <w14:ligatures w14:val="none"/>
        </w:rPr>
      </w:pPr>
    </w:p>
    <w:p w14:paraId="61A0D184" w14:textId="77777777" w:rsidR="001F6D0C" w:rsidRPr="003A26D0" w:rsidRDefault="001F6D0C" w:rsidP="001F6D0C">
      <w:pPr>
        <w:pStyle w:val="ListParagraph"/>
        <w:spacing w:before="100" w:beforeAutospacing="1" w:after="100" w:afterAutospacing="1" w:line="240" w:lineRule="auto"/>
        <w:ind w:left="0"/>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Under the Equality Act 2010 (EqA 2010), discrimination in recruitment and selection based on protected characteristics such as sex, race, disability, religion, or sexual orientation is </w:t>
      </w:r>
      <w:r w:rsidRPr="003A26D0">
        <w:rPr>
          <w:rFonts w:ascii="Times New Roman" w:eastAsia="Times New Roman" w:hAnsi="Times New Roman" w:cs="Times New Roman"/>
          <w:kern w:val="0"/>
          <w:sz w:val="24"/>
          <w:szCs w:val="24"/>
          <w:lang w:eastAsia="en-GB"/>
          <w14:ligatures w14:val="none"/>
        </w:rPr>
        <w:lastRenderedPageBreak/>
        <w:t>generally prohibited. However, there are a few occupational exceptions, which allow an employer to specify certain characteristics if they can justify them as a "proportionate means of achieving a legitimate aim" (EqA 2010).</w:t>
      </w:r>
    </w:p>
    <w:p w14:paraId="7192A424" w14:textId="77777777" w:rsidR="001F6D0C" w:rsidRPr="003A26D0" w:rsidRDefault="001F6D0C" w:rsidP="001F6D0C">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1AFE08E" w14:textId="4B732580" w:rsidR="001F6D0C" w:rsidRPr="003A26D0" w:rsidRDefault="001F6D0C" w:rsidP="000B4714">
      <w:pPr>
        <w:pStyle w:val="ListParagraph"/>
        <w:spacing w:before="100" w:beforeAutospacing="1" w:after="100" w:afterAutospacing="1" w:line="240" w:lineRule="auto"/>
        <w:ind w:left="0"/>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An occupational requirement is only allowed when the </w:t>
      </w:r>
      <w:r w:rsidR="000B4714" w:rsidRPr="003A26D0">
        <w:rPr>
          <w:rFonts w:ascii="Times New Roman" w:eastAsia="Times New Roman" w:hAnsi="Times New Roman" w:cs="Times New Roman"/>
          <w:kern w:val="0"/>
          <w:sz w:val="24"/>
          <w:szCs w:val="24"/>
          <w:lang w:eastAsia="en-GB"/>
          <w14:ligatures w14:val="none"/>
        </w:rPr>
        <w:t xml:space="preserve">job </w:t>
      </w:r>
      <w:r w:rsidRPr="003A26D0">
        <w:rPr>
          <w:rFonts w:ascii="Times New Roman" w:eastAsia="Times New Roman" w:hAnsi="Times New Roman" w:cs="Times New Roman"/>
          <w:kern w:val="0"/>
          <w:sz w:val="24"/>
          <w:szCs w:val="24"/>
          <w:lang w:eastAsia="en-GB"/>
          <w14:ligatures w14:val="none"/>
        </w:rPr>
        <w:t>role</w:t>
      </w:r>
      <w:r w:rsidR="000B4714" w:rsidRPr="003A26D0">
        <w:rPr>
          <w:rFonts w:ascii="Times New Roman" w:eastAsia="Times New Roman" w:hAnsi="Times New Roman" w:cs="Times New Roman"/>
          <w:kern w:val="0"/>
          <w:sz w:val="24"/>
          <w:szCs w:val="24"/>
          <w:lang w:eastAsia="en-GB"/>
          <w14:ligatures w14:val="none"/>
        </w:rPr>
        <w:t xml:space="preserve"> </w:t>
      </w:r>
      <w:r w:rsidRPr="003A26D0">
        <w:rPr>
          <w:rFonts w:ascii="Times New Roman" w:eastAsia="Times New Roman" w:hAnsi="Times New Roman" w:cs="Times New Roman"/>
          <w:kern w:val="0"/>
          <w:sz w:val="24"/>
          <w:szCs w:val="24"/>
          <w:lang w:eastAsia="en-GB"/>
          <w14:ligatures w14:val="none"/>
        </w:rPr>
        <w:t xml:space="preserve">makes it essential, and there is no </w:t>
      </w:r>
      <w:r w:rsidR="000B4714" w:rsidRPr="003A26D0">
        <w:rPr>
          <w:rFonts w:ascii="Times New Roman" w:eastAsia="Times New Roman" w:hAnsi="Times New Roman" w:cs="Times New Roman"/>
          <w:kern w:val="0"/>
          <w:sz w:val="24"/>
          <w:szCs w:val="24"/>
          <w:lang w:eastAsia="en-GB"/>
          <w14:ligatures w14:val="none"/>
        </w:rPr>
        <w:t>other option</w:t>
      </w:r>
      <w:r w:rsidRPr="003A26D0">
        <w:rPr>
          <w:rFonts w:ascii="Times New Roman" w:eastAsia="Times New Roman" w:hAnsi="Times New Roman" w:cs="Times New Roman"/>
          <w:kern w:val="0"/>
          <w:sz w:val="24"/>
          <w:szCs w:val="24"/>
          <w:lang w:eastAsia="en-GB"/>
          <w14:ligatures w14:val="none"/>
        </w:rPr>
        <w:t xml:space="preserve">. This </w:t>
      </w:r>
      <w:r w:rsidR="000B4714" w:rsidRPr="003A26D0">
        <w:rPr>
          <w:rFonts w:ascii="Times New Roman" w:eastAsia="Times New Roman" w:hAnsi="Times New Roman" w:cs="Times New Roman"/>
          <w:kern w:val="0"/>
          <w:sz w:val="24"/>
          <w:szCs w:val="24"/>
          <w:lang w:eastAsia="en-GB"/>
          <w14:ligatures w14:val="none"/>
        </w:rPr>
        <w:t>makes sure</w:t>
      </w:r>
      <w:r w:rsidRPr="003A26D0">
        <w:rPr>
          <w:rFonts w:ascii="Times New Roman" w:eastAsia="Times New Roman" w:hAnsi="Times New Roman" w:cs="Times New Roman"/>
          <w:kern w:val="0"/>
          <w:sz w:val="24"/>
          <w:szCs w:val="24"/>
          <w:lang w:eastAsia="en-GB"/>
          <w14:ligatures w14:val="none"/>
        </w:rPr>
        <w:t xml:space="preserve"> that the requirement is genuinely necessary rather than based on assumptions or employer preference (Daniels, 2022). A same-sex carer providing intimate personal care </w:t>
      </w:r>
      <w:r w:rsidR="000B4714" w:rsidRPr="003A26D0">
        <w:rPr>
          <w:rFonts w:ascii="Times New Roman" w:eastAsia="Times New Roman" w:hAnsi="Times New Roman" w:cs="Times New Roman"/>
          <w:kern w:val="0"/>
          <w:sz w:val="24"/>
          <w:szCs w:val="24"/>
          <w:lang w:eastAsia="en-GB"/>
          <w14:ligatures w14:val="none"/>
        </w:rPr>
        <w:t>can</w:t>
      </w:r>
      <w:r w:rsidRPr="003A26D0">
        <w:rPr>
          <w:rFonts w:ascii="Times New Roman" w:eastAsia="Times New Roman" w:hAnsi="Times New Roman" w:cs="Times New Roman"/>
          <w:kern w:val="0"/>
          <w:sz w:val="24"/>
          <w:szCs w:val="24"/>
          <w:lang w:eastAsia="en-GB"/>
          <w14:ligatures w14:val="none"/>
        </w:rPr>
        <w:t xml:space="preserve"> be justified </w:t>
      </w:r>
      <w:r w:rsidR="000B4714" w:rsidRPr="003A26D0">
        <w:rPr>
          <w:rFonts w:ascii="Times New Roman" w:eastAsia="Times New Roman" w:hAnsi="Times New Roman" w:cs="Times New Roman"/>
          <w:kern w:val="0"/>
          <w:sz w:val="24"/>
          <w:szCs w:val="24"/>
          <w:lang w:eastAsia="en-GB"/>
          <w14:ligatures w14:val="none"/>
        </w:rPr>
        <w:t xml:space="preserve">when taking </w:t>
      </w:r>
      <w:r w:rsidR="00741DF7" w:rsidRPr="003A26D0">
        <w:rPr>
          <w:rFonts w:ascii="Times New Roman" w:eastAsia="Times New Roman" w:hAnsi="Times New Roman" w:cs="Times New Roman"/>
          <w:kern w:val="0"/>
          <w:sz w:val="24"/>
          <w:szCs w:val="24"/>
          <w:lang w:eastAsia="en-GB"/>
          <w14:ligatures w14:val="none"/>
        </w:rPr>
        <w:t>into</w:t>
      </w:r>
      <w:r w:rsidR="000B4714" w:rsidRPr="003A26D0">
        <w:rPr>
          <w:rFonts w:ascii="Times New Roman" w:eastAsia="Times New Roman" w:hAnsi="Times New Roman" w:cs="Times New Roman"/>
          <w:kern w:val="0"/>
          <w:sz w:val="24"/>
          <w:szCs w:val="24"/>
          <w:lang w:eastAsia="en-GB"/>
          <w14:ligatures w14:val="none"/>
        </w:rPr>
        <w:t xml:space="preserve"> consideration</w:t>
      </w:r>
      <w:r w:rsidRPr="003A26D0">
        <w:rPr>
          <w:rFonts w:ascii="Times New Roman" w:eastAsia="Times New Roman" w:hAnsi="Times New Roman" w:cs="Times New Roman"/>
          <w:kern w:val="0"/>
          <w:sz w:val="24"/>
          <w:szCs w:val="24"/>
          <w:lang w:eastAsia="en-GB"/>
          <w14:ligatures w14:val="none"/>
        </w:rPr>
        <w:t xml:space="preserve"> privacy and dignity (EHRC, 2024). </w:t>
      </w:r>
      <w:r w:rsidR="000B4714" w:rsidRPr="003A26D0">
        <w:rPr>
          <w:rFonts w:ascii="Times New Roman" w:eastAsia="Times New Roman" w:hAnsi="Times New Roman" w:cs="Times New Roman"/>
          <w:kern w:val="0"/>
          <w:sz w:val="24"/>
          <w:szCs w:val="24"/>
          <w:lang w:eastAsia="en-GB"/>
          <w14:ligatures w14:val="none"/>
        </w:rPr>
        <w:t>In sensitive areas such as</w:t>
      </w:r>
      <w:r w:rsidRPr="003A26D0">
        <w:rPr>
          <w:rFonts w:ascii="Times New Roman" w:eastAsia="Times New Roman" w:hAnsi="Times New Roman" w:cs="Times New Roman"/>
          <w:kern w:val="0"/>
          <w:sz w:val="24"/>
          <w:szCs w:val="24"/>
          <w:lang w:eastAsia="en-GB"/>
          <w14:ligatures w14:val="none"/>
        </w:rPr>
        <w:t xml:space="preserve"> rape crisis centre</w:t>
      </w:r>
      <w:r w:rsidR="000B4714" w:rsidRPr="003A26D0">
        <w:rPr>
          <w:rFonts w:ascii="Times New Roman" w:eastAsia="Times New Roman" w:hAnsi="Times New Roman" w:cs="Times New Roman"/>
          <w:kern w:val="0"/>
          <w:sz w:val="24"/>
          <w:szCs w:val="24"/>
          <w:lang w:eastAsia="en-GB"/>
          <w14:ligatures w14:val="none"/>
        </w:rPr>
        <w:t>s</w:t>
      </w:r>
      <w:r w:rsidRPr="003A26D0">
        <w:rPr>
          <w:rFonts w:ascii="Times New Roman" w:eastAsia="Times New Roman" w:hAnsi="Times New Roman" w:cs="Times New Roman"/>
          <w:kern w:val="0"/>
          <w:sz w:val="24"/>
          <w:szCs w:val="24"/>
          <w:lang w:eastAsia="en-GB"/>
          <w14:ligatures w14:val="none"/>
        </w:rPr>
        <w:t xml:space="preserve"> may lawfully require female counsellors to support female victims of sexual violence, as male staff could cause further distress (CIPD, 2025).</w:t>
      </w:r>
    </w:p>
    <w:p w14:paraId="73467B94" w14:textId="77777777" w:rsidR="001F6D0C" w:rsidRPr="003A26D0" w:rsidRDefault="001F6D0C" w:rsidP="000B4714">
      <w:pPr>
        <w:pStyle w:val="ListParagraph"/>
        <w:spacing w:before="100" w:beforeAutospacing="1" w:after="100" w:afterAutospacing="1" w:line="240" w:lineRule="auto"/>
        <w:ind w:left="0"/>
        <w:rPr>
          <w:rFonts w:ascii="Times New Roman" w:eastAsia="Times New Roman" w:hAnsi="Times New Roman" w:cs="Times New Roman"/>
          <w:kern w:val="0"/>
          <w:sz w:val="24"/>
          <w:szCs w:val="24"/>
          <w:lang w:eastAsia="en-GB"/>
          <w14:ligatures w14:val="none"/>
        </w:rPr>
      </w:pPr>
    </w:p>
    <w:p w14:paraId="71FFCE5B" w14:textId="2D1CA012" w:rsidR="001F6D0C" w:rsidRPr="003A26D0" w:rsidRDefault="000B4714" w:rsidP="000B4714">
      <w:pPr>
        <w:pStyle w:val="ListParagraph"/>
        <w:spacing w:before="100" w:beforeAutospacing="1" w:after="100" w:afterAutospacing="1" w:line="240" w:lineRule="auto"/>
        <w:ind w:left="0"/>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With all that in mind,</w:t>
      </w:r>
      <w:r w:rsidR="001F6D0C" w:rsidRPr="003A26D0">
        <w:rPr>
          <w:rFonts w:ascii="Times New Roman" w:eastAsia="Times New Roman" w:hAnsi="Times New Roman" w:cs="Times New Roman"/>
          <w:kern w:val="0"/>
          <w:sz w:val="24"/>
          <w:szCs w:val="24"/>
          <w:lang w:eastAsia="en-GB"/>
          <w14:ligatures w14:val="none"/>
        </w:rPr>
        <w:t xml:space="preserve"> requirements cannot be used to satisfy customer preferences. A company cannot justify hiring only male managers based on stereotypical assumptions about leadership ability. Likewise, a women’s clothing store cannot refuse to hire men because it assumes only women can assist female customers, as shown in Etam plc v Rowan (1989), where the tribunal ruled that male employees could perform the same duties (Daniels, 2022). In Home Office v Moyhing (2000), the courts upheld a requirement for female staff to conduct intimate searches of female detainees, as it was necessary for privacy reasons.</w:t>
      </w:r>
    </w:p>
    <w:p w14:paraId="7D9C60FB" w14:textId="77777777" w:rsidR="001F6D0C" w:rsidRPr="003A26D0" w:rsidRDefault="001F6D0C" w:rsidP="000B4714">
      <w:pPr>
        <w:pStyle w:val="ListParagraph"/>
        <w:spacing w:before="100" w:beforeAutospacing="1" w:after="100" w:afterAutospacing="1" w:line="240" w:lineRule="auto"/>
        <w:ind w:left="0"/>
        <w:rPr>
          <w:rFonts w:ascii="Times New Roman" w:eastAsia="Times New Roman" w:hAnsi="Times New Roman" w:cs="Times New Roman"/>
          <w:kern w:val="0"/>
          <w:sz w:val="24"/>
          <w:szCs w:val="24"/>
          <w:lang w:eastAsia="en-GB"/>
          <w14:ligatures w14:val="none"/>
        </w:rPr>
      </w:pPr>
    </w:p>
    <w:p w14:paraId="73417AFC" w14:textId="0B062136" w:rsidR="001F6D0C" w:rsidRPr="003A26D0" w:rsidRDefault="000B4714" w:rsidP="000B4714">
      <w:pPr>
        <w:pStyle w:val="ListParagraph"/>
        <w:spacing w:before="100" w:beforeAutospacing="1" w:after="100" w:afterAutospacing="1" w:line="240" w:lineRule="auto"/>
        <w:ind w:left="0"/>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Employers</w:t>
      </w:r>
      <w:r w:rsidR="001F6D0C" w:rsidRPr="003A26D0">
        <w:rPr>
          <w:rFonts w:ascii="Times New Roman" w:eastAsia="Times New Roman" w:hAnsi="Times New Roman" w:cs="Times New Roman"/>
          <w:kern w:val="0"/>
          <w:sz w:val="24"/>
          <w:szCs w:val="24"/>
          <w:lang w:eastAsia="en-GB"/>
          <w14:ligatures w14:val="none"/>
        </w:rPr>
        <w:t xml:space="preserve"> must be cautious when relying on occupational requirements to avoid claims of indirect discrimination. They must ensure that any restriction is supported by strong evidence and meets the legal test of being a fair way to achieve a legitimate aim. A key example is religious organisations, where a requirement to be of a particular faith may be justified only if it is central to the role (EHRC, 2024).</w:t>
      </w:r>
    </w:p>
    <w:p w14:paraId="321814DA" w14:textId="77777777" w:rsidR="001F6D0C" w:rsidRPr="003A26D0" w:rsidRDefault="001F6D0C" w:rsidP="000B4714">
      <w:pPr>
        <w:pStyle w:val="ListParagraph"/>
        <w:spacing w:before="100" w:beforeAutospacing="1" w:after="100" w:afterAutospacing="1" w:line="240" w:lineRule="auto"/>
        <w:ind w:left="0"/>
        <w:rPr>
          <w:rFonts w:ascii="Times New Roman" w:eastAsia="Times New Roman" w:hAnsi="Times New Roman" w:cs="Times New Roman"/>
          <w:kern w:val="0"/>
          <w:sz w:val="24"/>
          <w:szCs w:val="24"/>
          <w:lang w:eastAsia="en-GB"/>
          <w14:ligatures w14:val="none"/>
        </w:rPr>
      </w:pPr>
    </w:p>
    <w:p w14:paraId="60E4BA0C" w14:textId="0DA3BA4C" w:rsidR="001F6D0C" w:rsidRPr="003A26D0" w:rsidRDefault="001F6D0C" w:rsidP="000B4714">
      <w:pPr>
        <w:pStyle w:val="ListParagraph"/>
        <w:spacing w:before="100" w:beforeAutospacing="1" w:after="100" w:afterAutospacing="1" w:line="240" w:lineRule="auto"/>
        <w:ind w:left="0"/>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It is also important to note that occupational requirements should </w:t>
      </w:r>
      <w:r w:rsidR="000B4714" w:rsidRPr="003A26D0">
        <w:rPr>
          <w:rFonts w:ascii="Times New Roman" w:eastAsia="Times New Roman" w:hAnsi="Times New Roman" w:cs="Times New Roman"/>
          <w:kern w:val="0"/>
          <w:sz w:val="24"/>
          <w:szCs w:val="24"/>
          <w:lang w:eastAsia="en-GB"/>
          <w14:ligatures w14:val="none"/>
        </w:rPr>
        <w:t xml:space="preserve">always be </w:t>
      </w:r>
      <w:r w:rsidR="00741DF7" w:rsidRPr="003A26D0">
        <w:rPr>
          <w:rFonts w:ascii="Times New Roman" w:eastAsia="Times New Roman" w:hAnsi="Times New Roman" w:cs="Times New Roman"/>
          <w:kern w:val="0"/>
          <w:sz w:val="24"/>
          <w:szCs w:val="24"/>
          <w:lang w:eastAsia="en-GB"/>
          <w14:ligatures w14:val="none"/>
        </w:rPr>
        <w:t>investigated</w:t>
      </w:r>
      <w:r w:rsidRPr="003A26D0">
        <w:rPr>
          <w:rFonts w:ascii="Times New Roman" w:eastAsia="Times New Roman" w:hAnsi="Times New Roman" w:cs="Times New Roman"/>
          <w:kern w:val="0"/>
          <w:sz w:val="24"/>
          <w:szCs w:val="24"/>
          <w:lang w:eastAsia="en-GB"/>
          <w14:ligatures w14:val="none"/>
        </w:rPr>
        <w:t xml:space="preserve"> to ensure they remain </w:t>
      </w:r>
      <w:r w:rsidR="000B4714" w:rsidRPr="003A26D0">
        <w:rPr>
          <w:rFonts w:ascii="Times New Roman" w:eastAsia="Times New Roman" w:hAnsi="Times New Roman" w:cs="Times New Roman"/>
          <w:kern w:val="0"/>
          <w:sz w:val="24"/>
          <w:szCs w:val="24"/>
          <w:lang w:eastAsia="en-GB"/>
          <w14:ligatures w14:val="none"/>
        </w:rPr>
        <w:t>correct</w:t>
      </w:r>
      <w:r w:rsidRPr="003A26D0">
        <w:rPr>
          <w:rFonts w:ascii="Times New Roman" w:eastAsia="Times New Roman" w:hAnsi="Times New Roman" w:cs="Times New Roman"/>
          <w:kern w:val="0"/>
          <w:sz w:val="24"/>
          <w:szCs w:val="24"/>
          <w:lang w:eastAsia="en-GB"/>
          <w14:ligatures w14:val="none"/>
        </w:rPr>
        <w:t xml:space="preserve"> as workplace policies </w:t>
      </w:r>
      <w:r w:rsidR="00741DF7" w:rsidRPr="003A26D0">
        <w:rPr>
          <w:rFonts w:ascii="Times New Roman" w:eastAsia="Times New Roman" w:hAnsi="Times New Roman" w:cs="Times New Roman"/>
          <w:kern w:val="0"/>
          <w:sz w:val="24"/>
          <w:szCs w:val="24"/>
          <w:lang w:eastAsia="en-GB"/>
          <w14:ligatures w14:val="none"/>
        </w:rPr>
        <w:t>change</w:t>
      </w:r>
      <w:r w:rsidRPr="003A26D0">
        <w:rPr>
          <w:rFonts w:ascii="Times New Roman" w:eastAsia="Times New Roman" w:hAnsi="Times New Roman" w:cs="Times New Roman"/>
          <w:kern w:val="0"/>
          <w:sz w:val="24"/>
          <w:szCs w:val="24"/>
          <w:lang w:eastAsia="en-GB"/>
          <w14:ligatures w14:val="none"/>
        </w:rPr>
        <w:t>. Employers should also consult guidance from the Equality and Human Rights Commission (EHRC) and CIPD to ensure compliance with the law.</w:t>
      </w:r>
    </w:p>
    <w:p w14:paraId="41C249CF" w14:textId="77777777" w:rsidR="001F6D0C" w:rsidRPr="003A26D0" w:rsidRDefault="001F6D0C" w:rsidP="001F6D0C">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01A24F2" w14:textId="55964FCE" w:rsidR="001F6D0C" w:rsidRPr="003A26D0" w:rsidRDefault="001F6D0C" w:rsidP="001F6D0C">
      <w:pPr>
        <w:pStyle w:val="ListParagraph"/>
        <w:spacing w:before="100" w:beforeAutospacing="1" w:after="100" w:afterAutospacing="1" w:line="240" w:lineRule="auto"/>
        <w:ind w:left="0"/>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I hope this helps clarify the principles of occupational requirements. Please let me know if you need any further assistance.</w:t>
      </w:r>
    </w:p>
    <w:p w14:paraId="103E886F" w14:textId="77777777" w:rsidR="001F6D0C" w:rsidRPr="003A26D0" w:rsidRDefault="001F6D0C" w:rsidP="001F6D0C">
      <w:pPr>
        <w:pStyle w:val="ListParagraph"/>
        <w:spacing w:before="100" w:beforeAutospacing="1" w:after="100" w:afterAutospacing="1" w:line="240" w:lineRule="auto"/>
        <w:ind w:left="0"/>
        <w:rPr>
          <w:rFonts w:ascii="Times New Roman" w:eastAsia="Times New Roman" w:hAnsi="Times New Roman" w:cs="Times New Roman"/>
          <w:kern w:val="0"/>
          <w:sz w:val="24"/>
          <w:szCs w:val="24"/>
          <w:lang w:eastAsia="en-GB"/>
          <w14:ligatures w14:val="none"/>
        </w:rPr>
      </w:pPr>
    </w:p>
    <w:p w14:paraId="4D98CE87" w14:textId="77777777" w:rsidR="001F6D0C" w:rsidRPr="003A26D0" w:rsidRDefault="001F6D0C" w:rsidP="001F6D0C">
      <w:pPr>
        <w:pStyle w:val="ListParagraph"/>
        <w:spacing w:after="0" w:line="240" w:lineRule="auto"/>
        <w:ind w:left="0"/>
        <w:rPr>
          <w:rFonts w:ascii="Times New Roman" w:eastAsia="Times New Roman" w:hAnsi="Times New Roman" w:cs="Times New Roman"/>
          <w:b/>
          <w:bCs/>
          <w:kern w:val="0"/>
          <w:sz w:val="24"/>
          <w:szCs w:val="24"/>
          <w:lang w:eastAsia="en-GB"/>
          <w14:ligatures w14:val="none"/>
        </w:rPr>
      </w:pPr>
    </w:p>
    <w:p w14:paraId="513FEEFC" w14:textId="77777777" w:rsidR="001F6D0C" w:rsidRPr="003A26D0" w:rsidRDefault="001F6D0C" w:rsidP="001F6D0C">
      <w:pPr>
        <w:pStyle w:val="ListParagraph"/>
        <w:spacing w:after="0" w:line="240" w:lineRule="auto"/>
        <w:ind w:left="0"/>
        <w:rPr>
          <w:rFonts w:ascii="Times New Roman" w:eastAsia="Times New Roman" w:hAnsi="Times New Roman" w:cs="Times New Roman"/>
          <w:b/>
          <w:bCs/>
          <w:kern w:val="0"/>
          <w:sz w:val="24"/>
          <w:szCs w:val="24"/>
          <w:lang w:eastAsia="en-GB"/>
          <w14:ligatures w14:val="none"/>
        </w:rPr>
      </w:pPr>
    </w:p>
    <w:p w14:paraId="4712C237" w14:textId="53705A6E" w:rsidR="00B9634F" w:rsidRPr="003A26D0" w:rsidRDefault="00582405" w:rsidP="000B4714">
      <w:pPr>
        <w:pStyle w:val="ListParagraph"/>
        <w:numPr>
          <w:ilvl w:val="0"/>
          <w:numId w:val="11"/>
        </w:numPr>
        <w:spacing w:after="0" w:line="240" w:lineRule="auto"/>
        <w:ind w:left="0"/>
        <w:rPr>
          <w:rFonts w:ascii="Times New Roman" w:eastAsia="Times New Roman" w:hAnsi="Times New Roman" w:cs="Times New Roman"/>
          <w:b/>
          <w:bCs/>
          <w:kern w:val="0"/>
          <w:sz w:val="24"/>
          <w:szCs w:val="24"/>
          <w:lang w:eastAsia="en-GB"/>
          <w14:ligatures w14:val="none"/>
        </w:rPr>
      </w:pPr>
      <w:r w:rsidRPr="003A26D0">
        <w:rPr>
          <w:rFonts w:ascii="Times New Roman" w:eastAsia="Times New Roman" w:hAnsi="Times New Roman" w:cs="Times New Roman"/>
          <w:b/>
          <w:bCs/>
          <w:kern w:val="0"/>
          <w:sz w:val="24"/>
          <w:szCs w:val="24"/>
          <w:lang w:eastAsia="en-GB"/>
          <w14:ligatures w14:val="none"/>
        </w:rPr>
        <w:t>(AC 2.2)</w:t>
      </w:r>
    </w:p>
    <w:p w14:paraId="41894856" w14:textId="2576511E" w:rsidR="000E2D88" w:rsidRPr="003A26D0" w:rsidRDefault="000E2D88" w:rsidP="000E2D88">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b/>
          <w:bCs/>
          <w:kern w:val="0"/>
          <w:sz w:val="24"/>
          <w:szCs w:val="24"/>
          <w:lang w:eastAsia="en-GB"/>
          <w14:ligatures w14:val="none"/>
        </w:rPr>
        <w:br/>
      </w:r>
      <w:r w:rsidRPr="003A26D0">
        <w:rPr>
          <w:rFonts w:ascii="Times New Roman" w:eastAsia="Times New Roman" w:hAnsi="Times New Roman" w:cs="Times New Roman"/>
          <w:kern w:val="0"/>
          <w:sz w:val="24"/>
          <w:szCs w:val="24"/>
          <w:lang w:eastAsia="en-GB"/>
          <w14:ligatures w14:val="none"/>
        </w:rPr>
        <w:t>Before approving, it is</w:t>
      </w:r>
      <w:r w:rsidR="003D5FC4" w:rsidRPr="003A26D0">
        <w:rPr>
          <w:rFonts w:ascii="Times New Roman" w:eastAsia="Times New Roman" w:hAnsi="Times New Roman" w:cs="Times New Roman"/>
          <w:kern w:val="0"/>
          <w:sz w:val="24"/>
          <w:szCs w:val="24"/>
          <w:lang w:eastAsia="en-GB"/>
          <w14:ligatures w14:val="none"/>
        </w:rPr>
        <w:t xml:space="preserve"> important </w:t>
      </w:r>
      <w:r w:rsidRPr="003A26D0">
        <w:rPr>
          <w:rFonts w:ascii="Times New Roman" w:eastAsia="Times New Roman" w:hAnsi="Times New Roman" w:cs="Times New Roman"/>
          <w:kern w:val="0"/>
          <w:sz w:val="24"/>
          <w:szCs w:val="24"/>
          <w:lang w:eastAsia="en-GB"/>
          <w14:ligatures w14:val="none"/>
        </w:rPr>
        <w:t>to consider the legal requirements of equal pay under the Equality Act 2010, which ensures that men and women performing the same or equivalent work receive equal pay and benefits (Equality Act 2010).</w:t>
      </w:r>
    </w:p>
    <w:p w14:paraId="4AA8DD37" w14:textId="77777777" w:rsidR="000E2D88" w:rsidRPr="003A26D0" w:rsidRDefault="000E2D88" w:rsidP="000E2D88">
      <w:pPr>
        <w:spacing w:after="0" w:line="240" w:lineRule="auto"/>
        <w:rPr>
          <w:rFonts w:ascii="Times New Roman" w:eastAsia="Times New Roman" w:hAnsi="Times New Roman" w:cs="Times New Roman"/>
          <w:kern w:val="0"/>
          <w:sz w:val="24"/>
          <w:szCs w:val="24"/>
          <w:lang w:eastAsia="en-GB"/>
          <w14:ligatures w14:val="none"/>
        </w:rPr>
      </w:pPr>
    </w:p>
    <w:p w14:paraId="4B3B55E1" w14:textId="77777777" w:rsidR="000E2D88" w:rsidRPr="003A26D0" w:rsidRDefault="000E2D88" w:rsidP="000E2D88">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Equal pay law requires that employees of different genders be paid equally for like work, which involves similar tasks and responsibilities. It also applies to work rated as equivalent, where a job evaluation scheme has determined that roles are of equal worth, and work of equal value, where different jobs require comparable levels of skill, responsibility, and effort (Daniels, 2022).</w:t>
      </w:r>
    </w:p>
    <w:p w14:paraId="3E5A7CD8" w14:textId="77777777" w:rsidR="000E2D88" w:rsidRPr="003A26D0" w:rsidRDefault="000E2D88" w:rsidP="000E2D88">
      <w:pPr>
        <w:spacing w:after="0" w:line="240" w:lineRule="auto"/>
        <w:rPr>
          <w:rFonts w:ascii="Times New Roman" w:eastAsia="Times New Roman" w:hAnsi="Times New Roman" w:cs="Times New Roman"/>
          <w:kern w:val="0"/>
          <w:sz w:val="24"/>
          <w:szCs w:val="24"/>
          <w:lang w:eastAsia="en-GB"/>
          <w14:ligatures w14:val="none"/>
        </w:rPr>
      </w:pPr>
    </w:p>
    <w:p w14:paraId="307437B9" w14:textId="77777777" w:rsidR="000E2D88" w:rsidRPr="003A26D0" w:rsidRDefault="000E2D88" w:rsidP="000E2D88">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Given that 80% of HCAs in the Trust are women, upgrading only the two male employees may raise concerns about indirect sex discrimination. If other HCAs, particularly women, </w:t>
      </w:r>
      <w:r w:rsidRPr="003A26D0">
        <w:rPr>
          <w:rFonts w:ascii="Times New Roman" w:eastAsia="Times New Roman" w:hAnsi="Times New Roman" w:cs="Times New Roman"/>
          <w:kern w:val="0"/>
          <w:sz w:val="24"/>
          <w:szCs w:val="24"/>
          <w:lang w:eastAsia="en-GB"/>
          <w14:ligatures w14:val="none"/>
        </w:rPr>
        <w:lastRenderedPageBreak/>
        <w:t>perform similar roles at Grade A but are not considered for promotion, they may have grounds to bring an equal pay claim. Under the law, an equal pay claim requires a comparator, meaning an individual of the opposite gender performing the same or equivalent work but receiving higher pay (ACAS, 2024). If a female HCA at Grade A can show that she performs similar work to those being upgraded but is not receiving the same benefits, this could lead to legal challenges.</w:t>
      </w:r>
    </w:p>
    <w:p w14:paraId="758A7218" w14:textId="77777777" w:rsidR="000E2D88" w:rsidRPr="003A26D0" w:rsidRDefault="000E2D88" w:rsidP="000E2D88">
      <w:pPr>
        <w:spacing w:after="0" w:line="240" w:lineRule="auto"/>
        <w:rPr>
          <w:rFonts w:ascii="Times New Roman" w:eastAsia="Times New Roman" w:hAnsi="Times New Roman" w:cs="Times New Roman"/>
          <w:kern w:val="0"/>
          <w:sz w:val="24"/>
          <w:szCs w:val="24"/>
          <w:lang w:eastAsia="en-GB"/>
          <w14:ligatures w14:val="none"/>
        </w:rPr>
      </w:pPr>
    </w:p>
    <w:p w14:paraId="5B480445" w14:textId="523E3633" w:rsidR="000E2D88" w:rsidRPr="003A26D0" w:rsidRDefault="000E2D88" w:rsidP="000E2D88">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To ensure </w:t>
      </w:r>
      <w:r w:rsidR="00CA761E" w:rsidRPr="003A26D0">
        <w:rPr>
          <w:rFonts w:ascii="Times New Roman" w:eastAsia="Times New Roman" w:hAnsi="Times New Roman" w:cs="Times New Roman"/>
          <w:kern w:val="0"/>
          <w:sz w:val="24"/>
          <w:szCs w:val="24"/>
          <w:lang w:eastAsia="en-GB"/>
          <w14:ligatures w14:val="none"/>
        </w:rPr>
        <w:t>fairness</w:t>
      </w:r>
      <w:r w:rsidRPr="003A26D0">
        <w:rPr>
          <w:rFonts w:ascii="Times New Roman" w:eastAsia="Times New Roman" w:hAnsi="Times New Roman" w:cs="Times New Roman"/>
          <w:kern w:val="0"/>
          <w:sz w:val="24"/>
          <w:szCs w:val="24"/>
          <w:lang w:eastAsia="en-GB"/>
          <w14:ligatures w14:val="none"/>
        </w:rPr>
        <w:t>, the Trust must have a clear</w:t>
      </w:r>
      <w:r w:rsidR="00CA761E" w:rsidRPr="003A26D0">
        <w:rPr>
          <w:rFonts w:ascii="Times New Roman" w:eastAsia="Times New Roman" w:hAnsi="Times New Roman" w:cs="Times New Roman"/>
          <w:kern w:val="0"/>
          <w:sz w:val="24"/>
          <w:szCs w:val="24"/>
          <w:lang w:eastAsia="en-GB"/>
          <w14:ligatures w14:val="none"/>
        </w:rPr>
        <w:t xml:space="preserve"> reason</w:t>
      </w:r>
      <w:r w:rsidRPr="003A26D0">
        <w:rPr>
          <w:rFonts w:ascii="Times New Roman" w:eastAsia="Times New Roman" w:hAnsi="Times New Roman" w:cs="Times New Roman"/>
          <w:kern w:val="0"/>
          <w:sz w:val="24"/>
          <w:szCs w:val="24"/>
          <w:lang w:eastAsia="en-GB"/>
          <w14:ligatures w14:val="none"/>
        </w:rPr>
        <w:t xml:space="preserve"> for selecting these two individuals for an upgrade. The law allows pay differences if they are due to a material factor that is genuine and unrelated to gender. This could include additional qualifications or specialist training required for the higher grade</w:t>
      </w:r>
      <w:r w:rsidR="00117577" w:rsidRPr="003A26D0">
        <w:rPr>
          <w:rFonts w:ascii="Times New Roman" w:eastAsia="Times New Roman" w:hAnsi="Times New Roman" w:cs="Times New Roman"/>
          <w:kern w:val="0"/>
          <w:sz w:val="24"/>
          <w:szCs w:val="24"/>
          <w:lang w:eastAsia="en-GB"/>
          <w14:ligatures w14:val="none"/>
        </w:rPr>
        <w:t xml:space="preserve"> </w:t>
      </w:r>
      <w:r w:rsidR="00117577" w:rsidRPr="003A26D0">
        <w:rPr>
          <w:rFonts w:ascii="Times New Roman" w:eastAsia="Times New Roman" w:hAnsi="Times New Roman" w:cs="Times New Roman"/>
          <w:kern w:val="0"/>
          <w:sz w:val="24"/>
          <w:szCs w:val="24"/>
          <w:lang w:eastAsia="en-GB"/>
          <w14:ligatures w14:val="none"/>
        </w:rPr>
        <w:t>(NI Business Info, 2024)</w:t>
      </w:r>
      <w:r w:rsidR="00117577" w:rsidRPr="003A26D0">
        <w:rPr>
          <w:rFonts w:ascii="Times New Roman" w:eastAsia="Times New Roman" w:hAnsi="Times New Roman" w:cs="Times New Roman"/>
          <w:kern w:val="0"/>
          <w:sz w:val="24"/>
          <w:szCs w:val="24"/>
          <w:lang w:eastAsia="en-GB"/>
          <w14:ligatures w14:val="none"/>
        </w:rPr>
        <w:t xml:space="preserve">, </w:t>
      </w:r>
      <w:r w:rsidRPr="003A26D0">
        <w:rPr>
          <w:rFonts w:ascii="Times New Roman" w:eastAsia="Times New Roman" w:hAnsi="Times New Roman" w:cs="Times New Roman"/>
          <w:kern w:val="0"/>
          <w:sz w:val="24"/>
          <w:szCs w:val="24"/>
          <w:lang w:eastAsia="en-GB"/>
          <w14:ligatures w14:val="none"/>
        </w:rPr>
        <w:t>measurable performance-based criteria justifying a pay increase, or an established job evaluation scheme confirming that these roles warrant higher pay</w:t>
      </w:r>
      <w:r w:rsidR="006B6B19" w:rsidRPr="003A26D0">
        <w:rPr>
          <w:rFonts w:ascii="Times New Roman" w:eastAsia="Times New Roman" w:hAnsi="Times New Roman" w:cs="Times New Roman"/>
          <w:kern w:val="0"/>
          <w:sz w:val="24"/>
          <w:szCs w:val="24"/>
          <w:lang w:eastAsia="en-GB"/>
          <w14:ligatures w14:val="none"/>
        </w:rPr>
        <w:t>.</w:t>
      </w:r>
    </w:p>
    <w:p w14:paraId="74D8A726" w14:textId="77777777" w:rsidR="000E2D88" w:rsidRPr="003A26D0" w:rsidRDefault="000E2D88" w:rsidP="000E2D88">
      <w:pPr>
        <w:spacing w:after="0" w:line="240" w:lineRule="auto"/>
        <w:rPr>
          <w:rFonts w:ascii="Times New Roman" w:eastAsia="Times New Roman" w:hAnsi="Times New Roman" w:cs="Times New Roman"/>
          <w:kern w:val="0"/>
          <w:sz w:val="24"/>
          <w:szCs w:val="24"/>
          <w:lang w:eastAsia="en-GB"/>
          <w14:ligatures w14:val="none"/>
        </w:rPr>
      </w:pPr>
    </w:p>
    <w:p w14:paraId="36916613" w14:textId="2960AAE6" w:rsidR="000E2D88" w:rsidRPr="003A26D0" w:rsidRDefault="000E2D88" w:rsidP="000E2D88">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A</w:t>
      </w:r>
      <w:r w:rsidR="00CA761E" w:rsidRPr="003A26D0">
        <w:rPr>
          <w:rFonts w:ascii="Times New Roman" w:eastAsia="Times New Roman" w:hAnsi="Times New Roman" w:cs="Times New Roman"/>
          <w:kern w:val="0"/>
          <w:sz w:val="24"/>
          <w:szCs w:val="24"/>
          <w:lang w:eastAsia="en-GB"/>
          <w14:ligatures w14:val="none"/>
        </w:rPr>
        <w:t xml:space="preserve">n </w:t>
      </w:r>
      <w:r w:rsidRPr="003A26D0">
        <w:rPr>
          <w:rFonts w:ascii="Times New Roman" w:eastAsia="Times New Roman" w:hAnsi="Times New Roman" w:cs="Times New Roman"/>
          <w:kern w:val="0"/>
          <w:sz w:val="24"/>
          <w:szCs w:val="24"/>
          <w:lang w:eastAsia="en-GB"/>
          <w14:ligatures w14:val="none"/>
        </w:rPr>
        <w:t xml:space="preserve">example of equal pay laws can be seen in the case of the Dagenham Ford workers in 1968, where female sewing machinists at the Ford plant went on strike after </w:t>
      </w:r>
      <w:r w:rsidR="00CA761E" w:rsidRPr="003A26D0">
        <w:rPr>
          <w:rFonts w:ascii="Times New Roman" w:eastAsia="Times New Roman" w:hAnsi="Times New Roman" w:cs="Times New Roman"/>
          <w:kern w:val="0"/>
          <w:sz w:val="24"/>
          <w:szCs w:val="24"/>
          <w:lang w:eastAsia="en-GB"/>
          <w14:ligatures w14:val="none"/>
        </w:rPr>
        <w:t>finding out</w:t>
      </w:r>
      <w:r w:rsidRPr="003A26D0">
        <w:rPr>
          <w:rFonts w:ascii="Times New Roman" w:eastAsia="Times New Roman" w:hAnsi="Times New Roman" w:cs="Times New Roman"/>
          <w:kern w:val="0"/>
          <w:sz w:val="24"/>
          <w:szCs w:val="24"/>
          <w:lang w:eastAsia="en-GB"/>
          <w14:ligatures w14:val="none"/>
        </w:rPr>
        <w:t xml:space="preserve"> they were paid </w:t>
      </w:r>
      <w:r w:rsidR="00CA761E" w:rsidRPr="003A26D0">
        <w:rPr>
          <w:rFonts w:ascii="Times New Roman" w:eastAsia="Times New Roman" w:hAnsi="Times New Roman" w:cs="Times New Roman"/>
          <w:kern w:val="0"/>
          <w:sz w:val="24"/>
          <w:szCs w:val="24"/>
          <w:lang w:eastAsia="en-GB"/>
          <w14:ligatures w14:val="none"/>
        </w:rPr>
        <w:t>a lot</w:t>
      </w:r>
      <w:r w:rsidRPr="003A26D0">
        <w:rPr>
          <w:rFonts w:ascii="Times New Roman" w:eastAsia="Times New Roman" w:hAnsi="Times New Roman" w:cs="Times New Roman"/>
          <w:kern w:val="0"/>
          <w:sz w:val="24"/>
          <w:szCs w:val="24"/>
          <w:lang w:eastAsia="en-GB"/>
          <w14:ligatures w14:val="none"/>
        </w:rPr>
        <w:t xml:space="preserve"> less than </w:t>
      </w:r>
      <w:r w:rsidR="00CA761E" w:rsidRPr="003A26D0">
        <w:rPr>
          <w:rFonts w:ascii="Times New Roman" w:eastAsia="Times New Roman" w:hAnsi="Times New Roman" w:cs="Times New Roman"/>
          <w:kern w:val="0"/>
          <w:sz w:val="24"/>
          <w:szCs w:val="24"/>
          <w:lang w:eastAsia="en-GB"/>
          <w14:ligatures w14:val="none"/>
        </w:rPr>
        <w:t>male employees</w:t>
      </w:r>
      <w:r w:rsidRPr="003A26D0">
        <w:rPr>
          <w:rFonts w:ascii="Times New Roman" w:eastAsia="Times New Roman" w:hAnsi="Times New Roman" w:cs="Times New Roman"/>
          <w:kern w:val="0"/>
          <w:sz w:val="24"/>
          <w:szCs w:val="24"/>
          <w:lang w:eastAsia="en-GB"/>
          <w14:ligatures w14:val="none"/>
        </w:rPr>
        <w:t xml:space="preserve">, despite performing skilled work. Their protest led to the introduction of the Equal Pay Act 1970, which later </w:t>
      </w:r>
      <w:r w:rsidR="003E338F" w:rsidRPr="003A26D0">
        <w:rPr>
          <w:rFonts w:ascii="Times New Roman" w:eastAsia="Times New Roman" w:hAnsi="Times New Roman" w:cs="Times New Roman"/>
          <w:kern w:val="0"/>
          <w:sz w:val="24"/>
          <w:szCs w:val="24"/>
          <w:lang w:eastAsia="en-GB"/>
          <w14:ligatures w14:val="none"/>
        </w:rPr>
        <w:t>developed into</w:t>
      </w:r>
      <w:r w:rsidRPr="003A26D0">
        <w:rPr>
          <w:rFonts w:ascii="Times New Roman" w:eastAsia="Times New Roman" w:hAnsi="Times New Roman" w:cs="Times New Roman"/>
          <w:kern w:val="0"/>
          <w:sz w:val="24"/>
          <w:szCs w:val="24"/>
          <w:lang w:eastAsia="en-GB"/>
          <w14:ligatures w14:val="none"/>
        </w:rPr>
        <w:t xml:space="preserve"> the Equality Act 2010 (Daniels, 2022). Cases like this highlight why pay decisions must be based on transparent, </w:t>
      </w:r>
      <w:r w:rsidR="00CA761E" w:rsidRPr="003A26D0">
        <w:rPr>
          <w:rFonts w:ascii="Times New Roman" w:eastAsia="Times New Roman" w:hAnsi="Times New Roman" w:cs="Times New Roman"/>
          <w:kern w:val="0"/>
          <w:sz w:val="24"/>
          <w:szCs w:val="24"/>
          <w:lang w:eastAsia="en-GB"/>
          <w14:ligatures w14:val="none"/>
        </w:rPr>
        <w:t>clear</w:t>
      </w:r>
      <w:r w:rsidRPr="003A26D0">
        <w:rPr>
          <w:rFonts w:ascii="Times New Roman" w:eastAsia="Times New Roman" w:hAnsi="Times New Roman" w:cs="Times New Roman"/>
          <w:kern w:val="0"/>
          <w:sz w:val="24"/>
          <w:szCs w:val="24"/>
          <w:lang w:eastAsia="en-GB"/>
          <w14:ligatures w14:val="none"/>
        </w:rPr>
        <w:t xml:space="preserve"> criteria to avoid claims of discrimination.</w:t>
      </w:r>
    </w:p>
    <w:p w14:paraId="0305B7C1" w14:textId="77777777" w:rsidR="000E2D88" w:rsidRPr="003A26D0" w:rsidRDefault="000E2D88" w:rsidP="000E2D88">
      <w:pPr>
        <w:spacing w:after="0" w:line="240" w:lineRule="auto"/>
        <w:rPr>
          <w:rFonts w:ascii="Times New Roman" w:eastAsia="Times New Roman" w:hAnsi="Times New Roman" w:cs="Times New Roman"/>
          <w:kern w:val="0"/>
          <w:sz w:val="24"/>
          <w:szCs w:val="24"/>
          <w:lang w:eastAsia="en-GB"/>
          <w14:ligatures w14:val="none"/>
        </w:rPr>
      </w:pPr>
    </w:p>
    <w:p w14:paraId="1CB2EDFC" w14:textId="653E903F" w:rsidR="000E2D88" w:rsidRPr="003A26D0" w:rsidRDefault="000E2D88" w:rsidP="000E2D88">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I recommend reviewing whether other HCAs of similar experience and responsibilities are eligible for an upgrade and ensuring that any decision is based on clear, non-discriminatory factors. Please let me know if you need further guidance on conducting an internal equal pay review.</w:t>
      </w:r>
    </w:p>
    <w:p w14:paraId="6452ADB3" w14:textId="77777777" w:rsidR="003642B3" w:rsidRPr="003A26D0" w:rsidRDefault="003642B3" w:rsidP="000E2D88">
      <w:pPr>
        <w:spacing w:after="0" w:line="240" w:lineRule="auto"/>
        <w:rPr>
          <w:rFonts w:ascii="Times New Roman" w:eastAsia="Times New Roman" w:hAnsi="Times New Roman" w:cs="Times New Roman"/>
          <w:kern w:val="0"/>
          <w:sz w:val="24"/>
          <w:szCs w:val="24"/>
          <w:lang w:eastAsia="en-GB"/>
          <w14:ligatures w14:val="none"/>
        </w:rPr>
      </w:pPr>
    </w:p>
    <w:p w14:paraId="40B9452E" w14:textId="77777777" w:rsidR="003642B3" w:rsidRPr="003A26D0" w:rsidRDefault="003642B3" w:rsidP="000E2D88">
      <w:pPr>
        <w:spacing w:after="0" w:line="240" w:lineRule="auto"/>
        <w:rPr>
          <w:rFonts w:ascii="Times New Roman" w:eastAsia="Times New Roman" w:hAnsi="Times New Roman" w:cs="Times New Roman"/>
          <w:kern w:val="0"/>
          <w:sz w:val="24"/>
          <w:szCs w:val="24"/>
          <w:lang w:eastAsia="en-GB"/>
          <w14:ligatures w14:val="none"/>
        </w:rPr>
      </w:pPr>
    </w:p>
    <w:p w14:paraId="4E6181EA" w14:textId="559F6897" w:rsidR="00C50A51" w:rsidRPr="003A26D0" w:rsidRDefault="003E338F" w:rsidP="00B9634F">
      <w:pPr>
        <w:pStyle w:val="ListParagraph"/>
        <w:numPr>
          <w:ilvl w:val="0"/>
          <w:numId w:val="11"/>
        </w:numPr>
        <w:spacing w:after="0" w:line="240" w:lineRule="auto"/>
        <w:ind w:left="0"/>
        <w:rPr>
          <w:rFonts w:ascii="Times New Roman" w:eastAsia="Times New Roman" w:hAnsi="Times New Roman" w:cs="Times New Roman"/>
          <w:b/>
          <w:bCs/>
          <w:kern w:val="0"/>
          <w:sz w:val="24"/>
          <w:szCs w:val="24"/>
          <w:lang w:eastAsia="en-GB"/>
          <w14:ligatures w14:val="none"/>
        </w:rPr>
      </w:pPr>
      <w:r w:rsidRPr="003A26D0">
        <w:rPr>
          <w:rFonts w:ascii="Times New Roman" w:eastAsia="Times New Roman" w:hAnsi="Times New Roman" w:cs="Times New Roman"/>
          <w:b/>
          <w:bCs/>
          <w:kern w:val="0"/>
          <w:sz w:val="24"/>
          <w:szCs w:val="24"/>
          <w:lang w:eastAsia="en-GB"/>
          <w14:ligatures w14:val="none"/>
        </w:rPr>
        <w:t>(AC 3.1)</w:t>
      </w:r>
    </w:p>
    <w:p w14:paraId="4B80F97D" w14:textId="19072415" w:rsidR="00AD2A4C" w:rsidRPr="003A26D0" w:rsidRDefault="00AD2A4C" w:rsidP="00AD2A4C">
      <w:pPr>
        <w:pStyle w:val="NormalWeb"/>
      </w:pPr>
      <w:r w:rsidRPr="003A26D0">
        <w:t xml:space="preserve">Constructive dismissal occurs when an employee resigns due to a serious breach of contract by their employer, making it </w:t>
      </w:r>
      <w:r w:rsidR="007F018E" w:rsidRPr="003A26D0">
        <w:t>extremely difficult</w:t>
      </w:r>
      <w:r w:rsidRPr="003A26D0">
        <w:t xml:space="preserve"> for them to continue working under the given conditions, as outlined in section 95(1)(c) of the Employment Rights Act 1996.</w:t>
      </w:r>
      <w:r w:rsidR="002C43A3" w:rsidRPr="003A26D0">
        <w:t xml:space="preserve"> An employee can only file a constructive dismissal claim if they have completed two years of continuous service. (People Management, 2017)</w:t>
      </w:r>
    </w:p>
    <w:p w14:paraId="2DF00B86" w14:textId="2960A7D7" w:rsidR="00AD2A4C" w:rsidRPr="003A26D0" w:rsidRDefault="00AD2A4C" w:rsidP="00AD2A4C">
      <w:pPr>
        <w:pStyle w:val="NormalWeb"/>
      </w:pPr>
      <w:r w:rsidRPr="003A26D0">
        <w:t xml:space="preserve">For a claim to succeed, the employee must </w:t>
      </w:r>
      <w:r w:rsidR="00E821E4" w:rsidRPr="003A26D0">
        <w:t>show</w:t>
      </w:r>
      <w:r w:rsidRPr="003A26D0">
        <w:t xml:space="preserve"> that </w:t>
      </w:r>
      <w:r w:rsidR="00117577" w:rsidRPr="003A26D0">
        <w:t xml:space="preserve">we have </w:t>
      </w:r>
      <w:r w:rsidRPr="003A26D0">
        <w:t>breach</w:t>
      </w:r>
      <w:r w:rsidR="00E821E4" w:rsidRPr="003A26D0">
        <w:t>ed the</w:t>
      </w:r>
      <w:r w:rsidR="00117577" w:rsidRPr="003A26D0">
        <w:t>ir</w:t>
      </w:r>
      <w:r w:rsidRPr="003A26D0">
        <w:t xml:space="preserve"> contract</w:t>
      </w:r>
      <w:r w:rsidR="00344D3A" w:rsidRPr="003A26D0">
        <w:t xml:space="preserve"> and </w:t>
      </w:r>
      <w:r w:rsidRPr="003A26D0">
        <w:t xml:space="preserve">that they resigned </w:t>
      </w:r>
      <w:r w:rsidR="00E821E4" w:rsidRPr="003A26D0">
        <w:t>because of t</w:t>
      </w:r>
      <w:r w:rsidRPr="003A26D0">
        <w:t>his breac</w:t>
      </w:r>
      <w:r w:rsidR="00344D3A" w:rsidRPr="003A26D0">
        <w:t>h</w:t>
      </w:r>
      <w:r w:rsidRPr="003A26D0">
        <w:t xml:space="preserve">. </w:t>
      </w:r>
      <w:r w:rsidR="003303C0" w:rsidRPr="003303C0">
        <w:t>In healthcare, changes to shift patterns can be particularly challenging for staff with caring responsibilities, so HR must ensure any adjustments are reasonable and consulted on</w:t>
      </w:r>
      <w:r w:rsidR="003303C0">
        <w:t xml:space="preserve">. </w:t>
      </w:r>
      <w:r w:rsidRPr="003A26D0">
        <w:t xml:space="preserve">If the radiographer’s contract stated specific working hours, such as day shifts only, but they were suddenly required to work night shifts, this could be considered an unreasonable change. </w:t>
      </w:r>
      <w:r w:rsidR="00344D3A" w:rsidRPr="003A26D0">
        <w:t>A</w:t>
      </w:r>
      <w:r w:rsidRPr="003A26D0">
        <w:t xml:space="preserve"> breach of mutual trust and confidence, such as implementing changes without consultation, can support a claim (Daniels, 2022</w:t>
      </w:r>
      <w:r w:rsidR="00117577" w:rsidRPr="003A26D0">
        <w:t>.)</w:t>
      </w:r>
    </w:p>
    <w:p w14:paraId="6CF6E8B9" w14:textId="14BE8226" w:rsidR="00AD2A4C" w:rsidRPr="003A26D0" w:rsidRDefault="00AD2A4C" w:rsidP="00AD2A4C">
      <w:pPr>
        <w:pStyle w:val="NormalWeb"/>
      </w:pPr>
      <w:r w:rsidRPr="003A26D0">
        <w:t>The Employment Tribunal time limit for bringing a claim is three months minus one day from the date of termination, as set out in section 111 of the Employment Rights Act 1996. If the radiographer does not submit their claim within this period, it is likely to be dismissed as out of time unless exceptional circumstances apply (Daniels, 2022).</w:t>
      </w:r>
    </w:p>
    <w:p w14:paraId="574AE144" w14:textId="29CE2C85" w:rsidR="00AD2A4C" w:rsidRPr="003A26D0" w:rsidRDefault="00AD2A4C" w:rsidP="00AD2A4C">
      <w:pPr>
        <w:pStyle w:val="NormalWeb"/>
      </w:pPr>
      <w:r w:rsidRPr="003A26D0">
        <w:t xml:space="preserve">Employers can defend against a constructive dismissal claim by demonstrating that there was no breach of contract, that the changes were </w:t>
      </w:r>
      <w:r w:rsidR="00344D3A" w:rsidRPr="003A26D0">
        <w:t xml:space="preserve">small </w:t>
      </w:r>
      <w:r w:rsidRPr="003A26D0">
        <w:t xml:space="preserve">or reasonable under the terms of </w:t>
      </w:r>
      <w:r w:rsidRPr="003A26D0">
        <w:lastRenderedPageBreak/>
        <w:t>employment, or that the employee accepted the changes. If the changes were necessary for business reasons and the Trust provided appropriate consultation and notice, this could also serve as a defence</w:t>
      </w:r>
      <w:r w:rsidR="00117577" w:rsidRPr="003A26D0">
        <w:t>.</w:t>
      </w:r>
      <w:r w:rsidR="008E0ADD" w:rsidRPr="003A26D0">
        <w:t xml:space="preserve"> (ACAS,2024)</w:t>
      </w:r>
    </w:p>
    <w:p w14:paraId="6EB0C272" w14:textId="4EC8FE1B" w:rsidR="00AD2A4C" w:rsidRPr="003A26D0" w:rsidRDefault="00AD2A4C" w:rsidP="00AD2A4C">
      <w:pPr>
        <w:pStyle w:val="NormalWeb"/>
      </w:pPr>
      <w:r w:rsidRPr="003A26D0">
        <w:t xml:space="preserve">If a claim is successful, compensation may include a basic award, which is calculated based on the length of service, age, and weekly pay, </w:t>
      </w:r>
      <w:r w:rsidR="00344D3A" w:rsidRPr="003A26D0">
        <w:t>like</w:t>
      </w:r>
      <w:r w:rsidRPr="003A26D0">
        <w:t xml:space="preserve"> redundancy pay. A compensatory award may also be granted, covering past and future loss of earnings, but this is subject to a statutory cap of 12 months' pay or the statutory maximum, whichever is lower. The employee must also demonstrate efforts by seeking alternative employment (ACAS, 2024).</w:t>
      </w:r>
    </w:p>
    <w:p w14:paraId="0E2079F7" w14:textId="2BC0BD3F" w:rsidR="00AD2A4C" w:rsidRPr="003A26D0" w:rsidRDefault="00AD2A4C" w:rsidP="00AD2A4C">
      <w:pPr>
        <w:pStyle w:val="NormalWeb"/>
      </w:pPr>
      <w:r w:rsidRPr="003A26D0">
        <w:t>I</w:t>
      </w:r>
      <w:r w:rsidR="00344D3A" w:rsidRPr="003A26D0">
        <w:t xml:space="preserve"> would advise to look at </w:t>
      </w:r>
      <w:r w:rsidRPr="003A26D0">
        <w:t xml:space="preserve">the radiographer’s contract and the process followed in implementing the change. If consultation took place and </w:t>
      </w:r>
      <w:r w:rsidR="00344D3A" w:rsidRPr="003A26D0">
        <w:t xml:space="preserve">it was for a good business reason </w:t>
      </w:r>
      <w:r w:rsidRPr="003A26D0">
        <w:t>this could support the Trust’s position. Please let me know if you would like further assistance in reviewing the case.</w:t>
      </w:r>
    </w:p>
    <w:p w14:paraId="0052D864" w14:textId="77777777" w:rsidR="007F018E" w:rsidRPr="003A26D0" w:rsidRDefault="007F018E" w:rsidP="00AD2A4C">
      <w:pPr>
        <w:spacing w:after="0" w:line="240" w:lineRule="auto"/>
        <w:rPr>
          <w:rFonts w:ascii="Times New Roman" w:eastAsia="Times New Roman" w:hAnsi="Times New Roman" w:cs="Times New Roman"/>
          <w:kern w:val="0"/>
          <w:sz w:val="24"/>
          <w:szCs w:val="24"/>
          <w:lang w:eastAsia="en-GB"/>
          <w14:ligatures w14:val="none"/>
        </w:rPr>
      </w:pPr>
    </w:p>
    <w:p w14:paraId="21FD0F6A" w14:textId="2507B95C" w:rsidR="007F018E" w:rsidRPr="003A26D0" w:rsidRDefault="007F018E" w:rsidP="00B9634F">
      <w:pPr>
        <w:pStyle w:val="ListParagraph"/>
        <w:numPr>
          <w:ilvl w:val="0"/>
          <w:numId w:val="11"/>
        </w:numPr>
        <w:spacing w:after="0" w:line="240" w:lineRule="auto"/>
        <w:ind w:left="0"/>
        <w:rPr>
          <w:rFonts w:ascii="Times New Roman" w:eastAsia="Times New Roman" w:hAnsi="Times New Roman" w:cs="Times New Roman"/>
          <w:b/>
          <w:bCs/>
          <w:kern w:val="0"/>
          <w:sz w:val="24"/>
          <w:szCs w:val="24"/>
          <w:lang w:eastAsia="en-GB"/>
          <w14:ligatures w14:val="none"/>
        </w:rPr>
      </w:pPr>
      <w:r w:rsidRPr="003A26D0">
        <w:rPr>
          <w:rFonts w:ascii="Times New Roman" w:eastAsia="Times New Roman" w:hAnsi="Times New Roman" w:cs="Times New Roman"/>
          <w:b/>
          <w:bCs/>
          <w:kern w:val="0"/>
          <w:sz w:val="24"/>
          <w:szCs w:val="24"/>
          <w:lang w:eastAsia="en-GB"/>
          <w14:ligatures w14:val="none"/>
        </w:rPr>
        <w:t>(A.C 3.2)</w:t>
      </w:r>
    </w:p>
    <w:p w14:paraId="1D71D5F0" w14:textId="77777777" w:rsidR="00FD71AC" w:rsidRPr="003A26D0" w:rsidRDefault="00FD71AC" w:rsidP="00FD71AC">
      <w:pPr>
        <w:pStyle w:val="NormalWeb"/>
      </w:pPr>
      <w:r w:rsidRPr="003A26D0">
        <w:t>While I understand the need to proceed efficiently, it is key that the process follows employment law to avoid legal risks and claims for unfair dismissal. The Employment Rights Act 1996 and the Trade Union and Labour Relations (Consolidation) Act 1992 (TULRCA) set out clear requirements for redundancy, particularly in cases involving a large number of job losses.</w:t>
      </w:r>
    </w:p>
    <w:p w14:paraId="33290871" w14:textId="377D1B70" w:rsidR="00FD71AC" w:rsidRPr="003A26D0" w:rsidRDefault="00FD71AC" w:rsidP="00FD71AC">
      <w:pPr>
        <w:pStyle w:val="NormalWeb"/>
      </w:pPr>
      <w:r w:rsidRPr="003A26D0">
        <w:t xml:space="preserve">Where 20 or more employees are at risk of redundancy within a 90-day period, the Trust must engage in a collective consultation with staff members, as required under TULRCA 1992, s.188 (Daniels, 2022). The information </w:t>
      </w:r>
      <w:r w:rsidR="008E0ADD" w:rsidRPr="003A26D0">
        <w:t>that must</w:t>
      </w:r>
      <w:r w:rsidRPr="003A26D0">
        <w:t xml:space="preserve"> be given to all employees is the reason for redundancy, how many could face redundancy, the selection process, and redundancy pay calculations. Since 50 posts are to be made redundant, the Trust must have a consultation period of at least 30 days before issuing any dismissal notices. </w:t>
      </w:r>
      <w:r w:rsidR="008E0ADD" w:rsidRPr="003A26D0">
        <w:t xml:space="preserve">(GOV.UK) </w:t>
      </w:r>
      <w:r w:rsidRPr="003A26D0">
        <w:t>Failure to comply could lead to claims for protective awards, requiring the employer to pay up to 90 days' pay per affected employee</w:t>
      </w:r>
      <w:r w:rsidR="008E0ADD" w:rsidRPr="003A26D0">
        <w:t>. (ACAS)</w:t>
      </w:r>
    </w:p>
    <w:p w14:paraId="4835AFFE" w14:textId="2FA951DA" w:rsidR="00FD71AC" w:rsidRPr="003A26D0" w:rsidRDefault="00FD71AC" w:rsidP="00FD71AC">
      <w:pPr>
        <w:pStyle w:val="NormalWeb"/>
      </w:pPr>
      <w:r w:rsidRPr="003A26D0">
        <w:t xml:space="preserve">Redundancy selections must be based on fair and objective criteria rather than automatically dismissing the "poorest performers." While performance can be a valid factor, it must be measurable, transparent, and applied consistently. Other factors, such as length of service, skills, and experience, should also be considered (Daniels, 2022). If performance is used, there should be documented evidence, such as appraisals or performance records, to support the decision. Automatically targeting underperformers without considering alternative options could expose </w:t>
      </w:r>
      <w:r w:rsidR="008E0ADD" w:rsidRPr="003A26D0">
        <w:t xml:space="preserve">us </w:t>
      </w:r>
      <w:r w:rsidRPr="003A26D0">
        <w:t>to unfair dismissal claims under the Employment Rights Act 1996.</w:t>
      </w:r>
    </w:p>
    <w:p w14:paraId="4EAD6E0D" w14:textId="5E8ABB17" w:rsidR="00FD71AC" w:rsidRPr="003A26D0" w:rsidRDefault="00FD71AC" w:rsidP="00FD71AC">
      <w:pPr>
        <w:pStyle w:val="NormalWeb"/>
      </w:pPr>
      <w:r w:rsidRPr="003A26D0">
        <w:t xml:space="preserve">During the consultation period, employees must be given a genuine opportunity to explore alternatives to redundancy, such as redeployment, voluntary redundancy, or reduced working hours. If </w:t>
      </w:r>
      <w:r w:rsidR="008E0ADD" w:rsidRPr="003A26D0">
        <w:t>we can</w:t>
      </w:r>
      <w:r w:rsidRPr="003A26D0">
        <w:t xml:space="preserve">, offering suitable alternative employment could help retain skilled staff and </w:t>
      </w:r>
      <w:r w:rsidR="007108EC" w:rsidRPr="003A26D0">
        <w:t>avoid</w:t>
      </w:r>
      <w:r w:rsidRPr="003A26D0">
        <w:t xml:space="preserve"> financial and reputational risks (ACAS, 2024).</w:t>
      </w:r>
    </w:p>
    <w:p w14:paraId="6E63CD33" w14:textId="77777777" w:rsidR="00FD71AC" w:rsidRPr="003A26D0" w:rsidRDefault="00FD71AC" w:rsidP="00FD71AC">
      <w:pPr>
        <w:pStyle w:val="NormalWeb"/>
      </w:pPr>
      <w:r w:rsidRPr="003A26D0">
        <w:t xml:space="preserve">Employees selected for redundancy must also receive their statutory redundancy pay, provided they have at least two years of continuous service. The amount is calculated based on age, length of service, and weekly pay, subject to a statutory cap (ACAS, 2024). The Trust </w:t>
      </w:r>
      <w:r w:rsidRPr="003A26D0">
        <w:lastRenderedPageBreak/>
        <w:t>must ensure redundancy dismissals are genuine and unavoidable, as failing to do so could result in claims of wrongful dismissal or breach of contract.</w:t>
      </w:r>
    </w:p>
    <w:p w14:paraId="05C40DA0" w14:textId="77777777" w:rsidR="00FD71AC" w:rsidRPr="003A26D0" w:rsidRDefault="00FD71AC" w:rsidP="00FD71AC">
      <w:pPr>
        <w:pStyle w:val="NormalWeb"/>
      </w:pPr>
      <w:r w:rsidRPr="003A26D0">
        <w:t>Taking the time to properly consult, document decisions, and explore all available options will help protect the Trust from legal risks while ensuring that affected employees are treated fairly.</w:t>
      </w:r>
    </w:p>
    <w:p w14:paraId="7C3763C2" w14:textId="77777777" w:rsidR="00387498" w:rsidRPr="003A26D0" w:rsidRDefault="00387498" w:rsidP="00D27B48">
      <w:pPr>
        <w:spacing w:after="0" w:line="240" w:lineRule="auto"/>
        <w:rPr>
          <w:rFonts w:ascii="Times New Roman" w:eastAsia="Times New Roman" w:hAnsi="Times New Roman" w:cs="Times New Roman"/>
          <w:kern w:val="0"/>
          <w:sz w:val="24"/>
          <w:szCs w:val="24"/>
          <w:lang w:eastAsia="en-GB"/>
          <w14:ligatures w14:val="none"/>
        </w:rPr>
      </w:pPr>
    </w:p>
    <w:p w14:paraId="18CB54D0" w14:textId="77777777" w:rsidR="00387498" w:rsidRPr="003A26D0" w:rsidRDefault="00387498" w:rsidP="00D27B48">
      <w:pPr>
        <w:spacing w:after="0" w:line="240" w:lineRule="auto"/>
        <w:rPr>
          <w:rFonts w:ascii="Times New Roman" w:eastAsia="Times New Roman" w:hAnsi="Times New Roman" w:cs="Times New Roman"/>
          <w:kern w:val="0"/>
          <w:sz w:val="24"/>
          <w:szCs w:val="24"/>
          <w:lang w:eastAsia="en-GB"/>
          <w14:ligatures w14:val="none"/>
        </w:rPr>
      </w:pPr>
    </w:p>
    <w:p w14:paraId="41649E67" w14:textId="7275C96F" w:rsidR="00387498" w:rsidRPr="003A26D0" w:rsidRDefault="00B36FFD" w:rsidP="00B9634F">
      <w:pPr>
        <w:pStyle w:val="ListParagraph"/>
        <w:numPr>
          <w:ilvl w:val="0"/>
          <w:numId w:val="11"/>
        </w:numPr>
        <w:spacing w:after="0" w:line="240" w:lineRule="auto"/>
        <w:ind w:left="0"/>
        <w:rPr>
          <w:rFonts w:ascii="Times New Roman" w:eastAsia="Times New Roman" w:hAnsi="Times New Roman" w:cs="Times New Roman"/>
          <w:b/>
          <w:bCs/>
          <w:kern w:val="0"/>
          <w:sz w:val="24"/>
          <w:szCs w:val="24"/>
          <w:lang w:eastAsia="en-GB"/>
          <w14:ligatures w14:val="none"/>
        </w:rPr>
      </w:pPr>
      <w:r w:rsidRPr="003A26D0">
        <w:rPr>
          <w:rFonts w:ascii="Times New Roman" w:eastAsia="Times New Roman" w:hAnsi="Times New Roman" w:cs="Times New Roman"/>
          <w:b/>
          <w:bCs/>
          <w:kern w:val="0"/>
          <w:sz w:val="24"/>
          <w:szCs w:val="24"/>
          <w:lang w:eastAsia="en-GB"/>
          <w14:ligatures w14:val="none"/>
        </w:rPr>
        <w:t>(AC 3.3)</w:t>
      </w:r>
    </w:p>
    <w:p w14:paraId="40636FA8" w14:textId="5B2E3A2C" w:rsidR="001B5481" w:rsidRPr="003A26D0" w:rsidRDefault="001B5481" w:rsidP="001B5481">
      <w:pPr>
        <w:pStyle w:val="NormalWeb"/>
      </w:pPr>
      <w:r w:rsidRPr="003A26D0">
        <w:t>As you prepare to enter discussions regarding the potential merger of our Trust’s pharmacy operations with those of our neighbouring hospital trust, it is important to consider the legal implications for employees under the Transfer of Undertakings Protection of Employment Regulations 2006 (TUPE). If the merger proceeds and involves the transfer of an economic entity that retains its identity, TUPE will apply, ensuring that employees’ rights are protected (Daniels, 2022). This regulation is particularly important in the healthcare sector, where length of service is essential to patient care and operational stability.</w:t>
      </w:r>
    </w:p>
    <w:p w14:paraId="41BF5034" w14:textId="2B945F7D" w:rsidR="001B5481" w:rsidRPr="003A26D0" w:rsidRDefault="001B5481" w:rsidP="001B5481">
      <w:pPr>
        <w:pStyle w:val="NormalWeb"/>
      </w:pPr>
      <w:r w:rsidRPr="003A26D0">
        <w:t>Under TUPE, employees involved in the transferring pharmacy operations will have their contracts of employment automatically transferred to the new employer under the same terms and conditions. The new employer assumes all contractual rights, duties, and liabilities, ensuring that continuity of service is maintained and existing employment rights, such as redundancy pay and unfair dismissal protections, remain intact. Any agreements in place before the transfer continue to apply (CIPD, 2024). Employees must be reassured that their length of service and contractual entitlements will be carried over, preventing any disadvantage due to the</w:t>
      </w:r>
      <w:r w:rsidR="007108EC" w:rsidRPr="003A26D0">
        <w:t xml:space="preserve"> change</w:t>
      </w:r>
      <w:r w:rsidRPr="003A26D0">
        <w:t>.</w:t>
      </w:r>
    </w:p>
    <w:p w14:paraId="6374C25D" w14:textId="77777777" w:rsidR="001B5481" w:rsidRPr="003A26D0" w:rsidRDefault="001B5481" w:rsidP="001B5481">
      <w:pPr>
        <w:pStyle w:val="NormalWeb"/>
      </w:pPr>
      <w:r w:rsidRPr="003A26D0">
        <w:t>Dismissals linked to the transfer are automatically treated as unfair unless they are for an economic, technical, or organisational (ETO) reason entailing changes in the workforce. Employees dismissed immediately before the transfer due to reasons related to it may claim unfair dismissal. If substantial changes to working conditions occur that are detrimental to employees, they may be considered constructively dismissed (Daniels, 2022). Employers must be mindful of these risks and ensure that any restructuring is legally justified.</w:t>
      </w:r>
    </w:p>
    <w:p w14:paraId="11516412" w14:textId="22FB4CFA" w:rsidR="001B5481" w:rsidRPr="003A26D0" w:rsidRDefault="001B5481" w:rsidP="001B5481">
      <w:pPr>
        <w:pStyle w:val="NormalWeb"/>
      </w:pPr>
      <w:r w:rsidRPr="003A26D0">
        <w:t xml:space="preserve">Employers involved in the transfer must provide affected employees and their representatives with key information about the transfer, including its expected date, legal implications, and any proposed measures. If any measures are </w:t>
      </w:r>
      <w:r w:rsidR="007108EC" w:rsidRPr="003A26D0">
        <w:t>foreseen</w:t>
      </w:r>
      <w:r w:rsidRPr="003A26D0">
        <w:t>, consultation with employee representatives is required. Failure to inform and consult can result in financial penalties, including compensation of up to 13 weeks’ pay per affected employee (CIPD, 2024). Communicating with employees early in the process helps to iron out concerns and keep morale.</w:t>
      </w:r>
    </w:p>
    <w:p w14:paraId="7A78CACC" w14:textId="5FD36015" w:rsidR="001B5481" w:rsidRPr="003A26D0" w:rsidRDefault="001B5481" w:rsidP="001B5481">
      <w:pPr>
        <w:pStyle w:val="NormalWeb"/>
      </w:pPr>
      <w:r w:rsidRPr="003A26D0">
        <w:t>Post-transfer, contractual changes are usually void unless there is an ETO reason. These reasons must involve changes to the workforce, such as job role modifications, redundancies, or restructuring. Changes cannot be made simply because of the transfer itself (Armstrong and Taylor, 2023). It is advised to review the operational structure in advance to assess whether any changes will be necessary and how they can be managed within the scope of TUPE regulations.</w:t>
      </w:r>
    </w:p>
    <w:p w14:paraId="0708E029" w14:textId="6F21DCEF" w:rsidR="001B5481" w:rsidRPr="003A26D0" w:rsidRDefault="001B5481" w:rsidP="001B5481">
      <w:pPr>
        <w:pStyle w:val="NormalWeb"/>
      </w:pPr>
      <w:r w:rsidRPr="003A26D0">
        <w:lastRenderedPageBreak/>
        <w:t>Given that our Trust will be the host for the centralised pharmacy, TUPE is likely to apply to employees from the other Trust. A detailed assessment should be carried out to determine which employees are assigned to the pharmacy services that will transfer. Clear communication and planning with affected employees are important for transparency and will help ensure a smooth transition. Employees should be encouraged to raise any concerns so that they can be addressed quickly and factually, reducing uncertainty and resistance to change.</w:t>
      </w:r>
    </w:p>
    <w:p w14:paraId="22A859F9" w14:textId="77777777" w:rsidR="00B36FFD" w:rsidRPr="003A26D0" w:rsidRDefault="00B36FFD" w:rsidP="00D27B48">
      <w:pPr>
        <w:spacing w:after="0" w:line="240" w:lineRule="auto"/>
        <w:rPr>
          <w:rFonts w:ascii="Times New Roman" w:eastAsia="Times New Roman" w:hAnsi="Times New Roman" w:cs="Times New Roman"/>
          <w:b/>
          <w:bCs/>
          <w:kern w:val="0"/>
          <w:sz w:val="24"/>
          <w:szCs w:val="24"/>
          <w:lang w:eastAsia="en-GB"/>
          <w14:ligatures w14:val="none"/>
        </w:rPr>
      </w:pPr>
    </w:p>
    <w:p w14:paraId="0CE59079" w14:textId="00647F08" w:rsidR="00301552" w:rsidRPr="003A26D0" w:rsidRDefault="002832E1" w:rsidP="00B9634F">
      <w:pPr>
        <w:pStyle w:val="ListParagraph"/>
        <w:numPr>
          <w:ilvl w:val="0"/>
          <w:numId w:val="11"/>
        </w:numPr>
        <w:spacing w:after="0" w:line="240" w:lineRule="auto"/>
        <w:ind w:left="0"/>
        <w:rPr>
          <w:rFonts w:ascii="Times New Roman" w:eastAsia="Times New Roman" w:hAnsi="Times New Roman" w:cs="Times New Roman"/>
          <w:b/>
          <w:bCs/>
          <w:kern w:val="0"/>
          <w:sz w:val="24"/>
          <w:szCs w:val="24"/>
          <w:lang w:eastAsia="en-GB"/>
          <w14:ligatures w14:val="none"/>
        </w:rPr>
      </w:pPr>
      <w:r w:rsidRPr="003A26D0">
        <w:rPr>
          <w:rFonts w:ascii="Times New Roman" w:eastAsia="Times New Roman" w:hAnsi="Times New Roman" w:cs="Times New Roman"/>
          <w:b/>
          <w:bCs/>
          <w:kern w:val="0"/>
          <w:sz w:val="24"/>
          <w:szCs w:val="24"/>
          <w:lang w:eastAsia="en-GB"/>
          <w14:ligatures w14:val="none"/>
        </w:rPr>
        <w:t>(AC 4.1)</w:t>
      </w:r>
    </w:p>
    <w:p w14:paraId="375FD29D" w14:textId="77777777" w:rsidR="00C86655" w:rsidRPr="003A26D0" w:rsidRDefault="00C86655" w:rsidP="00C86655">
      <w:pPr>
        <w:pStyle w:val="ListParagraph"/>
        <w:spacing w:after="0" w:line="240" w:lineRule="auto"/>
        <w:ind w:left="0"/>
        <w:rPr>
          <w:rFonts w:ascii="Times New Roman" w:eastAsia="Times New Roman" w:hAnsi="Times New Roman" w:cs="Times New Roman"/>
          <w:b/>
          <w:bCs/>
          <w:kern w:val="0"/>
          <w:sz w:val="24"/>
          <w:szCs w:val="24"/>
          <w:lang w:eastAsia="en-GB"/>
          <w14:ligatures w14:val="none"/>
        </w:rPr>
      </w:pPr>
    </w:p>
    <w:p w14:paraId="33698149" w14:textId="074536B1"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Under the Working Time Regulations 1998 (WTR), all workers, including those on casual and irregular-hour contracts, are entitled to a minimum of 5.6 weeks (28 days) of paid annual leave per year, which can be pro-rated based on their working patterns (ACAS, 2024). For workers with irregular hours, holiday pay should be calculated using their average weekly earnings over the previous 52 weeks, counting only the weeks in which they were paid. If they have been employed for less than 52 weeks, the calculation should be based on the total number of full weeks worked (ACAS, 2024).</w:t>
      </w:r>
    </w:p>
    <w:p w14:paraId="71919BD1" w14:textId="77777777"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p>
    <w:p w14:paraId="7A139A02" w14:textId="3C4762A1"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To ensure fairness, holiday pay must reflect the worker’s usual earnings, including commission, bonuses, and regular overtime (ACAS, 2024). If a worker’s pay cycle runs from Thursday to Wednesday instead of the standard Sunday to Saturday, their holiday pay should be calculated based on their average earnings </w:t>
      </w:r>
      <w:r w:rsidR="00335F63">
        <w:rPr>
          <w:rFonts w:ascii="Times New Roman" w:eastAsia="Times New Roman" w:hAnsi="Times New Roman" w:cs="Times New Roman"/>
          <w:kern w:val="0"/>
          <w:sz w:val="24"/>
          <w:szCs w:val="24"/>
          <w:lang w:eastAsia="en-GB"/>
          <w14:ligatures w14:val="none"/>
        </w:rPr>
        <w:t>from</w:t>
      </w:r>
      <w:r w:rsidRPr="003A26D0">
        <w:rPr>
          <w:rFonts w:ascii="Times New Roman" w:eastAsia="Times New Roman" w:hAnsi="Times New Roman" w:cs="Times New Roman"/>
          <w:kern w:val="0"/>
          <w:sz w:val="24"/>
          <w:szCs w:val="24"/>
          <w:lang w:eastAsia="en-GB"/>
          <w14:ligatures w14:val="none"/>
        </w:rPr>
        <w:t xml:space="preserve"> Thursday</w:t>
      </w:r>
      <w:r w:rsidR="007108EC" w:rsidRPr="003A26D0">
        <w:rPr>
          <w:rFonts w:ascii="Times New Roman" w:eastAsia="Times New Roman" w:hAnsi="Times New Roman" w:cs="Times New Roman"/>
          <w:kern w:val="0"/>
          <w:sz w:val="24"/>
          <w:szCs w:val="24"/>
          <w:lang w:eastAsia="en-GB"/>
          <w14:ligatures w14:val="none"/>
        </w:rPr>
        <w:t xml:space="preserve"> </w:t>
      </w:r>
      <w:r w:rsidRPr="003A26D0">
        <w:rPr>
          <w:rFonts w:ascii="Times New Roman" w:eastAsia="Times New Roman" w:hAnsi="Times New Roman" w:cs="Times New Roman"/>
          <w:kern w:val="0"/>
          <w:sz w:val="24"/>
          <w:szCs w:val="24"/>
          <w:lang w:eastAsia="en-GB"/>
          <w14:ligatures w14:val="none"/>
        </w:rPr>
        <w:t>to</w:t>
      </w:r>
      <w:r w:rsidR="007108EC" w:rsidRPr="003A26D0">
        <w:rPr>
          <w:rFonts w:ascii="Times New Roman" w:eastAsia="Times New Roman" w:hAnsi="Times New Roman" w:cs="Times New Roman"/>
          <w:kern w:val="0"/>
          <w:sz w:val="24"/>
          <w:szCs w:val="24"/>
          <w:lang w:eastAsia="en-GB"/>
          <w14:ligatures w14:val="none"/>
        </w:rPr>
        <w:t xml:space="preserve"> </w:t>
      </w:r>
      <w:r w:rsidRPr="003A26D0">
        <w:rPr>
          <w:rFonts w:ascii="Times New Roman" w:eastAsia="Times New Roman" w:hAnsi="Times New Roman" w:cs="Times New Roman"/>
          <w:kern w:val="0"/>
          <w:sz w:val="24"/>
          <w:szCs w:val="24"/>
          <w:lang w:eastAsia="en-GB"/>
          <w14:ligatures w14:val="none"/>
        </w:rPr>
        <w:t>Wednesday</w:t>
      </w:r>
      <w:r w:rsidR="00335F63">
        <w:rPr>
          <w:rFonts w:ascii="Times New Roman" w:eastAsia="Times New Roman" w:hAnsi="Times New Roman" w:cs="Times New Roman"/>
          <w:kern w:val="0"/>
          <w:sz w:val="24"/>
          <w:szCs w:val="24"/>
          <w:lang w:eastAsia="en-GB"/>
          <w14:ligatures w14:val="none"/>
        </w:rPr>
        <w:t>.</w:t>
      </w:r>
      <w:r w:rsidRPr="003A26D0">
        <w:rPr>
          <w:rFonts w:ascii="Times New Roman" w:eastAsia="Times New Roman" w:hAnsi="Times New Roman" w:cs="Times New Roman"/>
          <w:kern w:val="0"/>
          <w:sz w:val="24"/>
          <w:szCs w:val="24"/>
          <w:lang w:eastAsia="en-GB"/>
          <w14:ligatures w14:val="none"/>
        </w:rPr>
        <w:t xml:space="preserve"> (ACAS, 2024). This ensures that employees receive holiday pay that reflects their typical earnings rather than a basic hourly rate, which could otherwise result in financial disadvantage.</w:t>
      </w:r>
    </w:p>
    <w:p w14:paraId="5D082CF2" w14:textId="77777777"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p>
    <w:p w14:paraId="1DB12140" w14:textId="4540C953"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Recent changes have legalised rolled up holiday pay for part year and irregular hours workers. Under Regulation 16A of the Working Time Regulations 1998, employers can include holiday pay within each pay period instead of paying it when leave is taken. This is known as rolled-up holiday pay and is now legal for part year and irregular hours workers, provided that an uplift of 12.07% is applied to their pay to reflect their holiday entitlement (ACAS, 2024). This does not apply to employees on fixed hour contracts, where holiday pay must still be paid separately when leave is taken. </w:t>
      </w:r>
      <w:r w:rsidR="00335F63" w:rsidRPr="00335F63">
        <w:rPr>
          <w:rFonts w:ascii="Times New Roman" w:eastAsia="Times New Roman" w:hAnsi="Times New Roman" w:cs="Times New Roman"/>
          <w:kern w:val="0"/>
          <w:sz w:val="24"/>
          <w:szCs w:val="24"/>
          <w:lang w:eastAsia="en-GB"/>
          <w14:ligatures w14:val="none"/>
        </w:rPr>
        <w:t>Employers now have to clearly show rolled</w:t>
      </w:r>
      <w:r w:rsidR="00335F63">
        <w:rPr>
          <w:rFonts w:ascii="Times New Roman" w:eastAsia="Times New Roman" w:hAnsi="Times New Roman" w:cs="Times New Roman"/>
          <w:kern w:val="0"/>
          <w:sz w:val="24"/>
          <w:szCs w:val="24"/>
          <w:lang w:eastAsia="en-GB"/>
          <w14:ligatures w14:val="none"/>
        </w:rPr>
        <w:t xml:space="preserve"> </w:t>
      </w:r>
      <w:r w:rsidR="00335F63" w:rsidRPr="00335F63">
        <w:rPr>
          <w:rFonts w:ascii="Times New Roman" w:eastAsia="Times New Roman" w:hAnsi="Times New Roman" w:cs="Times New Roman"/>
          <w:kern w:val="0"/>
          <w:sz w:val="24"/>
          <w:szCs w:val="24"/>
          <w:lang w:eastAsia="en-GB"/>
          <w14:ligatures w14:val="none"/>
        </w:rPr>
        <w:t xml:space="preserve">up holiday pay on </w:t>
      </w:r>
      <w:r w:rsidR="00335F63" w:rsidRPr="00335F63">
        <w:rPr>
          <w:rFonts w:ascii="Times New Roman" w:eastAsia="Times New Roman" w:hAnsi="Times New Roman" w:cs="Times New Roman"/>
          <w:kern w:val="0"/>
          <w:sz w:val="24"/>
          <w:szCs w:val="24"/>
          <w:lang w:eastAsia="en-GB"/>
          <w14:ligatures w14:val="none"/>
        </w:rPr>
        <w:t>payslips,</w:t>
      </w:r>
      <w:r w:rsidR="00335F63" w:rsidRPr="00335F63">
        <w:rPr>
          <w:rFonts w:ascii="Times New Roman" w:eastAsia="Times New Roman" w:hAnsi="Times New Roman" w:cs="Times New Roman"/>
          <w:kern w:val="0"/>
          <w:sz w:val="24"/>
          <w:szCs w:val="24"/>
          <w:lang w:eastAsia="en-GB"/>
          <w14:ligatures w14:val="none"/>
        </w:rPr>
        <w:t xml:space="preserve"> so staff understand what they’re getting.</w:t>
      </w:r>
      <w:r w:rsidR="00335F63" w:rsidRPr="00335F63">
        <w:rPr>
          <w:rFonts w:ascii="Times New Roman" w:eastAsia="Times New Roman" w:hAnsi="Times New Roman" w:cs="Times New Roman"/>
          <w:kern w:val="0"/>
          <w:sz w:val="24"/>
          <w:szCs w:val="24"/>
          <w:lang w:eastAsia="en-GB"/>
          <w14:ligatures w14:val="none"/>
        </w:rPr>
        <w:t xml:space="preserve"> </w:t>
      </w:r>
      <w:r w:rsidRPr="003A26D0">
        <w:rPr>
          <w:rFonts w:ascii="Times New Roman" w:eastAsia="Times New Roman" w:hAnsi="Times New Roman" w:cs="Times New Roman"/>
          <w:kern w:val="0"/>
          <w:sz w:val="24"/>
          <w:szCs w:val="24"/>
          <w:lang w:eastAsia="en-GB"/>
          <w14:ligatures w14:val="none"/>
        </w:rPr>
        <w:t>(ACAS, 2024).</w:t>
      </w:r>
    </w:p>
    <w:p w14:paraId="2F5545DB" w14:textId="77777777"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p>
    <w:p w14:paraId="75659F79" w14:textId="479174F5"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For bank staff who work varying hours, you need to ensure that their holiday entitlement is calculated fairly and does not disadvantage them compared to full</w:t>
      </w:r>
      <w:r w:rsidR="00B90A64" w:rsidRPr="003A26D0">
        <w:rPr>
          <w:rFonts w:ascii="Times New Roman" w:eastAsia="Times New Roman" w:hAnsi="Times New Roman" w:cs="Times New Roman"/>
          <w:kern w:val="0"/>
          <w:sz w:val="24"/>
          <w:szCs w:val="24"/>
          <w:lang w:eastAsia="en-GB"/>
          <w14:ligatures w14:val="none"/>
        </w:rPr>
        <w:t xml:space="preserve"> t</w:t>
      </w:r>
      <w:r w:rsidRPr="003A26D0">
        <w:rPr>
          <w:rFonts w:ascii="Times New Roman" w:eastAsia="Times New Roman" w:hAnsi="Times New Roman" w:cs="Times New Roman"/>
          <w:kern w:val="0"/>
          <w:sz w:val="24"/>
          <w:szCs w:val="24"/>
          <w:lang w:eastAsia="en-GB"/>
          <w14:ligatures w14:val="none"/>
        </w:rPr>
        <w:t xml:space="preserve">ime staff. If an employer fails to properly calculate holiday pay, this could lead to claims at an Employment Tribunal under WTR 1998. </w:t>
      </w:r>
      <w:r w:rsidR="00B90A64" w:rsidRPr="003A26D0">
        <w:rPr>
          <w:rFonts w:ascii="Times New Roman" w:eastAsia="Times New Roman" w:hAnsi="Times New Roman" w:cs="Times New Roman"/>
          <w:kern w:val="0"/>
          <w:sz w:val="24"/>
          <w:szCs w:val="24"/>
          <w:lang w:eastAsia="en-GB"/>
          <w14:ligatures w14:val="none"/>
        </w:rPr>
        <w:t>Employers should remember the British Gas Trading Ltd v Lock (2016) case, which confirmed that holiday pay must include regular earnings like commission and overtime, not just base salary.</w:t>
      </w:r>
    </w:p>
    <w:p w14:paraId="56A3D8A5" w14:textId="77777777"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p>
    <w:p w14:paraId="66BB1D29" w14:textId="27F2D909"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The Supreme Court case of Harpur Trust v Brazel (2022) also clarified that casual and zero</w:t>
      </w:r>
      <w:r w:rsidR="00B90A64" w:rsidRPr="003A26D0">
        <w:rPr>
          <w:rFonts w:ascii="Times New Roman" w:eastAsia="Times New Roman" w:hAnsi="Times New Roman" w:cs="Times New Roman"/>
          <w:kern w:val="0"/>
          <w:sz w:val="24"/>
          <w:szCs w:val="24"/>
          <w:lang w:eastAsia="en-GB"/>
          <w14:ligatures w14:val="none"/>
        </w:rPr>
        <w:t xml:space="preserve"> </w:t>
      </w:r>
      <w:r w:rsidRPr="003A26D0">
        <w:rPr>
          <w:rFonts w:ascii="Times New Roman" w:eastAsia="Times New Roman" w:hAnsi="Times New Roman" w:cs="Times New Roman"/>
          <w:kern w:val="0"/>
          <w:sz w:val="24"/>
          <w:szCs w:val="24"/>
          <w:lang w:eastAsia="en-GB"/>
          <w14:ligatures w14:val="none"/>
        </w:rPr>
        <w:t xml:space="preserve">hours workers should not have their holiday entitlement reduced proportionally using the 12.07% </w:t>
      </w:r>
      <w:r w:rsidR="00E47F08" w:rsidRPr="003A26D0">
        <w:rPr>
          <w:rFonts w:ascii="Times New Roman" w:eastAsia="Times New Roman" w:hAnsi="Times New Roman" w:cs="Times New Roman"/>
          <w:kern w:val="0"/>
          <w:sz w:val="24"/>
          <w:szCs w:val="24"/>
          <w:lang w:eastAsia="en-GB"/>
          <w14:ligatures w14:val="none"/>
        </w:rPr>
        <w:t>calculation but</w:t>
      </w:r>
      <w:r w:rsidRPr="003A26D0">
        <w:rPr>
          <w:rFonts w:ascii="Times New Roman" w:eastAsia="Times New Roman" w:hAnsi="Times New Roman" w:cs="Times New Roman"/>
          <w:kern w:val="0"/>
          <w:sz w:val="24"/>
          <w:szCs w:val="24"/>
          <w:lang w:eastAsia="en-GB"/>
          <w14:ligatures w14:val="none"/>
        </w:rPr>
        <w:t xml:space="preserve"> instead should receive the full 5.6 weeks’ statutory leave entitlement. This means that bank nurses working irregular hours must be given their full holiday entitlement, and employers should ensure that policies align with this ruling to avoid non-compliance (Daniels, 2022).</w:t>
      </w:r>
    </w:p>
    <w:p w14:paraId="335AAB53" w14:textId="77777777"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p>
    <w:p w14:paraId="386B6B8A" w14:textId="195ECC75" w:rsidR="00C86655" w:rsidRPr="003A26D0" w:rsidRDefault="00B90A64" w:rsidP="00C86655">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lastRenderedPageBreak/>
        <w:t>When looking at</w:t>
      </w:r>
      <w:r w:rsidR="00C86655" w:rsidRPr="003A26D0">
        <w:rPr>
          <w:rFonts w:ascii="Times New Roman" w:eastAsia="Times New Roman" w:hAnsi="Times New Roman" w:cs="Times New Roman"/>
          <w:kern w:val="0"/>
          <w:sz w:val="24"/>
          <w:szCs w:val="24"/>
          <w:lang w:eastAsia="en-GB"/>
          <w14:ligatures w14:val="none"/>
        </w:rPr>
        <w:t xml:space="preserve"> holiday pay calculations for bank staff, it is advisable to keep detailed payroll records, provide clear payslips, and communicate entitlements clearly. Ensuring compliance with WTR 1998, case law, and ACAS guidance will help the Trust avoid legal disputes and promote fairness in employment practices.</w:t>
      </w:r>
    </w:p>
    <w:p w14:paraId="0C09658D" w14:textId="77777777"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p>
    <w:p w14:paraId="6D9316C7" w14:textId="64D65222"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w:t>
      </w:r>
    </w:p>
    <w:p w14:paraId="40562E4D" w14:textId="77777777" w:rsidR="00C86655" w:rsidRPr="003A26D0" w:rsidRDefault="00C86655" w:rsidP="00C86655">
      <w:pPr>
        <w:spacing w:after="0" w:line="240" w:lineRule="auto"/>
        <w:rPr>
          <w:rFonts w:ascii="Times New Roman" w:eastAsia="Times New Roman" w:hAnsi="Times New Roman" w:cs="Times New Roman"/>
          <w:kern w:val="0"/>
          <w:sz w:val="24"/>
          <w:szCs w:val="24"/>
          <w:lang w:eastAsia="en-GB"/>
          <w14:ligatures w14:val="none"/>
        </w:rPr>
      </w:pPr>
    </w:p>
    <w:p w14:paraId="4DCB5341" w14:textId="5AA0F957" w:rsidR="002832E1" w:rsidRPr="003A26D0" w:rsidRDefault="000940D6" w:rsidP="00B9634F">
      <w:pPr>
        <w:pStyle w:val="ListParagraph"/>
        <w:numPr>
          <w:ilvl w:val="0"/>
          <w:numId w:val="11"/>
        </w:numPr>
        <w:spacing w:after="0" w:line="240" w:lineRule="auto"/>
        <w:ind w:left="0"/>
        <w:rPr>
          <w:rFonts w:ascii="Times New Roman" w:eastAsia="Times New Roman" w:hAnsi="Times New Roman" w:cs="Times New Roman"/>
          <w:b/>
          <w:bCs/>
          <w:kern w:val="0"/>
          <w:sz w:val="24"/>
          <w:szCs w:val="24"/>
          <w:lang w:eastAsia="en-GB"/>
          <w14:ligatures w14:val="none"/>
        </w:rPr>
      </w:pPr>
      <w:r w:rsidRPr="003A26D0">
        <w:rPr>
          <w:rFonts w:ascii="Times New Roman" w:eastAsia="Times New Roman" w:hAnsi="Times New Roman" w:cs="Times New Roman"/>
          <w:b/>
          <w:bCs/>
          <w:kern w:val="0"/>
          <w:sz w:val="24"/>
          <w:szCs w:val="24"/>
          <w:lang w:eastAsia="en-GB"/>
          <w14:ligatures w14:val="none"/>
        </w:rPr>
        <w:t>(AC 4.2)</w:t>
      </w:r>
    </w:p>
    <w:p w14:paraId="2A6273E6" w14:textId="0451F545" w:rsidR="00880126" w:rsidRPr="003A26D0" w:rsidRDefault="00880126" w:rsidP="00880126">
      <w:pPr>
        <w:pStyle w:val="NormalWeb"/>
      </w:pPr>
      <w:r w:rsidRPr="003A26D0">
        <w:t xml:space="preserve">Maternity leave is a statutory entitlement for pregnant employees, allowing up to 52 weeks of leave, which includes 26 weeks of Ordinary Maternity Leave (OML) and 26 weeks of Additional Maternity Leave (AML) (Daniels, 2023). Throughout this, </w:t>
      </w:r>
      <w:r w:rsidR="001A4121" w:rsidRPr="003A26D0">
        <w:t>your</w:t>
      </w:r>
      <w:r w:rsidRPr="003A26D0">
        <w:t xml:space="preserve"> employment contract remains in place, meaning </w:t>
      </w:r>
      <w:r w:rsidR="001A4121" w:rsidRPr="003A26D0">
        <w:t xml:space="preserve">your </w:t>
      </w:r>
      <w:r w:rsidRPr="003A26D0">
        <w:t xml:space="preserve">terms and conditions </w:t>
      </w:r>
      <w:r w:rsidR="005A1503" w:rsidRPr="003A26D0">
        <w:t xml:space="preserve">remain the same </w:t>
      </w:r>
      <w:r w:rsidRPr="003A26D0">
        <w:t xml:space="preserve">except for pay. Statutory Maternity Pay (SMP) is available for up to 39 weeks, with the first six weeks paid at 90% of </w:t>
      </w:r>
      <w:r w:rsidR="001A4121" w:rsidRPr="003A26D0">
        <w:t>your</w:t>
      </w:r>
      <w:r w:rsidRPr="003A26D0">
        <w:t xml:space="preserve"> average earnings and the remaining weeks paid at a rate or 90% of earnings, whichever is lower (Maternity Action, 2024). If </w:t>
      </w:r>
      <w:r w:rsidR="001A4121" w:rsidRPr="003A26D0">
        <w:t>you</w:t>
      </w:r>
      <w:r w:rsidRPr="003A26D0">
        <w:t xml:space="preserve"> do not qualify for SMP, </w:t>
      </w:r>
      <w:r w:rsidR="001A4121" w:rsidRPr="003A26D0">
        <w:t>you</w:t>
      </w:r>
      <w:r w:rsidR="005A1503" w:rsidRPr="003A26D0">
        <w:t xml:space="preserve"> </w:t>
      </w:r>
      <w:r w:rsidRPr="003A26D0">
        <w:t>may be eligible for Maternity Allowance.</w:t>
      </w:r>
    </w:p>
    <w:p w14:paraId="1E04F9C0" w14:textId="094A6A80" w:rsidR="00880126" w:rsidRPr="003A26D0" w:rsidRDefault="00880126" w:rsidP="00880126">
      <w:pPr>
        <w:pStyle w:val="NormalWeb"/>
      </w:pPr>
      <w:r w:rsidRPr="003A26D0">
        <w:t>One key benefit of maternity leave is the right to return to the same job if OML</w:t>
      </w:r>
      <w:r w:rsidR="005A1503" w:rsidRPr="003A26D0">
        <w:t xml:space="preserve"> is taken</w:t>
      </w:r>
      <w:r w:rsidRPr="003A26D0">
        <w:t xml:space="preserve"> or a total of 26 weeks or less of leave, including any period of shared parental leave. If leave exceeds this, and </w:t>
      </w:r>
      <w:r w:rsidR="005A1503" w:rsidRPr="003A26D0">
        <w:t>the</w:t>
      </w:r>
      <w:r w:rsidRPr="003A26D0">
        <w:t xml:space="preserve"> previous role is no longer available, </w:t>
      </w:r>
      <w:r w:rsidR="001A4121" w:rsidRPr="003A26D0">
        <w:t>you</w:t>
      </w:r>
      <w:r w:rsidRPr="003A26D0">
        <w:t xml:space="preserve"> must be offered a suitable alternative with no less favourable terms and conditions (CIPD, 2024).</w:t>
      </w:r>
    </w:p>
    <w:p w14:paraId="3FEE0142" w14:textId="7A970A00" w:rsidR="00880126" w:rsidRPr="003A26D0" w:rsidRDefault="00880126" w:rsidP="00880126">
      <w:pPr>
        <w:pStyle w:val="NormalWeb"/>
      </w:pPr>
      <w:r w:rsidRPr="003A26D0">
        <w:t xml:space="preserve">Shared Parental Leave (SPL) is a more flexible option that allows eligible parents to share up to 50 weeks of leave and 37 weeks of pay, which can be taken together or separately (Maternity Action, 2024). This flexibility </w:t>
      </w:r>
      <w:r w:rsidR="005A1503" w:rsidRPr="003A26D0">
        <w:t>lets</w:t>
      </w:r>
      <w:r w:rsidRPr="003A26D0">
        <w:t xml:space="preserve"> both parents to be off work at the same time or to </w:t>
      </w:r>
      <w:r w:rsidR="005A1503" w:rsidRPr="003A26D0">
        <w:t xml:space="preserve">alternate </w:t>
      </w:r>
      <w:r w:rsidRPr="003A26D0">
        <w:t xml:space="preserve">their leave, ensuring that one parent is always at home with </w:t>
      </w:r>
      <w:r w:rsidR="00E47F08" w:rsidRPr="003A26D0">
        <w:t>your</w:t>
      </w:r>
      <w:r w:rsidRPr="003A26D0">
        <w:t xml:space="preserve"> child during the first year. To qualify for SPL and Shared Parental Pay (ShPP), both </w:t>
      </w:r>
      <w:r w:rsidR="007727CC" w:rsidRPr="003A26D0">
        <w:t>parents</w:t>
      </w:r>
      <w:r w:rsidRPr="003A26D0">
        <w:t xml:space="preserve"> must meet specific eligibility criteria. </w:t>
      </w:r>
      <w:r w:rsidR="001A4121" w:rsidRPr="003A26D0">
        <w:t>You and your partner</w:t>
      </w:r>
      <w:r w:rsidRPr="003A26D0">
        <w:t xml:space="preserve"> must have worked for at least 26 weeks in the 66 weeks before the due date and earned at least £390 across any 13 of those weeks. </w:t>
      </w:r>
      <w:r w:rsidR="00E47F08" w:rsidRPr="003A26D0">
        <w:t>Also,</w:t>
      </w:r>
      <w:r w:rsidR="001A4121" w:rsidRPr="003A26D0">
        <w:t xml:space="preserve"> you both</w:t>
      </w:r>
      <w:r w:rsidRPr="003A26D0">
        <w:t xml:space="preserve"> must have been continuously employed with the same employer for at least 26 weeks before the 15th week before the due date and earn at least £123 per week on average (CIPD, 2024).</w:t>
      </w:r>
    </w:p>
    <w:p w14:paraId="28B317E5" w14:textId="06B2260F" w:rsidR="00880126" w:rsidRPr="003A26D0" w:rsidRDefault="00880126" w:rsidP="00880126">
      <w:pPr>
        <w:pStyle w:val="NormalWeb"/>
      </w:pPr>
      <w:r w:rsidRPr="003A26D0">
        <w:t xml:space="preserve">One of the main advantages of SPL is that it allows </w:t>
      </w:r>
      <w:r w:rsidR="001A4121" w:rsidRPr="003A26D0">
        <w:t>both you and your partner</w:t>
      </w:r>
      <w:r w:rsidRPr="003A26D0">
        <w:t xml:space="preserve"> to take time off in blocks rather than a continuous period</w:t>
      </w:r>
      <w:r w:rsidR="00E47F08" w:rsidRPr="003A26D0">
        <w:t xml:space="preserve">. </w:t>
      </w:r>
      <w:r w:rsidRPr="003A26D0">
        <w:t xml:space="preserve">However, maternity leave provides a longer period of job protection and continuity. The best option will depend on </w:t>
      </w:r>
      <w:r w:rsidR="00E47F08" w:rsidRPr="003A26D0">
        <w:t>what suits you and your partner taking into consideration</w:t>
      </w:r>
      <w:r w:rsidR="005A1503" w:rsidRPr="003A26D0">
        <w:t xml:space="preserve"> </w:t>
      </w:r>
      <w:r w:rsidRPr="003A26D0">
        <w:t xml:space="preserve">family circumstances, financial needs, and how </w:t>
      </w:r>
      <w:r w:rsidR="001A4121" w:rsidRPr="003A26D0">
        <w:t>you</w:t>
      </w:r>
      <w:r w:rsidRPr="003A26D0">
        <w:t xml:space="preserve"> want to share childcare responsibilities.</w:t>
      </w:r>
    </w:p>
    <w:p w14:paraId="067F40F3" w14:textId="77777777" w:rsidR="000940D6" w:rsidRPr="003A26D0" w:rsidRDefault="000940D6" w:rsidP="00D27B48">
      <w:pPr>
        <w:spacing w:after="0" w:line="240" w:lineRule="auto"/>
        <w:rPr>
          <w:rFonts w:ascii="Times New Roman" w:eastAsia="Times New Roman" w:hAnsi="Times New Roman" w:cs="Times New Roman"/>
          <w:b/>
          <w:bCs/>
          <w:kern w:val="0"/>
          <w:sz w:val="24"/>
          <w:szCs w:val="24"/>
          <w:lang w:eastAsia="en-GB"/>
          <w14:ligatures w14:val="none"/>
        </w:rPr>
      </w:pPr>
    </w:p>
    <w:p w14:paraId="62D5CBB4" w14:textId="73F662C3" w:rsidR="001A4121" w:rsidRPr="003A26D0" w:rsidRDefault="001A4121" w:rsidP="00B9634F">
      <w:pPr>
        <w:pStyle w:val="ListParagraph"/>
        <w:numPr>
          <w:ilvl w:val="0"/>
          <w:numId w:val="11"/>
        </w:numPr>
        <w:spacing w:after="0" w:line="240" w:lineRule="auto"/>
        <w:ind w:left="0"/>
        <w:rPr>
          <w:rFonts w:ascii="Times New Roman" w:eastAsia="Times New Roman" w:hAnsi="Times New Roman" w:cs="Times New Roman"/>
          <w:b/>
          <w:bCs/>
          <w:kern w:val="0"/>
          <w:sz w:val="24"/>
          <w:szCs w:val="24"/>
          <w:lang w:eastAsia="en-GB"/>
          <w14:ligatures w14:val="none"/>
        </w:rPr>
      </w:pPr>
      <w:r w:rsidRPr="003A26D0">
        <w:rPr>
          <w:rFonts w:ascii="Times New Roman" w:eastAsia="Times New Roman" w:hAnsi="Times New Roman" w:cs="Times New Roman"/>
          <w:b/>
          <w:bCs/>
          <w:kern w:val="0"/>
          <w:sz w:val="24"/>
          <w:szCs w:val="24"/>
          <w:lang w:eastAsia="en-GB"/>
          <w14:ligatures w14:val="none"/>
        </w:rPr>
        <w:t>(AC 4.3)</w:t>
      </w:r>
    </w:p>
    <w:p w14:paraId="058B59C8" w14:textId="77777777" w:rsidR="001A4121" w:rsidRPr="003A26D0" w:rsidRDefault="001A4121" w:rsidP="001A4121">
      <w:pPr>
        <w:spacing w:after="0" w:line="240" w:lineRule="auto"/>
        <w:rPr>
          <w:rFonts w:ascii="Times New Roman" w:eastAsia="Times New Roman" w:hAnsi="Times New Roman" w:cs="Times New Roman"/>
          <w:b/>
          <w:bCs/>
          <w:kern w:val="0"/>
          <w:sz w:val="24"/>
          <w:szCs w:val="24"/>
          <w:lang w:eastAsia="en-GB"/>
          <w14:ligatures w14:val="none"/>
        </w:rPr>
      </w:pPr>
    </w:p>
    <w:p w14:paraId="74DC7907" w14:textId="78956D98" w:rsidR="001A4121" w:rsidRPr="003A26D0" w:rsidRDefault="001A4121" w:rsidP="001A4121">
      <w:pPr>
        <w:spacing w:after="0" w:line="240" w:lineRule="auto"/>
        <w:rPr>
          <w:rFonts w:ascii="Times New Roman" w:eastAsia="Times New Roman" w:hAnsi="Times New Roman" w:cs="Times New Roman"/>
          <w:kern w:val="0"/>
          <w:sz w:val="24"/>
          <w:szCs w:val="24"/>
          <w:lang w:eastAsia="en-GB"/>
          <w14:ligatures w14:val="none"/>
        </w:rPr>
      </w:pPr>
      <w:r w:rsidRPr="003A26D0">
        <w:rPr>
          <w:rFonts w:ascii="Times New Roman" w:hAnsi="Times New Roman" w:cs="Times New Roman"/>
          <w:sz w:val="24"/>
          <w:szCs w:val="24"/>
        </w:rPr>
        <w:t xml:space="preserve">Under the Employment Rights Act 1996, all employees have the statutory right to request flexible working, </w:t>
      </w:r>
      <w:r w:rsidR="003A26D0" w:rsidRPr="003A26D0">
        <w:rPr>
          <w:rFonts w:ascii="Times New Roman" w:hAnsi="Times New Roman" w:cs="Times New Roman"/>
          <w:sz w:val="24"/>
          <w:szCs w:val="24"/>
        </w:rPr>
        <w:t xml:space="preserve">From April 2024, legislative </w:t>
      </w:r>
      <w:r w:rsidR="003A26D0" w:rsidRPr="003A26D0">
        <w:rPr>
          <w:rFonts w:ascii="Times New Roman" w:hAnsi="Times New Roman" w:cs="Times New Roman"/>
          <w:sz w:val="24"/>
          <w:szCs w:val="24"/>
        </w:rPr>
        <w:t>changes removed</w:t>
      </w:r>
      <w:r w:rsidR="003A26D0" w:rsidRPr="003A26D0">
        <w:rPr>
          <w:rFonts w:ascii="Times New Roman" w:hAnsi="Times New Roman" w:cs="Times New Roman"/>
          <w:sz w:val="24"/>
          <w:szCs w:val="24"/>
        </w:rPr>
        <w:t xml:space="preserve"> the 26-week service requirement, allowing employees to request flexible working from day one of employment (GOV.UK, 2024)</w:t>
      </w:r>
      <w:r w:rsidR="003A26D0" w:rsidRPr="003A26D0">
        <w:rPr>
          <w:rFonts w:ascii="Times New Roman" w:hAnsi="Times New Roman" w:cs="Times New Roman"/>
          <w:sz w:val="24"/>
          <w:szCs w:val="24"/>
        </w:rPr>
        <w:t xml:space="preserve">. </w:t>
      </w:r>
      <w:r w:rsidRPr="003A26D0">
        <w:rPr>
          <w:rFonts w:ascii="Times New Roman" w:hAnsi="Times New Roman" w:cs="Times New Roman"/>
          <w:sz w:val="24"/>
          <w:szCs w:val="24"/>
        </w:rPr>
        <w:t>A flexible working request can be changes to working hours, working days, or the place of work, such as remote working (CIPD, 2024). The request must be made in writing</w:t>
      </w:r>
      <w:r w:rsidR="00E47F08" w:rsidRPr="003A26D0">
        <w:rPr>
          <w:rFonts w:ascii="Times New Roman" w:hAnsi="Times New Roman" w:cs="Times New Roman"/>
          <w:sz w:val="24"/>
          <w:szCs w:val="24"/>
        </w:rPr>
        <w:t>, which I understand she has,</w:t>
      </w:r>
      <w:r w:rsidRPr="003A26D0">
        <w:rPr>
          <w:rFonts w:ascii="Times New Roman" w:hAnsi="Times New Roman" w:cs="Times New Roman"/>
          <w:sz w:val="24"/>
          <w:szCs w:val="24"/>
        </w:rPr>
        <w:t xml:space="preserve"> and include details of the changes, the requested start date, and whether the employee has made previous requests. Employers have a </w:t>
      </w:r>
      <w:r w:rsidRPr="003A26D0">
        <w:rPr>
          <w:rStyle w:val="Strong"/>
          <w:rFonts w:ascii="Times New Roman" w:hAnsi="Times New Roman" w:cs="Times New Roman"/>
          <w:b w:val="0"/>
          <w:bCs w:val="0"/>
          <w:sz w:val="24"/>
          <w:szCs w:val="24"/>
        </w:rPr>
        <w:t xml:space="preserve">legal </w:t>
      </w:r>
      <w:r w:rsidRPr="003A26D0">
        <w:rPr>
          <w:rStyle w:val="Strong"/>
          <w:rFonts w:ascii="Times New Roman" w:hAnsi="Times New Roman" w:cs="Times New Roman"/>
          <w:b w:val="0"/>
          <w:bCs w:val="0"/>
          <w:sz w:val="24"/>
          <w:szCs w:val="24"/>
        </w:rPr>
        <w:lastRenderedPageBreak/>
        <w:t>obligation</w:t>
      </w:r>
      <w:r w:rsidRPr="003A26D0">
        <w:rPr>
          <w:rFonts w:ascii="Times New Roman" w:hAnsi="Times New Roman" w:cs="Times New Roman"/>
          <w:sz w:val="24"/>
          <w:szCs w:val="24"/>
        </w:rPr>
        <w:t xml:space="preserve"> to handle such requests in a </w:t>
      </w:r>
      <w:r w:rsidRPr="003A26D0">
        <w:rPr>
          <w:rStyle w:val="Strong"/>
          <w:rFonts w:ascii="Times New Roman" w:hAnsi="Times New Roman" w:cs="Times New Roman"/>
          <w:b w:val="0"/>
          <w:bCs w:val="0"/>
          <w:sz w:val="24"/>
          <w:szCs w:val="24"/>
        </w:rPr>
        <w:t>reasonable manner</w:t>
      </w:r>
      <w:r w:rsidRPr="003A26D0">
        <w:rPr>
          <w:rFonts w:ascii="Times New Roman" w:hAnsi="Times New Roman" w:cs="Times New Roman"/>
          <w:sz w:val="24"/>
          <w:szCs w:val="24"/>
        </w:rPr>
        <w:t xml:space="preserve"> and </w:t>
      </w:r>
      <w:r w:rsidR="00E47F08" w:rsidRPr="003A26D0">
        <w:rPr>
          <w:rFonts w:ascii="Times New Roman" w:hAnsi="Times New Roman" w:cs="Times New Roman"/>
          <w:sz w:val="24"/>
          <w:szCs w:val="24"/>
        </w:rPr>
        <w:t xml:space="preserve">you </w:t>
      </w:r>
      <w:r w:rsidRPr="003A26D0">
        <w:rPr>
          <w:rFonts w:ascii="Times New Roman" w:hAnsi="Times New Roman" w:cs="Times New Roman"/>
          <w:sz w:val="24"/>
          <w:szCs w:val="24"/>
        </w:rPr>
        <w:t xml:space="preserve">must </w:t>
      </w:r>
      <w:r w:rsidR="00E47F08" w:rsidRPr="003A26D0">
        <w:rPr>
          <w:rFonts w:ascii="Times New Roman" w:hAnsi="Times New Roman" w:cs="Times New Roman"/>
          <w:sz w:val="24"/>
          <w:szCs w:val="24"/>
        </w:rPr>
        <w:t>give a decision</w:t>
      </w:r>
      <w:r w:rsidRPr="003A26D0">
        <w:rPr>
          <w:rFonts w:ascii="Times New Roman" w:hAnsi="Times New Roman" w:cs="Times New Roman"/>
          <w:sz w:val="24"/>
          <w:szCs w:val="24"/>
        </w:rPr>
        <w:t xml:space="preserve"> within </w:t>
      </w:r>
      <w:r w:rsidRPr="003A26D0">
        <w:rPr>
          <w:rStyle w:val="Strong"/>
          <w:rFonts w:ascii="Times New Roman" w:hAnsi="Times New Roman" w:cs="Times New Roman"/>
          <w:b w:val="0"/>
          <w:bCs w:val="0"/>
          <w:sz w:val="24"/>
          <w:szCs w:val="24"/>
        </w:rPr>
        <w:t>two months</w:t>
      </w:r>
      <w:r w:rsidRPr="003A26D0">
        <w:rPr>
          <w:rFonts w:ascii="Times New Roman" w:hAnsi="Times New Roman" w:cs="Times New Roman"/>
          <w:sz w:val="24"/>
          <w:szCs w:val="24"/>
        </w:rPr>
        <w:t xml:space="preserve"> (CIPD, 2024).</w:t>
      </w:r>
    </w:p>
    <w:p w14:paraId="491BF396" w14:textId="31434C2F" w:rsidR="001A4121" w:rsidRPr="003A26D0" w:rsidRDefault="00E47F08" w:rsidP="001A4121">
      <w:pPr>
        <w:pStyle w:val="NormalWeb"/>
      </w:pPr>
      <w:r w:rsidRPr="003A26D0">
        <w:t>You</w:t>
      </w:r>
      <w:r w:rsidR="001A4121" w:rsidRPr="003A26D0">
        <w:t xml:space="preserve"> can </w:t>
      </w:r>
      <w:r w:rsidR="001A4121" w:rsidRPr="003A26D0">
        <w:rPr>
          <w:rStyle w:val="Strong"/>
          <w:rFonts w:eastAsiaTheme="majorEastAsia"/>
          <w:b w:val="0"/>
          <w:bCs w:val="0"/>
        </w:rPr>
        <w:t>refuse a request</w:t>
      </w:r>
      <w:r w:rsidR="001A4121" w:rsidRPr="003A26D0">
        <w:rPr>
          <w:b/>
          <w:bCs/>
        </w:rPr>
        <w:t>,</w:t>
      </w:r>
      <w:r w:rsidR="001A4121" w:rsidRPr="003A26D0">
        <w:t xml:space="preserve"> but it must be based on one or more of the legally recognised grounds, such as </w:t>
      </w:r>
      <w:r w:rsidR="00B9634F" w:rsidRPr="003A26D0">
        <w:t>add</w:t>
      </w:r>
      <w:r w:rsidR="001A4121" w:rsidRPr="003A26D0">
        <w:t>itional costs, a</w:t>
      </w:r>
      <w:r w:rsidR="00B9634F" w:rsidRPr="003A26D0">
        <w:t xml:space="preserve">n </w:t>
      </w:r>
      <w:r w:rsidR="001A4121" w:rsidRPr="003A26D0">
        <w:t xml:space="preserve">impact on the quality of service, or </w:t>
      </w:r>
      <w:r w:rsidR="00B9634F" w:rsidRPr="003A26D0">
        <w:t>if you are not able</w:t>
      </w:r>
      <w:r w:rsidR="001A4121" w:rsidRPr="003A26D0">
        <w:t xml:space="preserve"> to reorganise work among existing staff (CIPD, 2024). If the request is </w:t>
      </w:r>
      <w:r w:rsidR="00B9634F" w:rsidRPr="003A26D0">
        <w:t>declined</w:t>
      </w:r>
      <w:r w:rsidR="001A4121" w:rsidRPr="003A26D0">
        <w:t xml:space="preserve">, the employee must be given a clear explanation of the reason, and it may be </w:t>
      </w:r>
      <w:r w:rsidR="00B9634F" w:rsidRPr="003A26D0">
        <w:t>worth giving a few options to explore</w:t>
      </w:r>
      <w:r w:rsidR="001A4121" w:rsidRPr="003A26D0">
        <w:t xml:space="preserve">, such as a trial period, to </w:t>
      </w:r>
      <w:r w:rsidR="00B9634F" w:rsidRPr="003A26D0">
        <w:t>see what it is like and what impact it has</w:t>
      </w:r>
      <w:r w:rsidR="001A4121" w:rsidRPr="003A26D0">
        <w:t xml:space="preserve"> before making a final decision.</w:t>
      </w:r>
    </w:p>
    <w:p w14:paraId="505C944A" w14:textId="208F9CA4" w:rsidR="001A4121" w:rsidRPr="003A26D0" w:rsidRDefault="00B9634F" w:rsidP="001A4121">
      <w:pPr>
        <w:pStyle w:val="NormalWeb"/>
      </w:pPr>
      <w:r w:rsidRPr="003A26D0">
        <w:t>If we don’t</w:t>
      </w:r>
      <w:r w:rsidR="001A4121" w:rsidRPr="003A26D0">
        <w:t xml:space="preserve"> </w:t>
      </w:r>
      <w:r w:rsidR="001A4121" w:rsidRPr="003A26D0">
        <w:rPr>
          <w:rStyle w:val="Strong"/>
          <w:rFonts w:eastAsiaTheme="majorEastAsia"/>
          <w:b w:val="0"/>
          <w:bCs w:val="0"/>
        </w:rPr>
        <w:t>handle a flexible working request fairly and in line with legal requirements</w:t>
      </w:r>
      <w:r w:rsidRPr="003A26D0">
        <w:t xml:space="preserve">, it </w:t>
      </w:r>
      <w:r w:rsidR="001A4121" w:rsidRPr="003A26D0">
        <w:t xml:space="preserve">can lead to claims being raised at an employment tribunal. Employees may challenge the decision if the employer does not consider their request in a reasonable manner, treats their application as </w:t>
      </w:r>
      <w:r w:rsidRPr="003A26D0">
        <w:t>no</w:t>
      </w:r>
      <w:r w:rsidR="001A4121" w:rsidRPr="003A26D0">
        <w:t xml:space="preserve"> without justification, or refuses the request based on incorrect facts (CIPD, 2024). If a tribunal finds that the employer has failed in their obligations, they can order the reconsideration of the request or award </w:t>
      </w:r>
      <w:r w:rsidR="001A4121" w:rsidRPr="003A26D0">
        <w:rPr>
          <w:rStyle w:val="Strong"/>
          <w:rFonts w:eastAsiaTheme="majorEastAsia"/>
          <w:b w:val="0"/>
          <w:bCs w:val="0"/>
        </w:rPr>
        <w:t>compensation of up to eight weeks’ pay</w:t>
      </w:r>
      <w:r w:rsidR="001A4121" w:rsidRPr="003A26D0">
        <w:t>. In cases where an employee suffers detriment, such as being unfairly dismissed due to their request, the tribunal may award reinstatement, re-engagement, or compensation (Employment Rights Act 1996</w:t>
      </w:r>
      <w:r w:rsidRPr="003A26D0">
        <w:t>)</w:t>
      </w:r>
    </w:p>
    <w:p w14:paraId="0AB1A9B6" w14:textId="2223A5D4" w:rsidR="001A4121" w:rsidRPr="003A26D0" w:rsidRDefault="001A4121" w:rsidP="001A4121">
      <w:pPr>
        <w:pStyle w:val="NormalWeb"/>
      </w:pPr>
      <w:r w:rsidRPr="003A26D0">
        <w:t xml:space="preserve">Given the importance of fair and consistent decision-making, it may be helpful to </w:t>
      </w:r>
      <w:r w:rsidRPr="003A26D0">
        <w:rPr>
          <w:rStyle w:val="Strong"/>
          <w:rFonts w:eastAsiaTheme="majorEastAsia"/>
          <w:b w:val="0"/>
          <w:bCs w:val="0"/>
        </w:rPr>
        <w:t>review the request on an individual basis</w:t>
      </w:r>
      <w:r w:rsidRPr="003A26D0">
        <w:t xml:space="preserve"> rather than basing the decision on concerns that others may follow suit. A discussion </w:t>
      </w:r>
      <w:r w:rsidR="00B9634F" w:rsidRPr="003A26D0">
        <w:t>would help to see if</w:t>
      </w:r>
      <w:r w:rsidRPr="003A26D0">
        <w:t xml:space="preserve"> </w:t>
      </w:r>
      <w:r w:rsidRPr="003A26D0">
        <w:rPr>
          <w:rStyle w:val="Strong"/>
          <w:rFonts w:eastAsiaTheme="majorEastAsia"/>
          <w:b w:val="0"/>
          <w:bCs w:val="0"/>
        </w:rPr>
        <w:t>alternative flexible arrangements</w:t>
      </w:r>
      <w:r w:rsidRPr="003A26D0">
        <w:t xml:space="preserve"> could be agreed upon, such as hybrid working on fewer days</w:t>
      </w:r>
      <w:r w:rsidR="00B9634F" w:rsidRPr="003A26D0">
        <w:t>,</w:t>
      </w:r>
      <w:r w:rsidRPr="003A26D0">
        <w:t xml:space="preserve"> or</w:t>
      </w:r>
      <w:r w:rsidR="00B9634F" w:rsidRPr="003A26D0">
        <w:t>, as mentioned above,</w:t>
      </w:r>
      <w:r w:rsidRPr="003A26D0">
        <w:t xml:space="preserve"> a trial period, may also be worthwhile.</w:t>
      </w:r>
      <w:r w:rsidR="003A26D0" w:rsidRPr="003A26D0">
        <w:t xml:space="preserve"> </w:t>
      </w:r>
    </w:p>
    <w:p w14:paraId="044F8801"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b/>
          <w:bCs/>
          <w:kern w:val="0"/>
          <w:sz w:val="24"/>
          <w:szCs w:val="24"/>
          <w:lang w:eastAsia="en-GB"/>
          <w14:ligatures w14:val="none"/>
        </w:rPr>
        <w:t>References</w:t>
      </w:r>
    </w:p>
    <w:p w14:paraId="7A213373" w14:textId="4ED11ECA"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ACAS (2024) ‘Constructive Dismissal: Employee Rights and Employer Defences.’ Available at: </w:t>
      </w:r>
      <w:hyperlink r:id="rId5" w:tgtFrame="_new" w:history="1">
        <w:r w:rsidRPr="003A26D0">
          <w:rPr>
            <w:rFonts w:ascii="Times New Roman" w:eastAsia="Times New Roman" w:hAnsi="Times New Roman" w:cs="Times New Roman"/>
            <w:color w:val="0000FF"/>
            <w:kern w:val="0"/>
            <w:sz w:val="24"/>
            <w:szCs w:val="24"/>
            <w:u w:val="single"/>
            <w:lang w:eastAsia="en-GB"/>
            <w14:ligatures w14:val="none"/>
          </w:rPr>
          <w:t>www.acas.org.uk</w:t>
        </w:r>
      </w:hyperlink>
      <w:r w:rsidRPr="003A26D0">
        <w:rPr>
          <w:rFonts w:ascii="Times New Roman" w:eastAsia="Times New Roman" w:hAnsi="Times New Roman" w:cs="Times New Roman"/>
          <w:kern w:val="0"/>
          <w:sz w:val="24"/>
          <w:szCs w:val="24"/>
          <w:lang w:eastAsia="en-GB"/>
          <w14:ligatures w14:val="none"/>
        </w:rPr>
        <w:t>.</w:t>
      </w:r>
    </w:p>
    <w:p w14:paraId="66BFBF9B"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ACAS (2024) ‘Equal Pay and Gender Pay Gap Guidance.’ Available at: </w:t>
      </w:r>
      <w:hyperlink r:id="rId6" w:tgtFrame="_new" w:history="1">
        <w:r w:rsidRPr="003A26D0">
          <w:rPr>
            <w:rFonts w:ascii="Times New Roman" w:eastAsia="Times New Roman" w:hAnsi="Times New Roman" w:cs="Times New Roman"/>
            <w:color w:val="0000FF"/>
            <w:kern w:val="0"/>
            <w:sz w:val="24"/>
            <w:szCs w:val="24"/>
            <w:u w:val="single"/>
            <w:lang w:eastAsia="en-GB"/>
            <w14:ligatures w14:val="none"/>
          </w:rPr>
          <w:t>www.acas.org.uk</w:t>
        </w:r>
      </w:hyperlink>
      <w:r w:rsidRPr="003A26D0">
        <w:rPr>
          <w:rFonts w:ascii="Times New Roman" w:eastAsia="Times New Roman" w:hAnsi="Times New Roman" w:cs="Times New Roman"/>
          <w:kern w:val="0"/>
          <w:sz w:val="24"/>
          <w:szCs w:val="24"/>
          <w:lang w:eastAsia="en-GB"/>
          <w14:ligatures w14:val="none"/>
        </w:rPr>
        <w:t>.</w:t>
      </w:r>
    </w:p>
    <w:p w14:paraId="435EDF84" w14:textId="6F239F2C" w:rsidR="008E0ADD" w:rsidRPr="003A26D0" w:rsidRDefault="008E0ADD"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Acas (n.d.) ‘Failure to consult – Collective consultation for redundancy.’ Available at: </w:t>
      </w:r>
      <w:hyperlink r:id="rId7" w:tgtFrame="_new" w:history="1">
        <w:r w:rsidRPr="003A26D0">
          <w:rPr>
            <w:rStyle w:val="Hyperlink"/>
            <w:rFonts w:ascii="Times New Roman" w:eastAsia="Times New Roman" w:hAnsi="Times New Roman" w:cs="Times New Roman"/>
            <w:kern w:val="0"/>
            <w:sz w:val="24"/>
            <w:szCs w:val="24"/>
            <w:lang w:eastAsia="en-GB"/>
            <w14:ligatures w14:val="none"/>
          </w:rPr>
          <w:t>https://www.acas.org.uk/collective-consultation-redundancy/if-an-employer-does-not-collectively-consult</w:t>
        </w:r>
      </w:hyperlink>
    </w:p>
    <w:p w14:paraId="65268ED3"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ACAS (2024) ‘Irregular hours and part-year workers: calculating holiday pay.’ Available at: </w:t>
      </w:r>
      <w:hyperlink r:id="rId8" w:tgtFrame="_new" w:history="1">
        <w:r w:rsidRPr="003A26D0">
          <w:rPr>
            <w:rFonts w:ascii="Times New Roman" w:eastAsia="Times New Roman" w:hAnsi="Times New Roman" w:cs="Times New Roman"/>
            <w:color w:val="0000FF"/>
            <w:kern w:val="0"/>
            <w:sz w:val="24"/>
            <w:szCs w:val="24"/>
            <w:u w:val="single"/>
            <w:lang w:eastAsia="en-GB"/>
            <w14:ligatures w14:val="none"/>
          </w:rPr>
          <w:t>https://www.acas.org.uk/irregular-hours-and-part-year-workers/calculating-holiday-pay</w:t>
        </w:r>
      </w:hyperlink>
      <w:r w:rsidRPr="003A26D0">
        <w:rPr>
          <w:rFonts w:ascii="Times New Roman" w:eastAsia="Times New Roman" w:hAnsi="Times New Roman" w:cs="Times New Roman"/>
          <w:kern w:val="0"/>
          <w:sz w:val="24"/>
          <w:szCs w:val="24"/>
          <w:lang w:eastAsia="en-GB"/>
          <w14:ligatures w14:val="none"/>
        </w:rPr>
        <w:t>.</w:t>
      </w:r>
    </w:p>
    <w:p w14:paraId="1342159D"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ACAS (2024) ‘Redundancy: Employee Rights and Employer Obligations.’ Available at: </w:t>
      </w:r>
      <w:hyperlink r:id="rId9" w:tgtFrame="_new" w:history="1">
        <w:r w:rsidRPr="003A26D0">
          <w:rPr>
            <w:rFonts w:ascii="Times New Roman" w:eastAsia="Times New Roman" w:hAnsi="Times New Roman" w:cs="Times New Roman"/>
            <w:color w:val="0000FF"/>
            <w:kern w:val="0"/>
            <w:sz w:val="24"/>
            <w:szCs w:val="24"/>
            <w:u w:val="single"/>
            <w:lang w:eastAsia="en-GB"/>
            <w14:ligatures w14:val="none"/>
          </w:rPr>
          <w:t>www.acas.org.uk</w:t>
        </w:r>
      </w:hyperlink>
      <w:r w:rsidRPr="003A26D0">
        <w:rPr>
          <w:rFonts w:ascii="Times New Roman" w:eastAsia="Times New Roman" w:hAnsi="Times New Roman" w:cs="Times New Roman"/>
          <w:kern w:val="0"/>
          <w:sz w:val="24"/>
          <w:szCs w:val="24"/>
          <w:lang w:eastAsia="en-GB"/>
          <w14:ligatures w14:val="none"/>
        </w:rPr>
        <w:t>.</w:t>
      </w:r>
    </w:p>
    <w:p w14:paraId="6943DD28"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Armstrong, M. and Taylor, S. (2022) </w:t>
      </w:r>
      <w:r w:rsidRPr="003A26D0">
        <w:rPr>
          <w:rFonts w:ascii="Times New Roman" w:eastAsia="Times New Roman" w:hAnsi="Times New Roman" w:cs="Times New Roman"/>
          <w:i/>
          <w:iCs/>
          <w:kern w:val="0"/>
          <w:sz w:val="24"/>
          <w:szCs w:val="24"/>
          <w:lang w:eastAsia="en-GB"/>
          <w14:ligatures w14:val="none"/>
        </w:rPr>
        <w:t>Armstrong’s Handbook of Human Resource Management Practice</w:t>
      </w:r>
      <w:r w:rsidRPr="003A26D0">
        <w:rPr>
          <w:rFonts w:ascii="Times New Roman" w:eastAsia="Times New Roman" w:hAnsi="Times New Roman" w:cs="Times New Roman"/>
          <w:kern w:val="0"/>
          <w:sz w:val="24"/>
          <w:szCs w:val="24"/>
          <w:lang w:eastAsia="en-GB"/>
          <w14:ligatures w14:val="none"/>
        </w:rPr>
        <w:t>. 16th edn. London: Kogan Page.</w:t>
      </w:r>
    </w:p>
    <w:p w14:paraId="6B883F6A"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British Gas Trading Ltd v Lock [2016] ICR 503.</w:t>
      </w:r>
    </w:p>
    <w:p w14:paraId="64F5B752"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CIPD (2024) ‘A Guide for People Professionals (TUPE).’ Available at: </w:t>
      </w:r>
      <w:hyperlink r:id="rId10" w:tgtFrame="_new" w:history="1">
        <w:r w:rsidRPr="003A26D0">
          <w:rPr>
            <w:rFonts w:ascii="Times New Roman" w:eastAsia="Times New Roman" w:hAnsi="Times New Roman" w:cs="Times New Roman"/>
            <w:color w:val="0000FF"/>
            <w:kern w:val="0"/>
            <w:sz w:val="24"/>
            <w:szCs w:val="24"/>
            <w:u w:val="single"/>
            <w:lang w:eastAsia="en-GB"/>
            <w14:ligatures w14:val="none"/>
          </w:rPr>
          <w:t>https://www.cipd.co.uk/knowledge/fundamentals/emp-law</w:t>
        </w:r>
      </w:hyperlink>
      <w:r w:rsidRPr="003A26D0">
        <w:rPr>
          <w:rFonts w:ascii="Times New Roman" w:eastAsia="Times New Roman" w:hAnsi="Times New Roman" w:cs="Times New Roman"/>
          <w:kern w:val="0"/>
          <w:sz w:val="24"/>
          <w:szCs w:val="24"/>
          <w:lang w:eastAsia="en-GB"/>
          <w14:ligatures w14:val="none"/>
        </w:rPr>
        <w:t>.</w:t>
      </w:r>
    </w:p>
    <w:p w14:paraId="4186C1B2"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lastRenderedPageBreak/>
        <w:t xml:space="preserve">CIPD (2024) ‘Flexible working: understanding the law and best practice.’ Available at: </w:t>
      </w:r>
      <w:hyperlink r:id="rId11" w:tgtFrame="_new" w:history="1">
        <w:r w:rsidRPr="003A26D0">
          <w:rPr>
            <w:rFonts w:ascii="Times New Roman" w:eastAsia="Times New Roman" w:hAnsi="Times New Roman" w:cs="Times New Roman"/>
            <w:color w:val="0000FF"/>
            <w:kern w:val="0"/>
            <w:sz w:val="24"/>
            <w:szCs w:val="24"/>
            <w:u w:val="single"/>
            <w:lang w:eastAsia="en-GB"/>
            <w14:ligatures w14:val="none"/>
          </w:rPr>
          <w:t>https://www.cipd.org.uk/knowledge/factsheets/flexible-working-factsheet/</w:t>
        </w:r>
      </w:hyperlink>
      <w:r w:rsidRPr="003A26D0">
        <w:rPr>
          <w:rFonts w:ascii="Times New Roman" w:eastAsia="Times New Roman" w:hAnsi="Times New Roman" w:cs="Times New Roman"/>
          <w:kern w:val="0"/>
          <w:sz w:val="24"/>
          <w:szCs w:val="24"/>
          <w:lang w:eastAsia="en-GB"/>
          <w14:ligatures w14:val="none"/>
        </w:rPr>
        <w:t>.</w:t>
      </w:r>
    </w:p>
    <w:p w14:paraId="69C19BA2"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CIPD (2024) ‘Maternity and paternity rights.’ Available at: </w:t>
      </w:r>
      <w:hyperlink r:id="rId12" w:tgtFrame="_new" w:history="1">
        <w:r w:rsidRPr="003A26D0">
          <w:rPr>
            <w:rFonts w:ascii="Times New Roman" w:eastAsia="Times New Roman" w:hAnsi="Times New Roman" w:cs="Times New Roman"/>
            <w:color w:val="0000FF"/>
            <w:kern w:val="0"/>
            <w:sz w:val="24"/>
            <w:szCs w:val="24"/>
            <w:u w:val="single"/>
            <w:lang w:eastAsia="en-GB"/>
            <w14:ligatures w14:val="none"/>
          </w:rPr>
          <w:t>https://www.cipd.org.uk/uk/knowledge/factsheets/maternity-paternity-rights-factsheet/</w:t>
        </w:r>
      </w:hyperlink>
      <w:r w:rsidRPr="003A26D0">
        <w:rPr>
          <w:rFonts w:ascii="Times New Roman" w:eastAsia="Times New Roman" w:hAnsi="Times New Roman" w:cs="Times New Roman"/>
          <w:kern w:val="0"/>
          <w:sz w:val="24"/>
          <w:szCs w:val="24"/>
          <w:lang w:eastAsia="en-GB"/>
          <w14:ligatures w14:val="none"/>
        </w:rPr>
        <w:t>.</w:t>
      </w:r>
    </w:p>
    <w:p w14:paraId="685C58EE"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Daniels, K. (2022) </w:t>
      </w:r>
      <w:r w:rsidRPr="003A26D0">
        <w:rPr>
          <w:rFonts w:ascii="Times New Roman" w:eastAsia="Times New Roman" w:hAnsi="Times New Roman" w:cs="Times New Roman"/>
          <w:i/>
          <w:iCs/>
          <w:kern w:val="0"/>
          <w:sz w:val="24"/>
          <w:szCs w:val="24"/>
          <w:lang w:eastAsia="en-GB"/>
          <w14:ligatures w14:val="none"/>
        </w:rPr>
        <w:t>Introduction to Employment Law: Fundamentals for HR and Business Students</w:t>
      </w:r>
      <w:r w:rsidRPr="003A26D0">
        <w:rPr>
          <w:rFonts w:ascii="Times New Roman" w:eastAsia="Times New Roman" w:hAnsi="Times New Roman" w:cs="Times New Roman"/>
          <w:kern w:val="0"/>
          <w:sz w:val="24"/>
          <w:szCs w:val="24"/>
          <w:lang w:eastAsia="en-GB"/>
          <w14:ligatures w14:val="none"/>
        </w:rPr>
        <w:t>. 6th edn. London: CIPD.</w:t>
      </w:r>
    </w:p>
    <w:p w14:paraId="39CC99AC"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EHRC (2024) ‘Equality and Human Rights Commission Guidance on Discrimination in Recruitment.’ Available at: </w:t>
      </w:r>
      <w:hyperlink r:id="rId13" w:tgtFrame="_new" w:history="1">
        <w:r w:rsidRPr="003A26D0">
          <w:rPr>
            <w:rFonts w:ascii="Times New Roman" w:eastAsia="Times New Roman" w:hAnsi="Times New Roman" w:cs="Times New Roman"/>
            <w:color w:val="0000FF"/>
            <w:kern w:val="0"/>
            <w:sz w:val="24"/>
            <w:szCs w:val="24"/>
            <w:u w:val="single"/>
            <w:lang w:eastAsia="en-GB"/>
            <w14:ligatures w14:val="none"/>
          </w:rPr>
          <w:t>www.equalityhumanrights.com</w:t>
        </w:r>
      </w:hyperlink>
      <w:r w:rsidRPr="003A26D0">
        <w:rPr>
          <w:rFonts w:ascii="Times New Roman" w:eastAsia="Times New Roman" w:hAnsi="Times New Roman" w:cs="Times New Roman"/>
          <w:kern w:val="0"/>
          <w:sz w:val="24"/>
          <w:szCs w:val="24"/>
          <w:lang w:eastAsia="en-GB"/>
          <w14:ligatures w14:val="none"/>
        </w:rPr>
        <w:t>.</w:t>
      </w:r>
    </w:p>
    <w:p w14:paraId="793034F2"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Employment Rights Act 1996. Available at: </w:t>
      </w:r>
      <w:hyperlink r:id="rId14" w:tgtFrame="_new" w:history="1">
        <w:r w:rsidRPr="003A26D0">
          <w:rPr>
            <w:rFonts w:ascii="Times New Roman" w:eastAsia="Times New Roman" w:hAnsi="Times New Roman" w:cs="Times New Roman"/>
            <w:color w:val="0000FF"/>
            <w:kern w:val="0"/>
            <w:sz w:val="24"/>
            <w:szCs w:val="24"/>
            <w:u w:val="single"/>
            <w:lang w:eastAsia="en-GB"/>
            <w14:ligatures w14:val="none"/>
          </w:rPr>
          <w:t>www.legislation.</w:t>
        </w:r>
        <w:r w:rsidRPr="003A26D0">
          <w:rPr>
            <w:rFonts w:ascii="Times New Roman" w:eastAsia="Times New Roman" w:hAnsi="Times New Roman" w:cs="Times New Roman"/>
            <w:color w:val="0000FF"/>
            <w:kern w:val="0"/>
            <w:sz w:val="24"/>
            <w:szCs w:val="24"/>
            <w:u w:val="single"/>
            <w:lang w:eastAsia="en-GB"/>
            <w14:ligatures w14:val="none"/>
          </w:rPr>
          <w:t>g</w:t>
        </w:r>
        <w:r w:rsidRPr="003A26D0">
          <w:rPr>
            <w:rFonts w:ascii="Times New Roman" w:eastAsia="Times New Roman" w:hAnsi="Times New Roman" w:cs="Times New Roman"/>
            <w:color w:val="0000FF"/>
            <w:kern w:val="0"/>
            <w:sz w:val="24"/>
            <w:szCs w:val="24"/>
            <w:u w:val="single"/>
            <w:lang w:eastAsia="en-GB"/>
            <w14:ligatures w14:val="none"/>
          </w:rPr>
          <w:t>ov.uk</w:t>
        </w:r>
      </w:hyperlink>
      <w:r w:rsidRPr="003A26D0">
        <w:rPr>
          <w:rFonts w:ascii="Times New Roman" w:eastAsia="Times New Roman" w:hAnsi="Times New Roman" w:cs="Times New Roman"/>
          <w:kern w:val="0"/>
          <w:sz w:val="24"/>
          <w:szCs w:val="24"/>
          <w:lang w:eastAsia="en-GB"/>
          <w14:ligatures w14:val="none"/>
        </w:rPr>
        <w:t>.</w:t>
      </w:r>
    </w:p>
    <w:p w14:paraId="496C2378"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Employment Rights Act 1996, s.95(1)(c) &amp; s.111. Available at: </w:t>
      </w:r>
      <w:hyperlink r:id="rId15" w:tgtFrame="_new" w:history="1">
        <w:r w:rsidRPr="003A26D0">
          <w:rPr>
            <w:rFonts w:ascii="Times New Roman" w:eastAsia="Times New Roman" w:hAnsi="Times New Roman" w:cs="Times New Roman"/>
            <w:color w:val="0000FF"/>
            <w:kern w:val="0"/>
            <w:sz w:val="24"/>
            <w:szCs w:val="24"/>
            <w:u w:val="single"/>
            <w:lang w:eastAsia="en-GB"/>
            <w14:ligatures w14:val="none"/>
          </w:rPr>
          <w:t>www.legislation.gov.uk</w:t>
        </w:r>
      </w:hyperlink>
      <w:r w:rsidRPr="003A26D0">
        <w:rPr>
          <w:rFonts w:ascii="Times New Roman" w:eastAsia="Times New Roman" w:hAnsi="Times New Roman" w:cs="Times New Roman"/>
          <w:kern w:val="0"/>
          <w:sz w:val="24"/>
          <w:szCs w:val="24"/>
          <w:lang w:eastAsia="en-GB"/>
          <w14:ligatures w14:val="none"/>
        </w:rPr>
        <w:t>.</w:t>
      </w:r>
    </w:p>
    <w:p w14:paraId="5499A0AA"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Employment Rights Act 1996, s.98. Available at: </w:t>
      </w:r>
      <w:hyperlink r:id="rId16" w:tgtFrame="_new" w:history="1">
        <w:r w:rsidRPr="003A26D0">
          <w:rPr>
            <w:rFonts w:ascii="Times New Roman" w:eastAsia="Times New Roman" w:hAnsi="Times New Roman" w:cs="Times New Roman"/>
            <w:color w:val="0000FF"/>
            <w:kern w:val="0"/>
            <w:sz w:val="24"/>
            <w:szCs w:val="24"/>
            <w:u w:val="single"/>
            <w:lang w:eastAsia="en-GB"/>
            <w14:ligatures w14:val="none"/>
          </w:rPr>
          <w:t>www.legislation.gov.uk</w:t>
        </w:r>
      </w:hyperlink>
      <w:r w:rsidRPr="003A26D0">
        <w:rPr>
          <w:rFonts w:ascii="Times New Roman" w:eastAsia="Times New Roman" w:hAnsi="Times New Roman" w:cs="Times New Roman"/>
          <w:kern w:val="0"/>
          <w:sz w:val="24"/>
          <w:szCs w:val="24"/>
          <w:lang w:eastAsia="en-GB"/>
          <w14:ligatures w14:val="none"/>
        </w:rPr>
        <w:t>.</w:t>
      </w:r>
    </w:p>
    <w:p w14:paraId="24B56D14"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Equal Pay Act 1970. Available at: </w:t>
      </w:r>
      <w:hyperlink r:id="rId17" w:tgtFrame="_new" w:history="1">
        <w:r w:rsidRPr="003A26D0">
          <w:rPr>
            <w:rFonts w:ascii="Times New Roman" w:eastAsia="Times New Roman" w:hAnsi="Times New Roman" w:cs="Times New Roman"/>
            <w:color w:val="0000FF"/>
            <w:kern w:val="0"/>
            <w:sz w:val="24"/>
            <w:szCs w:val="24"/>
            <w:u w:val="single"/>
            <w:lang w:eastAsia="en-GB"/>
            <w14:ligatures w14:val="none"/>
          </w:rPr>
          <w:t>www.legislation.gov.uk</w:t>
        </w:r>
      </w:hyperlink>
      <w:r w:rsidRPr="003A26D0">
        <w:rPr>
          <w:rFonts w:ascii="Times New Roman" w:eastAsia="Times New Roman" w:hAnsi="Times New Roman" w:cs="Times New Roman"/>
          <w:kern w:val="0"/>
          <w:sz w:val="24"/>
          <w:szCs w:val="24"/>
          <w:lang w:eastAsia="en-GB"/>
          <w14:ligatures w14:val="none"/>
        </w:rPr>
        <w:t>.</w:t>
      </w:r>
    </w:p>
    <w:p w14:paraId="5F267181"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Equality Act 2010. Available at: </w:t>
      </w:r>
      <w:hyperlink r:id="rId18" w:tgtFrame="_new" w:history="1">
        <w:r w:rsidRPr="003A26D0">
          <w:rPr>
            <w:rFonts w:ascii="Times New Roman" w:eastAsia="Times New Roman" w:hAnsi="Times New Roman" w:cs="Times New Roman"/>
            <w:color w:val="0000FF"/>
            <w:kern w:val="0"/>
            <w:sz w:val="24"/>
            <w:szCs w:val="24"/>
            <w:u w:val="single"/>
            <w:lang w:eastAsia="en-GB"/>
            <w14:ligatures w14:val="none"/>
          </w:rPr>
          <w:t>www.legislation.gov.uk</w:t>
        </w:r>
      </w:hyperlink>
      <w:r w:rsidRPr="003A26D0">
        <w:rPr>
          <w:rFonts w:ascii="Times New Roman" w:eastAsia="Times New Roman" w:hAnsi="Times New Roman" w:cs="Times New Roman"/>
          <w:kern w:val="0"/>
          <w:sz w:val="24"/>
          <w:szCs w:val="24"/>
          <w:lang w:eastAsia="en-GB"/>
          <w14:ligatures w14:val="none"/>
        </w:rPr>
        <w:t>.</w:t>
      </w:r>
    </w:p>
    <w:p w14:paraId="60DD4883"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Equality Act 2010, Schedule 9, Paragraph 1. Available at: </w:t>
      </w:r>
      <w:hyperlink r:id="rId19" w:tgtFrame="_new" w:history="1">
        <w:r w:rsidRPr="003A26D0">
          <w:rPr>
            <w:rFonts w:ascii="Times New Roman" w:eastAsia="Times New Roman" w:hAnsi="Times New Roman" w:cs="Times New Roman"/>
            <w:color w:val="0000FF"/>
            <w:kern w:val="0"/>
            <w:sz w:val="24"/>
            <w:szCs w:val="24"/>
            <w:u w:val="single"/>
            <w:lang w:eastAsia="en-GB"/>
            <w14:ligatures w14:val="none"/>
          </w:rPr>
          <w:t>www.legislation.gov.uk</w:t>
        </w:r>
      </w:hyperlink>
      <w:r w:rsidRPr="003A26D0">
        <w:rPr>
          <w:rFonts w:ascii="Times New Roman" w:eastAsia="Times New Roman" w:hAnsi="Times New Roman" w:cs="Times New Roman"/>
          <w:kern w:val="0"/>
          <w:sz w:val="24"/>
          <w:szCs w:val="24"/>
          <w:lang w:eastAsia="en-GB"/>
          <w14:ligatures w14:val="none"/>
        </w:rPr>
        <w:t>.</w:t>
      </w:r>
    </w:p>
    <w:p w14:paraId="2433C3F3"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Equality Act 2010, s.66. Available at: </w:t>
      </w:r>
      <w:hyperlink r:id="rId20" w:tgtFrame="_new" w:history="1">
        <w:r w:rsidRPr="003A26D0">
          <w:rPr>
            <w:rFonts w:ascii="Times New Roman" w:eastAsia="Times New Roman" w:hAnsi="Times New Roman" w:cs="Times New Roman"/>
            <w:color w:val="0000FF"/>
            <w:kern w:val="0"/>
            <w:sz w:val="24"/>
            <w:szCs w:val="24"/>
            <w:u w:val="single"/>
            <w:lang w:eastAsia="en-GB"/>
            <w14:ligatures w14:val="none"/>
          </w:rPr>
          <w:t>www.legislation.gov.uk</w:t>
        </w:r>
      </w:hyperlink>
      <w:r w:rsidRPr="003A26D0">
        <w:rPr>
          <w:rFonts w:ascii="Times New Roman" w:eastAsia="Times New Roman" w:hAnsi="Times New Roman" w:cs="Times New Roman"/>
          <w:kern w:val="0"/>
          <w:sz w:val="24"/>
          <w:szCs w:val="24"/>
          <w:lang w:eastAsia="en-GB"/>
          <w14:ligatures w14:val="none"/>
        </w:rPr>
        <w:t>.</w:t>
      </w:r>
    </w:p>
    <w:p w14:paraId="70F10C81"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Etam plc v Rowan [1989] IRLR 150.</w:t>
      </w:r>
    </w:p>
    <w:p w14:paraId="74E2E8E4" w14:textId="02DC8F76" w:rsidR="008E0ADD" w:rsidRPr="003A26D0" w:rsidRDefault="008E0ADD"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hAnsi="Times New Roman" w:cs="Times New Roman"/>
          <w:sz w:val="24"/>
          <w:szCs w:val="24"/>
        </w:rPr>
        <w:t xml:space="preserve">GOV.UK (n.d.) ‘Redundancy: your rights – Consultation.’ Available at: </w:t>
      </w:r>
      <w:hyperlink r:id="rId21" w:tgtFrame="_new" w:history="1">
        <w:r w:rsidRPr="003A26D0">
          <w:rPr>
            <w:rFonts w:ascii="Times New Roman" w:hAnsi="Times New Roman" w:cs="Times New Roman"/>
            <w:color w:val="0000FF"/>
            <w:sz w:val="24"/>
            <w:szCs w:val="24"/>
            <w:u w:val="single"/>
          </w:rPr>
          <w:t>https://www.gov.uk/redundancy-your-rights/consultation</w:t>
        </w:r>
      </w:hyperlink>
    </w:p>
    <w:p w14:paraId="6A7998C9"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Harpur Trust v Brazel [2022] UKSC 21.</w:t>
      </w:r>
    </w:p>
    <w:p w14:paraId="55E754D3"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Health and Safety at Work Act 1974. Available at: </w:t>
      </w:r>
      <w:hyperlink r:id="rId22" w:tgtFrame="_new" w:history="1">
        <w:r w:rsidRPr="003A26D0">
          <w:rPr>
            <w:rFonts w:ascii="Times New Roman" w:eastAsia="Times New Roman" w:hAnsi="Times New Roman" w:cs="Times New Roman"/>
            <w:color w:val="0000FF"/>
            <w:kern w:val="0"/>
            <w:sz w:val="24"/>
            <w:szCs w:val="24"/>
            <w:u w:val="single"/>
            <w:lang w:eastAsia="en-GB"/>
            <w14:ligatures w14:val="none"/>
          </w:rPr>
          <w:t>www.legislation.gov.uk</w:t>
        </w:r>
      </w:hyperlink>
      <w:r w:rsidRPr="003A26D0">
        <w:rPr>
          <w:rFonts w:ascii="Times New Roman" w:eastAsia="Times New Roman" w:hAnsi="Times New Roman" w:cs="Times New Roman"/>
          <w:kern w:val="0"/>
          <w:sz w:val="24"/>
          <w:szCs w:val="24"/>
          <w:lang w:eastAsia="en-GB"/>
          <w14:ligatures w14:val="none"/>
        </w:rPr>
        <w:t>.</w:t>
      </w:r>
    </w:p>
    <w:p w14:paraId="26ADFB85"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Home Office v Moyhing [2000] IRLR 185.</w:t>
      </w:r>
    </w:p>
    <w:p w14:paraId="7B96E120"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Maternity Action (2024) ‘Maternity and parental leave rights.’ Available at: </w:t>
      </w:r>
      <w:hyperlink r:id="rId23" w:tgtFrame="_new" w:history="1">
        <w:r w:rsidRPr="003A26D0">
          <w:rPr>
            <w:rFonts w:ascii="Times New Roman" w:eastAsia="Times New Roman" w:hAnsi="Times New Roman" w:cs="Times New Roman"/>
            <w:color w:val="0000FF"/>
            <w:kern w:val="0"/>
            <w:sz w:val="24"/>
            <w:szCs w:val="24"/>
            <w:u w:val="single"/>
            <w:lang w:eastAsia="en-GB"/>
            <w14:ligatures w14:val="none"/>
          </w:rPr>
          <w:t>https://maternityaction.org.uk/</w:t>
        </w:r>
      </w:hyperlink>
      <w:r w:rsidRPr="003A26D0">
        <w:rPr>
          <w:rFonts w:ascii="Times New Roman" w:eastAsia="Times New Roman" w:hAnsi="Times New Roman" w:cs="Times New Roman"/>
          <w:kern w:val="0"/>
          <w:sz w:val="24"/>
          <w:szCs w:val="24"/>
          <w:lang w:eastAsia="en-GB"/>
          <w14:ligatures w14:val="none"/>
        </w:rPr>
        <w:t>.</w:t>
      </w:r>
    </w:p>
    <w:p w14:paraId="48362577" w14:textId="7370FB3D" w:rsidR="00117577" w:rsidRPr="003A26D0" w:rsidRDefault="00117577"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NI Business Info (2024) ‘Defences to an equal pay claim.’ Available at: https://www.nibusinessinfo.co.uk/content/defences-equal-pay-claim</w:t>
      </w:r>
    </w:p>
    <w:p w14:paraId="66477139"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People Management (2017) ‘Constructive dismissal: a guide for employers.’ Available at: </w:t>
      </w:r>
      <w:hyperlink r:id="rId24" w:tgtFrame="_new" w:history="1">
        <w:r w:rsidRPr="003A26D0">
          <w:rPr>
            <w:rFonts w:ascii="Times New Roman" w:eastAsia="Times New Roman" w:hAnsi="Times New Roman" w:cs="Times New Roman"/>
            <w:color w:val="0000FF"/>
            <w:kern w:val="0"/>
            <w:sz w:val="24"/>
            <w:szCs w:val="24"/>
            <w:u w:val="single"/>
            <w:lang w:eastAsia="en-GB"/>
            <w14:ligatures w14:val="none"/>
          </w:rPr>
          <w:t>https://www.peoplemanagement.co.uk/article/1743377/constructive-dismissal-guide</w:t>
        </w:r>
      </w:hyperlink>
      <w:r w:rsidRPr="003A26D0">
        <w:rPr>
          <w:rFonts w:ascii="Times New Roman" w:eastAsia="Times New Roman" w:hAnsi="Times New Roman" w:cs="Times New Roman"/>
          <w:kern w:val="0"/>
          <w:sz w:val="24"/>
          <w:szCs w:val="24"/>
          <w:lang w:eastAsia="en-GB"/>
          <w14:ligatures w14:val="none"/>
        </w:rPr>
        <w:t>.</w:t>
      </w:r>
    </w:p>
    <w:p w14:paraId="5DCF876C"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 xml:space="preserve">People Management (2024) ‘Legal Issues in Employment Contract Variations.’ Available at: </w:t>
      </w:r>
      <w:hyperlink r:id="rId25" w:tgtFrame="_new" w:history="1">
        <w:r w:rsidRPr="003A26D0">
          <w:rPr>
            <w:rFonts w:ascii="Times New Roman" w:eastAsia="Times New Roman" w:hAnsi="Times New Roman" w:cs="Times New Roman"/>
            <w:color w:val="0000FF"/>
            <w:kern w:val="0"/>
            <w:sz w:val="24"/>
            <w:szCs w:val="24"/>
            <w:u w:val="single"/>
            <w:lang w:eastAsia="en-GB"/>
            <w14:ligatures w14:val="none"/>
          </w:rPr>
          <w:t>www.peoplemanagement.co.uk</w:t>
        </w:r>
      </w:hyperlink>
      <w:r w:rsidRPr="003A26D0">
        <w:rPr>
          <w:rFonts w:ascii="Times New Roman" w:eastAsia="Times New Roman" w:hAnsi="Times New Roman" w:cs="Times New Roman"/>
          <w:kern w:val="0"/>
          <w:sz w:val="24"/>
          <w:szCs w:val="24"/>
          <w:lang w:eastAsia="en-GB"/>
          <w14:ligatures w14:val="none"/>
        </w:rPr>
        <w:t>.</w:t>
      </w:r>
    </w:p>
    <w:p w14:paraId="7D8B33C4"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Retained EU Law (Revocation and Reform) Act 2023.</w:t>
      </w:r>
    </w:p>
    <w:p w14:paraId="604DD7DE"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lastRenderedPageBreak/>
        <w:t xml:space="preserve">Trade Union and Labour Relations (Consolidation) Act 1992, s.188. Available at: </w:t>
      </w:r>
      <w:hyperlink r:id="rId26" w:tgtFrame="_new" w:history="1">
        <w:r w:rsidRPr="003A26D0">
          <w:rPr>
            <w:rFonts w:ascii="Times New Roman" w:eastAsia="Times New Roman" w:hAnsi="Times New Roman" w:cs="Times New Roman"/>
            <w:color w:val="0000FF"/>
            <w:kern w:val="0"/>
            <w:sz w:val="24"/>
            <w:szCs w:val="24"/>
            <w:u w:val="single"/>
            <w:lang w:eastAsia="en-GB"/>
            <w14:ligatures w14:val="none"/>
          </w:rPr>
          <w:t>www.legislation.gov.uk</w:t>
        </w:r>
      </w:hyperlink>
      <w:r w:rsidRPr="003A26D0">
        <w:rPr>
          <w:rFonts w:ascii="Times New Roman" w:eastAsia="Times New Roman" w:hAnsi="Times New Roman" w:cs="Times New Roman"/>
          <w:kern w:val="0"/>
          <w:sz w:val="24"/>
          <w:szCs w:val="24"/>
          <w:lang w:eastAsia="en-GB"/>
          <w14:ligatures w14:val="none"/>
        </w:rPr>
        <w:t>.</w:t>
      </w:r>
    </w:p>
    <w:p w14:paraId="255F4E9F" w14:textId="77777777" w:rsidR="00F277B8" w:rsidRPr="003A26D0" w:rsidRDefault="00F277B8"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eastAsia="Times New Roman" w:hAnsi="Times New Roman" w:cs="Times New Roman"/>
          <w:kern w:val="0"/>
          <w:sz w:val="24"/>
          <w:szCs w:val="24"/>
          <w:lang w:eastAsia="en-GB"/>
          <w14:ligatures w14:val="none"/>
        </w:rPr>
        <w:t>Uber BV v Aslam [2021] UKSC 5.</w:t>
      </w:r>
    </w:p>
    <w:p w14:paraId="00DA880C" w14:textId="7F4D7EFF" w:rsidR="00E12A94" w:rsidRPr="003A26D0" w:rsidRDefault="00E12A94" w:rsidP="00F277B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A26D0">
        <w:rPr>
          <w:rFonts w:ascii="Times New Roman" w:hAnsi="Times New Roman" w:cs="Times New Roman"/>
          <w:sz w:val="24"/>
          <w:szCs w:val="24"/>
        </w:rPr>
        <w:t>https://www.unison.org.uk/get-help/knowledge/disputes-grievances/employment-tribunals</w:t>
      </w:r>
    </w:p>
    <w:p w14:paraId="6E013170" w14:textId="77777777" w:rsidR="00523605" w:rsidRPr="003A26D0" w:rsidRDefault="00523605" w:rsidP="0052360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FA97F1F" w14:textId="77777777" w:rsidR="00B9634F" w:rsidRPr="003A26D0" w:rsidRDefault="00B9634F" w:rsidP="00B9634F">
      <w:pPr>
        <w:pStyle w:val="NormalWeb"/>
      </w:pPr>
    </w:p>
    <w:p w14:paraId="6D4CEEC7" w14:textId="77777777" w:rsidR="00B9634F" w:rsidRPr="003A26D0" w:rsidRDefault="00B9634F" w:rsidP="00B9634F">
      <w:pPr>
        <w:pStyle w:val="NormalWeb"/>
      </w:pPr>
    </w:p>
    <w:p w14:paraId="7FE1CA01" w14:textId="77777777" w:rsidR="00B9634F" w:rsidRPr="003A26D0" w:rsidRDefault="00B9634F" w:rsidP="00B9634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E7B2407" w14:textId="77777777" w:rsidR="00B9634F" w:rsidRPr="003A26D0" w:rsidRDefault="00B9634F" w:rsidP="00B9634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7E94838" w14:textId="77777777" w:rsidR="00B9634F" w:rsidRPr="003A26D0" w:rsidRDefault="00B9634F" w:rsidP="00B9634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7EC04EE" w14:textId="77777777" w:rsidR="00B9634F" w:rsidRPr="003A26D0" w:rsidRDefault="00B9634F" w:rsidP="00B9634F">
      <w:pPr>
        <w:pStyle w:val="NormalWeb"/>
      </w:pPr>
    </w:p>
    <w:p w14:paraId="42ABE771" w14:textId="77777777" w:rsidR="00B9634F" w:rsidRPr="003A26D0" w:rsidRDefault="00B9634F" w:rsidP="001A412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38BCFC8" w14:textId="77777777" w:rsidR="00B9634F" w:rsidRPr="003A26D0" w:rsidRDefault="00B9634F" w:rsidP="001A412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F9F0BF6" w14:textId="77777777" w:rsidR="001A4121" w:rsidRPr="003A26D0" w:rsidRDefault="001A4121" w:rsidP="00D27B48">
      <w:pPr>
        <w:spacing w:after="0" w:line="240" w:lineRule="auto"/>
        <w:rPr>
          <w:rFonts w:ascii="Times New Roman" w:eastAsia="Times New Roman" w:hAnsi="Times New Roman" w:cs="Times New Roman"/>
          <w:b/>
          <w:bCs/>
          <w:kern w:val="0"/>
          <w:sz w:val="24"/>
          <w:szCs w:val="24"/>
          <w:lang w:eastAsia="en-GB"/>
          <w14:ligatures w14:val="none"/>
        </w:rPr>
      </w:pPr>
    </w:p>
    <w:sectPr w:rsidR="001A4121" w:rsidRPr="003A26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2130F"/>
    <w:multiLevelType w:val="multilevel"/>
    <w:tmpl w:val="A3C2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E1896"/>
    <w:multiLevelType w:val="hybridMultilevel"/>
    <w:tmpl w:val="C8B45A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871699"/>
    <w:multiLevelType w:val="multilevel"/>
    <w:tmpl w:val="5B0E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9C46EE"/>
    <w:multiLevelType w:val="multilevel"/>
    <w:tmpl w:val="BA90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F231F2"/>
    <w:multiLevelType w:val="multilevel"/>
    <w:tmpl w:val="865E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E04501"/>
    <w:multiLevelType w:val="multilevel"/>
    <w:tmpl w:val="E97E0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726304"/>
    <w:multiLevelType w:val="multilevel"/>
    <w:tmpl w:val="B890E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862837"/>
    <w:multiLevelType w:val="multilevel"/>
    <w:tmpl w:val="E172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7F49FE"/>
    <w:multiLevelType w:val="multilevel"/>
    <w:tmpl w:val="B250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61438F"/>
    <w:multiLevelType w:val="multilevel"/>
    <w:tmpl w:val="FAE4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8623D5"/>
    <w:multiLevelType w:val="multilevel"/>
    <w:tmpl w:val="C276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557938">
    <w:abstractNumId w:val="0"/>
  </w:num>
  <w:num w:numId="2" w16cid:durableId="1672180638">
    <w:abstractNumId w:val="2"/>
  </w:num>
  <w:num w:numId="3" w16cid:durableId="630551549">
    <w:abstractNumId w:val="5"/>
  </w:num>
  <w:num w:numId="4" w16cid:durableId="293565802">
    <w:abstractNumId w:val="8"/>
  </w:num>
  <w:num w:numId="5" w16cid:durableId="1319384479">
    <w:abstractNumId w:val="10"/>
  </w:num>
  <w:num w:numId="6" w16cid:durableId="1736271407">
    <w:abstractNumId w:val="7"/>
  </w:num>
  <w:num w:numId="7" w16cid:durableId="1874340457">
    <w:abstractNumId w:val="9"/>
  </w:num>
  <w:num w:numId="8" w16cid:durableId="1559321687">
    <w:abstractNumId w:val="4"/>
  </w:num>
  <w:num w:numId="9" w16cid:durableId="311180901">
    <w:abstractNumId w:val="3"/>
  </w:num>
  <w:num w:numId="10" w16cid:durableId="284434878">
    <w:abstractNumId w:val="6"/>
  </w:num>
  <w:num w:numId="11" w16cid:durableId="1698768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A51"/>
    <w:rsid w:val="00025681"/>
    <w:rsid w:val="00046EEA"/>
    <w:rsid w:val="00084A8B"/>
    <w:rsid w:val="000940D6"/>
    <w:rsid w:val="000B4714"/>
    <w:rsid w:val="000C2232"/>
    <w:rsid w:val="000E2D88"/>
    <w:rsid w:val="00117577"/>
    <w:rsid w:val="00164BE7"/>
    <w:rsid w:val="001A4121"/>
    <w:rsid w:val="001B1D1D"/>
    <w:rsid w:val="001B2E2E"/>
    <w:rsid w:val="001B5481"/>
    <w:rsid w:val="001C2DBD"/>
    <w:rsid w:val="001F6D0C"/>
    <w:rsid w:val="00221BCF"/>
    <w:rsid w:val="00254671"/>
    <w:rsid w:val="002832E1"/>
    <w:rsid w:val="002B4576"/>
    <w:rsid w:val="002C43A3"/>
    <w:rsid w:val="00301552"/>
    <w:rsid w:val="00322BF0"/>
    <w:rsid w:val="003303C0"/>
    <w:rsid w:val="00335F63"/>
    <w:rsid w:val="00344D3A"/>
    <w:rsid w:val="003642B3"/>
    <w:rsid w:val="00387498"/>
    <w:rsid w:val="003A26D0"/>
    <w:rsid w:val="003D5FC4"/>
    <w:rsid w:val="003E338F"/>
    <w:rsid w:val="003E4FD2"/>
    <w:rsid w:val="00405729"/>
    <w:rsid w:val="00482E10"/>
    <w:rsid w:val="004A7D65"/>
    <w:rsid w:val="004B7AF1"/>
    <w:rsid w:val="004F7E9D"/>
    <w:rsid w:val="005113E4"/>
    <w:rsid w:val="00523605"/>
    <w:rsid w:val="005657B8"/>
    <w:rsid w:val="005664F8"/>
    <w:rsid w:val="00582405"/>
    <w:rsid w:val="005A1503"/>
    <w:rsid w:val="005D23CC"/>
    <w:rsid w:val="005E02E6"/>
    <w:rsid w:val="00601C1D"/>
    <w:rsid w:val="006518EA"/>
    <w:rsid w:val="006648EA"/>
    <w:rsid w:val="00671F87"/>
    <w:rsid w:val="006860FE"/>
    <w:rsid w:val="0069026E"/>
    <w:rsid w:val="006A64F7"/>
    <w:rsid w:val="006B6B19"/>
    <w:rsid w:val="007108EC"/>
    <w:rsid w:val="00720A0A"/>
    <w:rsid w:val="00741DF7"/>
    <w:rsid w:val="007727CC"/>
    <w:rsid w:val="0077447D"/>
    <w:rsid w:val="007803A7"/>
    <w:rsid w:val="007A01D1"/>
    <w:rsid w:val="007B25FC"/>
    <w:rsid w:val="007F018E"/>
    <w:rsid w:val="00823025"/>
    <w:rsid w:val="008372CA"/>
    <w:rsid w:val="0084659C"/>
    <w:rsid w:val="00876BBC"/>
    <w:rsid w:val="00880126"/>
    <w:rsid w:val="008A0475"/>
    <w:rsid w:val="008E0ADD"/>
    <w:rsid w:val="009059AF"/>
    <w:rsid w:val="00951809"/>
    <w:rsid w:val="00970C1E"/>
    <w:rsid w:val="00973CE9"/>
    <w:rsid w:val="009A3EE8"/>
    <w:rsid w:val="009A7C7F"/>
    <w:rsid w:val="00A34C96"/>
    <w:rsid w:val="00AD2A4C"/>
    <w:rsid w:val="00B1245A"/>
    <w:rsid w:val="00B31C43"/>
    <w:rsid w:val="00B36FFD"/>
    <w:rsid w:val="00B66326"/>
    <w:rsid w:val="00B90A64"/>
    <w:rsid w:val="00B9634F"/>
    <w:rsid w:val="00BF39FD"/>
    <w:rsid w:val="00C12FCB"/>
    <w:rsid w:val="00C16955"/>
    <w:rsid w:val="00C50A51"/>
    <w:rsid w:val="00C86655"/>
    <w:rsid w:val="00CA761E"/>
    <w:rsid w:val="00D2698D"/>
    <w:rsid w:val="00D2702D"/>
    <w:rsid w:val="00D27B48"/>
    <w:rsid w:val="00D45C26"/>
    <w:rsid w:val="00D51255"/>
    <w:rsid w:val="00D61B67"/>
    <w:rsid w:val="00DC4FE4"/>
    <w:rsid w:val="00DC7629"/>
    <w:rsid w:val="00DE018C"/>
    <w:rsid w:val="00E12A94"/>
    <w:rsid w:val="00E2363A"/>
    <w:rsid w:val="00E45BE0"/>
    <w:rsid w:val="00E47F08"/>
    <w:rsid w:val="00E821E4"/>
    <w:rsid w:val="00E92AAC"/>
    <w:rsid w:val="00E97E87"/>
    <w:rsid w:val="00EA5902"/>
    <w:rsid w:val="00EE16B8"/>
    <w:rsid w:val="00F277B8"/>
    <w:rsid w:val="00F865F8"/>
    <w:rsid w:val="00FB1FA7"/>
    <w:rsid w:val="00FC39C9"/>
    <w:rsid w:val="00FD3BB9"/>
    <w:rsid w:val="00FD7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659CC"/>
  <w15:chartTrackingRefBased/>
  <w15:docId w15:val="{CAC2D2F3-C292-4AF3-8ED0-87D5BEAAF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A5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50A5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50A51"/>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50A51"/>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50A51"/>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50A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A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A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A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A51"/>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50A5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50A51"/>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50A51"/>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50A51"/>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50A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A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A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A51"/>
    <w:rPr>
      <w:rFonts w:eastAsiaTheme="majorEastAsia" w:cstheme="majorBidi"/>
      <w:color w:val="272727" w:themeColor="text1" w:themeTint="D8"/>
    </w:rPr>
  </w:style>
  <w:style w:type="paragraph" w:styleId="Title">
    <w:name w:val="Title"/>
    <w:basedOn w:val="Normal"/>
    <w:next w:val="Normal"/>
    <w:link w:val="TitleChar"/>
    <w:uiPriority w:val="10"/>
    <w:qFormat/>
    <w:rsid w:val="00C50A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A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A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A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A51"/>
    <w:pPr>
      <w:spacing w:before="160"/>
      <w:jc w:val="center"/>
    </w:pPr>
    <w:rPr>
      <w:i/>
      <w:iCs/>
      <w:color w:val="404040" w:themeColor="text1" w:themeTint="BF"/>
    </w:rPr>
  </w:style>
  <w:style w:type="character" w:customStyle="1" w:styleId="QuoteChar">
    <w:name w:val="Quote Char"/>
    <w:basedOn w:val="DefaultParagraphFont"/>
    <w:link w:val="Quote"/>
    <w:uiPriority w:val="29"/>
    <w:rsid w:val="00C50A51"/>
    <w:rPr>
      <w:i/>
      <w:iCs/>
      <w:color w:val="404040" w:themeColor="text1" w:themeTint="BF"/>
    </w:rPr>
  </w:style>
  <w:style w:type="paragraph" w:styleId="ListParagraph">
    <w:name w:val="List Paragraph"/>
    <w:basedOn w:val="Normal"/>
    <w:uiPriority w:val="34"/>
    <w:qFormat/>
    <w:rsid w:val="00C50A51"/>
    <w:pPr>
      <w:ind w:left="720"/>
      <w:contextualSpacing/>
    </w:pPr>
  </w:style>
  <w:style w:type="character" w:styleId="IntenseEmphasis">
    <w:name w:val="Intense Emphasis"/>
    <w:basedOn w:val="DefaultParagraphFont"/>
    <w:uiPriority w:val="21"/>
    <w:qFormat/>
    <w:rsid w:val="00C50A51"/>
    <w:rPr>
      <w:i/>
      <w:iCs/>
      <w:color w:val="2E74B5" w:themeColor="accent1" w:themeShade="BF"/>
    </w:rPr>
  </w:style>
  <w:style w:type="paragraph" w:styleId="IntenseQuote">
    <w:name w:val="Intense Quote"/>
    <w:basedOn w:val="Normal"/>
    <w:next w:val="Normal"/>
    <w:link w:val="IntenseQuoteChar"/>
    <w:uiPriority w:val="30"/>
    <w:qFormat/>
    <w:rsid w:val="00C50A5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50A51"/>
    <w:rPr>
      <w:i/>
      <w:iCs/>
      <w:color w:val="2E74B5" w:themeColor="accent1" w:themeShade="BF"/>
    </w:rPr>
  </w:style>
  <w:style w:type="character" w:styleId="IntenseReference">
    <w:name w:val="Intense Reference"/>
    <w:basedOn w:val="DefaultParagraphFont"/>
    <w:uiPriority w:val="32"/>
    <w:qFormat/>
    <w:rsid w:val="00C50A51"/>
    <w:rPr>
      <w:b/>
      <w:bCs/>
      <w:smallCaps/>
      <w:color w:val="2E74B5" w:themeColor="accent1" w:themeShade="BF"/>
      <w:spacing w:val="5"/>
    </w:rPr>
  </w:style>
  <w:style w:type="paragraph" w:styleId="NormalWeb">
    <w:name w:val="Normal (Web)"/>
    <w:basedOn w:val="Normal"/>
    <w:uiPriority w:val="99"/>
    <w:unhideWhenUsed/>
    <w:rsid w:val="00D61B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D61B67"/>
    <w:rPr>
      <w:i/>
      <w:iCs/>
    </w:rPr>
  </w:style>
  <w:style w:type="character" w:styleId="Hyperlink">
    <w:name w:val="Hyperlink"/>
    <w:basedOn w:val="DefaultParagraphFont"/>
    <w:uiPriority w:val="99"/>
    <w:unhideWhenUsed/>
    <w:rsid w:val="00E45BE0"/>
    <w:rPr>
      <w:color w:val="0563C1" w:themeColor="hyperlink"/>
      <w:u w:val="single"/>
    </w:rPr>
  </w:style>
  <w:style w:type="character" w:styleId="UnresolvedMention">
    <w:name w:val="Unresolved Mention"/>
    <w:basedOn w:val="DefaultParagraphFont"/>
    <w:uiPriority w:val="99"/>
    <w:semiHidden/>
    <w:unhideWhenUsed/>
    <w:rsid w:val="00E45BE0"/>
    <w:rPr>
      <w:color w:val="605E5C"/>
      <w:shd w:val="clear" w:color="auto" w:fill="E1DFDD"/>
    </w:rPr>
  </w:style>
  <w:style w:type="character" w:styleId="Strong">
    <w:name w:val="Strong"/>
    <w:basedOn w:val="DefaultParagraphFont"/>
    <w:uiPriority w:val="22"/>
    <w:qFormat/>
    <w:rsid w:val="00B36F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82763">
      <w:bodyDiv w:val="1"/>
      <w:marLeft w:val="0"/>
      <w:marRight w:val="0"/>
      <w:marTop w:val="0"/>
      <w:marBottom w:val="0"/>
      <w:divBdr>
        <w:top w:val="none" w:sz="0" w:space="0" w:color="auto"/>
        <w:left w:val="none" w:sz="0" w:space="0" w:color="auto"/>
        <w:bottom w:val="none" w:sz="0" w:space="0" w:color="auto"/>
        <w:right w:val="none" w:sz="0" w:space="0" w:color="auto"/>
      </w:divBdr>
    </w:div>
    <w:div w:id="290938177">
      <w:bodyDiv w:val="1"/>
      <w:marLeft w:val="0"/>
      <w:marRight w:val="0"/>
      <w:marTop w:val="0"/>
      <w:marBottom w:val="0"/>
      <w:divBdr>
        <w:top w:val="none" w:sz="0" w:space="0" w:color="auto"/>
        <w:left w:val="none" w:sz="0" w:space="0" w:color="auto"/>
        <w:bottom w:val="none" w:sz="0" w:space="0" w:color="auto"/>
        <w:right w:val="none" w:sz="0" w:space="0" w:color="auto"/>
      </w:divBdr>
    </w:div>
    <w:div w:id="320742576">
      <w:bodyDiv w:val="1"/>
      <w:marLeft w:val="0"/>
      <w:marRight w:val="0"/>
      <w:marTop w:val="0"/>
      <w:marBottom w:val="0"/>
      <w:divBdr>
        <w:top w:val="none" w:sz="0" w:space="0" w:color="auto"/>
        <w:left w:val="none" w:sz="0" w:space="0" w:color="auto"/>
        <w:bottom w:val="none" w:sz="0" w:space="0" w:color="auto"/>
        <w:right w:val="none" w:sz="0" w:space="0" w:color="auto"/>
      </w:divBdr>
    </w:div>
    <w:div w:id="379135282">
      <w:bodyDiv w:val="1"/>
      <w:marLeft w:val="0"/>
      <w:marRight w:val="0"/>
      <w:marTop w:val="0"/>
      <w:marBottom w:val="0"/>
      <w:divBdr>
        <w:top w:val="none" w:sz="0" w:space="0" w:color="auto"/>
        <w:left w:val="none" w:sz="0" w:space="0" w:color="auto"/>
        <w:bottom w:val="none" w:sz="0" w:space="0" w:color="auto"/>
        <w:right w:val="none" w:sz="0" w:space="0" w:color="auto"/>
      </w:divBdr>
    </w:div>
    <w:div w:id="443765216">
      <w:bodyDiv w:val="1"/>
      <w:marLeft w:val="0"/>
      <w:marRight w:val="0"/>
      <w:marTop w:val="0"/>
      <w:marBottom w:val="0"/>
      <w:divBdr>
        <w:top w:val="none" w:sz="0" w:space="0" w:color="auto"/>
        <w:left w:val="none" w:sz="0" w:space="0" w:color="auto"/>
        <w:bottom w:val="none" w:sz="0" w:space="0" w:color="auto"/>
        <w:right w:val="none" w:sz="0" w:space="0" w:color="auto"/>
      </w:divBdr>
    </w:div>
    <w:div w:id="468010818">
      <w:bodyDiv w:val="1"/>
      <w:marLeft w:val="0"/>
      <w:marRight w:val="0"/>
      <w:marTop w:val="0"/>
      <w:marBottom w:val="0"/>
      <w:divBdr>
        <w:top w:val="none" w:sz="0" w:space="0" w:color="auto"/>
        <w:left w:val="none" w:sz="0" w:space="0" w:color="auto"/>
        <w:bottom w:val="none" w:sz="0" w:space="0" w:color="auto"/>
        <w:right w:val="none" w:sz="0" w:space="0" w:color="auto"/>
      </w:divBdr>
    </w:div>
    <w:div w:id="481240294">
      <w:bodyDiv w:val="1"/>
      <w:marLeft w:val="0"/>
      <w:marRight w:val="0"/>
      <w:marTop w:val="0"/>
      <w:marBottom w:val="0"/>
      <w:divBdr>
        <w:top w:val="none" w:sz="0" w:space="0" w:color="auto"/>
        <w:left w:val="none" w:sz="0" w:space="0" w:color="auto"/>
        <w:bottom w:val="none" w:sz="0" w:space="0" w:color="auto"/>
        <w:right w:val="none" w:sz="0" w:space="0" w:color="auto"/>
      </w:divBdr>
    </w:div>
    <w:div w:id="484126237">
      <w:bodyDiv w:val="1"/>
      <w:marLeft w:val="0"/>
      <w:marRight w:val="0"/>
      <w:marTop w:val="0"/>
      <w:marBottom w:val="0"/>
      <w:divBdr>
        <w:top w:val="none" w:sz="0" w:space="0" w:color="auto"/>
        <w:left w:val="none" w:sz="0" w:space="0" w:color="auto"/>
        <w:bottom w:val="none" w:sz="0" w:space="0" w:color="auto"/>
        <w:right w:val="none" w:sz="0" w:space="0" w:color="auto"/>
      </w:divBdr>
    </w:div>
    <w:div w:id="561982798">
      <w:bodyDiv w:val="1"/>
      <w:marLeft w:val="0"/>
      <w:marRight w:val="0"/>
      <w:marTop w:val="0"/>
      <w:marBottom w:val="0"/>
      <w:divBdr>
        <w:top w:val="none" w:sz="0" w:space="0" w:color="auto"/>
        <w:left w:val="none" w:sz="0" w:space="0" w:color="auto"/>
        <w:bottom w:val="none" w:sz="0" w:space="0" w:color="auto"/>
        <w:right w:val="none" w:sz="0" w:space="0" w:color="auto"/>
      </w:divBdr>
    </w:div>
    <w:div w:id="586840047">
      <w:bodyDiv w:val="1"/>
      <w:marLeft w:val="0"/>
      <w:marRight w:val="0"/>
      <w:marTop w:val="0"/>
      <w:marBottom w:val="0"/>
      <w:divBdr>
        <w:top w:val="none" w:sz="0" w:space="0" w:color="auto"/>
        <w:left w:val="none" w:sz="0" w:space="0" w:color="auto"/>
        <w:bottom w:val="none" w:sz="0" w:space="0" w:color="auto"/>
        <w:right w:val="none" w:sz="0" w:space="0" w:color="auto"/>
      </w:divBdr>
    </w:div>
    <w:div w:id="609168276">
      <w:bodyDiv w:val="1"/>
      <w:marLeft w:val="0"/>
      <w:marRight w:val="0"/>
      <w:marTop w:val="0"/>
      <w:marBottom w:val="0"/>
      <w:divBdr>
        <w:top w:val="none" w:sz="0" w:space="0" w:color="auto"/>
        <w:left w:val="none" w:sz="0" w:space="0" w:color="auto"/>
        <w:bottom w:val="none" w:sz="0" w:space="0" w:color="auto"/>
        <w:right w:val="none" w:sz="0" w:space="0" w:color="auto"/>
      </w:divBdr>
    </w:div>
    <w:div w:id="733048739">
      <w:bodyDiv w:val="1"/>
      <w:marLeft w:val="0"/>
      <w:marRight w:val="0"/>
      <w:marTop w:val="0"/>
      <w:marBottom w:val="0"/>
      <w:divBdr>
        <w:top w:val="none" w:sz="0" w:space="0" w:color="auto"/>
        <w:left w:val="none" w:sz="0" w:space="0" w:color="auto"/>
        <w:bottom w:val="none" w:sz="0" w:space="0" w:color="auto"/>
        <w:right w:val="none" w:sz="0" w:space="0" w:color="auto"/>
      </w:divBdr>
    </w:div>
    <w:div w:id="735083942">
      <w:bodyDiv w:val="1"/>
      <w:marLeft w:val="0"/>
      <w:marRight w:val="0"/>
      <w:marTop w:val="0"/>
      <w:marBottom w:val="0"/>
      <w:divBdr>
        <w:top w:val="none" w:sz="0" w:space="0" w:color="auto"/>
        <w:left w:val="none" w:sz="0" w:space="0" w:color="auto"/>
        <w:bottom w:val="none" w:sz="0" w:space="0" w:color="auto"/>
        <w:right w:val="none" w:sz="0" w:space="0" w:color="auto"/>
      </w:divBdr>
    </w:div>
    <w:div w:id="764571111">
      <w:bodyDiv w:val="1"/>
      <w:marLeft w:val="0"/>
      <w:marRight w:val="0"/>
      <w:marTop w:val="0"/>
      <w:marBottom w:val="0"/>
      <w:divBdr>
        <w:top w:val="none" w:sz="0" w:space="0" w:color="auto"/>
        <w:left w:val="none" w:sz="0" w:space="0" w:color="auto"/>
        <w:bottom w:val="none" w:sz="0" w:space="0" w:color="auto"/>
        <w:right w:val="none" w:sz="0" w:space="0" w:color="auto"/>
      </w:divBdr>
    </w:div>
    <w:div w:id="814612874">
      <w:bodyDiv w:val="1"/>
      <w:marLeft w:val="0"/>
      <w:marRight w:val="0"/>
      <w:marTop w:val="0"/>
      <w:marBottom w:val="0"/>
      <w:divBdr>
        <w:top w:val="none" w:sz="0" w:space="0" w:color="auto"/>
        <w:left w:val="none" w:sz="0" w:space="0" w:color="auto"/>
        <w:bottom w:val="none" w:sz="0" w:space="0" w:color="auto"/>
        <w:right w:val="none" w:sz="0" w:space="0" w:color="auto"/>
      </w:divBdr>
    </w:div>
    <w:div w:id="960573338">
      <w:bodyDiv w:val="1"/>
      <w:marLeft w:val="0"/>
      <w:marRight w:val="0"/>
      <w:marTop w:val="0"/>
      <w:marBottom w:val="0"/>
      <w:divBdr>
        <w:top w:val="none" w:sz="0" w:space="0" w:color="auto"/>
        <w:left w:val="none" w:sz="0" w:space="0" w:color="auto"/>
        <w:bottom w:val="none" w:sz="0" w:space="0" w:color="auto"/>
        <w:right w:val="none" w:sz="0" w:space="0" w:color="auto"/>
      </w:divBdr>
      <w:divsChild>
        <w:div w:id="322242273">
          <w:marLeft w:val="0"/>
          <w:marRight w:val="0"/>
          <w:marTop w:val="0"/>
          <w:marBottom w:val="0"/>
          <w:divBdr>
            <w:top w:val="none" w:sz="0" w:space="0" w:color="auto"/>
            <w:left w:val="none" w:sz="0" w:space="0" w:color="auto"/>
            <w:bottom w:val="none" w:sz="0" w:space="0" w:color="auto"/>
            <w:right w:val="none" w:sz="0" w:space="0" w:color="auto"/>
          </w:divBdr>
        </w:div>
        <w:div w:id="898395478">
          <w:marLeft w:val="0"/>
          <w:marRight w:val="0"/>
          <w:marTop w:val="0"/>
          <w:marBottom w:val="0"/>
          <w:divBdr>
            <w:top w:val="none" w:sz="0" w:space="0" w:color="auto"/>
            <w:left w:val="none" w:sz="0" w:space="0" w:color="auto"/>
            <w:bottom w:val="none" w:sz="0" w:space="0" w:color="auto"/>
            <w:right w:val="none" w:sz="0" w:space="0" w:color="auto"/>
          </w:divBdr>
        </w:div>
        <w:div w:id="910581988">
          <w:marLeft w:val="0"/>
          <w:marRight w:val="0"/>
          <w:marTop w:val="0"/>
          <w:marBottom w:val="0"/>
          <w:divBdr>
            <w:top w:val="none" w:sz="0" w:space="0" w:color="auto"/>
            <w:left w:val="none" w:sz="0" w:space="0" w:color="auto"/>
            <w:bottom w:val="none" w:sz="0" w:space="0" w:color="auto"/>
            <w:right w:val="none" w:sz="0" w:space="0" w:color="auto"/>
          </w:divBdr>
        </w:div>
        <w:div w:id="954867944">
          <w:marLeft w:val="0"/>
          <w:marRight w:val="0"/>
          <w:marTop w:val="0"/>
          <w:marBottom w:val="0"/>
          <w:divBdr>
            <w:top w:val="none" w:sz="0" w:space="0" w:color="auto"/>
            <w:left w:val="none" w:sz="0" w:space="0" w:color="auto"/>
            <w:bottom w:val="none" w:sz="0" w:space="0" w:color="auto"/>
            <w:right w:val="none" w:sz="0" w:space="0" w:color="auto"/>
          </w:divBdr>
        </w:div>
        <w:div w:id="1205287402">
          <w:marLeft w:val="0"/>
          <w:marRight w:val="0"/>
          <w:marTop w:val="0"/>
          <w:marBottom w:val="0"/>
          <w:divBdr>
            <w:top w:val="none" w:sz="0" w:space="0" w:color="auto"/>
            <w:left w:val="none" w:sz="0" w:space="0" w:color="auto"/>
            <w:bottom w:val="none" w:sz="0" w:space="0" w:color="auto"/>
            <w:right w:val="none" w:sz="0" w:space="0" w:color="auto"/>
          </w:divBdr>
        </w:div>
        <w:div w:id="1285774180">
          <w:marLeft w:val="0"/>
          <w:marRight w:val="0"/>
          <w:marTop w:val="0"/>
          <w:marBottom w:val="0"/>
          <w:divBdr>
            <w:top w:val="none" w:sz="0" w:space="0" w:color="auto"/>
            <w:left w:val="none" w:sz="0" w:space="0" w:color="auto"/>
            <w:bottom w:val="none" w:sz="0" w:space="0" w:color="auto"/>
            <w:right w:val="none" w:sz="0" w:space="0" w:color="auto"/>
          </w:divBdr>
        </w:div>
        <w:div w:id="1464275129">
          <w:marLeft w:val="0"/>
          <w:marRight w:val="0"/>
          <w:marTop w:val="0"/>
          <w:marBottom w:val="0"/>
          <w:divBdr>
            <w:top w:val="none" w:sz="0" w:space="0" w:color="auto"/>
            <w:left w:val="none" w:sz="0" w:space="0" w:color="auto"/>
            <w:bottom w:val="none" w:sz="0" w:space="0" w:color="auto"/>
            <w:right w:val="none" w:sz="0" w:space="0" w:color="auto"/>
          </w:divBdr>
        </w:div>
        <w:div w:id="1747409532">
          <w:marLeft w:val="0"/>
          <w:marRight w:val="0"/>
          <w:marTop w:val="0"/>
          <w:marBottom w:val="0"/>
          <w:divBdr>
            <w:top w:val="none" w:sz="0" w:space="0" w:color="auto"/>
            <w:left w:val="none" w:sz="0" w:space="0" w:color="auto"/>
            <w:bottom w:val="none" w:sz="0" w:space="0" w:color="auto"/>
            <w:right w:val="none" w:sz="0" w:space="0" w:color="auto"/>
          </w:divBdr>
        </w:div>
        <w:div w:id="2072264576">
          <w:marLeft w:val="0"/>
          <w:marRight w:val="0"/>
          <w:marTop w:val="0"/>
          <w:marBottom w:val="0"/>
          <w:divBdr>
            <w:top w:val="none" w:sz="0" w:space="0" w:color="auto"/>
            <w:left w:val="none" w:sz="0" w:space="0" w:color="auto"/>
            <w:bottom w:val="none" w:sz="0" w:space="0" w:color="auto"/>
            <w:right w:val="none" w:sz="0" w:space="0" w:color="auto"/>
          </w:divBdr>
        </w:div>
      </w:divsChild>
    </w:div>
    <w:div w:id="1189027262">
      <w:bodyDiv w:val="1"/>
      <w:marLeft w:val="0"/>
      <w:marRight w:val="0"/>
      <w:marTop w:val="0"/>
      <w:marBottom w:val="0"/>
      <w:divBdr>
        <w:top w:val="none" w:sz="0" w:space="0" w:color="auto"/>
        <w:left w:val="none" w:sz="0" w:space="0" w:color="auto"/>
        <w:bottom w:val="none" w:sz="0" w:space="0" w:color="auto"/>
        <w:right w:val="none" w:sz="0" w:space="0" w:color="auto"/>
      </w:divBdr>
    </w:div>
    <w:div w:id="1246302362">
      <w:bodyDiv w:val="1"/>
      <w:marLeft w:val="0"/>
      <w:marRight w:val="0"/>
      <w:marTop w:val="0"/>
      <w:marBottom w:val="0"/>
      <w:divBdr>
        <w:top w:val="none" w:sz="0" w:space="0" w:color="auto"/>
        <w:left w:val="none" w:sz="0" w:space="0" w:color="auto"/>
        <w:bottom w:val="none" w:sz="0" w:space="0" w:color="auto"/>
        <w:right w:val="none" w:sz="0" w:space="0" w:color="auto"/>
      </w:divBdr>
    </w:div>
    <w:div w:id="1255743793">
      <w:bodyDiv w:val="1"/>
      <w:marLeft w:val="0"/>
      <w:marRight w:val="0"/>
      <w:marTop w:val="0"/>
      <w:marBottom w:val="0"/>
      <w:divBdr>
        <w:top w:val="none" w:sz="0" w:space="0" w:color="auto"/>
        <w:left w:val="none" w:sz="0" w:space="0" w:color="auto"/>
        <w:bottom w:val="none" w:sz="0" w:space="0" w:color="auto"/>
        <w:right w:val="none" w:sz="0" w:space="0" w:color="auto"/>
      </w:divBdr>
    </w:div>
    <w:div w:id="1407146215">
      <w:bodyDiv w:val="1"/>
      <w:marLeft w:val="0"/>
      <w:marRight w:val="0"/>
      <w:marTop w:val="0"/>
      <w:marBottom w:val="0"/>
      <w:divBdr>
        <w:top w:val="none" w:sz="0" w:space="0" w:color="auto"/>
        <w:left w:val="none" w:sz="0" w:space="0" w:color="auto"/>
        <w:bottom w:val="none" w:sz="0" w:space="0" w:color="auto"/>
        <w:right w:val="none" w:sz="0" w:space="0" w:color="auto"/>
      </w:divBdr>
    </w:div>
    <w:div w:id="1426222470">
      <w:bodyDiv w:val="1"/>
      <w:marLeft w:val="0"/>
      <w:marRight w:val="0"/>
      <w:marTop w:val="0"/>
      <w:marBottom w:val="0"/>
      <w:divBdr>
        <w:top w:val="none" w:sz="0" w:space="0" w:color="auto"/>
        <w:left w:val="none" w:sz="0" w:space="0" w:color="auto"/>
        <w:bottom w:val="none" w:sz="0" w:space="0" w:color="auto"/>
        <w:right w:val="none" w:sz="0" w:space="0" w:color="auto"/>
      </w:divBdr>
    </w:div>
    <w:div w:id="1950309797">
      <w:bodyDiv w:val="1"/>
      <w:marLeft w:val="0"/>
      <w:marRight w:val="0"/>
      <w:marTop w:val="0"/>
      <w:marBottom w:val="0"/>
      <w:divBdr>
        <w:top w:val="none" w:sz="0" w:space="0" w:color="auto"/>
        <w:left w:val="none" w:sz="0" w:space="0" w:color="auto"/>
        <w:bottom w:val="none" w:sz="0" w:space="0" w:color="auto"/>
        <w:right w:val="none" w:sz="0" w:space="0" w:color="auto"/>
      </w:divBdr>
    </w:div>
    <w:div w:id="1964654676">
      <w:bodyDiv w:val="1"/>
      <w:marLeft w:val="0"/>
      <w:marRight w:val="0"/>
      <w:marTop w:val="0"/>
      <w:marBottom w:val="0"/>
      <w:divBdr>
        <w:top w:val="none" w:sz="0" w:space="0" w:color="auto"/>
        <w:left w:val="none" w:sz="0" w:space="0" w:color="auto"/>
        <w:bottom w:val="none" w:sz="0" w:space="0" w:color="auto"/>
        <w:right w:val="none" w:sz="0" w:space="0" w:color="auto"/>
      </w:divBdr>
    </w:div>
    <w:div w:id="1994672012">
      <w:bodyDiv w:val="1"/>
      <w:marLeft w:val="0"/>
      <w:marRight w:val="0"/>
      <w:marTop w:val="0"/>
      <w:marBottom w:val="0"/>
      <w:divBdr>
        <w:top w:val="none" w:sz="0" w:space="0" w:color="auto"/>
        <w:left w:val="none" w:sz="0" w:space="0" w:color="auto"/>
        <w:bottom w:val="none" w:sz="0" w:space="0" w:color="auto"/>
        <w:right w:val="none" w:sz="0" w:space="0" w:color="auto"/>
      </w:divBdr>
    </w:div>
    <w:div w:id="204027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irregular-hours-and-part-year-workers/calculating-holiday-pay" TargetMode="External"/><Relationship Id="rId13" Type="http://schemas.openxmlformats.org/officeDocument/2006/relationships/hyperlink" Target="http://www.equalityhumanrights.com" TargetMode="External"/><Relationship Id="rId18" Type="http://schemas.openxmlformats.org/officeDocument/2006/relationships/hyperlink" Target="http://www.legislation.gov.uk" TargetMode="External"/><Relationship Id="rId26" Type="http://schemas.openxmlformats.org/officeDocument/2006/relationships/hyperlink" Target="http://www.legislation.gov.uk" TargetMode="External"/><Relationship Id="rId3" Type="http://schemas.openxmlformats.org/officeDocument/2006/relationships/settings" Target="settings.xml"/><Relationship Id="rId21" Type="http://schemas.openxmlformats.org/officeDocument/2006/relationships/hyperlink" Target="https://www.gov.uk/redundancy-your-rights/consultation" TargetMode="External"/><Relationship Id="rId7" Type="http://schemas.openxmlformats.org/officeDocument/2006/relationships/hyperlink" Target="https://www.acas.org.uk/collective-consultation-redundancy/if-an-employer-does-not-collectively-consult" TargetMode="External"/><Relationship Id="rId12" Type="http://schemas.openxmlformats.org/officeDocument/2006/relationships/hyperlink" Target="https://www.cipd.org.uk/uk/knowledge/factsheets/maternity-paternity-rights-factsheet/" TargetMode="External"/><Relationship Id="rId17" Type="http://schemas.openxmlformats.org/officeDocument/2006/relationships/hyperlink" Target="http://www.legislation.gov.uk" TargetMode="External"/><Relationship Id="rId25" Type="http://schemas.openxmlformats.org/officeDocument/2006/relationships/hyperlink" Target="http://www.peoplemanagement.co.uk" TargetMode="External"/><Relationship Id="rId2" Type="http://schemas.openxmlformats.org/officeDocument/2006/relationships/styles" Target="styles.xml"/><Relationship Id="rId16" Type="http://schemas.openxmlformats.org/officeDocument/2006/relationships/hyperlink" Target="http://www.legislation.gov.uk" TargetMode="External"/><Relationship Id="rId20" Type="http://schemas.openxmlformats.org/officeDocument/2006/relationships/hyperlink" Target="http://www.legislation.gov.uk" TargetMode="External"/><Relationship Id="rId1" Type="http://schemas.openxmlformats.org/officeDocument/2006/relationships/numbering" Target="numbering.xml"/><Relationship Id="rId6" Type="http://schemas.openxmlformats.org/officeDocument/2006/relationships/hyperlink" Target="http://www.acas.org.uk" TargetMode="External"/><Relationship Id="rId11" Type="http://schemas.openxmlformats.org/officeDocument/2006/relationships/hyperlink" Target="https://www.cipd.org.uk/knowledge/factsheets/flexible-working-factsheet/" TargetMode="External"/><Relationship Id="rId24" Type="http://schemas.openxmlformats.org/officeDocument/2006/relationships/hyperlink" Target="https://www.peoplemanagement.co.uk/article/1743377/constructive-dismissal-guide" TargetMode="External"/><Relationship Id="rId5" Type="http://schemas.openxmlformats.org/officeDocument/2006/relationships/hyperlink" Target="http://www.acas.org.uk" TargetMode="External"/><Relationship Id="rId15" Type="http://schemas.openxmlformats.org/officeDocument/2006/relationships/hyperlink" Target="http://www.legislation.gov.uk" TargetMode="External"/><Relationship Id="rId23" Type="http://schemas.openxmlformats.org/officeDocument/2006/relationships/hyperlink" Target="https://maternityaction.org.uk/" TargetMode="External"/><Relationship Id="rId28" Type="http://schemas.openxmlformats.org/officeDocument/2006/relationships/theme" Target="theme/theme1.xml"/><Relationship Id="rId10" Type="http://schemas.openxmlformats.org/officeDocument/2006/relationships/hyperlink" Target="https://www.cipd.co.uk/knowledge/fundamentals/emp-law" TargetMode="External"/><Relationship Id="rId19" Type="http://schemas.openxmlformats.org/officeDocument/2006/relationships/hyperlink" Target="http://www.legislation.gov.uk" TargetMode="External"/><Relationship Id="rId4" Type="http://schemas.openxmlformats.org/officeDocument/2006/relationships/webSettings" Target="webSettings.xml"/><Relationship Id="rId9" Type="http://schemas.openxmlformats.org/officeDocument/2006/relationships/hyperlink" Target="http://www.acas.org.uk" TargetMode="External"/><Relationship Id="rId14" Type="http://schemas.openxmlformats.org/officeDocument/2006/relationships/hyperlink" Target="http://www.legislation.gov.uk" TargetMode="External"/><Relationship Id="rId22" Type="http://schemas.openxmlformats.org/officeDocument/2006/relationships/hyperlink" Target="http://www.legislation.gov.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11</Pages>
  <Words>4738</Words>
  <Characters>27008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Warrender, Jacqueline</dc:creator>
  <cp:keywords/>
  <dc:description/>
  <cp:lastModifiedBy>Warrender, Jacqueline</cp:lastModifiedBy>
  <cp:revision>9</cp:revision>
  <dcterms:created xsi:type="dcterms:W3CDTF">2025-03-14T22:15:00Z</dcterms:created>
  <dcterms:modified xsi:type="dcterms:W3CDTF">2025-03-17T14:35:00Z</dcterms:modified>
</cp:coreProperties>
</file>