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6ABAD" w14:textId="5333F662" w:rsidR="00D84092" w:rsidRDefault="00D84092" w:rsidP="00D84092">
      <w:pPr>
        <w:jc w:val="center"/>
        <w:rPr>
          <w:lang w:val="en-US"/>
        </w:rPr>
      </w:pPr>
      <w:r>
        <w:rPr>
          <w:noProof/>
          <w:lang w:val="en-US"/>
        </w:rPr>
        <w:drawing>
          <wp:anchor distT="0" distB="0" distL="114300" distR="114300" simplePos="0" relativeHeight="251658240" behindDoc="1" locked="0" layoutInCell="1" allowOverlap="1" wp14:anchorId="115D1A2B" wp14:editId="43CB6EDD">
            <wp:simplePos x="0" y="0"/>
            <wp:positionH relativeFrom="column">
              <wp:posOffset>3667292</wp:posOffset>
            </wp:positionH>
            <wp:positionV relativeFrom="paragraph">
              <wp:posOffset>-909941</wp:posOffset>
            </wp:positionV>
            <wp:extent cx="3277057" cy="971686"/>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77057" cy="971686"/>
                    </a:xfrm>
                    <a:prstGeom prst="rect">
                      <a:avLst/>
                    </a:prstGeom>
                  </pic:spPr>
                </pic:pic>
              </a:graphicData>
            </a:graphic>
            <wp14:sizeRelH relativeFrom="page">
              <wp14:pctWidth>0</wp14:pctWidth>
            </wp14:sizeRelH>
            <wp14:sizeRelV relativeFrom="page">
              <wp14:pctHeight>0</wp14:pctHeight>
            </wp14:sizeRelV>
          </wp:anchor>
        </w:drawing>
      </w:r>
    </w:p>
    <w:p w14:paraId="7DA1F51C" w14:textId="37648ED6" w:rsidR="00D84092" w:rsidRDefault="00D84092" w:rsidP="00D84092">
      <w:pPr>
        <w:jc w:val="center"/>
        <w:rPr>
          <w:lang w:val="en-US"/>
        </w:rPr>
      </w:pPr>
      <w:r>
        <w:rPr>
          <w:lang w:val="en-US"/>
        </w:rPr>
        <w:t>University of Wales Trinity Saint David</w:t>
      </w:r>
    </w:p>
    <w:p w14:paraId="7C8935CC" w14:textId="03FAF437" w:rsidR="00D84092" w:rsidRDefault="00D84092" w:rsidP="00D84092">
      <w:pPr>
        <w:jc w:val="center"/>
        <w:rPr>
          <w:lang w:val="en-US"/>
        </w:rPr>
      </w:pPr>
      <w:r>
        <w:rPr>
          <w:lang w:val="en-US"/>
        </w:rPr>
        <w:t>School of Engineering</w:t>
      </w:r>
    </w:p>
    <w:p w14:paraId="713277E0" w14:textId="229A59EE" w:rsidR="00D84092" w:rsidRDefault="00D84092" w:rsidP="00D84092">
      <w:pPr>
        <w:jc w:val="center"/>
        <w:rPr>
          <w:lang w:val="en-US"/>
        </w:rPr>
      </w:pPr>
      <w:r>
        <w:rPr>
          <w:lang w:val="en-US"/>
        </w:rPr>
        <w:t>Critical Analysis of Vehicle to Grid (V2G) Technology in the Automotive Sector</w:t>
      </w:r>
    </w:p>
    <w:p w14:paraId="56D8B2DC" w14:textId="100D240A" w:rsidR="00D84092" w:rsidRDefault="00D84092" w:rsidP="00D84092">
      <w:pPr>
        <w:jc w:val="center"/>
        <w:rPr>
          <w:lang w:val="en-US"/>
        </w:rPr>
      </w:pPr>
      <w:r>
        <w:rPr>
          <w:lang w:val="en-US"/>
        </w:rPr>
        <w:t>Benjamin Gilbert</w:t>
      </w:r>
    </w:p>
    <w:p w14:paraId="478A8702" w14:textId="6148749A" w:rsidR="00D84092" w:rsidRDefault="00D84092" w:rsidP="00D84092">
      <w:pPr>
        <w:jc w:val="center"/>
        <w:rPr>
          <w:lang w:val="en-US"/>
        </w:rPr>
      </w:pPr>
      <w:r>
        <w:rPr>
          <w:lang w:val="en-US"/>
        </w:rPr>
        <w:t>1801217</w:t>
      </w:r>
    </w:p>
    <w:p w14:paraId="33AE12FC" w14:textId="47556875" w:rsidR="00D84092" w:rsidRDefault="00D84092" w:rsidP="00D84092">
      <w:pPr>
        <w:jc w:val="center"/>
        <w:rPr>
          <w:lang w:val="en-US"/>
        </w:rPr>
      </w:pPr>
      <w:r>
        <w:rPr>
          <w:lang w:val="en-US"/>
        </w:rPr>
        <w:t>Motorsport Engineering BEng</w:t>
      </w:r>
    </w:p>
    <w:p w14:paraId="32953E93" w14:textId="6FB1EA14" w:rsidR="00D84092" w:rsidRDefault="00D84092" w:rsidP="00D84092">
      <w:pPr>
        <w:jc w:val="center"/>
        <w:rPr>
          <w:lang w:val="en-US"/>
        </w:rPr>
      </w:pPr>
      <w:r>
        <w:rPr>
          <w:lang w:val="en-US"/>
        </w:rPr>
        <w:t>22/11/21</w:t>
      </w:r>
    </w:p>
    <w:p w14:paraId="176DF076" w14:textId="0B80015F" w:rsidR="00D84092" w:rsidRDefault="00D84092" w:rsidP="00D84092">
      <w:pPr>
        <w:jc w:val="center"/>
        <w:rPr>
          <w:lang w:val="en-US"/>
        </w:rPr>
      </w:pPr>
      <w:r>
        <w:rPr>
          <w:lang w:val="en-US"/>
        </w:rPr>
        <w:t>Automotive Materials and Sustainability ACHA6021</w:t>
      </w:r>
    </w:p>
    <w:p w14:paraId="48C13EFA" w14:textId="3899CFC4" w:rsidR="00D84092" w:rsidRDefault="00D84092" w:rsidP="00D84092">
      <w:pPr>
        <w:jc w:val="center"/>
        <w:rPr>
          <w:lang w:val="en-US"/>
        </w:rPr>
      </w:pPr>
    </w:p>
    <w:p w14:paraId="7FC46EF6" w14:textId="2DE1CEA0" w:rsidR="00D84092" w:rsidRDefault="00D84092" w:rsidP="00D84092">
      <w:pPr>
        <w:jc w:val="center"/>
        <w:rPr>
          <w:lang w:val="en-US"/>
        </w:rPr>
      </w:pPr>
    </w:p>
    <w:p w14:paraId="4AC0A252" w14:textId="5B200798" w:rsidR="00D84092" w:rsidRDefault="00D84092" w:rsidP="00D84092">
      <w:pPr>
        <w:jc w:val="center"/>
        <w:rPr>
          <w:lang w:val="en-US"/>
        </w:rPr>
      </w:pPr>
    </w:p>
    <w:p w14:paraId="76D029F5" w14:textId="2AE690BE" w:rsidR="00D84092" w:rsidRDefault="00D84092" w:rsidP="00D84092">
      <w:pPr>
        <w:jc w:val="center"/>
        <w:rPr>
          <w:lang w:val="en-US"/>
        </w:rPr>
      </w:pPr>
    </w:p>
    <w:p w14:paraId="6A4BA2DC" w14:textId="72B3C9F4" w:rsidR="00D84092" w:rsidRDefault="00D84092" w:rsidP="00D84092">
      <w:pPr>
        <w:jc w:val="center"/>
        <w:rPr>
          <w:lang w:val="en-US"/>
        </w:rPr>
      </w:pPr>
    </w:p>
    <w:p w14:paraId="76579564" w14:textId="190B11FF" w:rsidR="00D84092" w:rsidRDefault="00D84092" w:rsidP="00D84092">
      <w:pPr>
        <w:jc w:val="center"/>
        <w:rPr>
          <w:lang w:val="en-US"/>
        </w:rPr>
      </w:pPr>
    </w:p>
    <w:p w14:paraId="58BE1011" w14:textId="0E7B515E" w:rsidR="00D84092" w:rsidRDefault="00D84092" w:rsidP="00D84092">
      <w:pPr>
        <w:jc w:val="center"/>
        <w:rPr>
          <w:lang w:val="en-US"/>
        </w:rPr>
      </w:pPr>
    </w:p>
    <w:p w14:paraId="2BED39EC" w14:textId="46D3E41B" w:rsidR="00D84092" w:rsidRDefault="00D84092" w:rsidP="00D84092">
      <w:pPr>
        <w:jc w:val="center"/>
        <w:rPr>
          <w:lang w:val="en-US"/>
        </w:rPr>
      </w:pPr>
    </w:p>
    <w:p w14:paraId="49E2C3B0" w14:textId="1B7A15A6" w:rsidR="00D84092" w:rsidRDefault="00D84092" w:rsidP="00D84092">
      <w:pPr>
        <w:jc w:val="center"/>
        <w:rPr>
          <w:lang w:val="en-US"/>
        </w:rPr>
      </w:pPr>
    </w:p>
    <w:p w14:paraId="359D4B8F" w14:textId="6E688703" w:rsidR="00D84092" w:rsidRDefault="00D84092" w:rsidP="00D84092">
      <w:pPr>
        <w:jc w:val="center"/>
        <w:rPr>
          <w:lang w:val="en-US"/>
        </w:rPr>
      </w:pPr>
    </w:p>
    <w:p w14:paraId="3B1064AB" w14:textId="7EF2C138" w:rsidR="00D84092" w:rsidRDefault="00D84092" w:rsidP="00D84092">
      <w:pPr>
        <w:jc w:val="center"/>
        <w:rPr>
          <w:lang w:val="en-US"/>
        </w:rPr>
      </w:pPr>
    </w:p>
    <w:p w14:paraId="41EB7E06" w14:textId="024E8F9D" w:rsidR="00D84092" w:rsidRDefault="00D84092" w:rsidP="00D84092">
      <w:pPr>
        <w:jc w:val="center"/>
        <w:rPr>
          <w:lang w:val="en-US"/>
        </w:rPr>
      </w:pPr>
    </w:p>
    <w:p w14:paraId="1AE82EF0" w14:textId="585D69CE" w:rsidR="00D84092" w:rsidRDefault="00D84092" w:rsidP="00D84092">
      <w:pPr>
        <w:jc w:val="center"/>
        <w:rPr>
          <w:lang w:val="en-US"/>
        </w:rPr>
      </w:pPr>
    </w:p>
    <w:p w14:paraId="12B0F2A8" w14:textId="2959E34F" w:rsidR="00D84092" w:rsidRDefault="00D84092" w:rsidP="00D84092">
      <w:pPr>
        <w:jc w:val="center"/>
        <w:rPr>
          <w:lang w:val="en-US"/>
        </w:rPr>
      </w:pPr>
    </w:p>
    <w:p w14:paraId="78722417" w14:textId="4DDF70C1" w:rsidR="00D84092" w:rsidRDefault="00D84092" w:rsidP="00D84092">
      <w:pPr>
        <w:jc w:val="center"/>
        <w:rPr>
          <w:lang w:val="en-US"/>
        </w:rPr>
      </w:pPr>
    </w:p>
    <w:p w14:paraId="0FF57342" w14:textId="565367F8" w:rsidR="00D84092" w:rsidRDefault="00D84092" w:rsidP="00D84092">
      <w:pPr>
        <w:jc w:val="center"/>
        <w:rPr>
          <w:lang w:val="en-US"/>
        </w:rPr>
      </w:pPr>
    </w:p>
    <w:p w14:paraId="58C86963" w14:textId="1B7FE212" w:rsidR="00D84092" w:rsidRDefault="00D84092" w:rsidP="00D84092">
      <w:pPr>
        <w:jc w:val="center"/>
        <w:rPr>
          <w:lang w:val="en-US"/>
        </w:rPr>
      </w:pPr>
    </w:p>
    <w:p w14:paraId="14107D9F" w14:textId="57AFEF43" w:rsidR="00D84092" w:rsidRDefault="00D84092" w:rsidP="00D84092">
      <w:pPr>
        <w:jc w:val="center"/>
        <w:rPr>
          <w:lang w:val="en-US"/>
        </w:rPr>
      </w:pPr>
    </w:p>
    <w:p w14:paraId="137AC784" w14:textId="6844D530" w:rsidR="00D84092" w:rsidRDefault="00D84092" w:rsidP="00D84092">
      <w:pPr>
        <w:jc w:val="center"/>
        <w:rPr>
          <w:lang w:val="en-US"/>
        </w:rPr>
      </w:pPr>
    </w:p>
    <w:p w14:paraId="33B38228" w14:textId="08950BB5" w:rsidR="00D84092" w:rsidRDefault="00D84092" w:rsidP="00D84092">
      <w:pPr>
        <w:jc w:val="center"/>
        <w:rPr>
          <w:lang w:val="en-US"/>
        </w:rPr>
      </w:pPr>
    </w:p>
    <w:p w14:paraId="58EEC3B1" w14:textId="5AD64C31" w:rsidR="00D84092" w:rsidRDefault="00D84092" w:rsidP="00D84092">
      <w:pPr>
        <w:jc w:val="center"/>
        <w:rPr>
          <w:lang w:val="en-US"/>
        </w:rPr>
      </w:pPr>
    </w:p>
    <w:p w14:paraId="5CE2E20B" w14:textId="77777777" w:rsidR="00D84092" w:rsidRDefault="00D84092" w:rsidP="00D84092">
      <w:pPr>
        <w:jc w:val="center"/>
        <w:rPr>
          <w:lang w:val="en-US"/>
        </w:rPr>
      </w:pPr>
    </w:p>
    <w:p w14:paraId="2213E42F" w14:textId="3154D365" w:rsidR="00D84092" w:rsidRDefault="00D84092" w:rsidP="00D84092">
      <w:pPr>
        <w:rPr>
          <w:sz w:val="28"/>
          <w:szCs w:val="28"/>
          <w:lang w:val="en-US"/>
        </w:rPr>
      </w:pPr>
      <w:r>
        <w:rPr>
          <w:sz w:val="28"/>
          <w:szCs w:val="28"/>
          <w:lang w:val="en-US"/>
        </w:rPr>
        <w:lastRenderedPageBreak/>
        <w:t>Contents:</w:t>
      </w:r>
    </w:p>
    <w:p w14:paraId="1E3EA8DA" w14:textId="3229C7AD" w:rsidR="00EF1750" w:rsidRDefault="00EF1750" w:rsidP="00EF1750">
      <w:pPr>
        <w:pStyle w:val="ListParagraph"/>
        <w:numPr>
          <w:ilvl w:val="0"/>
          <w:numId w:val="5"/>
        </w:numPr>
        <w:rPr>
          <w:sz w:val="28"/>
          <w:szCs w:val="28"/>
          <w:lang w:val="en-US"/>
        </w:rPr>
      </w:pPr>
      <w:r>
        <w:rPr>
          <w:sz w:val="28"/>
          <w:szCs w:val="28"/>
          <w:lang w:val="en-US"/>
        </w:rPr>
        <w:t>Introduction</w:t>
      </w:r>
    </w:p>
    <w:p w14:paraId="4028D00C" w14:textId="3CADE421" w:rsidR="00EF1750" w:rsidRPr="00EF1750" w:rsidRDefault="00EF1750" w:rsidP="00EF1750">
      <w:pPr>
        <w:pStyle w:val="ListParagraph"/>
        <w:numPr>
          <w:ilvl w:val="0"/>
          <w:numId w:val="5"/>
        </w:numPr>
        <w:rPr>
          <w:sz w:val="28"/>
          <w:szCs w:val="28"/>
          <w:lang w:val="en-US"/>
        </w:rPr>
      </w:pPr>
      <w:r>
        <w:rPr>
          <w:sz w:val="28"/>
          <w:szCs w:val="28"/>
          <w:lang w:val="en-US"/>
        </w:rPr>
        <w:t>Benefits of Vehicle to Grid</w:t>
      </w:r>
    </w:p>
    <w:p w14:paraId="6E79556C" w14:textId="77777777" w:rsidR="00D84092" w:rsidRPr="00D84092" w:rsidRDefault="00D84092" w:rsidP="00D84092">
      <w:pPr>
        <w:rPr>
          <w:sz w:val="28"/>
          <w:szCs w:val="28"/>
          <w:lang w:val="en-US"/>
        </w:rPr>
      </w:pPr>
    </w:p>
    <w:p w14:paraId="6EE0E0F5" w14:textId="75DA661F" w:rsidR="00D84092" w:rsidRPr="00EF1750" w:rsidRDefault="00EF1750" w:rsidP="00EF1750">
      <w:pPr>
        <w:pStyle w:val="ListParagraph"/>
        <w:numPr>
          <w:ilvl w:val="1"/>
          <w:numId w:val="5"/>
        </w:numPr>
        <w:jc w:val="center"/>
        <w:rPr>
          <w:lang w:val="en-US"/>
        </w:rPr>
      </w:pPr>
      <w:r w:rsidRPr="00EF1750">
        <w:rPr>
          <w:lang w:val="en-US"/>
        </w:rPr>
        <w:t>Reducing Volatility of Renewable Power Generation</w:t>
      </w:r>
    </w:p>
    <w:p w14:paraId="6283D049" w14:textId="64C1D592" w:rsidR="00EF1750" w:rsidRDefault="00EF1750" w:rsidP="00EF1750">
      <w:pPr>
        <w:pStyle w:val="ListParagraph"/>
        <w:numPr>
          <w:ilvl w:val="1"/>
          <w:numId w:val="5"/>
        </w:numPr>
        <w:jc w:val="center"/>
        <w:rPr>
          <w:lang w:val="en-US"/>
        </w:rPr>
      </w:pPr>
      <w:r>
        <w:rPr>
          <w:lang w:val="en-US"/>
        </w:rPr>
        <w:t>Improved Vehicle Battery Life Expectancy</w:t>
      </w:r>
    </w:p>
    <w:p w14:paraId="7B2B2C95" w14:textId="50CCE03D" w:rsidR="00EF1750" w:rsidRDefault="00EF1750" w:rsidP="00EF1750">
      <w:pPr>
        <w:pStyle w:val="ListParagraph"/>
        <w:numPr>
          <w:ilvl w:val="1"/>
          <w:numId w:val="5"/>
        </w:numPr>
        <w:jc w:val="center"/>
        <w:rPr>
          <w:lang w:val="en-US"/>
        </w:rPr>
      </w:pPr>
      <w:r>
        <w:rPr>
          <w:lang w:val="en-US"/>
        </w:rPr>
        <w:t>Money Back to Vehicle Owners</w:t>
      </w:r>
    </w:p>
    <w:p w14:paraId="5EC36976" w14:textId="58DF7648" w:rsidR="00EF1750" w:rsidRDefault="00EF1750" w:rsidP="00EF1750">
      <w:pPr>
        <w:jc w:val="center"/>
        <w:rPr>
          <w:lang w:val="en-US"/>
        </w:rPr>
      </w:pPr>
    </w:p>
    <w:p w14:paraId="0FC99747" w14:textId="22307C88" w:rsidR="00EF1750" w:rsidRPr="00EF1750" w:rsidRDefault="00EF1750" w:rsidP="00EF1750">
      <w:pPr>
        <w:pStyle w:val="ListParagraph"/>
        <w:numPr>
          <w:ilvl w:val="0"/>
          <w:numId w:val="5"/>
        </w:numPr>
        <w:rPr>
          <w:lang w:val="en-US"/>
        </w:rPr>
      </w:pPr>
      <w:r>
        <w:rPr>
          <w:sz w:val="28"/>
          <w:szCs w:val="28"/>
          <w:lang w:val="en-US"/>
        </w:rPr>
        <w:t>Barriers for Vehicle to Grid Systems</w:t>
      </w:r>
    </w:p>
    <w:p w14:paraId="39263DF4" w14:textId="77777777" w:rsidR="00EF1750" w:rsidRPr="00EF1750" w:rsidRDefault="00EF1750" w:rsidP="00EF1750">
      <w:pPr>
        <w:rPr>
          <w:lang w:val="en-US"/>
        </w:rPr>
      </w:pPr>
    </w:p>
    <w:p w14:paraId="08D3250B" w14:textId="02B04DCB" w:rsidR="00D84092" w:rsidRPr="00EF1750" w:rsidRDefault="00EF1750" w:rsidP="00EF1750">
      <w:pPr>
        <w:pStyle w:val="ListParagraph"/>
        <w:numPr>
          <w:ilvl w:val="1"/>
          <w:numId w:val="5"/>
        </w:numPr>
        <w:jc w:val="center"/>
        <w:rPr>
          <w:lang w:val="en-US"/>
        </w:rPr>
      </w:pPr>
      <w:r w:rsidRPr="00EF1750">
        <w:rPr>
          <w:lang w:val="en-US"/>
        </w:rPr>
        <w:t>The Need for a Smart Grid</w:t>
      </w:r>
    </w:p>
    <w:p w14:paraId="43828EE2" w14:textId="348B5E9C" w:rsidR="00EF1750" w:rsidRDefault="00EF1750" w:rsidP="00EF1750">
      <w:pPr>
        <w:pStyle w:val="ListParagraph"/>
        <w:numPr>
          <w:ilvl w:val="1"/>
          <w:numId w:val="5"/>
        </w:numPr>
        <w:jc w:val="center"/>
        <w:rPr>
          <w:lang w:val="en-US"/>
        </w:rPr>
      </w:pPr>
      <w:r>
        <w:rPr>
          <w:lang w:val="en-US"/>
        </w:rPr>
        <w:t>Compatibility Issues</w:t>
      </w:r>
    </w:p>
    <w:p w14:paraId="2C080488" w14:textId="4F888D76" w:rsidR="00EF1750" w:rsidRPr="007C3F6B" w:rsidRDefault="00EF1750" w:rsidP="007C3F6B">
      <w:pPr>
        <w:pStyle w:val="ListParagraph"/>
        <w:numPr>
          <w:ilvl w:val="1"/>
          <w:numId w:val="5"/>
        </w:numPr>
        <w:jc w:val="center"/>
        <w:rPr>
          <w:lang w:val="en-US"/>
        </w:rPr>
      </w:pPr>
      <w:r>
        <w:rPr>
          <w:lang w:val="en-US"/>
        </w:rPr>
        <w:t>Infrastructure Issues</w:t>
      </w:r>
    </w:p>
    <w:p w14:paraId="15680DE6" w14:textId="0C074CB9" w:rsidR="00EF1750" w:rsidRDefault="00EF1750" w:rsidP="00EF1750">
      <w:pPr>
        <w:jc w:val="center"/>
        <w:rPr>
          <w:lang w:val="en-US"/>
        </w:rPr>
      </w:pPr>
    </w:p>
    <w:p w14:paraId="0F16FAC0" w14:textId="0D14138C" w:rsidR="00EF1750" w:rsidRPr="00EF1750" w:rsidRDefault="00EF1750" w:rsidP="00EF1750">
      <w:pPr>
        <w:pStyle w:val="ListParagraph"/>
        <w:numPr>
          <w:ilvl w:val="0"/>
          <w:numId w:val="5"/>
        </w:numPr>
        <w:rPr>
          <w:lang w:val="en-US"/>
        </w:rPr>
      </w:pPr>
      <w:r>
        <w:rPr>
          <w:sz w:val="28"/>
          <w:szCs w:val="28"/>
          <w:lang w:val="en-US"/>
        </w:rPr>
        <w:t>Conclusion</w:t>
      </w:r>
    </w:p>
    <w:p w14:paraId="563E8A8B" w14:textId="7DB716FB" w:rsidR="00EF1750" w:rsidRPr="00EF1750" w:rsidRDefault="00EF1750" w:rsidP="00EF1750">
      <w:pPr>
        <w:pStyle w:val="ListParagraph"/>
        <w:numPr>
          <w:ilvl w:val="0"/>
          <w:numId w:val="5"/>
        </w:numPr>
        <w:rPr>
          <w:lang w:val="en-US"/>
        </w:rPr>
      </w:pPr>
      <w:r>
        <w:rPr>
          <w:sz w:val="28"/>
          <w:szCs w:val="28"/>
          <w:lang w:val="en-US"/>
        </w:rPr>
        <w:t>References</w:t>
      </w:r>
    </w:p>
    <w:p w14:paraId="73F99B75" w14:textId="1E6CE973" w:rsidR="00EF1750" w:rsidRPr="00EF1750" w:rsidRDefault="00EF1750" w:rsidP="00EF1750">
      <w:pPr>
        <w:pStyle w:val="ListParagraph"/>
        <w:numPr>
          <w:ilvl w:val="0"/>
          <w:numId w:val="5"/>
        </w:numPr>
        <w:rPr>
          <w:lang w:val="en-US"/>
        </w:rPr>
      </w:pPr>
      <w:r>
        <w:rPr>
          <w:sz w:val="28"/>
          <w:szCs w:val="28"/>
          <w:lang w:val="en-US"/>
        </w:rPr>
        <w:t xml:space="preserve">Bibliography </w:t>
      </w:r>
    </w:p>
    <w:p w14:paraId="53449FA4" w14:textId="6C116A11" w:rsidR="00EF1750" w:rsidRDefault="00EF1750" w:rsidP="00EF1750">
      <w:pPr>
        <w:rPr>
          <w:lang w:val="en-US"/>
        </w:rPr>
      </w:pPr>
    </w:p>
    <w:p w14:paraId="731F120C" w14:textId="77777777" w:rsidR="00EF1750" w:rsidRPr="00EF1750" w:rsidRDefault="00EF1750" w:rsidP="00EF1750">
      <w:pPr>
        <w:rPr>
          <w:lang w:val="en-US"/>
        </w:rPr>
      </w:pPr>
    </w:p>
    <w:p w14:paraId="7E3F379F" w14:textId="5A45D183" w:rsidR="00D84092" w:rsidRDefault="00D84092" w:rsidP="00D84092">
      <w:pPr>
        <w:jc w:val="center"/>
        <w:rPr>
          <w:lang w:val="en-US"/>
        </w:rPr>
      </w:pPr>
    </w:p>
    <w:p w14:paraId="43836715" w14:textId="231657F6" w:rsidR="00D84092" w:rsidRDefault="00D84092" w:rsidP="00D84092">
      <w:pPr>
        <w:jc w:val="center"/>
        <w:rPr>
          <w:lang w:val="en-US"/>
        </w:rPr>
      </w:pPr>
    </w:p>
    <w:p w14:paraId="2B394F36" w14:textId="50A09219" w:rsidR="00D84092" w:rsidRDefault="00D84092" w:rsidP="00D84092">
      <w:pPr>
        <w:jc w:val="center"/>
        <w:rPr>
          <w:lang w:val="en-US"/>
        </w:rPr>
      </w:pPr>
    </w:p>
    <w:p w14:paraId="3B11ADDC" w14:textId="3047B687" w:rsidR="00D84092" w:rsidRDefault="00D84092" w:rsidP="00D84092">
      <w:pPr>
        <w:jc w:val="center"/>
        <w:rPr>
          <w:lang w:val="en-US"/>
        </w:rPr>
      </w:pPr>
    </w:p>
    <w:p w14:paraId="4A321835" w14:textId="7ED787CF" w:rsidR="00D84092" w:rsidRDefault="00D84092" w:rsidP="00D84092">
      <w:pPr>
        <w:jc w:val="center"/>
        <w:rPr>
          <w:lang w:val="en-US"/>
        </w:rPr>
      </w:pPr>
    </w:p>
    <w:p w14:paraId="2D82193F" w14:textId="730F41E7" w:rsidR="00D84092" w:rsidRDefault="00D84092" w:rsidP="00D84092">
      <w:pPr>
        <w:jc w:val="center"/>
        <w:rPr>
          <w:lang w:val="en-US"/>
        </w:rPr>
      </w:pPr>
    </w:p>
    <w:p w14:paraId="2B6027B7" w14:textId="22E0676E" w:rsidR="00D84092" w:rsidRDefault="00D84092" w:rsidP="00D84092">
      <w:pPr>
        <w:jc w:val="center"/>
        <w:rPr>
          <w:lang w:val="en-US"/>
        </w:rPr>
      </w:pPr>
    </w:p>
    <w:p w14:paraId="15ECB989" w14:textId="359676B1" w:rsidR="00D84092" w:rsidRDefault="00D84092" w:rsidP="00D84092">
      <w:pPr>
        <w:jc w:val="center"/>
        <w:rPr>
          <w:lang w:val="en-US"/>
        </w:rPr>
      </w:pPr>
    </w:p>
    <w:p w14:paraId="6854276F" w14:textId="7F79C3EF" w:rsidR="00D84092" w:rsidRDefault="00D84092" w:rsidP="00D84092">
      <w:pPr>
        <w:jc w:val="center"/>
        <w:rPr>
          <w:lang w:val="en-US"/>
        </w:rPr>
      </w:pPr>
    </w:p>
    <w:p w14:paraId="7D5E9644" w14:textId="44A7CE72" w:rsidR="00D84092" w:rsidRDefault="00D84092" w:rsidP="00D84092">
      <w:pPr>
        <w:jc w:val="center"/>
        <w:rPr>
          <w:lang w:val="en-US"/>
        </w:rPr>
      </w:pPr>
    </w:p>
    <w:p w14:paraId="74A7B870" w14:textId="77777777" w:rsidR="007C3F6B" w:rsidRDefault="007C3F6B" w:rsidP="00D84092">
      <w:pPr>
        <w:jc w:val="center"/>
        <w:rPr>
          <w:lang w:val="en-US"/>
        </w:rPr>
      </w:pPr>
    </w:p>
    <w:p w14:paraId="10425D1A" w14:textId="5CFA6F55" w:rsidR="00D84092" w:rsidRDefault="00D84092" w:rsidP="00D84092">
      <w:pPr>
        <w:jc w:val="center"/>
        <w:rPr>
          <w:lang w:val="en-US"/>
        </w:rPr>
      </w:pPr>
    </w:p>
    <w:p w14:paraId="7ACEFB0B" w14:textId="7181CEFA" w:rsidR="00D84092" w:rsidRDefault="00D84092" w:rsidP="008B4DD5">
      <w:pPr>
        <w:rPr>
          <w:lang w:val="en-US"/>
        </w:rPr>
      </w:pPr>
    </w:p>
    <w:p w14:paraId="1BEE41F0" w14:textId="085B7976" w:rsidR="00D84092" w:rsidRPr="00D84092" w:rsidRDefault="00D84092" w:rsidP="00D84092">
      <w:pPr>
        <w:pStyle w:val="ListParagraph"/>
        <w:numPr>
          <w:ilvl w:val="0"/>
          <w:numId w:val="1"/>
        </w:numPr>
        <w:rPr>
          <w:sz w:val="28"/>
          <w:szCs w:val="28"/>
          <w:u w:val="single"/>
          <w:lang w:val="en-US"/>
        </w:rPr>
      </w:pPr>
      <w:r w:rsidRPr="00D84092">
        <w:rPr>
          <w:sz w:val="28"/>
          <w:szCs w:val="28"/>
          <w:u w:val="single"/>
          <w:lang w:val="en-US"/>
        </w:rPr>
        <w:lastRenderedPageBreak/>
        <w:t>Introduction</w:t>
      </w:r>
    </w:p>
    <w:p w14:paraId="59AACBDB" w14:textId="5D50D36A" w:rsidR="00D84092" w:rsidRDefault="00D84092" w:rsidP="00D84092">
      <w:pPr>
        <w:pStyle w:val="ListParagraph"/>
        <w:ind w:left="420"/>
        <w:rPr>
          <w:sz w:val="28"/>
          <w:szCs w:val="28"/>
          <w:u w:val="single"/>
          <w:lang w:val="en-US"/>
        </w:rPr>
      </w:pPr>
    </w:p>
    <w:p w14:paraId="10272401" w14:textId="77777777" w:rsidR="00C42F99" w:rsidRDefault="00C42F99" w:rsidP="00D84092">
      <w:pPr>
        <w:pStyle w:val="ListParagraph"/>
        <w:ind w:left="420"/>
        <w:rPr>
          <w:lang w:val="en-US"/>
        </w:rPr>
      </w:pPr>
      <w:r>
        <w:rPr>
          <w:lang w:val="en-US"/>
        </w:rPr>
        <w:t>One of the biggest problems facing the world today is the impact of Climate Change.</w:t>
      </w:r>
    </w:p>
    <w:p w14:paraId="00CB751C" w14:textId="207D2D84" w:rsidR="00D84092" w:rsidRDefault="00C42F99" w:rsidP="00D84092">
      <w:pPr>
        <w:pStyle w:val="ListParagraph"/>
        <w:ind w:left="420"/>
      </w:pPr>
      <w:r>
        <w:t>W</w:t>
      </w:r>
      <w:r>
        <w:t>e are experiencing rapid warming from human activities, primarily due to burning fossil fuels that generate greenhouse gas emissions</w:t>
      </w:r>
      <w:r>
        <w:t xml:space="preserve"> (UN, 2021)</w:t>
      </w:r>
    </w:p>
    <w:p w14:paraId="7D47F099" w14:textId="0C2E1147" w:rsidR="00C42F99" w:rsidRDefault="00C42F99" w:rsidP="00D84092">
      <w:pPr>
        <w:pStyle w:val="ListParagraph"/>
        <w:ind w:left="420"/>
      </w:pPr>
      <w:r>
        <w:t xml:space="preserve">As a result of the rise in global temperature, more and more efforts are being made by governments, NGOs and individuals to slow the rate of climate change. In the automotive sector this has led to a shift away from ICE technology and towards electric, hybrid and alternative fuels to power road vehicles. In the UK, the government have laid out strict regulations for the future. </w:t>
      </w:r>
    </w:p>
    <w:p w14:paraId="4C58455D" w14:textId="77777777" w:rsidR="00C42F99" w:rsidRDefault="00C42F99" w:rsidP="00D84092">
      <w:pPr>
        <w:pStyle w:val="ListParagraph"/>
        <w:ind w:left="420"/>
        <w:rPr>
          <w:rFonts w:cstheme="minorHAnsi"/>
          <w:color w:val="000000" w:themeColor="text1"/>
        </w:rPr>
      </w:pPr>
      <w:r w:rsidRPr="00C42F99">
        <w:rPr>
          <w:rFonts w:cstheme="minorHAnsi"/>
          <w:color w:val="000000" w:themeColor="text1"/>
        </w:rPr>
        <w:t>All new conventional petrol and diesel cars and</w:t>
      </w:r>
      <w:r w:rsidRPr="00C42F99">
        <w:rPr>
          <w:rFonts w:cstheme="minorHAnsi"/>
          <w:color w:val="000000" w:themeColor="text1"/>
        </w:rPr>
        <w:t xml:space="preserve"> vans</w:t>
      </w:r>
      <w:r w:rsidRPr="00C42F99">
        <w:rPr>
          <w:rFonts w:cstheme="minorHAnsi"/>
          <w:color w:val="000000" w:themeColor="text1"/>
        </w:rPr>
        <w:t> are set to be banned from sale in 2030.</w:t>
      </w:r>
      <w:r>
        <w:rPr>
          <w:rFonts w:cstheme="minorHAnsi"/>
          <w:color w:val="000000" w:themeColor="text1"/>
        </w:rPr>
        <w:t xml:space="preserve"> (Griffiths, 2020) </w:t>
      </w:r>
    </w:p>
    <w:p w14:paraId="7946FD24" w14:textId="77777777" w:rsidR="0055755D" w:rsidRDefault="00C42F99" w:rsidP="00C35402">
      <w:pPr>
        <w:pStyle w:val="ListParagraph"/>
        <w:ind w:left="420"/>
        <w:rPr>
          <w:rFonts w:cstheme="minorHAnsi"/>
          <w:color w:val="000000" w:themeColor="text1"/>
        </w:rPr>
      </w:pPr>
      <w:r>
        <w:rPr>
          <w:rFonts w:cstheme="minorHAnsi"/>
          <w:color w:val="000000" w:themeColor="text1"/>
        </w:rPr>
        <w:t xml:space="preserve">Furthermore, by 2035 the sale of new hybrid vehicles will also be banned. </w:t>
      </w:r>
      <w:r w:rsidR="00162482">
        <w:rPr>
          <w:rFonts w:cstheme="minorHAnsi"/>
          <w:color w:val="000000" w:themeColor="text1"/>
        </w:rPr>
        <w:t xml:space="preserve">As a result of this many people are looking for ways to make the future network of battery powered vehicles </w:t>
      </w:r>
      <w:r w:rsidR="00C35402">
        <w:rPr>
          <w:rFonts w:cstheme="minorHAnsi"/>
          <w:color w:val="000000" w:themeColor="text1"/>
        </w:rPr>
        <w:t>more efficient and environmentally friendly.</w:t>
      </w:r>
    </w:p>
    <w:p w14:paraId="3AC6AD19" w14:textId="77777777" w:rsidR="00370DA3" w:rsidRDefault="0055755D" w:rsidP="00C35402">
      <w:pPr>
        <w:pStyle w:val="ListParagraph"/>
        <w:ind w:left="420"/>
        <w:rPr>
          <w:rFonts w:cstheme="minorHAnsi"/>
          <w:color w:val="000000" w:themeColor="text1"/>
        </w:rPr>
      </w:pPr>
      <w:r>
        <w:rPr>
          <w:rFonts w:cstheme="minorHAnsi"/>
          <w:color w:val="000000" w:themeColor="text1"/>
        </w:rPr>
        <w:t>The drive for increased production of renewable energy is increasing, however largescale renewable energy generation brings with it a significant problem</w:t>
      </w:r>
      <w:r w:rsidR="00370DA3">
        <w:rPr>
          <w:rFonts w:cstheme="minorHAnsi"/>
          <w:color w:val="000000" w:themeColor="text1"/>
        </w:rPr>
        <w:t xml:space="preserve">. </w:t>
      </w:r>
    </w:p>
    <w:p w14:paraId="75D91147" w14:textId="01BCD092" w:rsidR="00C35402" w:rsidRDefault="00370DA3" w:rsidP="00C35402">
      <w:pPr>
        <w:pStyle w:val="ListParagraph"/>
        <w:ind w:left="420"/>
        <w:rPr>
          <w:rFonts w:cstheme="minorHAnsi"/>
          <w:color w:val="000000" w:themeColor="text1"/>
        </w:rPr>
      </w:pPr>
      <w:r>
        <w:t>The key issue with using renewable energies to supply the grid, is the fluctuational production; due to dependency on environmental factors such as wind and solar radiation</w:t>
      </w:r>
      <w:r>
        <w:t xml:space="preserve"> (Evans, 2012)</w:t>
      </w:r>
      <w:r w:rsidR="00C35402">
        <w:rPr>
          <w:rFonts w:cstheme="minorHAnsi"/>
          <w:color w:val="000000" w:themeColor="text1"/>
        </w:rPr>
        <w:t xml:space="preserve"> </w:t>
      </w:r>
    </w:p>
    <w:p w14:paraId="439A22B8" w14:textId="09A88060" w:rsidR="001902CC" w:rsidRDefault="001902CC" w:rsidP="00C35402">
      <w:pPr>
        <w:pStyle w:val="ListParagraph"/>
        <w:ind w:left="420"/>
        <w:rPr>
          <w:rFonts w:cstheme="minorHAnsi"/>
          <w:color w:val="000000" w:themeColor="text1"/>
        </w:rPr>
      </w:pPr>
      <w:r>
        <w:rPr>
          <w:rFonts w:cstheme="minorHAnsi"/>
          <w:color w:val="000000" w:themeColor="text1"/>
        </w:rPr>
        <w:t xml:space="preserve">This means that generating power through renewables alone isn’t currently flexible enough to meet the demands of the grid, a strength of fossil fuel power stations is that they can be switched on to generate more power at peak times with very short notice. </w:t>
      </w:r>
    </w:p>
    <w:p w14:paraId="2051A56A" w14:textId="21AFBCE5" w:rsidR="001902CC" w:rsidRDefault="001902CC" w:rsidP="00C35402">
      <w:pPr>
        <w:pStyle w:val="ListParagraph"/>
        <w:ind w:left="420"/>
      </w:pPr>
      <w:r>
        <w:t>Decoupling the production from the demand side maybe a solution; by storing the overproduced energy and then utilising it when required during peak time or when an insufficient production of energies occurs</w:t>
      </w:r>
      <w:r>
        <w:t xml:space="preserve"> (</w:t>
      </w:r>
      <w:proofErr w:type="spellStart"/>
      <w:r>
        <w:t>Thanapalan</w:t>
      </w:r>
      <w:proofErr w:type="spellEnd"/>
      <w:r>
        <w:t xml:space="preserve">, 2020). </w:t>
      </w:r>
    </w:p>
    <w:p w14:paraId="6DEE6A24" w14:textId="119C8D77" w:rsidR="001902CC" w:rsidRDefault="001902CC" w:rsidP="00C35402">
      <w:pPr>
        <w:pStyle w:val="ListParagraph"/>
        <w:ind w:left="420"/>
        <w:rPr>
          <w:rFonts w:cstheme="minorHAnsi"/>
          <w:color w:val="000000" w:themeColor="text1"/>
        </w:rPr>
      </w:pPr>
      <w:r>
        <w:t xml:space="preserve">In order to do </w:t>
      </w:r>
      <w:r w:rsidR="009E280C">
        <w:t>this,</w:t>
      </w:r>
      <w:r>
        <w:t xml:space="preserve"> there must be a method of storage for the surplus power with means to feed the power back into the grid when required.</w:t>
      </w:r>
    </w:p>
    <w:p w14:paraId="7156C8D8" w14:textId="06E45F76" w:rsidR="008550D7" w:rsidRDefault="00E03BC0" w:rsidP="0055755D">
      <w:pPr>
        <w:pStyle w:val="ListParagraph"/>
        <w:ind w:left="420"/>
        <w:rPr>
          <w:rFonts w:cstheme="minorHAnsi"/>
          <w:color w:val="000000" w:themeColor="text1"/>
        </w:rPr>
      </w:pPr>
      <w:r>
        <w:rPr>
          <w:rFonts w:cstheme="minorHAnsi"/>
          <w:color w:val="000000" w:themeColor="text1"/>
        </w:rPr>
        <w:t xml:space="preserve"> </w:t>
      </w:r>
      <w:r w:rsidR="001902CC">
        <w:rPr>
          <w:rFonts w:cstheme="minorHAnsi"/>
          <w:color w:val="000000" w:themeColor="text1"/>
        </w:rPr>
        <w:t xml:space="preserve">One method of doing this is </w:t>
      </w:r>
      <w:r>
        <w:rPr>
          <w:rFonts w:cstheme="minorHAnsi"/>
          <w:color w:val="000000" w:themeColor="text1"/>
        </w:rPr>
        <w:t>Vehicle to Grid (V2G), this system connects individual passenger vehicles to the national grid when they are plugged into a charging port</w:t>
      </w:r>
      <w:r w:rsidR="00045A64">
        <w:rPr>
          <w:rFonts w:cstheme="minorHAnsi"/>
          <w:color w:val="000000" w:themeColor="text1"/>
        </w:rPr>
        <w:t>,</w:t>
      </w:r>
      <w:r>
        <w:rPr>
          <w:rFonts w:cstheme="minorHAnsi"/>
          <w:color w:val="000000" w:themeColor="text1"/>
        </w:rPr>
        <w:t xml:space="preserve"> allowing power to flow to and from the vehicles battery</w:t>
      </w:r>
      <w:r w:rsidR="00045A64">
        <w:rPr>
          <w:rFonts w:cstheme="minorHAnsi"/>
          <w:color w:val="000000" w:themeColor="text1"/>
        </w:rPr>
        <w:t xml:space="preserve"> and taking advantage of the amount of time vehicles are left unused for. Kempton, states that </w:t>
      </w:r>
      <w:r w:rsidR="00D6438A">
        <w:rPr>
          <w:rFonts w:cstheme="minorHAnsi"/>
          <w:color w:val="000000" w:themeColor="text1"/>
        </w:rPr>
        <w:t>‘</w:t>
      </w:r>
      <w:r w:rsidR="00045A64" w:rsidRPr="00045A64">
        <w:rPr>
          <w:rFonts w:cstheme="minorHAnsi"/>
          <w:color w:val="000000" w:themeColor="text1"/>
        </w:rPr>
        <w:t xml:space="preserve">In the United States, for example, the vehicle fleet has over </w:t>
      </w:r>
      <w:r w:rsidR="00045A64" w:rsidRPr="00045A64">
        <w:rPr>
          <w:rFonts w:cstheme="minorHAnsi"/>
          <w:color w:val="000000" w:themeColor="text1"/>
        </w:rPr>
        <w:t>10</w:t>
      </w:r>
      <w:r w:rsidR="00045A64" w:rsidRPr="00045A64">
        <w:rPr>
          <w:rFonts w:cstheme="minorHAnsi"/>
          <w:color w:val="000000" w:themeColor="text1"/>
        </w:rPr>
        <w:t xml:space="preserve"> times the mechanical power of all current U.S. electrical generating plants and is idle over 95% of the day.</w:t>
      </w:r>
      <w:r w:rsidR="00D6438A">
        <w:rPr>
          <w:rFonts w:cstheme="minorHAnsi"/>
          <w:color w:val="000000" w:themeColor="text1"/>
        </w:rPr>
        <w:t>’ (Kempton, 1996).</w:t>
      </w:r>
      <w:r w:rsidR="0055755D">
        <w:rPr>
          <w:rFonts w:cstheme="minorHAnsi"/>
          <w:color w:val="000000" w:themeColor="text1"/>
        </w:rPr>
        <w:t xml:space="preserve"> </w:t>
      </w:r>
    </w:p>
    <w:p w14:paraId="022ED5E9" w14:textId="77777777" w:rsidR="008550D7" w:rsidRDefault="008550D7" w:rsidP="0055755D">
      <w:pPr>
        <w:pStyle w:val="ListParagraph"/>
        <w:ind w:left="420"/>
        <w:rPr>
          <w:rFonts w:cstheme="minorHAnsi"/>
          <w:color w:val="000000" w:themeColor="text1"/>
        </w:rPr>
      </w:pPr>
    </w:p>
    <w:p w14:paraId="7472697E" w14:textId="77777777" w:rsidR="008550D7" w:rsidRDefault="008550D7" w:rsidP="0055755D">
      <w:pPr>
        <w:pStyle w:val="ListParagraph"/>
        <w:ind w:left="420"/>
        <w:rPr>
          <w:rFonts w:cstheme="minorHAnsi"/>
          <w:color w:val="000000" w:themeColor="text1"/>
        </w:rPr>
      </w:pPr>
      <w:r>
        <w:rPr>
          <w:noProof/>
        </w:rPr>
        <w:drawing>
          <wp:inline distT="0" distB="0" distL="0" distR="0" wp14:anchorId="66976C20" wp14:editId="48FBADF2">
            <wp:extent cx="5731510" cy="185547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855470"/>
                    </a:xfrm>
                    <a:prstGeom prst="rect">
                      <a:avLst/>
                    </a:prstGeom>
                    <a:noFill/>
                    <a:ln>
                      <a:noFill/>
                    </a:ln>
                  </pic:spPr>
                </pic:pic>
              </a:graphicData>
            </a:graphic>
          </wp:inline>
        </w:drawing>
      </w:r>
    </w:p>
    <w:p w14:paraId="19B7DFD1" w14:textId="2DF81274" w:rsidR="009E280C" w:rsidRDefault="008550D7" w:rsidP="008550D7">
      <w:pPr>
        <w:pStyle w:val="ListParagraph"/>
        <w:ind w:left="420"/>
        <w:jc w:val="right"/>
        <w:rPr>
          <w:rFonts w:cstheme="minorHAnsi"/>
          <w:color w:val="000000" w:themeColor="text1"/>
        </w:rPr>
      </w:pPr>
      <w:r>
        <w:rPr>
          <w:rFonts w:cstheme="minorHAnsi"/>
          <w:i/>
          <w:iCs/>
          <w:color w:val="767171" w:themeColor="background2" w:themeShade="80"/>
        </w:rPr>
        <w:t>Figure 1 Shows a basic diagram of a Vehicle to Grid System (</w:t>
      </w:r>
      <w:proofErr w:type="spellStart"/>
      <w:r>
        <w:rPr>
          <w:rFonts w:cstheme="minorHAnsi"/>
          <w:i/>
          <w:iCs/>
          <w:color w:val="767171" w:themeColor="background2" w:themeShade="80"/>
        </w:rPr>
        <w:t>Bibak</w:t>
      </w:r>
      <w:proofErr w:type="spellEnd"/>
      <w:r>
        <w:rPr>
          <w:rFonts w:cstheme="minorHAnsi"/>
          <w:i/>
          <w:iCs/>
          <w:color w:val="767171" w:themeColor="background2" w:themeShade="80"/>
        </w:rPr>
        <w:t>, 2021)</w:t>
      </w:r>
      <w:r w:rsidR="0055755D">
        <w:rPr>
          <w:rFonts w:cstheme="minorHAnsi"/>
          <w:color w:val="000000" w:themeColor="text1"/>
        </w:rPr>
        <w:t xml:space="preserve"> </w:t>
      </w:r>
    </w:p>
    <w:p w14:paraId="1A95FBAA" w14:textId="77777777" w:rsidR="008550D7" w:rsidRDefault="008550D7" w:rsidP="0055755D">
      <w:pPr>
        <w:pStyle w:val="ListParagraph"/>
        <w:ind w:left="420"/>
        <w:rPr>
          <w:rFonts w:cstheme="minorHAnsi"/>
          <w:color w:val="000000" w:themeColor="text1"/>
        </w:rPr>
      </w:pPr>
    </w:p>
    <w:p w14:paraId="5B4757A7" w14:textId="20E8B5DF" w:rsidR="00BA1324" w:rsidRDefault="009E280C" w:rsidP="0055755D">
      <w:pPr>
        <w:pStyle w:val="ListParagraph"/>
        <w:ind w:left="420"/>
        <w:rPr>
          <w:rFonts w:cstheme="minorHAnsi"/>
          <w:color w:val="000000" w:themeColor="text1"/>
        </w:rPr>
      </w:pPr>
      <w:r>
        <w:rPr>
          <w:rFonts w:cstheme="minorHAnsi"/>
          <w:color w:val="000000" w:themeColor="text1"/>
        </w:rPr>
        <w:lastRenderedPageBreak/>
        <w:t xml:space="preserve">Vehicle to grid would not be effective on a small scale, however, as the number of EVs on the roads increases so does the potential for V2G. </w:t>
      </w:r>
    </w:p>
    <w:p w14:paraId="74A56F4D" w14:textId="77777777" w:rsidR="008C7CD4" w:rsidRDefault="00BA1324" w:rsidP="0055755D">
      <w:pPr>
        <w:pStyle w:val="ListParagraph"/>
        <w:ind w:left="420"/>
        <w:rPr>
          <w:rFonts w:cstheme="minorHAnsi"/>
          <w:color w:val="000000" w:themeColor="text1"/>
        </w:rPr>
      </w:pPr>
      <w:r>
        <w:rPr>
          <w:rFonts w:cstheme="minorHAnsi"/>
          <w:color w:val="000000" w:themeColor="text1"/>
        </w:rPr>
        <w:t>Current design models for V2G allow for the vehicle owner to choose if they want to send power back to the grid and if so, how much. This will ensure that no one is left with an empty battery</w:t>
      </w:r>
      <w:r w:rsidR="008C7CD4">
        <w:rPr>
          <w:rFonts w:cstheme="minorHAnsi"/>
          <w:color w:val="000000" w:themeColor="text1"/>
        </w:rPr>
        <w:t xml:space="preserve"> when they come to use their car. Furthermore, by feeding their cars power back into the grid, owners can benefit from receiving money back from the government to pay for the power they supply. </w:t>
      </w:r>
    </w:p>
    <w:p w14:paraId="48096E1F" w14:textId="2A49257D" w:rsidR="00F558C5" w:rsidRDefault="008C7CD4" w:rsidP="0055755D">
      <w:pPr>
        <w:pStyle w:val="ListParagraph"/>
        <w:ind w:left="420"/>
      </w:pPr>
      <w:r>
        <w:t>In the case of a high plug-in rate driver archetype (75% of time plugged in) a 7kW V2G charger could capture annual revenues of around £436 - four times that achieved with the average plug</w:t>
      </w:r>
      <w:r w:rsidR="00A43624">
        <w:t>-</w:t>
      </w:r>
      <w:r>
        <w:t>in rate</w:t>
      </w:r>
      <w:r>
        <w:t xml:space="preserve"> (Element Energy, 2019).</w:t>
      </w:r>
      <w:r w:rsidR="00F558C5">
        <w:t xml:space="preserve"> </w:t>
      </w:r>
    </w:p>
    <w:p w14:paraId="4EAC36FC" w14:textId="77777777" w:rsidR="00F558C5" w:rsidRDefault="00F558C5" w:rsidP="0055755D">
      <w:pPr>
        <w:pStyle w:val="ListParagraph"/>
        <w:ind w:left="420"/>
      </w:pPr>
      <w:r>
        <w:t>Currently, V2G is yet to be implemented on a large scale. However, Johan Cruyff Arena in Amsterdam have installed their own vehicle to grid system allowing fans to charge their cars and in return help power the stadiums utilities through a 3MW battery energy storage system. (</w:t>
      </w:r>
      <w:proofErr w:type="spellStart"/>
      <w:r>
        <w:t>Colthorpe</w:t>
      </w:r>
      <w:proofErr w:type="spellEnd"/>
      <w:r>
        <w:t xml:space="preserve">, 2019) </w:t>
      </w:r>
    </w:p>
    <w:p w14:paraId="30159199" w14:textId="77777777" w:rsidR="00F558C5" w:rsidRDefault="00F558C5" w:rsidP="0055755D">
      <w:pPr>
        <w:pStyle w:val="ListParagraph"/>
        <w:ind w:left="420"/>
      </w:pPr>
      <w:r>
        <w:t xml:space="preserve">Currently the stadium has 15 V2G parking bays with plans to eventually convert all 2000 parking spaces to be V2G compatible. </w:t>
      </w:r>
    </w:p>
    <w:p w14:paraId="74ABFA5A" w14:textId="254A7C9A" w:rsidR="00F558C5" w:rsidRDefault="00F558C5" w:rsidP="0055755D">
      <w:pPr>
        <w:pStyle w:val="ListParagraph"/>
        <w:ind w:left="420"/>
      </w:pPr>
      <w:r>
        <w:t xml:space="preserve">This paper will critically analyse the benefits and potential barriers of Vehicle to Grid technology regarding the private automotive sector. </w:t>
      </w:r>
    </w:p>
    <w:p w14:paraId="359ADE83" w14:textId="115714C5" w:rsidR="00F558C5" w:rsidRDefault="00F558C5" w:rsidP="0055755D">
      <w:pPr>
        <w:pStyle w:val="ListParagraph"/>
        <w:ind w:left="420"/>
      </w:pPr>
    </w:p>
    <w:p w14:paraId="54C4807D" w14:textId="11821AB9" w:rsidR="00F558C5" w:rsidRDefault="00F558C5" w:rsidP="0055755D">
      <w:pPr>
        <w:pStyle w:val="ListParagraph"/>
        <w:ind w:left="420"/>
      </w:pPr>
    </w:p>
    <w:p w14:paraId="4747E07B" w14:textId="2B7BAE25" w:rsidR="00F558C5" w:rsidRDefault="00F558C5" w:rsidP="0055755D">
      <w:pPr>
        <w:pStyle w:val="ListParagraph"/>
        <w:ind w:left="420"/>
      </w:pPr>
    </w:p>
    <w:p w14:paraId="4D650E5C" w14:textId="2726A572" w:rsidR="00F558C5" w:rsidRDefault="00F558C5" w:rsidP="00F558C5">
      <w:pPr>
        <w:pStyle w:val="ListParagraph"/>
        <w:ind w:left="420"/>
        <w:rPr>
          <w:b/>
          <w:bCs/>
          <w:sz w:val="28"/>
          <w:szCs w:val="28"/>
          <w:u w:val="single"/>
        </w:rPr>
      </w:pPr>
      <w:r>
        <w:rPr>
          <w:b/>
          <w:bCs/>
          <w:sz w:val="28"/>
          <w:szCs w:val="28"/>
          <w:u w:val="single"/>
        </w:rPr>
        <w:t>2.0 Benefits of Vehicle to Grid</w:t>
      </w:r>
    </w:p>
    <w:p w14:paraId="10A5E02E" w14:textId="46960F6A" w:rsidR="00F558C5" w:rsidRDefault="00F558C5" w:rsidP="00F558C5">
      <w:pPr>
        <w:pStyle w:val="ListParagraph"/>
        <w:ind w:left="420"/>
        <w:rPr>
          <w:b/>
          <w:bCs/>
          <w:sz w:val="28"/>
          <w:szCs w:val="28"/>
          <w:u w:val="single"/>
        </w:rPr>
      </w:pPr>
    </w:p>
    <w:p w14:paraId="798DADC8" w14:textId="5B819456" w:rsidR="00F558C5" w:rsidRDefault="006364EA" w:rsidP="0055755D">
      <w:pPr>
        <w:pStyle w:val="ListParagraph"/>
        <w:ind w:left="420"/>
        <w:rPr>
          <w:u w:val="single"/>
        </w:rPr>
      </w:pPr>
      <w:r>
        <w:rPr>
          <w:u w:val="single"/>
        </w:rPr>
        <w:t>2.1 Reducing Volatility of Renewable Power Generation</w:t>
      </w:r>
    </w:p>
    <w:p w14:paraId="152499F6" w14:textId="3833295E" w:rsidR="006364EA" w:rsidRDefault="006364EA" w:rsidP="0055755D">
      <w:pPr>
        <w:pStyle w:val="ListParagraph"/>
        <w:ind w:left="420"/>
        <w:rPr>
          <w:u w:val="single"/>
        </w:rPr>
      </w:pPr>
    </w:p>
    <w:p w14:paraId="1DC6BB11" w14:textId="35A2CF31" w:rsidR="006364EA" w:rsidRDefault="00D75019" w:rsidP="0055755D">
      <w:pPr>
        <w:pStyle w:val="ListParagraph"/>
        <w:ind w:left="420"/>
      </w:pPr>
      <w:r>
        <w:t xml:space="preserve">Perhaps the greatest benefit of V2G is its ability to reduce the volatility of renewable power generation. Generating renewable energy is often weather dependant, with the likes of solar, wind and tidal energy all relying on specific conditions to generate significant amounts of power. Last year in the UK during the May Day Bank Holiday 80% of power generated came from renewable sources. </w:t>
      </w:r>
    </w:p>
    <w:p w14:paraId="1EC66AFD" w14:textId="502FC2D8" w:rsidR="00D75019" w:rsidRDefault="00D75019" w:rsidP="0055755D">
      <w:pPr>
        <w:pStyle w:val="ListParagraph"/>
        <w:ind w:left="420"/>
        <w:rPr>
          <w:rFonts w:cstheme="minorHAnsi"/>
          <w:color w:val="000000" w:themeColor="text1"/>
          <w:shd w:val="clear" w:color="auto" w:fill="FFFFFF"/>
        </w:rPr>
      </w:pPr>
      <w:r w:rsidRPr="00D75019">
        <w:rPr>
          <w:rFonts w:cstheme="minorHAnsi"/>
          <w:color w:val="000000" w:themeColor="text1"/>
          <w:shd w:val="clear" w:color="auto" w:fill="FFFFFF"/>
        </w:rPr>
        <w:t>Sunny and windy weather, coupled with low demand for power, led to a surge in renewable sources of energy, National Grid Electricity System Operator said.</w:t>
      </w:r>
      <w:r>
        <w:rPr>
          <w:rFonts w:cstheme="minorHAnsi"/>
          <w:color w:val="000000" w:themeColor="text1"/>
          <w:shd w:val="clear" w:color="auto" w:fill="FFFFFF"/>
        </w:rPr>
        <w:t xml:space="preserve"> (</w:t>
      </w:r>
      <w:proofErr w:type="spellStart"/>
      <w:r>
        <w:rPr>
          <w:rFonts w:cstheme="minorHAnsi"/>
          <w:color w:val="000000" w:themeColor="text1"/>
          <w:shd w:val="clear" w:color="auto" w:fill="FFFFFF"/>
        </w:rPr>
        <w:t>Harrabin</w:t>
      </w:r>
      <w:proofErr w:type="spellEnd"/>
      <w:r>
        <w:rPr>
          <w:rFonts w:cstheme="minorHAnsi"/>
          <w:color w:val="000000" w:themeColor="text1"/>
          <w:shd w:val="clear" w:color="auto" w:fill="FFFFFF"/>
        </w:rPr>
        <w:t>, 2021)</w:t>
      </w:r>
    </w:p>
    <w:p w14:paraId="5352C56A" w14:textId="28CA614C" w:rsidR="00D75019" w:rsidRDefault="0039602B" w:rsidP="0055755D">
      <w:pPr>
        <w:pStyle w:val="ListParagraph"/>
        <w:ind w:left="420"/>
        <w:rPr>
          <w:rFonts w:cstheme="minorHAnsi"/>
          <w:color w:val="000000" w:themeColor="text1"/>
          <w:shd w:val="clear" w:color="auto" w:fill="FFFFFF"/>
        </w:rPr>
      </w:pPr>
      <w:r>
        <w:rPr>
          <w:rFonts w:cstheme="minorHAnsi"/>
          <w:color w:val="000000" w:themeColor="text1"/>
          <w:shd w:val="clear" w:color="auto" w:fill="FFFFFF"/>
        </w:rPr>
        <w:t xml:space="preserve">The UK Government have set a target for the country to be powered by 100% renewable energy by 2030 with plans to increase the number of renewable energy plants across the country. </w:t>
      </w:r>
      <w:r w:rsidR="001B4603">
        <w:rPr>
          <w:rFonts w:cstheme="minorHAnsi"/>
          <w:color w:val="000000" w:themeColor="text1"/>
          <w:shd w:val="clear" w:color="auto" w:fill="FFFFFF"/>
        </w:rPr>
        <w:t xml:space="preserve">A simultaneous introduction of a V2G system would allow for more of the renewable energy generated to be used across the national grid. </w:t>
      </w:r>
    </w:p>
    <w:p w14:paraId="7703591A" w14:textId="7FD7223D" w:rsidR="001B4603" w:rsidRDefault="001B4603" w:rsidP="0055755D">
      <w:pPr>
        <w:pStyle w:val="ListParagraph"/>
        <w:ind w:left="420"/>
        <w:rPr>
          <w:rFonts w:cstheme="minorHAnsi"/>
          <w:color w:val="000000" w:themeColor="text1"/>
        </w:rPr>
      </w:pPr>
      <w:r>
        <w:rPr>
          <w:rFonts w:cstheme="minorHAnsi"/>
          <w:color w:val="000000" w:themeColor="text1"/>
        </w:rPr>
        <w:t>Uddin, et al states, ‘a</w:t>
      </w:r>
      <w:r w:rsidRPr="001B4603">
        <w:rPr>
          <w:rFonts w:cstheme="minorHAnsi"/>
          <w:color w:val="000000" w:themeColor="text1"/>
        </w:rPr>
        <w:t>dding such vehicle-to-grid technologies to EVs can provide the necessary matching between the time of generation and time of load.</w:t>
      </w:r>
      <w:r>
        <w:rPr>
          <w:rFonts w:cstheme="minorHAnsi"/>
          <w:color w:val="000000" w:themeColor="text1"/>
        </w:rPr>
        <w:t>’ (Uddin et al, 2017)</w:t>
      </w:r>
    </w:p>
    <w:p w14:paraId="71DE7FBB" w14:textId="30C0B574" w:rsidR="001B4603" w:rsidRDefault="00391E31" w:rsidP="0055755D">
      <w:pPr>
        <w:pStyle w:val="ListParagraph"/>
        <w:ind w:left="420"/>
        <w:rPr>
          <w:rFonts w:cstheme="minorHAnsi"/>
          <w:color w:val="000000" w:themeColor="text1"/>
        </w:rPr>
      </w:pPr>
      <w:r>
        <w:rPr>
          <w:rFonts w:cstheme="minorHAnsi"/>
          <w:color w:val="000000" w:themeColor="text1"/>
        </w:rPr>
        <w:t xml:space="preserve">Essentially, V2G unites the fleet of private battery vehicles to create one flexible power storage unit that can be used to hold surplus power generated by renewables during times of low demand ready to be fed back into the grid at peak times or during periods where energy generated by renewables is at a low.  </w:t>
      </w:r>
    </w:p>
    <w:p w14:paraId="6BFDE1DA" w14:textId="05CE69AD" w:rsidR="008F3541" w:rsidRDefault="008F3541" w:rsidP="0055755D">
      <w:pPr>
        <w:pStyle w:val="ListParagraph"/>
        <w:ind w:left="420"/>
        <w:rPr>
          <w:rFonts w:cstheme="minorHAnsi"/>
          <w:color w:val="000000" w:themeColor="text1"/>
        </w:rPr>
      </w:pPr>
    </w:p>
    <w:p w14:paraId="5AB8C087" w14:textId="3C7362C8" w:rsidR="008F3541" w:rsidRDefault="008F3541" w:rsidP="0055755D">
      <w:pPr>
        <w:pStyle w:val="ListParagraph"/>
        <w:ind w:left="420"/>
        <w:rPr>
          <w:rFonts w:cstheme="minorHAnsi"/>
          <w:color w:val="000000" w:themeColor="text1"/>
          <w:u w:val="single"/>
        </w:rPr>
      </w:pPr>
      <w:r>
        <w:rPr>
          <w:rFonts w:cstheme="minorHAnsi"/>
          <w:color w:val="000000" w:themeColor="text1"/>
          <w:u w:val="single"/>
        </w:rPr>
        <w:t>2.2 Improved vehicle battery life expectancy</w:t>
      </w:r>
    </w:p>
    <w:p w14:paraId="31A1751D" w14:textId="1A16A6F0" w:rsidR="008F3541" w:rsidRDefault="008F3541" w:rsidP="0055755D">
      <w:pPr>
        <w:pStyle w:val="ListParagraph"/>
        <w:ind w:left="420"/>
        <w:rPr>
          <w:rFonts w:cstheme="minorHAnsi"/>
          <w:color w:val="000000" w:themeColor="text1"/>
          <w:u w:val="single"/>
        </w:rPr>
      </w:pPr>
    </w:p>
    <w:p w14:paraId="77B7C96C" w14:textId="630F0B6F" w:rsidR="00F558C5" w:rsidRDefault="002D4F66" w:rsidP="0055755D">
      <w:pPr>
        <w:pStyle w:val="ListParagraph"/>
        <w:ind w:left="420"/>
        <w:rPr>
          <w:rFonts w:cstheme="minorHAnsi"/>
          <w:color w:val="000000" w:themeColor="text1"/>
        </w:rPr>
      </w:pPr>
      <w:r w:rsidRPr="002D4F66">
        <w:rPr>
          <w:rFonts w:cstheme="minorHAnsi"/>
          <w:color w:val="000000" w:themeColor="text1"/>
        </w:rPr>
        <w:t>In the May 2017 issue of the </w:t>
      </w:r>
      <w:r w:rsidRPr="002D4F66">
        <w:rPr>
          <w:rStyle w:val="Emphasis"/>
          <w:rFonts w:cstheme="minorHAnsi"/>
          <w:color w:val="000000" w:themeColor="text1"/>
        </w:rPr>
        <w:t>Journal of Power Sources</w:t>
      </w:r>
      <w:r w:rsidRPr="002D4F66">
        <w:rPr>
          <w:rFonts w:cstheme="minorHAnsi"/>
          <w:color w:val="000000" w:themeColor="text1"/>
        </w:rPr>
        <w:t xml:space="preserve">, </w:t>
      </w:r>
      <w:proofErr w:type="spellStart"/>
      <w:r w:rsidRPr="002D4F66">
        <w:rPr>
          <w:rFonts w:cstheme="minorHAnsi"/>
          <w:color w:val="000000" w:themeColor="text1"/>
        </w:rPr>
        <w:t>Dubarry</w:t>
      </w:r>
      <w:proofErr w:type="spellEnd"/>
      <w:r w:rsidRPr="002D4F66">
        <w:rPr>
          <w:rFonts w:cstheme="minorHAnsi"/>
          <w:color w:val="000000" w:themeColor="text1"/>
        </w:rPr>
        <w:t xml:space="preserve"> et al. (</w:t>
      </w:r>
      <w:bookmarkStart w:id="0" w:name="bbib11"/>
      <w:proofErr w:type="spellStart"/>
      <w:r w:rsidRPr="002D4F66">
        <w:rPr>
          <w:rFonts w:cstheme="minorHAnsi"/>
          <w:color w:val="000000" w:themeColor="text1"/>
        </w:rPr>
        <w:fldChar w:fldCharType="begin"/>
      </w:r>
      <w:r w:rsidRPr="002D4F66">
        <w:rPr>
          <w:rFonts w:cstheme="minorHAnsi"/>
          <w:color w:val="000000" w:themeColor="text1"/>
        </w:rPr>
        <w:instrText xml:space="preserve"> HYPERLINK "https://www.sciencedirect.com/science/article/pii/S0301421517307619?via%3Dihub" \l "bib11" </w:instrText>
      </w:r>
      <w:r w:rsidRPr="002D4F66">
        <w:rPr>
          <w:rFonts w:cstheme="minorHAnsi"/>
          <w:color w:val="000000" w:themeColor="text1"/>
        </w:rPr>
        <w:fldChar w:fldCharType="separate"/>
      </w:r>
      <w:r w:rsidRPr="002D4F66">
        <w:rPr>
          <w:rStyle w:val="Hyperlink"/>
          <w:rFonts w:cstheme="minorHAnsi"/>
          <w:color w:val="000000" w:themeColor="text1"/>
        </w:rPr>
        <w:t>Dubarry</w:t>
      </w:r>
      <w:proofErr w:type="spellEnd"/>
      <w:r w:rsidRPr="002D4F66">
        <w:rPr>
          <w:rStyle w:val="Hyperlink"/>
          <w:rFonts w:cstheme="minorHAnsi"/>
          <w:color w:val="000000" w:themeColor="text1"/>
        </w:rPr>
        <w:t xml:space="preserve"> et al., 2017c</w:t>
      </w:r>
      <w:r w:rsidRPr="002D4F66">
        <w:rPr>
          <w:rFonts w:cstheme="minorHAnsi"/>
          <w:color w:val="000000" w:themeColor="text1"/>
        </w:rPr>
        <w:fldChar w:fldCharType="end"/>
      </w:r>
      <w:bookmarkEnd w:id="0"/>
      <w:r w:rsidRPr="002D4F66">
        <w:rPr>
          <w:rFonts w:cstheme="minorHAnsi"/>
          <w:color w:val="000000" w:themeColor="text1"/>
        </w:rPr>
        <w:t xml:space="preserve">) presented the results of an experimental study on the impact of V2G operations on Lithium-ion </w:t>
      </w:r>
      <w:r w:rsidRPr="002D4F66">
        <w:rPr>
          <w:rFonts w:cstheme="minorHAnsi"/>
          <w:color w:val="000000" w:themeColor="text1"/>
        </w:rPr>
        <w:lastRenderedPageBreak/>
        <w:t>battery degradation. Their results show that additional cycling to discharge EV batteries to the power grid, even at constant power, is detrimental to battery performance.</w:t>
      </w:r>
      <w:r w:rsidRPr="002D4F66">
        <w:rPr>
          <w:rFonts w:cstheme="minorHAnsi"/>
          <w:color w:val="000000" w:themeColor="text1"/>
        </w:rPr>
        <w:t xml:space="preserve"> (Uddin, 2017)</w:t>
      </w:r>
    </w:p>
    <w:p w14:paraId="26C44684" w14:textId="748574C2" w:rsidR="00106CCE" w:rsidRDefault="00106CCE" w:rsidP="0055755D">
      <w:pPr>
        <w:pStyle w:val="ListParagraph"/>
        <w:ind w:left="420"/>
        <w:rPr>
          <w:rFonts w:cstheme="minorHAnsi"/>
          <w:color w:val="000000" w:themeColor="text1"/>
        </w:rPr>
      </w:pPr>
      <w:r>
        <w:rPr>
          <w:rFonts w:cstheme="minorHAnsi"/>
          <w:color w:val="000000" w:themeColor="text1"/>
        </w:rPr>
        <w:t xml:space="preserve">On the </w:t>
      </w:r>
      <w:r w:rsidR="002D4F66">
        <w:rPr>
          <w:rFonts w:cstheme="minorHAnsi"/>
          <w:color w:val="000000" w:themeColor="text1"/>
        </w:rPr>
        <w:t>other</w:t>
      </w:r>
      <w:r>
        <w:rPr>
          <w:rFonts w:cstheme="minorHAnsi"/>
          <w:color w:val="000000" w:themeColor="text1"/>
        </w:rPr>
        <w:t xml:space="preserve"> hand,</w:t>
      </w:r>
      <w:r w:rsidR="002D4F66">
        <w:rPr>
          <w:rFonts w:cstheme="minorHAnsi"/>
          <w:color w:val="000000" w:themeColor="text1"/>
        </w:rPr>
        <w:t xml:space="preserve"> studies have shown that V2G could be used to reduce degradation and increase the lifespan of lithium-ion batteries. (Uddin et al, 2017) describes a smart charging model for V2G based on data gathered other 2 years to predict battery ageing. This model </w:t>
      </w:r>
      <w:r>
        <w:rPr>
          <w:rFonts w:cstheme="minorHAnsi"/>
          <w:color w:val="000000" w:themeColor="text1"/>
        </w:rPr>
        <w:t>can</w:t>
      </w:r>
      <w:r w:rsidR="002D4F66">
        <w:rPr>
          <w:rFonts w:cstheme="minorHAnsi"/>
          <w:color w:val="000000" w:themeColor="text1"/>
        </w:rPr>
        <w:t xml:space="preserve"> predict battery capacity and power fade over time with accelerating factors to within 5-10% accuracy. This data can then be fed back into a </w:t>
      </w:r>
      <w:r>
        <w:rPr>
          <w:rFonts w:cstheme="minorHAnsi"/>
          <w:color w:val="000000" w:themeColor="text1"/>
        </w:rPr>
        <w:t xml:space="preserve">modelled </w:t>
      </w:r>
      <w:r w:rsidR="002D4F66">
        <w:rPr>
          <w:rFonts w:cstheme="minorHAnsi"/>
          <w:color w:val="000000" w:themeColor="text1"/>
        </w:rPr>
        <w:t>smart charging</w:t>
      </w:r>
      <w:r>
        <w:rPr>
          <w:rFonts w:cstheme="minorHAnsi"/>
          <w:color w:val="000000" w:themeColor="text1"/>
        </w:rPr>
        <w:t xml:space="preserve"> and battery management system connected to a smart grid template. The results from this simulation showed that V2G with smart charging could reduce capacity fade by up to 9.1% and power fade by 12.1%. </w:t>
      </w:r>
    </w:p>
    <w:p w14:paraId="6E513D6D" w14:textId="77777777" w:rsidR="00661DB0" w:rsidRDefault="00106CCE" w:rsidP="0055755D">
      <w:pPr>
        <w:pStyle w:val="ListParagraph"/>
        <w:ind w:left="420"/>
        <w:rPr>
          <w:rFonts w:cstheme="minorHAnsi"/>
          <w:color w:val="000000" w:themeColor="text1"/>
        </w:rPr>
      </w:pPr>
      <w:r>
        <w:rPr>
          <w:rFonts w:cstheme="minorHAnsi"/>
          <w:color w:val="000000" w:themeColor="text1"/>
        </w:rPr>
        <w:t>However, there are issues with Uddin</w:t>
      </w:r>
      <w:r w:rsidR="001B5277">
        <w:rPr>
          <w:rFonts w:cstheme="minorHAnsi"/>
          <w:color w:val="000000" w:themeColor="text1"/>
        </w:rPr>
        <w:t>’s</w:t>
      </w:r>
      <w:r>
        <w:rPr>
          <w:rFonts w:cstheme="minorHAnsi"/>
          <w:color w:val="000000" w:themeColor="text1"/>
        </w:rPr>
        <w:t xml:space="preserve"> model. Currently this work is all theoretical with no </w:t>
      </w:r>
      <w:r w:rsidR="001B5277">
        <w:rPr>
          <w:rFonts w:cstheme="minorHAnsi"/>
          <w:color w:val="000000" w:themeColor="text1"/>
        </w:rPr>
        <w:t>real-world</w:t>
      </w:r>
      <w:r>
        <w:rPr>
          <w:rFonts w:cstheme="minorHAnsi"/>
          <w:color w:val="000000" w:themeColor="text1"/>
        </w:rPr>
        <w:t xml:space="preserve"> testing or data to back up the results.</w:t>
      </w:r>
      <w:r w:rsidR="000760E7">
        <w:rPr>
          <w:rFonts w:cstheme="minorHAnsi"/>
          <w:color w:val="000000" w:themeColor="text1"/>
        </w:rPr>
        <w:t xml:space="preserve"> </w:t>
      </w:r>
      <w:r w:rsidR="00661DB0">
        <w:rPr>
          <w:rFonts w:cstheme="minorHAnsi"/>
          <w:color w:val="000000" w:themeColor="text1"/>
        </w:rPr>
        <w:t xml:space="preserve">Real world testing would need to be conducted to validate the results of this experiment to determine its accuracy. </w:t>
      </w:r>
    </w:p>
    <w:p w14:paraId="6ACD4A02" w14:textId="77777777" w:rsidR="00661DB0" w:rsidRDefault="00661DB0" w:rsidP="0055755D">
      <w:pPr>
        <w:pStyle w:val="ListParagraph"/>
        <w:ind w:left="420"/>
        <w:rPr>
          <w:rFonts w:cstheme="minorHAnsi"/>
          <w:color w:val="000000" w:themeColor="text1"/>
        </w:rPr>
      </w:pPr>
    </w:p>
    <w:p w14:paraId="1ED81A17" w14:textId="77777777" w:rsidR="00661DB0" w:rsidRDefault="00661DB0" w:rsidP="0055755D">
      <w:pPr>
        <w:pStyle w:val="ListParagraph"/>
        <w:ind w:left="420"/>
        <w:rPr>
          <w:rFonts w:cstheme="minorHAnsi"/>
          <w:color w:val="000000" w:themeColor="text1"/>
          <w:u w:val="single"/>
        </w:rPr>
      </w:pPr>
      <w:r>
        <w:rPr>
          <w:rFonts w:cstheme="minorHAnsi"/>
          <w:color w:val="000000" w:themeColor="text1"/>
          <w:u w:val="single"/>
        </w:rPr>
        <w:t>2.3 Money back to vehicle owners</w:t>
      </w:r>
    </w:p>
    <w:p w14:paraId="02D3251A" w14:textId="77777777" w:rsidR="00661DB0" w:rsidRDefault="00661DB0" w:rsidP="0055755D">
      <w:pPr>
        <w:pStyle w:val="ListParagraph"/>
        <w:ind w:left="420"/>
        <w:rPr>
          <w:rFonts w:cstheme="minorHAnsi"/>
          <w:color w:val="000000" w:themeColor="text1"/>
        </w:rPr>
      </w:pPr>
    </w:p>
    <w:p w14:paraId="18206940" w14:textId="45833ACC" w:rsidR="00FD5F51" w:rsidRDefault="00661DB0" w:rsidP="00FD5F51">
      <w:pPr>
        <w:pStyle w:val="ListParagraph"/>
        <w:ind w:left="420"/>
        <w:rPr>
          <w:rFonts w:cstheme="minorHAnsi"/>
          <w:color w:val="000000" w:themeColor="text1"/>
        </w:rPr>
      </w:pPr>
      <w:r>
        <w:rPr>
          <w:rFonts w:cstheme="minorHAnsi"/>
          <w:color w:val="000000" w:themeColor="text1"/>
        </w:rPr>
        <w:t>One of the most appealing customer benefits of V2G is the promise of money back for the power donated to the grid by their vehicle battery.</w:t>
      </w:r>
      <w:r w:rsidR="00A43624">
        <w:rPr>
          <w:rFonts w:cstheme="minorHAnsi"/>
          <w:color w:val="000000" w:themeColor="text1"/>
        </w:rPr>
        <w:t xml:space="preserve"> </w:t>
      </w:r>
      <w:r w:rsidR="00FD5F51">
        <w:rPr>
          <w:rFonts w:cstheme="minorHAnsi"/>
          <w:color w:val="000000" w:themeColor="text1"/>
        </w:rPr>
        <w:t>Studies have shown that by connecting a private vehicle to a V2G ready charge point the owner could expect annual revenues of up to £436 if the vehicle is plugged in 75% of the time. (Element Energy, 2019)</w:t>
      </w:r>
    </w:p>
    <w:p w14:paraId="56737987" w14:textId="59D10D48" w:rsidR="00FD5F51" w:rsidRDefault="00FD5F51" w:rsidP="00FD5F51">
      <w:pPr>
        <w:pStyle w:val="ListParagraph"/>
        <w:ind w:left="420"/>
        <w:rPr>
          <w:rFonts w:cstheme="minorHAnsi"/>
          <w:color w:val="000000" w:themeColor="text1"/>
        </w:rPr>
      </w:pPr>
      <w:r>
        <w:rPr>
          <w:rFonts w:cstheme="minorHAnsi"/>
          <w:color w:val="000000" w:themeColor="text1"/>
        </w:rPr>
        <w:t xml:space="preserve">By giving money back to adopters of vehicle to grid technology the likelihood of people buying V2G ready vehicles increases. From a commercial point of view, the money made from selling power back to the grid across a fleet of vehicles could bring enormous financial benefits to the company. </w:t>
      </w:r>
    </w:p>
    <w:p w14:paraId="43F7617E" w14:textId="44BCDA31" w:rsidR="008550D7" w:rsidRPr="00FD5F51" w:rsidRDefault="008550D7" w:rsidP="00FD5F51">
      <w:pPr>
        <w:pStyle w:val="ListParagraph"/>
        <w:ind w:left="420"/>
        <w:rPr>
          <w:rFonts w:cstheme="minorHAnsi"/>
          <w:color w:val="000000" w:themeColor="text1"/>
        </w:rPr>
      </w:pPr>
      <w:r>
        <w:rPr>
          <w:rFonts w:cstheme="minorHAnsi"/>
          <w:color w:val="000000" w:themeColor="text1"/>
        </w:rPr>
        <w:t>However, while the power sold back to the grid will generate revenue for the vehicle owner there may be issues with the amount of money gained.</w:t>
      </w:r>
    </w:p>
    <w:p w14:paraId="154BA7C0" w14:textId="1C0B69DD" w:rsidR="00A43624" w:rsidRDefault="00A43624" w:rsidP="0055755D">
      <w:pPr>
        <w:pStyle w:val="ListParagraph"/>
        <w:ind w:left="420"/>
      </w:pPr>
      <w:r>
        <w:t>To make economic</w:t>
      </w:r>
      <w:r>
        <w:t xml:space="preserve"> sense, the revenues</w:t>
      </w:r>
      <w:r>
        <w:t xml:space="preserve"> </w:t>
      </w:r>
      <w:r>
        <w:t xml:space="preserve">of V2G through ancillary grid services should not be offset by the loss of value of the EV due to battery degradation. </w:t>
      </w:r>
      <w:r>
        <w:t>(Lauinger, 2017)</w:t>
      </w:r>
    </w:p>
    <w:p w14:paraId="13AFC51A" w14:textId="77777777" w:rsidR="007721B6" w:rsidRDefault="008550D7" w:rsidP="0055755D">
      <w:pPr>
        <w:pStyle w:val="ListParagraph"/>
        <w:ind w:left="420"/>
      </w:pPr>
      <w:r>
        <w:t xml:space="preserve">Furthermore, the price of energy is in constant fluctuation with prices rising during times of heavy demand and falling during times of low demand. This could mean that owners of V2G compatible vehicles may earn less over certain periods of time, and that if a system is employed where the power is only sold to a local area the economic gains in one part of the country may amount to far less than in other parts. This could make the technology less appealing to certain market players. </w:t>
      </w:r>
    </w:p>
    <w:p w14:paraId="23DA51A4" w14:textId="77777777" w:rsidR="007721B6" w:rsidRDefault="007721B6" w:rsidP="0055755D">
      <w:pPr>
        <w:pStyle w:val="ListParagraph"/>
        <w:ind w:left="420"/>
      </w:pPr>
      <w:r>
        <w:t>Most of the literature sees the delivery of control energy for frequency and voltage regulation in the ancillary services market as the most promising economic opportunity for vehicle-to-grid. This is because of the availability payments that market players receive even without delivering any electricity to the grid, hence limiting the issue of battery degradation</w:t>
      </w:r>
      <w:r>
        <w:t>. (Lauinger, 2017)</w:t>
      </w:r>
      <w:r>
        <w:t xml:space="preserve"> </w:t>
      </w:r>
    </w:p>
    <w:p w14:paraId="6F0C795F" w14:textId="77777777" w:rsidR="007721B6" w:rsidRDefault="007721B6" w:rsidP="0055755D">
      <w:pPr>
        <w:pStyle w:val="ListParagraph"/>
        <w:ind w:left="420"/>
      </w:pPr>
      <w:r>
        <w:t xml:space="preserve">Lauinger states that the most appealing system to consumers is one where they </w:t>
      </w:r>
      <w:proofErr w:type="gramStart"/>
      <w:r>
        <w:t>are able to</w:t>
      </w:r>
      <w:proofErr w:type="gramEnd"/>
      <w:r>
        <w:t xml:space="preserve"> receive payments even if no power is delivered from the vehicle, instead using the battery to control power flow through the grid. This would be ideal as the reduction in battery wear from not charging and discharging the battery when the vehicle is plugged in would generate larger profits from using V2G.  </w:t>
      </w:r>
    </w:p>
    <w:p w14:paraId="389B56A6" w14:textId="3A5801F6" w:rsidR="007721B6" w:rsidRDefault="007721B6" w:rsidP="0055755D">
      <w:pPr>
        <w:pStyle w:val="ListParagraph"/>
        <w:ind w:left="420"/>
      </w:pPr>
      <w:r>
        <w:t xml:space="preserve">The financial aspect of V2G is very important as it will be the key deciding factor for many consumers as to whether they adopt vehicle to grid technology in their home or business. It is likely that regulations will need to be brought in to ensure the returns from V2G are sufficient to offset the value lost from battery wear. </w:t>
      </w:r>
    </w:p>
    <w:p w14:paraId="5D50042C" w14:textId="61BCE29A" w:rsidR="007721B6" w:rsidRDefault="007721B6" w:rsidP="0055755D">
      <w:pPr>
        <w:pStyle w:val="ListParagraph"/>
        <w:ind w:left="420"/>
      </w:pPr>
    </w:p>
    <w:p w14:paraId="264E06E3" w14:textId="7BFB264F" w:rsidR="007721B6" w:rsidRDefault="007721B6" w:rsidP="0055755D">
      <w:pPr>
        <w:pStyle w:val="ListParagraph"/>
        <w:ind w:left="420"/>
        <w:rPr>
          <w:b/>
          <w:bCs/>
          <w:sz w:val="28"/>
          <w:szCs w:val="28"/>
          <w:u w:val="single"/>
        </w:rPr>
      </w:pPr>
      <w:r>
        <w:rPr>
          <w:b/>
          <w:bCs/>
          <w:sz w:val="28"/>
          <w:szCs w:val="28"/>
          <w:u w:val="single"/>
        </w:rPr>
        <w:lastRenderedPageBreak/>
        <w:t>3.0 Barriers for V</w:t>
      </w:r>
      <w:r w:rsidR="00EF1750">
        <w:rPr>
          <w:b/>
          <w:bCs/>
          <w:sz w:val="28"/>
          <w:szCs w:val="28"/>
          <w:u w:val="single"/>
        </w:rPr>
        <w:t>ehicle to Grid</w:t>
      </w:r>
      <w:r>
        <w:rPr>
          <w:b/>
          <w:bCs/>
          <w:sz w:val="28"/>
          <w:szCs w:val="28"/>
          <w:u w:val="single"/>
        </w:rPr>
        <w:t xml:space="preserve"> systems</w:t>
      </w:r>
    </w:p>
    <w:p w14:paraId="7FE0CBAC" w14:textId="6DF289E1" w:rsidR="007721B6" w:rsidRDefault="007721B6" w:rsidP="0055755D">
      <w:pPr>
        <w:pStyle w:val="ListParagraph"/>
        <w:ind w:left="420"/>
        <w:rPr>
          <w:b/>
          <w:bCs/>
          <w:sz w:val="28"/>
          <w:szCs w:val="28"/>
          <w:u w:val="single"/>
        </w:rPr>
      </w:pPr>
    </w:p>
    <w:p w14:paraId="0CA07B72" w14:textId="0CAE2222" w:rsidR="007721B6" w:rsidRDefault="007721B6" w:rsidP="0055755D">
      <w:pPr>
        <w:pStyle w:val="ListParagraph"/>
        <w:ind w:left="420"/>
        <w:rPr>
          <w:u w:val="single"/>
        </w:rPr>
      </w:pPr>
      <w:r>
        <w:rPr>
          <w:u w:val="single"/>
        </w:rPr>
        <w:t xml:space="preserve">3.1 The </w:t>
      </w:r>
      <w:r w:rsidR="00EF1750">
        <w:rPr>
          <w:u w:val="single"/>
        </w:rPr>
        <w:t>N</w:t>
      </w:r>
      <w:r>
        <w:rPr>
          <w:u w:val="single"/>
        </w:rPr>
        <w:t xml:space="preserve">eed for a </w:t>
      </w:r>
      <w:r w:rsidR="00E2433A">
        <w:rPr>
          <w:u w:val="single"/>
        </w:rPr>
        <w:t>Smart</w:t>
      </w:r>
      <w:r>
        <w:rPr>
          <w:u w:val="single"/>
        </w:rPr>
        <w:t xml:space="preserve"> Grid</w:t>
      </w:r>
    </w:p>
    <w:p w14:paraId="3E96E172" w14:textId="3D53B518" w:rsidR="00E2433A" w:rsidRDefault="00E2433A" w:rsidP="0055755D">
      <w:pPr>
        <w:pStyle w:val="ListParagraph"/>
        <w:ind w:left="420"/>
        <w:rPr>
          <w:u w:val="single"/>
        </w:rPr>
      </w:pPr>
    </w:p>
    <w:p w14:paraId="4F573C06" w14:textId="68DF964A" w:rsidR="00E2433A" w:rsidRDefault="00E2433A" w:rsidP="0055755D">
      <w:pPr>
        <w:pStyle w:val="ListParagraph"/>
        <w:ind w:left="420"/>
      </w:pPr>
      <w:r>
        <w:t xml:space="preserve">For V2G technology to work effectively on a large scale a large update to the national grid is required. Smart Grids can transfer power and information in 2 directions as opposed to the traditional grid which can only transfer power to the consumers. </w:t>
      </w:r>
    </w:p>
    <w:p w14:paraId="64958CFE" w14:textId="13086579" w:rsidR="00E2433A" w:rsidRDefault="00E2433A" w:rsidP="0055755D">
      <w:pPr>
        <w:pStyle w:val="ListParagraph"/>
        <w:ind w:left="420"/>
      </w:pPr>
      <w:r>
        <w:t>Advantages of a Smart Grid include:</w:t>
      </w:r>
    </w:p>
    <w:p w14:paraId="5F5DDC31"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More efficient transmission of electricity</w:t>
      </w:r>
    </w:p>
    <w:p w14:paraId="2ED532B2"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Quicker restoration of electricity after power disturbances</w:t>
      </w:r>
    </w:p>
    <w:p w14:paraId="4406A9E9"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Reduced operations and management costs for utilities, and ultimately lower power costs for consumers</w:t>
      </w:r>
    </w:p>
    <w:p w14:paraId="4EB121EA"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Reduced peak demand, which will also help lower electricity rates</w:t>
      </w:r>
    </w:p>
    <w:p w14:paraId="7C6EF8C7"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Increased integration of large-scale renewable energy systems</w:t>
      </w:r>
    </w:p>
    <w:p w14:paraId="484AE447"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Better integration of customer-owner power generation systems, including renewable energy systems</w:t>
      </w:r>
    </w:p>
    <w:p w14:paraId="7C24468A" w14:textId="77777777" w:rsidR="00E2433A" w:rsidRPr="00E2433A" w:rsidRDefault="00E2433A" w:rsidP="00E2433A">
      <w:pPr>
        <w:numPr>
          <w:ilvl w:val="0"/>
          <w:numId w:val="2"/>
        </w:numPr>
        <w:shd w:val="clear" w:color="auto" w:fill="FFFFFF"/>
        <w:spacing w:before="100" w:beforeAutospacing="1" w:after="100" w:afterAutospacing="1" w:line="240" w:lineRule="auto"/>
        <w:rPr>
          <w:rFonts w:eastAsia="Times New Roman" w:cstheme="minorHAnsi"/>
          <w:color w:val="212529"/>
          <w:lang w:eastAsia="en-GB"/>
        </w:rPr>
      </w:pPr>
      <w:r w:rsidRPr="00E2433A">
        <w:rPr>
          <w:rFonts w:eastAsia="Times New Roman" w:cstheme="minorHAnsi"/>
          <w:color w:val="212529"/>
          <w:lang w:eastAsia="en-GB"/>
        </w:rPr>
        <w:t>Improved security</w:t>
      </w:r>
    </w:p>
    <w:p w14:paraId="44299F02" w14:textId="30FD5AFE" w:rsidR="00E2433A" w:rsidRDefault="00E2433A" w:rsidP="00E2433A">
      <w:pPr>
        <w:pStyle w:val="ListParagraph"/>
        <w:ind w:left="420"/>
        <w:jc w:val="right"/>
      </w:pPr>
      <w:r>
        <w:t>(SmartGrid.gov, 2021)</w:t>
      </w:r>
    </w:p>
    <w:p w14:paraId="02987F58" w14:textId="487F2339" w:rsidR="00E2433A" w:rsidRDefault="00E2433A" w:rsidP="00E2433A">
      <w:pPr>
        <w:pStyle w:val="ListParagraph"/>
        <w:ind w:left="420"/>
      </w:pPr>
      <w:r>
        <w:t>The introduction of a Smart Grid will be a lengthy and expensive process</w:t>
      </w:r>
      <w:r w:rsidR="00446B44">
        <w:t>, estimated costs for a Smart Grid in the US show how costly the upgrade could be.</w:t>
      </w:r>
    </w:p>
    <w:p w14:paraId="29E16B45" w14:textId="283D66C9" w:rsidR="00446B44" w:rsidRDefault="00446B44" w:rsidP="00E2433A">
      <w:pPr>
        <w:pStyle w:val="ListParagraph"/>
        <w:ind w:left="420"/>
        <w:rPr>
          <w:rFonts w:cstheme="minorHAnsi"/>
          <w:color w:val="000000" w:themeColor="text1"/>
          <w:spacing w:val="6"/>
          <w:shd w:val="clear" w:color="auto" w:fill="FFFFFF"/>
        </w:rPr>
      </w:pPr>
      <w:r w:rsidRPr="00446B44">
        <w:rPr>
          <w:rFonts w:cstheme="minorHAnsi"/>
          <w:color w:val="000000" w:themeColor="text1"/>
          <w:spacing w:val="6"/>
          <w:shd w:val="clear" w:color="auto" w:fill="FFFFFF"/>
        </w:rPr>
        <w:t>EPRI estimates that the implementation of a fully functional </w:t>
      </w:r>
      <w:hyperlink r:id="rId10" w:history="1">
        <w:r w:rsidRPr="00446B44">
          <w:rPr>
            <w:rStyle w:val="Hyperlink"/>
            <w:rFonts w:cstheme="minorHAnsi"/>
            <w:color w:val="000000" w:themeColor="text1"/>
            <w:spacing w:val="6"/>
            <w:u w:val="none"/>
            <w:shd w:val="clear" w:color="auto" w:fill="FFFFFF"/>
          </w:rPr>
          <w:t>smart grid</w:t>
        </w:r>
      </w:hyperlink>
      <w:r w:rsidRPr="00446B44">
        <w:rPr>
          <w:rFonts w:cstheme="minorHAnsi"/>
          <w:color w:val="000000" w:themeColor="text1"/>
          <w:spacing w:val="6"/>
          <w:shd w:val="clear" w:color="auto" w:fill="FFFFFF"/>
        </w:rPr>
        <w:t> will cost $338 billion to $476 billion. Those investments, however, will result in benefits worth $1.3 trillion to $2 trillion.</w:t>
      </w:r>
      <w:r>
        <w:rPr>
          <w:rFonts w:cstheme="minorHAnsi"/>
          <w:color w:val="000000" w:themeColor="text1"/>
          <w:spacing w:val="6"/>
          <w:shd w:val="clear" w:color="auto" w:fill="FFFFFF"/>
        </w:rPr>
        <w:t xml:space="preserve"> (</w:t>
      </w:r>
      <w:proofErr w:type="spellStart"/>
      <w:r>
        <w:rPr>
          <w:rFonts w:cstheme="minorHAnsi"/>
          <w:color w:val="000000" w:themeColor="text1"/>
          <w:spacing w:val="6"/>
          <w:shd w:val="clear" w:color="auto" w:fill="FFFFFF"/>
        </w:rPr>
        <w:t>Kanellos</w:t>
      </w:r>
      <w:proofErr w:type="spellEnd"/>
      <w:r>
        <w:rPr>
          <w:rFonts w:cstheme="minorHAnsi"/>
          <w:color w:val="000000" w:themeColor="text1"/>
          <w:spacing w:val="6"/>
          <w:shd w:val="clear" w:color="auto" w:fill="FFFFFF"/>
        </w:rPr>
        <w:t>, 2011)</w:t>
      </w:r>
    </w:p>
    <w:p w14:paraId="569CEC42" w14:textId="54E53EB6" w:rsidR="00446B44" w:rsidRDefault="001A3CBE" w:rsidP="00E2433A">
      <w:pPr>
        <w:pStyle w:val="ListParagraph"/>
        <w:ind w:left="420"/>
        <w:rPr>
          <w:rFonts w:cstheme="minorHAnsi"/>
          <w:color w:val="000000" w:themeColor="text1"/>
          <w:spacing w:val="6"/>
          <w:shd w:val="clear" w:color="auto" w:fill="FFFFFF"/>
        </w:rPr>
      </w:pPr>
      <w:r>
        <w:rPr>
          <w:rFonts w:cstheme="minorHAnsi"/>
          <w:color w:val="000000" w:themeColor="text1"/>
          <w:spacing w:val="6"/>
          <w:shd w:val="clear" w:color="auto" w:fill="FFFFFF"/>
        </w:rPr>
        <w:t xml:space="preserve">The barrier for V2G here is the initial cost of setting up a Smart Grid. Finding investment for a project this large would not be easy as many individuals and businesses would likely object to having to pay for it through increased taxes. </w:t>
      </w:r>
    </w:p>
    <w:p w14:paraId="79A3AE45" w14:textId="17618B53" w:rsidR="001A3CBE" w:rsidRDefault="001A3CBE" w:rsidP="00E2433A">
      <w:pPr>
        <w:pStyle w:val="ListParagraph"/>
        <w:ind w:left="420"/>
        <w:rPr>
          <w:rFonts w:cstheme="minorHAnsi"/>
          <w:color w:val="000000" w:themeColor="text1"/>
          <w:spacing w:val="6"/>
          <w:shd w:val="clear" w:color="auto" w:fill="FFFFFF"/>
        </w:rPr>
      </w:pPr>
    </w:p>
    <w:p w14:paraId="142AA52E" w14:textId="72F3D706" w:rsidR="001A3CBE" w:rsidRDefault="001A3CBE" w:rsidP="00E2433A">
      <w:pPr>
        <w:pStyle w:val="ListParagraph"/>
        <w:ind w:left="420"/>
        <w:rPr>
          <w:rFonts w:cstheme="minorHAnsi"/>
          <w:color w:val="000000" w:themeColor="text1"/>
          <w:spacing w:val="6"/>
          <w:u w:val="single"/>
          <w:shd w:val="clear" w:color="auto" w:fill="FFFFFF"/>
        </w:rPr>
      </w:pPr>
      <w:r>
        <w:rPr>
          <w:rFonts w:cstheme="minorHAnsi"/>
          <w:color w:val="000000" w:themeColor="text1"/>
          <w:spacing w:val="6"/>
          <w:u w:val="single"/>
          <w:shd w:val="clear" w:color="auto" w:fill="FFFFFF"/>
        </w:rPr>
        <w:t>3.2 Compatibility issues</w:t>
      </w:r>
    </w:p>
    <w:p w14:paraId="0F8CF000" w14:textId="2CDFFC5A" w:rsidR="001A3CBE" w:rsidRDefault="001A3CBE" w:rsidP="00E2433A">
      <w:pPr>
        <w:pStyle w:val="ListParagraph"/>
        <w:ind w:left="420"/>
        <w:rPr>
          <w:rFonts w:cstheme="minorHAnsi"/>
          <w:color w:val="000000" w:themeColor="text1"/>
          <w:spacing w:val="6"/>
          <w:u w:val="single"/>
          <w:shd w:val="clear" w:color="auto" w:fill="FFFFFF"/>
        </w:rPr>
      </w:pPr>
    </w:p>
    <w:p w14:paraId="27E0E60F" w14:textId="1C9F9427" w:rsidR="001A3CBE" w:rsidRDefault="001A3CBE" w:rsidP="00E2433A">
      <w:pPr>
        <w:pStyle w:val="ListParagraph"/>
        <w:ind w:left="420"/>
        <w:rPr>
          <w:rFonts w:cstheme="minorHAnsi"/>
          <w:color w:val="000000" w:themeColor="text1"/>
          <w:spacing w:val="6"/>
          <w:shd w:val="clear" w:color="auto" w:fill="FFFFFF"/>
        </w:rPr>
      </w:pPr>
      <w:r>
        <w:rPr>
          <w:rFonts w:cstheme="minorHAnsi"/>
          <w:color w:val="000000" w:themeColor="text1"/>
          <w:spacing w:val="6"/>
          <w:shd w:val="clear" w:color="auto" w:fill="FFFFFF"/>
        </w:rPr>
        <w:t xml:space="preserve">Currently </w:t>
      </w:r>
      <w:r w:rsidR="00AC7E12">
        <w:rPr>
          <w:rFonts w:cstheme="minorHAnsi"/>
          <w:color w:val="000000" w:themeColor="text1"/>
          <w:spacing w:val="6"/>
          <w:shd w:val="clear" w:color="auto" w:fill="FFFFFF"/>
        </w:rPr>
        <w:t>there are very few V2G ready vehicles on sale around the world.</w:t>
      </w:r>
    </w:p>
    <w:p w14:paraId="36500508" w14:textId="12468402" w:rsidR="007721B6" w:rsidRDefault="00AC7E12" w:rsidP="00AC7E12">
      <w:pPr>
        <w:pStyle w:val="ListParagraph"/>
        <w:ind w:left="420"/>
        <w:rPr>
          <w:rFonts w:cstheme="minorHAnsi"/>
          <w:color w:val="343434"/>
          <w:shd w:val="clear" w:color="auto" w:fill="FFFFFF"/>
        </w:rPr>
      </w:pPr>
      <w:r w:rsidRPr="00AC7E12">
        <w:rPr>
          <w:rFonts w:cstheme="minorHAnsi"/>
          <w:color w:val="343434"/>
          <w:shd w:val="clear" w:color="auto" w:fill="FFFFFF"/>
        </w:rPr>
        <w:t>Nissan is the only volume car maker that has V2G enabled EV's available today.</w:t>
      </w:r>
      <w:r>
        <w:rPr>
          <w:rFonts w:cstheme="minorHAnsi"/>
          <w:color w:val="343434"/>
          <w:shd w:val="clear" w:color="auto" w:fill="FFFFFF"/>
        </w:rPr>
        <w:t xml:space="preserve"> (Nissan, 2021)</w:t>
      </w:r>
    </w:p>
    <w:p w14:paraId="3642F494" w14:textId="09DED53B" w:rsidR="00AC7E12" w:rsidRPr="00AC7E12" w:rsidRDefault="00AC7E12" w:rsidP="00AC7E12">
      <w:pPr>
        <w:pStyle w:val="ListParagraph"/>
        <w:ind w:left="420"/>
        <w:jc w:val="right"/>
        <w:rPr>
          <w:color w:val="767171" w:themeColor="background2" w:themeShade="80"/>
        </w:rPr>
      </w:pPr>
      <w:r>
        <w:rPr>
          <w:noProof/>
        </w:rPr>
        <w:drawing>
          <wp:inline distT="0" distB="0" distL="0" distR="0" wp14:anchorId="622C1879" wp14:editId="181CEC54">
            <wp:extent cx="5731510" cy="2350770"/>
            <wp:effectExtent l="0" t="0" r="2540" b="0"/>
            <wp:docPr id="3" name="Picture 3" descr="a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50770"/>
                    </a:xfrm>
                    <a:prstGeom prst="rect">
                      <a:avLst/>
                    </a:prstGeom>
                    <a:noFill/>
                    <a:ln>
                      <a:noFill/>
                    </a:ln>
                  </pic:spPr>
                </pic:pic>
              </a:graphicData>
            </a:graphic>
          </wp:inline>
        </w:drawing>
      </w:r>
    </w:p>
    <w:p w14:paraId="7CE8F183" w14:textId="3E7A55DE" w:rsidR="008550D7" w:rsidRDefault="00AC7E12" w:rsidP="00AC7E12">
      <w:pPr>
        <w:pStyle w:val="ListParagraph"/>
        <w:ind w:left="420"/>
        <w:jc w:val="right"/>
        <w:rPr>
          <w:i/>
          <w:iCs/>
        </w:rPr>
      </w:pPr>
      <w:r w:rsidRPr="00AC7E12">
        <w:rPr>
          <w:i/>
          <w:iCs/>
          <w:color w:val="767171" w:themeColor="background2" w:themeShade="80"/>
        </w:rPr>
        <w:t>The Nissan Leaf is currently</w:t>
      </w:r>
      <w:r w:rsidR="00596ACA">
        <w:rPr>
          <w:i/>
          <w:iCs/>
          <w:color w:val="767171" w:themeColor="background2" w:themeShade="80"/>
        </w:rPr>
        <w:t xml:space="preserve"> 1 of</w:t>
      </w:r>
      <w:r w:rsidRPr="00AC7E12">
        <w:rPr>
          <w:i/>
          <w:iCs/>
          <w:color w:val="767171" w:themeColor="background2" w:themeShade="80"/>
        </w:rPr>
        <w:t xml:space="preserve"> only</w:t>
      </w:r>
      <w:r w:rsidR="00596ACA">
        <w:rPr>
          <w:i/>
          <w:iCs/>
          <w:color w:val="767171" w:themeColor="background2" w:themeShade="80"/>
        </w:rPr>
        <w:t xml:space="preserve"> 2</w:t>
      </w:r>
      <w:r w:rsidRPr="00AC7E12">
        <w:rPr>
          <w:i/>
          <w:iCs/>
          <w:color w:val="767171" w:themeColor="background2" w:themeShade="80"/>
        </w:rPr>
        <w:t xml:space="preserve"> V2G ready vehicle</w:t>
      </w:r>
      <w:r w:rsidR="00596ACA">
        <w:rPr>
          <w:i/>
          <w:iCs/>
          <w:color w:val="767171" w:themeColor="background2" w:themeShade="80"/>
        </w:rPr>
        <w:t>s</w:t>
      </w:r>
      <w:r w:rsidRPr="00AC7E12">
        <w:rPr>
          <w:i/>
          <w:iCs/>
          <w:color w:val="767171" w:themeColor="background2" w:themeShade="80"/>
        </w:rPr>
        <w:t xml:space="preserve"> available to purchase (Nissan, 2021)</w:t>
      </w:r>
      <w:r w:rsidR="007721B6" w:rsidRPr="00AC7E12">
        <w:rPr>
          <w:i/>
          <w:iCs/>
        </w:rPr>
        <w:br/>
      </w:r>
    </w:p>
    <w:p w14:paraId="12C4994B" w14:textId="763D0195" w:rsidR="00AC7E12" w:rsidRDefault="00AC7E12" w:rsidP="00AC7E12">
      <w:pPr>
        <w:pStyle w:val="ListParagraph"/>
        <w:ind w:left="420"/>
        <w:rPr>
          <w:color w:val="000000" w:themeColor="text1"/>
        </w:rPr>
      </w:pPr>
      <w:r>
        <w:rPr>
          <w:color w:val="000000" w:themeColor="text1"/>
        </w:rPr>
        <w:lastRenderedPageBreak/>
        <w:t>The lack of V2G compatible vehicles currently in production highlights a major barrier to V2G technology, for the technology to be adopted on a large scale there must be an equally large supply of resources. This includes a supply of compatible vehicles and charger units</w:t>
      </w:r>
      <w:r w:rsidR="00596ACA">
        <w:rPr>
          <w:color w:val="000000" w:themeColor="text1"/>
        </w:rPr>
        <w:t xml:space="preserve"> as without these key components the system cannot function. </w:t>
      </w:r>
    </w:p>
    <w:p w14:paraId="1D72AC77" w14:textId="6BFF5ADD" w:rsidR="00596ACA" w:rsidRDefault="00596ACA" w:rsidP="00AC7E12">
      <w:pPr>
        <w:pStyle w:val="ListParagraph"/>
        <w:ind w:left="420"/>
        <w:rPr>
          <w:color w:val="000000" w:themeColor="text1"/>
        </w:rPr>
      </w:pPr>
      <w:r>
        <w:rPr>
          <w:color w:val="000000" w:themeColor="text1"/>
        </w:rPr>
        <w:t>One company offering V2G charger units is EDF, currently this equipment is only available to business customers. However, there are plans to make them available for home installation in the future. (EDF, 2021)</w:t>
      </w:r>
    </w:p>
    <w:p w14:paraId="3E4DB0B8" w14:textId="458153FE" w:rsidR="00596ACA" w:rsidRDefault="00596ACA" w:rsidP="00AC7E12">
      <w:pPr>
        <w:pStyle w:val="ListParagraph"/>
        <w:ind w:left="420"/>
        <w:rPr>
          <w:color w:val="000000" w:themeColor="text1"/>
        </w:rPr>
      </w:pPr>
    </w:p>
    <w:p w14:paraId="0D800640" w14:textId="14C2D282" w:rsidR="00596ACA" w:rsidRDefault="00596ACA" w:rsidP="00AC7E12">
      <w:pPr>
        <w:pStyle w:val="ListParagraph"/>
        <w:ind w:left="420"/>
        <w:rPr>
          <w:color w:val="000000" w:themeColor="text1"/>
        </w:rPr>
      </w:pPr>
      <w:r>
        <w:rPr>
          <w:noProof/>
          <w:color w:val="000000" w:themeColor="text1"/>
        </w:rPr>
        <w:drawing>
          <wp:inline distT="0" distB="0" distL="0" distR="0" wp14:anchorId="69274A35" wp14:editId="04498D6A">
            <wp:extent cx="5731510" cy="3101975"/>
            <wp:effectExtent l="0" t="0" r="2540" b="317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11128525" w14:textId="5EA7160F" w:rsidR="00596ACA" w:rsidRDefault="00596ACA" w:rsidP="00596ACA">
      <w:pPr>
        <w:pStyle w:val="ListParagraph"/>
        <w:ind w:left="420"/>
        <w:jc w:val="right"/>
        <w:rPr>
          <w:i/>
          <w:iCs/>
          <w:color w:val="767171" w:themeColor="background2" w:themeShade="80"/>
        </w:rPr>
      </w:pPr>
      <w:r>
        <w:rPr>
          <w:i/>
          <w:iCs/>
          <w:color w:val="767171" w:themeColor="background2" w:themeShade="80"/>
        </w:rPr>
        <w:t>Figure 3: EDF V2G charger developed with ABB (EDF, 2021)</w:t>
      </w:r>
    </w:p>
    <w:p w14:paraId="4B062DEB" w14:textId="5208CA42" w:rsidR="00596ACA" w:rsidRDefault="00596ACA" w:rsidP="00596ACA">
      <w:pPr>
        <w:pStyle w:val="ListParagraph"/>
        <w:ind w:left="420"/>
        <w:jc w:val="right"/>
        <w:rPr>
          <w:color w:val="000000" w:themeColor="text1"/>
        </w:rPr>
      </w:pPr>
    </w:p>
    <w:p w14:paraId="36441D1E" w14:textId="67D3457F" w:rsidR="00596ACA" w:rsidRDefault="00E462C3" w:rsidP="00596ACA">
      <w:pPr>
        <w:pStyle w:val="ListParagraph"/>
        <w:ind w:left="420"/>
        <w:rPr>
          <w:color w:val="000000" w:themeColor="text1"/>
        </w:rPr>
      </w:pPr>
      <w:r>
        <w:rPr>
          <w:color w:val="000000" w:themeColor="text1"/>
        </w:rPr>
        <w:t xml:space="preserve">Another issue of compatibility is with the charger unit itself. Currently the only charger plug compatible with V2G is the CHAdeMO connector. </w:t>
      </w:r>
      <w:r w:rsidR="00BC3CB9">
        <w:rPr>
          <w:color w:val="000000" w:themeColor="text1"/>
        </w:rPr>
        <w:t>There are 3 other main types of EV connector in use today which are shown in figure 4 and 5.</w:t>
      </w:r>
    </w:p>
    <w:p w14:paraId="2F1E0350" w14:textId="2D71D64D" w:rsidR="00BC3CB9" w:rsidRDefault="00BC3CB9" w:rsidP="00596ACA">
      <w:pPr>
        <w:pStyle w:val="ListParagraph"/>
        <w:ind w:left="420"/>
        <w:rPr>
          <w:color w:val="000000" w:themeColor="text1"/>
        </w:rPr>
      </w:pPr>
    </w:p>
    <w:p w14:paraId="03371155" w14:textId="15C1A93F" w:rsidR="00BC3CB9" w:rsidRDefault="00BC3CB9" w:rsidP="00596ACA">
      <w:pPr>
        <w:pStyle w:val="ListParagraph"/>
        <w:ind w:left="420"/>
        <w:rPr>
          <w:color w:val="000000" w:themeColor="text1"/>
        </w:rPr>
      </w:pPr>
      <w:r>
        <w:rPr>
          <w:noProof/>
          <w:color w:val="000000" w:themeColor="text1"/>
        </w:rPr>
        <w:drawing>
          <wp:inline distT="0" distB="0" distL="0" distR="0" wp14:anchorId="41868F0F" wp14:editId="650C0E10">
            <wp:extent cx="5731510" cy="2851785"/>
            <wp:effectExtent l="0" t="0" r="2540" b="5715"/>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2851785"/>
                    </a:xfrm>
                    <a:prstGeom prst="rect">
                      <a:avLst/>
                    </a:prstGeom>
                  </pic:spPr>
                </pic:pic>
              </a:graphicData>
            </a:graphic>
          </wp:inline>
        </w:drawing>
      </w:r>
    </w:p>
    <w:p w14:paraId="66404F59" w14:textId="23E88C39" w:rsidR="00BC3CB9" w:rsidRDefault="00BC3CB9" w:rsidP="00BC3CB9">
      <w:pPr>
        <w:pStyle w:val="ListParagraph"/>
        <w:ind w:left="420"/>
        <w:jc w:val="right"/>
        <w:rPr>
          <w:i/>
          <w:iCs/>
          <w:color w:val="767171" w:themeColor="background2" w:themeShade="80"/>
        </w:rPr>
      </w:pPr>
      <w:r>
        <w:rPr>
          <w:i/>
          <w:iCs/>
          <w:color w:val="767171" w:themeColor="background2" w:themeShade="80"/>
        </w:rPr>
        <w:t>Figure 4: AC Connector types (</w:t>
      </w:r>
      <w:proofErr w:type="spellStart"/>
      <w:r>
        <w:rPr>
          <w:i/>
          <w:iCs/>
          <w:color w:val="767171" w:themeColor="background2" w:themeShade="80"/>
        </w:rPr>
        <w:t>Podpoint</w:t>
      </w:r>
      <w:proofErr w:type="spellEnd"/>
      <w:r>
        <w:rPr>
          <w:i/>
          <w:iCs/>
          <w:color w:val="767171" w:themeColor="background2" w:themeShade="80"/>
        </w:rPr>
        <w:t>, 2021)</w:t>
      </w:r>
    </w:p>
    <w:p w14:paraId="2B582FC4" w14:textId="6C9DEF49" w:rsidR="00BC3CB9" w:rsidRPr="00BC3CB9" w:rsidRDefault="00BC3CB9" w:rsidP="00BC3CB9">
      <w:pPr>
        <w:pStyle w:val="ListParagraph"/>
        <w:ind w:left="420"/>
        <w:rPr>
          <w:i/>
          <w:iCs/>
          <w:color w:val="767171" w:themeColor="background2" w:themeShade="80"/>
        </w:rPr>
      </w:pPr>
      <w:r>
        <w:rPr>
          <w:i/>
          <w:iCs/>
          <w:noProof/>
          <w:color w:val="E7E6E6" w:themeColor="background2"/>
        </w:rPr>
        <w:lastRenderedPageBreak/>
        <w:drawing>
          <wp:inline distT="0" distB="0" distL="0" distR="0" wp14:anchorId="01F1B0FE" wp14:editId="713C1FB9">
            <wp:extent cx="5731510" cy="3740150"/>
            <wp:effectExtent l="0" t="0" r="2540" b="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740150"/>
                    </a:xfrm>
                    <a:prstGeom prst="rect">
                      <a:avLst/>
                    </a:prstGeom>
                  </pic:spPr>
                </pic:pic>
              </a:graphicData>
            </a:graphic>
          </wp:inline>
        </w:drawing>
      </w:r>
    </w:p>
    <w:p w14:paraId="719DF740" w14:textId="4D5D967B" w:rsidR="00A43624" w:rsidRDefault="00BC3CB9" w:rsidP="00BC3CB9">
      <w:pPr>
        <w:pStyle w:val="ListParagraph"/>
        <w:ind w:left="420"/>
        <w:jc w:val="right"/>
        <w:rPr>
          <w:i/>
          <w:iCs/>
          <w:color w:val="767171" w:themeColor="background2" w:themeShade="80"/>
        </w:rPr>
      </w:pPr>
      <w:r>
        <w:rPr>
          <w:i/>
          <w:iCs/>
          <w:color w:val="767171" w:themeColor="background2" w:themeShade="80"/>
        </w:rPr>
        <w:t>Figure 5: DC Connector Types (</w:t>
      </w:r>
      <w:proofErr w:type="spellStart"/>
      <w:r>
        <w:rPr>
          <w:i/>
          <w:iCs/>
          <w:color w:val="767171" w:themeColor="background2" w:themeShade="80"/>
        </w:rPr>
        <w:t>PodPoint</w:t>
      </w:r>
      <w:proofErr w:type="spellEnd"/>
      <w:r>
        <w:rPr>
          <w:i/>
          <w:iCs/>
          <w:color w:val="767171" w:themeColor="background2" w:themeShade="80"/>
        </w:rPr>
        <w:t>, 2021)</w:t>
      </w:r>
    </w:p>
    <w:p w14:paraId="1A62C075" w14:textId="785AF97F" w:rsidR="00BC3CB9" w:rsidRDefault="00BC3CB9" w:rsidP="00BC3CB9">
      <w:pPr>
        <w:pStyle w:val="ListParagraph"/>
        <w:ind w:left="420"/>
        <w:rPr>
          <w:color w:val="000000" w:themeColor="text1"/>
        </w:rPr>
      </w:pPr>
    </w:p>
    <w:p w14:paraId="552262F7" w14:textId="30D93685" w:rsidR="00BC3CB9" w:rsidRDefault="00D2666E" w:rsidP="00BC3CB9">
      <w:pPr>
        <w:pStyle w:val="ListParagraph"/>
        <w:ind w:left="420"/>
        <w:rPr>
          <w:color w:val="000000" w:themeColor="text1"/>
        </w:rPr>
      </w:pPr>
      <w:r>
        <w:rPr>
          <w:color w:val="000000" w:themeColor="text1"/>
        </w:rPr>
        <w:t xml:space="preserve">The issue presented here is that due to the number of alternative connectors many cars will not be V2G compatible unless systems are developed for the alternative connectors, or the vehicles themselves are updated. </w:t>
      </w:r>
      <w:r w:rsidR="0021210E">
        <w:rPr>
          <w:color w:val="000000" w:themeColor="text1"/>
        </w:rPr>
        <w:t xml:space="preserve">Furthermore, even if V2G chargers are updated to accept different connector types there may still be an issue of finding compatible connectors for certain vehicles when away from the owner’s home charging point. This in turn could reduce the amount of time the vehicle is plugged in for the affected owners leading to a reduction in personal revenue and when large numbers are affected by this the overall effectiveness of the grid could be impacted. </w:t>
      </w:r>
    </w:p>
    <w:p w14:paraId="180D5274" w14:textId="752D9E29" w:rsidR="0021210E" w:rsidRDefault="0021210E" w:rsidP="00BC3CB9">
      <w:pPr>
        <w:pStyle w:val="ListParagraph"/>
        <w:ind w:left="420"/>
        <w:rPr>
          <w:color w:val="000000" w:themeColor="text1"/>
        </w:rPr>
      </w:pPr>
      <w:r>
        <w:rPr>
          <w:color w:val="000000" w:themeColor="text1"/>
        </w:rPr>
        <w:t xml:space="preserve">One method of overcoming this barrier would be to nominate a single charging system for all EVs going forward to decrease compatibility issues. </w:t>
      </w:r>
    </w:p>
    <w:p w14:paraId="721982B4" w14:textId="57B81E50" w:rsidR="0021210E" w:rsidRDefault="0021210E" w:rsidP="00BC3CB9">
      <w:pPr>
        <w:pStyle w:val="ListParagraph"/>
        <w:ind w:left="420"/>
        <w:rPr>
          <w:color w:val="000000" w:themeColor="text1"/>
        </w:rPr>
      </w:pPr>
    </w:p>
    <w:p w14:paraId="4D6FC4B2" w14:textId="22F2945D" w:rsidR="0021210E" w:rsidRDefault="0021210E" w:rsidP="00BC3CB9">
      <w:pPr>
        <w:pStyle w:val="ListParagraph"/>
        <w:ind w:left="420"/>
        <w:rPr>
          <w:color w:val="000000" w:themeColor="text1"/>
          <w:u w:val="single"/>
        </w:rPr>
      </w:pPr>
      <w:r>
        <w:rPr>
          <w:color w:val="000000" w:themeColor="text1"/>
          <w:u w:val="single"/>
        </w:rPr>
        <w:t>3.3 Infrastructure Issues</w:t>
      </w:r>
    </w:p>
    <w:p w14:paraId="4F327F16" w14:textId="5F425DE2" w:rsidR="0021210E" w:rsidRDefault="0021210E" w:rsidP="00BC3CB9">
      <w:pPr>
        <w:pStyle w:val="ListParagraph"/>
        <w:ind w:left="420"/>
        <w:rPr>
          <w:color w:val="000000" w:themeColor="text1"/>
          <w:u w:val="single"/>
        </w:rPr>
      </w:pPr>
    </w:p>
    <w:p w14:paraId="25697343" w14:textId="5977A88E" w:rsidR="006F294D" w:rsidRDefault="0021210E" w:rsidP="00BC3CB9">
      <w:pPr>
        <w:pStyle w:val="ListParagraph"/>
        <w:ind w:left="420"/>
        <w:rPr>
          <w:color w:val="000000" w:themeColor="text1"/>
        </w:rPr>
      </w:pPr>
      <w:r>
        <w:rPr>
          <w:color w:val="000000" w:themeColor="text1"/>
        </w:rPr>
        <w:t xml:space="preserve">One of the biggest barriers facing all EVs is the lack of electric vehicle friendly infrastructure. </w:t>
      </w:r>
      <w:r w:rsidR="006F294D">
        <w:rPr>
          <w:color w:val="000000" w:themeColor="text1"/>
        </w:rPr>
        <w:t>According to ZAPMAP, as of the 22</w:t>
      </w:r>
      <w:r w:rsidR="006F294D" w:rsidRPr="006F294D">
        <w:rPr>
          <w:color w:val="000000" w:themeColor="text1"/>
          <w:vertAlign w:val="superscript"/>
        </w:rPr>
        <w:t>nd</w:t>
      </w:r>
      <w:r w:rsidR="006F294D">
        <w:rPr>
          <w:color w:val="000000" w:themeColor="text1"/>
        </w:rPr>
        <w:t xml:space="preserve"> of November 2021 there are 46661 connectors spread across 17374 locations across the UK (ZAPMAP, 2021) </w:t>
      </w:r>
    </w:p>
    <w:p w14:paraId="1018A0B7" w14:textId="0BEC915B" w:rsidR="0021210E" w:rsidRDefault="006F294D" w:rsidP="00BC3CB9">
      <w:pPr>
        <w:pStyle w:val="ListParagraph"/>
        <w:ind w:left="420"/>
        <w:rPr>
          <w:color w:val="000000" w:themeColor="text1"/>
        </w:rPr>
      </w:pPr>
      <w:r>
        <w:rPr>
          <w:color w:val="000000" w:themeColor="text1"/>
        </w:rPr>
        <w:t xml:space="preserve"> Figures 6 and 7 show a break down of charging connector points data in the UK.</w:t>
      </w:r>
    </w:p>
    <w:p w14:paraId="31D3B0CF" w14:textId="0D9108EF" w:rsidR="006F294D" w:rsidRDefault="006F294D" w:rsidP="00BC3CB9">
      <w:pPr>
        <w:pStyle w:val="ListParagraph"/>
        <w:ind w:left="420"/>
        <w:rPr>
          <w:color w:val="000000" w:themeColor="text1"/>
        </w:rPr>
      </w:pPr>
    </w:p>
    <w:p w14:paraId="10106722" w14:textId="2826E3E0" w:rsidR="006F294D" w:rsidRDefault="006F294D" w:rsidP="00BC3CB9">
      <w:pPr>
        <w:pStyle w:val="ListParagraph"/>
        <w:ind w:left="420"/>
        <w:rPr>
          <w:color w:val="000000" w:themeColor="text1"/>
        </w:rPr>
      </w:pPr>
      <w:r>
        <w:rPr>
          <w:noProof/>
          <w:color w:val="000000" w:themeColor="text1"/>
        </w:rPr>
        <w:lastRenderedPageBreak/>
        <w:drawing>
          <wp:inline distT="0" distB="0" distL="0" distR="0" wp14:anchorId="7700E31C" wp14:editId="21163A4E">
            <wp:extent cx="5731510" cy="3045460"/>
            <wp:effectExtent l="0" t="0" r="2540" b="254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337810B0" w14:textId="146DD99E" w:rsidR="006F294D" w:rsidRDefault="006F294D" w:rsidP="006F294D">
      <w:pPr>
        <w:pStyle w:val="ListParagraph"/>
        <w:ind w:left="420"/>
        <w:jc w:val="right"/>
        <w:rPr>
          <w:i/>
          <w:iCs/>
          <w:color w:val="767171" w:themeColor="background2" w:themeShade="80"/>
        </w:rPr>
      </w:pPr>
      <w:r>
        <w:rPr>
          <w:i/>
          <w:iCs/>
          <w:color w:val="767171" w:themeColor="background2" w:themeShade="80"/>
        </w:rPr>
        <w:t>Figure 6: Number of Public Charging Points by Speed (2016- to date) (ZAPMAP, 2021)</w:t>
      </w:r>
    </w:p>
    <w:p w14:paraId="621E479B" w14:textId="77777777" w:rsidR="006F294D" w:rsidRDefault="006F294D" w:rsidP="006F294D">
      <w:pPr>
        <w:pStyle w:val="ListParagraph"/>
        <w:ind w:left="420"/>
        <w:rPr>
          <w:color w:val="000000" w:themeColor="text1"/>
        </w:rPr>
      </w:pPr>
    </w:p>
    <w:p w14:paraId="55423559" w14:textId="3EADFDCB" w:rsidR="006F294D" w:rsidRDefault="006F294D" w:rsidP="006F294D">
      <w:pPr>
        <w:pStyle w:val="ListParagraph"/>
        <w:ind w:left="420"/>
        <w:rPr>
          <w:color w:val="000000" w:themeColor="text1"/>
        </w:rPr>
      </w:pPr>
      <w:r>
        <w:rPr>
          <w:color w:val="000000" w:themeColor="text1"/>
        </w:rPr>
        <w:t xml:space="preserve">The difference in the number of connectors to number of devices indicates that certain devices carry multiple connectors to suit a range of vehicles. </w:t>
      </w:r>
    </w:p>
    <w:p w14:paraId="33EE3195" w14:textId="53F0FCFD" w:rsidR="006F294D" w:rsidRDefault="006F294D" w:rsidP="006F294D">
      <w:pPr>
        <w:pStyle w:val="ListParagraph"/>
        <w:ind w:left="420"/>
        <w:rPr>
          <w:color w:val="000000" w:themeColor="text1"/>
        </w:rPr>
      </w:pPr>
    </w:p>
    <w:p w14:paraId="5F266A46" w14:textId="116857EC" w:rsidR="006F294D" w:rsidRDefault="006F294D" w:rsidP="006F294D">
      <w:pPr>
        <w:pStyle w:val="ListParagraph"/>
        <w:ind w:left="420"/>
        <w:rPr>
          <w:color w:val="000000" w:themeColor="text1"/>
        </w:rPr>
      </w:pPr>
      <w:r>
        <w:rPr>
          <w:noProof/>
          <w:color w:val="000000" w:themeColor="text1"/>
        </w:rPr>
        <w:drawing>
          <wp:inline distT="0" distB="0" distL="0" distR="0" wp14:anchorId="6B01B221" wp14:editId="7CFEDD16">
            <wp:extent cx="5731510" cy="3073400"/>
            <wp:effectExtent l="0" t="0" r="254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p>
    <w:p w14:paraId="564F4EE0" w14:textId="4FB809D3" w:rsidR="006F294D" w:rsidRDefault="006F294D" w:rsidP="006F294D">
      <w:pPr>
        <w:pStyle w:val="ListParagraph"/>
        <w:ind w:left="420"/>
        <w:jc w:val="right"/>
        <w:rPr>
          <w:i/>
          <w:iCs/>
          <w:color w:val="767171" w:themeColor="background2" w:themeShade="80"/>
        </w:rPr>
      </w:pPr>
      <w:r>
        <w:rPr>
          <w:i/>
          <w:iCs/>
          <w:color w:val="767171" w:themeColor="background2" w:themeShade="80"/>
        </w:rPr>
        <w:t>Figure 7: Number of Rapid Charging Points by Type (2011-to date) (ZAPMAP, 2021)</w:t>
      </w:r>
    </w:p>
    <w:p w14:paraId="625DC9C7" w14:textId="4312C73C" w:rsidR="006F294D" w:rsidRDefault="006F294D" w:rsidP="006F294D">
      <w:pPr>
        <w:pStyle w:val="ListParagraph"/>
        <w:ind w:left="420"/>
        <w:jc w:val="right"/>
        <w:rPr>
          <w:i/>
          <w:iCs/>
          <w:color w:val="767171" w:themeColor="background2" w:themeShade="80"/>
        </w:rPr>
      </w:pPr>
    </w:p>
    <w:p w14:paraId="5CA8EB46" w14:textId="77777777" w:rsidR="003645BE" w:rsidRDefault="006F294D" w:rsidP="003645BE">
      <w:pPr>
        <w:pStyle w:val="ListParagraph"/>
        <w:ind w:left="420"/>
        <w:rPr>
          <w:color w:val="000000" w:themeColor="text1"/>
        </w:rPr>
      </w:pPr>
      <w:r>
        <w:rPr>
          <w:color w:val="000000" w:themeColor="text1"/>
        </w:rPr>
        <w:t xml:space="preserve">The graphs provided by ZAPMAP show the large increase in charging points over the years across the UK. While the number is increasing rapidly the current distribution of EVs as a percentage of the total number of vehicles on the road in the UK is still </w:t>
      </w:r>
      <w:r w:rsidR="003645BE">
        <w:rPr>
          <w:color w:val="000000" w:themeColor="text1"/>
        </w:rPr>
        <w:t xml:space="preserve">very small. </w:t>
      </w:r>
    </w:p>
    <w:p w14:paraId="6B065AC5" w14:textId="0B231504" w:rsidR="003645BE" w:rsidRDefault="003645BE" w:rsidP="003645BE">
      <w:pPr>
        <w:pStyle w:val="ListParagraph"/>
        <w:ind w:left="420"/>
        <w:rPr>
          <w:rFonts w:eastAsia="Times New Roman" w:cstheme="minorHAnsi"/>
          <w:color w:val="303030"/>
          <w:lang w:eastAsia="en-GB"/>
        </w:rPr>
      </w:pPr>
      <w:r w:rsidRPr="003645BE">
        <w:rPr>
          <w:rFonts w:eastAsia="Times New Roman" w:cstheme="minorHAnsi"/>
          <w:color w:val="303030"/>
          <w:lang w:eastAsia="en-GB"/>
        </w:rPr>
        <w:t>At the end of June 2021, there were 39.2 million licensed vehicles in the UK but roughly 300,000 of these were EVs</w:t>
      </w:r>
      <w:r>
        <w:rPr>
          <w:rFonts w:eastAsia="Times New Roman" w:cstheme="minorHAnsi"/>
          <w:color w:val="303030"/>
          <w:lang w:eastAsia="en-GB"/>
        </w:rPr>
        <w:t xml:space="preserve">. (Powell, 2021) </w:t>
      </w:r>
    </w:p>
    <w:p w14:paraId="456513F6" w14:textId="2C435121" w:rsidR="003645BE" w:rsidRDefault="003645BE" w:rsidP="003645BE">
      <w:pPr>
        <w:pStyle w:val="ListParagraph"/>
        <w:ind w:left="420"/>
        <w:rPr>
          <w:rFonts w:eastAsia="Times New Roman" w:cstheme="minorHAnsi"/>
          <w:color w:val="303030"/>
          <w:lang w:eastAsia="en-GB"/>
        </w:rPr>
      </w:pPr>
      <w:r>
        <w:rPr>
          <w:rFonts w:eastAsia="Times New Roman" w:cstheme="minorHAnsi"/>
          <w:color w:val="303030"/>
          <w:lang w:eastAsia="en-GB"/>
        </w:rPr>
        <w:t xml:space="preserve">As the number of EVs on the road increases the charging network must continue to grow for </w:t>
      </w:r>
      <w:proofErr w:type="gramStart"/>
      <w:r>
        <w:rPr>
          <w:rFonts w:eastAsia="Times New Roman" w:cstheme="minorHAnsi"/>
          <w:color w:val="303030"/>
          <w:lang w:eastAsia="en-GB"/>
        </w:rPr>
        <w:t>the majority of</w:t>
      </w:r>
      <w:proofErr w:type="gramEnd"/>
      <w:r>
        <w:rPr>
          <w:rFonts w:eastAsia="Times New Roman" w:cstheme="minorHAnsi"/>
          <w:color w:val="303030"/>
          <w:lang w:eastAsia="en-GB"/>
        </w:rPr>
        <w:t xml:space="preserve"> vehicles to remain plugged in when not in use to support the national grid. The </w:t>
      </w:r>
      <w:r>
        <w:rPr>
          <w:rFonts w:eastAsia="Times New Roman" w:cstheme="minorHAnsi"/>
          <w:color w:val="303030"/>
          <w:lang w:eastAsia="en-GB"/>
        </w:rPr>
        <w:lastRenderedPageBreak/>
        <w:t xml:space="preserve">question of where these chargers will go is an important one. For many people they will be able to have a charger fitted to their home where they can charge their car off road in a driveway or garage. However, for those who don’t have access to off-road parking there is currently no way for them to charge their vehicles on the street. Ideas have been proposed to convert lamp posts in residential areas to house V2G compatible chargers which may help reduce the number of people without access to a charger. </w:t>
      </w:r>
    </w:p>
    <w:p w14:paraId="5BE9EC21" w14:textId="3BECC1A2" w:rsidR="003645BE" w:rsidRDefault="003645BE" w:rsidP="003645BE">
      <w:pPr>
        <w:pStyle w:val="ListParagraph"/>
        <w:ind w:left="420"/>
        <w:rPr>
          <w:rFonts w:eastAsia="Times New Roman" w:cstheme="minorHAnsi"/>
          <w:color w:val="303030"/>
          <w:lang w:eastAsia="en-GB"/>
        </w:rPr>
      </w:pPr>
      <w:r w:rsidRPr="003645BE">
        <w:rPr>
          <w:rFonts w:cstheme="minorHAnsi"/>
          <w:color w:val="212121"/>
          <w:shd w:val="clear" w:color="auto" w:fill="FFFFFF"/>
        </w:rPr>
        <w:t xml:space="preserve">Siemens and </w:t>
      </w:r>
      <w:proofErr w:type="spellStart"/>
      <w:r w:rsidRPr="003645BE">
        <w:rPr>
          <w:rFonts w:cstheme="minorHAnsi"/>
          <w:color w:val="212121"/>
          <w:shd w:val="clear" w:color="auto" w:fill="FFFFFF"/>
        </w:rPr>
        <w:t>ubitricity</w:t>
      </w:r>
      <w:proofErr w:type="spellEnd"/>
      <w:r w:rsidRPr="003645BE">
        <w:rPr>
          <w:rFonts w:cstheme="minorHAnsi"/>
          <w:color w:val="212121"/>
          <w:shd w:val="clear" w:color="auto" w:fill="FFFFFF"/>
        </w:rPr>
        <w:t xml:space="preserve"> have converted over 1,300 lampposts in London to provide on-street charging. The slow charge solutions provide an answer for EV drivers who cannot install a charge point at their domestic address because they lack a driveway or garage.</w:t>
      </w:r>
      <w:r w:rsidRPr="003645BE">
        <w:rPr>
          <w:rFonts w:eastAsia="Times New Roman" w:cstheme="minorHAnsi"/>
          <w:color w:val="303030"/>
          <w:lang w:eastAsia="en-GB"/>
        </w:rPr>
        <w:t xml:space="preserve"> </w:t>
      </w:r>
      <w:r>
        <w:rPr>
          <w:rFonts w:eastAsia="Times New Roman" w:cstheme="minorHAnsi"/>
          <w:color w:val="303030"/>
          <w:lang w:eastAsia="en-GB"/>
        </w:rPr>
        <w:t>(Manning, 2020)</w:t>
      </w:r>
    </w:p>
    <w:p w14:paraId="04CD41BE" w14:textId="64B01D68" w:rsidR="003645BE" w:rsidRDefault="00505AE7" w:rsidP="003645BE">
      <w:pPr>
        <w:pStyle w:val="ListParagraph"/>
        <w:ind w:left="420"/>
        <w:rPr>
          <w:rFonts w:cstheme="minorHAnsi"/>
          <w:color w:val="000000" w:themeColor="text1"/>
        </w:rPr>
      </w:pPr>
      <w:r>
        <w:rPr>
          <w:rFonts w:cstheme="minorHAnsi"/>
          <w:color w:val="000000" w:themeColor="text1"/>
        </w:rPr>
        <w:t>For</w:t>
      </w:r>
      <w:r w:rsidR="003645BE">
        <w:rPr>
          <w:rFonts w:cstheme="minorHAnsi"/>
          <w:color w:val="000000" w:themeColor="text1"/>
        </w:rPr>
        <w:t xml:space="preserve"> V2G to overcome this barrier charging networks must continue to grow and adapt </w:t>
      </w:r>
      <w:r>
        <w:rPr>
          <w:rFonts w:cstheme="minorHAnsi"/>
          <w:color w:val="000000" w:themeColor="text1"/>
        </w:rPr>
        <w:t xml:space="preserve">to allow as many people as possible to plug their vehicles into the grid. </w:t>
      </w:r>
    </w:p>
    <w:p w14:paraId="2426A951" w14:textId="5144B1D3" w:rsidR="00505AE7" w:rsidRPr="007C3F6B" w:rsidRDefault="00505AE7" w:rsidP="007C3F6B">
      <w:pPr>
        <w:rPr>
          <w:rFonts w:cstheme="minorHAnsi"/>
          <w:color w:val="000000" w:themeColor="text1"/>
          <w:u w:val="single"/>
        </w:rPr>
      </w:pPr>
    </w:p>
    <w:p w14:paraId="5189E342" w14:textId="31E04DFE" w:rsidR="00505AE7" w:rsidRDefault="00505AE7" w:rsidP="003645BE">
      <w:pPr>
        <w:pStyle w:val="ListParagraph"/>
        <w:ind w:left="420"/>
        <w:rPr>
          <w:rFonts w:cstheme="minorHAnsi"/>
          <w:color w:val="000000" w:themeColor="text1"/>
          <w:u w:val="single"/>
        </w:rPr>
      </w:pPr>
    </w:p>
    <w:p w14:paraId="051CDC26" w14:textId="1E32EFF0" w:rsidR="00505AE7" w:rsidRDefault="00505AE7" w:rsidP="003645BE">
      <w:pPr>
        <w:pStyle w:val="ListParagraph"/>
        <w:ind w:left="420"/>
        <w:rPr>
          <w:rFonts w:cstheme="minorHAnsi"/>
          <w:color w:val="000000" w:themeColor="text1"/>
        </w:rPr>
      </w:pPr>
    </w:p>
    <w:p w14:paraId="232B9677" w14:textId="5A38299F" w:rsidR="007207B3" w:rsidRDefault="007207B3" w:rsidP="003645BE">
      <w:pPr>
        <w:pStyle w:val="ListParagraph"/>
        <w:ind w:left="420"/>
        <w:rPr>
          <w:rFonts w:cstheme="minorHAnsi"/>
          <w:color w:val="000000" w:themeColor="text1"/>
        </w:rPr>
      </w:pPr>
    </w:p>
    <w:p w14:paraId="37A1A329" w14:textId="4EFD3309" w:rsidR="007207B3" w:rsidRDefault="007207B3" w:rsidP="003645BE">
      <w:pPr>
        <w:pStyle w:val="ListParagraph"/>
        <w:ind w:left="420"/>
        <w:rPr>
          <w:rFonts w:cstheme="minorHAnsi"/>
          <w:color w:val="000000" w:themeColor="text1"/>
        </w:rPr>
      </w:pPr>
    </w:p>
    <w:p w14:paraId="629BC39F" w14:textId="0CACA56C" w:rsidR="007207B3" w:rsidRDefault="007207B3" w:rsidP="003645BE">
      <w:pPr>
        <w:pStyle w:val="ListParagraph"/>
        <w:ind w:left="420"/>
        <w:rPr>
          <w:rFonts w:cstheme="minorHAnsi"/>
          <w:color w:val="000000" w:themeColor="text1"/>
        </w:rPr>
      </w:pPr>
    </w:p>
    <w:p w14:paraId="5652E0F9" w14:textId="448D87E6" w:rsidR="007207B3" w:rsidRDefault="007207B3" w:rsidP="003645BE">
      <w:pPr>
        <w:pStyle w:val="ListParagraph"/>
        <w:ind w:left="420"/>
        <w:rPr>
          <w:rFonts w:cstheme="minorHAnsi"/>
          <w:color w:val="000000" w:themeColor="text1"/>
        </w:rPr>
      </w:pPr>
    </w:p>
    <w:p w14:paraId="04A35B6C" w14:textId="09F7020C" w:rsidR="007207B3" w:rsidRDefault="007207B3" w:rsidP="003645BE">
      <w:pPr>
        <w:pStyle w:val="ListParagraph"/>
        <w:ind w:left="420"/>
        <w:rPr>
          <w:rFonts w:cstheme="minorHAnsi"/>
          <w:color w:val="000000" w:themeColor="text1"/>
        </w:rPr>
      </w:pPr>
    </w:p>
    <w:p w14:paraId="64164898" w14:textId="45EBDEF0" w:rsidR="007207B3" w:rsidRDefault="007207B3" w:rsidP="003645BE">
      <w:pPr>
        <w:pStyle w:val="ListParagraph"/>
        <w:ind w:left="420"/>
        <w:rPr>
          <w:rFonts w:cstheme="minorHAnsi"/>
          <w:color w:val="000000" w:themeColor="text1"/>
        </w:rPr>
      </w:pPr>
    </w:p>
    <w:p w14:paraId="04D4705D" w14:textId="64E744B9" w:rsidR="007207B3" w:rsidRDefault="007207B3" w:rsidP="003645BE">
      <w:pPr>
        <w:pStyle w:val="ListParagraph"/>
        <w:ind w:left="420"/>
        <w:rPr>
          <w:rFonts w:cstheme="minorHAnsi"/>
          <w:color w:val="000000" w:themeColor="text1"/>
        </w:rPr>
      </w:pPr>
    </w:p>
    <w:p w14:paraId="17445C1B" w14:textId="348E24B1" w:rsidR="007207B3" w:rsidRDefault="007207B3" w:rsidP="003645BE">
      <w:pPr>
        <w:pStyle w:val="ListParagraph"/>
        <w:ind w:left="420"/>
        <w:rPr>
          <w:rFonts w:cstheme="minorHAnsi"/>
          <w:color w:val="000000" w:themeColor="text1"/>
        </w:rPr>
      </w:pPr>
    </w:p>
    <w:p w14:paraId="4C226C92" w14:textId="5FAC07CF" w:rsidR="007207B3" w:rsidRDefault="007207B3" w:rsidP="003645BE">
      <w:pPr>
        <w:pStyle w:val="ListParagraph"/>
        <w:ind w:left="420"/>
        <w:rPr>
          <w:rFonts w:cstheme="minorHAnsi"/>
          <w:color w:val="000000" w:themeColor="text1"/>
        </w:rPr>
      </w:pPr>
    </w:p>
    <w:p w14:paraId="65B48A2E" w14:textId="5A25FBD3" w:rsidR="007207B3" w:rsidRDefault="007207B3" w:rsidP="003645BE">
      <w:pPr>
        <w:pStyle w:val="ListParagraph"/>
        <w:ind w:left="420"/>
        <w:rPr>
          <w:rFonts w:cstheme="minorHAnsi"/>
          <w:color w:val="000000" w:themeColor="text1"/>
        </w:rPr>
      </w:pPr>
    </w:p>
    <w:p w14:paraId="7E3AA3D1" w14:textId="2AAB84C9" w:rsidR="007207B3" w:rsidRDefault="007207B3" w:rsidP="003645BE">
      <w:pPr>
        <w:pStyle w:val="ListParagraph"/>
        <w:ind w:left="420"/>
        <w:rPr>
          <w:rFonts w:cstheme="minorHAnsi"/>
          <w:color w:val="000000" w:themeColor="text1"/>
        </w:rPr>
      </w:pPr>
    </w:p>
    <w:p w14:paraId="1111D03D" w14:textId="736E76FE" w:rsidR="007207B3" w:rsidRDefault="007207B3" w:rsidP="003645BE">
      <w:pPr>
        <w:pStyle w:val="ListParagraph"/>
        <w:ind w:left="420"/>
        <w:rPr>
          <w:rFonts w:cstheme="minorHAnsi"/>
          <w:color w:val="000000" w:themeColor="text1"/>
        </w:rPr>
      </w:pPr>
    </w:p>
    <w:p w14:paraId="6FD7EF5F" w14:textId="4A070E84" w:rsidR="007207B3" w:rsidRDefault="007207B3" w:rsidP="003645BE">
      <w:pPr>
        <w:pStyle w:val="ListParagraph"/>
        <w:ind w:left="420"/>
        <w:rPr>
          <w:rFonts w:cstheme="minorHAnsi"/>
          <w:color w:val="000000" w:themeColor="text1"/>
        </w:rPr>
      </w:pPr>
    </w:p>
    <w:p w14:paraId="0BC4B34D" w14:textId="141F402E" w:rsidR="007207B3" w:rsidRDefault="007207B3" w:rsidP="003645BE">
      <w:pPr>
        <w:pStyle w:val="ListParagraph"/>
        <w:ind w:left="420"/>
        <w:rPr>
          <w:rFonts w:cstheme="minorHAnsi"/>
          <w:color w:val="000000" w:themeColor="text1"/>
        </w:rPr>
      </w:pPr>
    </w:p>
    <w:p w14:paraId="0DEDE8D3" w14:textId="7B099E65" w:rsidR="007207B3" w:rsidRDefault="007207B3" w:rsidP="003645BE">
      <w:pPr>
        <w:pStyle w:val="ListParagraph"/>
        <w:ind w:left="420"/>
        <w:rPr>
          <w:rFonts w:cstheme="minorHAnsi"/>
          <w:color w:val="000000" w:themeColor="text1"/>
        </w:rPr>
      </w:pPr>
    </w:p>
    <w:p w14:paraId="3B0E8E4A" w14:textId="387581A1" w:rsidR="007207B3" w:rsidRDefault="007207B3" w:rsidP="003645BE">
      <w:pPr>
        <w:pStyle w:val="ListParagraph"/>
        <w:ind w:left="420"/>
        <w:rPr>
          <w:rFonts w:cstheme="minorHAnsi"/>
          <w:color w:val="000000" w:themeColor="text1"/>
        </w:rPr>
      </w:pPr>
    </w:p>
    <w:p w14:paraId="0EFAC1AD" w14:textId="44E4C890" w:rsidR="007207B3" w:rsidRDefault="007207B3" w:rsidP="003645BE">
      <w:pPr>
        <w:pStyle w:val="ListParagraph"/>
        <w:ind w:left="420"/>
        <w:rPr>
          <w:rFonts w:cstheme="minorHAnsi"/>
          <w:color w:val="000000" w:themeColor="text1"/>
        </w:rPr>
      </w:pPr>
    </w:p>
    <w:p w14:paraId="17EF176E" w14:textId="4A6285A4" w:rsidR="007207B3" w:rsidRDefault="007207B3" w:rsidP="003645BE">
      <w:pPr>
        <w:pStyle w:val="ListParagraph"/>
        <w:ind w:left="420"/>
        <w:rPr>
          <w:rFonts w:cstheme="minorHAnsi"/>
          <w:color w:val="000000" w:themeColor="text1"/>
        </w:rPr>
      </w:pPr>
    </w:p>
    <w:p w14:paraId="40ADC4A3" w14:textId="655D75CF" w:rsidR="007207B3" w:rsidRDefault="007207B3" w:rsidP="003645BE">
      <w:pPr>
        <w:pStyle w:val="ListParagraph"/>
        <w:ind w:left="420"/>
        <w:rPr>
          <w:rFonts w:cstheme="minorHAnsi"/>
          <w:color w:val="000000" w:themeColor="text1"/>
        </w:rPr>
      </w:pPr>
    </w:p>
    <w:p w14:paraId="4D7D62CF" w14:textId="5E448C85" w:rsidR="007207B3" w:rsidRDefault="007207B3" w:rsidP="003645BE">
      <w:pPr>
        <w:pStyle w:val="ListParagraph"/>
        <w:ind w:left="420"/>
        <w:rPr>
          <w:rFonts w:cstheme="minorHAnsi"/>
          <w:color w:val="000000" w:themeColor="text1"/>
        </w:rPr>
      </w:pPr>
    </w:p>
    <w:p w14:paraId="06CFA4AF" w14:textId="66ED834C" w:rsidR="007207B3" w:rsidRDefault="007207B3" w:rsidP="003645BE">
      <w:pPr>
        <w:pStyle w:val="ListParagraph"/>
        <w:ind w:left="420"/>
        <w:rPr>
          <w:rFonts w:cstheme="minorHAnsi"/>
          <w:color w:val="000000" w:themeColor="text1"/>
        </w:rPr>
      </w:pPr>
    </w:p>
    <w:p w14:paraId="40D2DD84" w14:textId="7488E1CC" w:rsidR="007207B3" w:rsidRDefault="007207B3" w:rsidP="003645BE">
      <w:pPr>
        <w:pStyle w:val="ListParagraph"/>
        <w:ind w:left="420"/>
        <w:rPr>
          <w:rFonts w:cstheme="minorHAnsi"/>
          <w:color w:val="000000" w:themeColor="text1"/>
        </w:rPr>
      </w:pPr>
    </w:p>
    <w:p w14:paraId="424B4EF0" w14:textId="5E202288" w:rsidR="007207B3" w:rsidRDefault="007207B3" w:rsidP="003645BE">
      <w:pPr>
        <w:pStyle w:val="ListParagraph"/>
        <w:ind w:left="420"/>
        <w:rPr>
          <w:rFonts w:cstheme="minorHAnsi"/>
          <w:color w:val="000000" w:themeColor="text1"/>
        </w:rPr>
      </w:pPr>
    </w:p>
    <w:p w14:paraId="11D990FA" w14:textId="629B8AEE" w:rsidR="007207B3" w:rsidRDefault="007207B3" w:rsidP="003645BE">
      <w:pPr>
        <w:pStyle w:val="ListParagraph"/>
        <w:ind w:left="420"/>
        <w:rPr>
          <w:rFonts w:cstheme="minorHAnsi"/>
          <w:color w:val="000000" w:themeColor="text1"/>
        </w:rPr>
      </w:pPr>
    </w:p>
    <w:p w14:paraId="042DAA93" w14:textId="66F58245" w:rsidR="007207B3" w:rsidRDefault="007207B3" w:rsidP="003645BE">
      <w:pPr>
        <w:pStyle w:val="ListParagraph"/>
        <w:ind w:left="420"/>
        <w:rPr>
          <w:rFonts w:cstheme="minorHAnsi"/>
          <w:color w:val="000000" w:themeColor="text1"/>
        </w:rPr>
      </w:pPr>
    </w:p>
    <w:p w14:paraId="73938C19" w14:textId="7E727EA9" w:rsidR="007207B3" w:rsidRDefault="007207B3" w:rsidP="003645BE">
      <w:pPr>
        <w:pStyle w:val="ListParagraph"/>
        <w:ind w:left="420"/>
        <w:rPr>
          <w:rFonts w:cstheme="minorHAnsi"/>
          <w:color w:val="000000" w:themeColor="text1"/>
        </w:rPr>
      </w:pPr>
    </w:p>
    <w:p w14:paraId="097202AC" w14:textId="75DD3BE6" w:rsidR="007207B3" w:rsidRDefault="007207B3" w:rsidP="003645BE">
      <w:pPr>
        <w:pStyle w:val="ListParagraph"/>
        <w:ind w:left="420"/>
        <w:rPr>
          <w:rFonts w:cstheme="minorHAnsi"/>
          <w:color w:val="000000" w:themeColor="text1"/>
        </w:rPr>
      </w:pPr>
    </w:p>
    <w:p w14:paraId="434FE855" w14:textId="6B90CF6E" w:rsidR="007207B3" w:rsidRDefault="007207B3" w:rsidP="003645BE">
      <w:pPr>
        <w:pStyle w:val="ListParagraph"/>
        <w:ind w:left="420"/>
        <w:rPr>
          <w:rFonts w:cstheme="minorHAnsi"/>
          <w:color w:val="000000" w:themeColor="text1"/>
        </w:rPr>
      </w:pPr>
    </w:p>
    <w:p w14:paraId="2D72A4E6" w14:textId="222CE1CD" w:rsidR="007207B3" w:rsidRDefault="007207B3" w:rsidP="003645BE">
      <w:pPr>
        <w:pStyle w:val="ListParagraph"/>
        <w:ind w:left="420"/>
        <w:rPr>
          <w:rFonts w:cstheme="minorHAnsi"/>
          <w:color w:val="000000" w:themeColor="text1"/>
        </w:rPr>
      </w:pPr>
    </w:p>
    <w:p w14:paraId="2EDF2B92" w14:textId="42975F6C" w:rsidR="007207B3" w:rsidRDefault="007207B3" w:rsidP="003645BE">
      <w:pPr>
        <w:pStyle w:val="ListParagraph"/>
        <w:ind w:left="420"/>
        <w:rPr>
          <w:rFonts w:cstheme="minorHAnsi"/>
          <w:color w:val="000000" w:themeColor="text1"/>
        </w:rPr>
      </w:pPr>
    </w:p>
    <w:p w14:paraId="443494D7" w14:textId="303ED772" w:rsidR="007207B3" w:rsidRDefault="007207B3" w:rsidP="003645BE">
      <w:pPr>
        <w:pStyle w:val="ListParagraph"/>
        <w:ind w:left="420"/>
        <w:rPr>
          <w:rFonts w:cstheme="minorHAnsi"/>
          <w:color w:val="000000" w:themeColor="text1"/>
        </w:rPr>
      </w:pPr>
    </w:p>
    <w:p w14:paraId="75DBF3FF" w14:textId="122C77B3" w:rsidR="007207B3" w:rsidRDefault="007207B3" w:rsidP="003645BE">
      <w:pPr>
        <w:pStyle w:val="ListParagraph"/>
        <w:ind w:left="420"/>
        <w:rPr>
          <w:rFonts w:cstheme="minorHAnsi"/>
          <w:color w:val="000000" w:themeColor="text1"/>
        </w:rPr>
      </w:pPr>
    </w:p>
    <w:p w14:paraId="1F656211" w14:textId="0F6FE02C" w:rsidR="007207B3" w:rsidRDefault="007207B3" w:rsidP="003645BE">
      <w:pPr>
        <w:pStyle w:val="ListParagraph"/>
        <w:ind w:left="420"/>
        <w:rPr>
          <w:rFonts w:cstheme="minorHAnsi"/>
          <w:color w:val="000000" w:themeColor="text1"/>
        </w:rPr>
      </w:pPr>
    </w:p>
    <w:p w14:paraId="51F7C216" w14:textId="22787234" w:rsidR="007207B3" w:rsidRDefault="007207B3" w:rsidP="003645BE">
      <w:pPr>
        <w:pStyle w:val="ListParagraph"/>
        <w:ind w:left="420"/>
        <w:rPr>
          <w:rFonts w:cstheme="minorHAnsi"/>
          <w:b/>
          <w:bCs/>
          <w:color w:val="000000" w:themeColor="text1"/>
          <w:sz w:val="28"/>
          <w:szCs w:val="28"/>
          <w:u w:val="single"/>
        </w:rPr>
      </w:pPr>
      <w:r>
        <w:rPr>
          <w:rFonts w:cstheme="minorHAnsi"/>
          <w:b/>
          <w:bCs/>
          <w:color w:val="000000" w:themeColor="text1"/>
          <w:sz w:val="28"/>
          <w:szCs w:val="28"/>
          <w:u w:val="single"/>
        </w:rPr>
        <w:lastRenderedPageBreak/>
        <w:t>4.0 Conclusion</w:t>
      </w:r>
    </w:p>
    <w:p w14:paraId="01C2001F" w14:textId="0A8B66D4" w:rsidR="007207B3" w:rsidRDefault="007207B3" w:rsidP="003645BE">
      <w:pPr>
        <w:pStyle w:val="ListParagraph"/>
        <w:ind w:left="420"/>
        <w:rPr>
          <w:rFonts w:cstheme="minorHAnsi"/>
          <w:color w:val="000000" w:themeColor="text1"/>
        </w:rPr>
      </w:pPr>
    </w:p>
    <w:p w14:paraId="20F48406" w14:textId="6C2B079D" w:rsidR="007207B3" w:rsidRDefault="007207B3" w:rsidP="003645BE">
      <w:pPr>
        <w:pStyle w:val="ListParagraph"/>
        <w:ind w:left="420"/>
        <w:rPr>
          <w:rFonts w:cstheme="minorHAnsi"/>
          <w:color w:val="000000" w:themeColor="text1"/>
        </w:rPr>
      </w:pPr>
      <w:r>
        <w:rPr>
          <w:rFonts w:cstheme="minorHAnsi"/>
          <w:color w:val="000000" w:themeColor="text1"/>
        </w:rPr>
        <w:t xml:space="preserve">To conclude, the Vehicle to Grid concept shows a lot of promise for helping to combat issues of power storage and stability in the future as the world </w:t>
      </w:r>
      <w:r w:rsidR="00751EB2">
        <w:rPr>
          <w:rFonts w:cstheme="minorHAnsi"/>
          <w:color w:val="000000" w:themeColor="text1"/>
        </w:rPr>
        <w:t xml:space="preserve">moves away from fossil fuel power generation and towards renewable energy. The vehicle to grid network has the potential to benefit many key players with the sizeable storage network it creates allowing for power companies to generate more power and safely store it when it is not required. It also benefits the users and consumers by giving them the opportunity to earn money back on their power bills by giving up the electricity in their vehicles to be put back into the national grid during peak times. It is important that the owners of these vehicles remain in control of how much power is </w:t>
      </w:r>
    </w:p>
    <w:p w14:paraId="42E1CAA8" w14:textId="1609D56F" w:rsidR="00751EB2" w:rsidRDefault="00751EB2" w:rsidP="00751EB2">
      <w:pPr>
        <w:pStyle w:val="ListParagraph"/>
        <w:ind w:left="420"/>
        <w:rPr>
          <w:rFonts w:cstheme="minorHAnsi"/>
          <w:color w:val="000000" w:themeColor="text1"/>
        </w:rPr>
      </w:pPr>
      <w:r>
        <w:rPr>
          <w:rFonts w:cstheme="minorHAnsi"/>
          <w:color w:val="000000" w:themeColor="text1"/>
        </w:rPr>
        <w:t>given back to the grid and how their vehicles are used in the system, the app-based designs l</w:t>
      </w:r>
      <w:r w:rsidRPr="00751EB2">
        <w:rPr>
          <w:rFonts w:cstheme="minorHAnsi"/>
          <w:color w:val="000000" w:themeColor="text1"/>
        </w:rPr>
        <w:t xml:space="preserve">aid out </w:t>
      </w:r>
      <w:r>
        <w:rPr>
          <w:rFonts w:cstheme="minorHAnsi"/>
          <w:color w:val="000000" w:themeColor="text1"/>
        </w:rPr>
        <w:t xml:space="preserve">in several of the models mentioned in this paper seem to be the best designs as they give easy and complete control to the vehicle owners allowing them to use their vehicles as they wish whilst still being able to give back to the grid. </w:t>
      </w:r>
    </w:p>
    <w:p w14:paraId="124DC4BD" w14:textId="0E05165A" w:rsidR="00751EB2" w:rsidRDefault="00751EB2" w:rsidP="00751EB2">
      <w:pPr>
        <w:pStyle w:val="ListParagraph"/>
        <w:ind w:left="420"/>
        <w:rPr>
          <w:rFonts w:cstheme="minorHAnsi"/>
          <w:color w:val="000000" w:themeColor="text1"/>
        </w:rPr>
      </w:pPr>
      <w:r>
        <w:rPr>
          <w:rFonts w:cstheme="minorHAnsi"/>
          <w:color w:val="000000" w:themeColor="text1"/>
        </w:rPr>
        <w:t>However, despite the benefits of V2G the current barriers in place could prove difficult to overcome in the short term. The introduction of a smart grid is potentially the hardest barrier to overcome as it will require large scale changes across the country and huge investment from the government and private companies to make it possible. Although with other technologies coming into view as well the push for a smart grid may accelerate its progress. The issue of compatibility of new vehicles will likely fade away as the infrastructure grows to accept V2G</w:t>
      </w:r>
      <w:r w:rsidR="00EF1750">
        <w:rPr>
          <w:rFonts w:cstheme="minorHAnsi"/>
          <w:color w:val="000000" w:themeColor="text1"/>
        </w:rPr>
        <w:t>, companies are more likely to invest on the technology as it grows and becomes available to more people. There may also be government driven rules in the future forcing companies to make their EVs V2G compatible</w:t>
      </w:r>
      <w:r w:rsidR="008B4DD5">
        <w:rPr>
          <w:rFonts w:cstheme="minorHAnsi"/>
          <w:color w:val="000000" w:themeColor="text1"/>
        </w:rPr>
        <w:t>,</w:t>
      </w:r>
      <w:r w:rsidR="00EF1750">
        <w:rPr>
          <w:rFonts w:cstheme="minorHAnsi"/>
          <w:color w:val="000000" w:themeColor="text1"/>
        </w:rPr>
        <w:t xml:space="preserve"> </w:t>
      </w:r>
      <w:proofErr w:type="gramStart"/>
      <w:r w:rsidR="008B4DD5">
        <w:rPr>
          <w:rFonts w:cstheme="minorHAnsi"/>
          <w:color w:val="000000" w:themeColor="text1"/>
        </w:rPr>
        <w:t>similar to</w:t>
      </w:r>
      <w:proofErr w:type="gramEnd"/>
      <w:r w:rsidR="00EF1750">
        <w:rPr>
          <w:rFonts w:cstheme="minorHAnsi"/>
          <w:color w:val="000000" w:themeColor="text1"/>
        </w:rPr>
        <w:t xml:space="preserve"> the ban on new petrol and diesel vehicles in 2030. </w:t>
      </w:r>
    </w:p>
    <w:p w14:paraId="74374146" w14:textId="3E508864" w:rsidR="008B4DD5" w:rsidRPr="00751EB2" w:rsidRDefault="008B4DD5" w:rsidP="00751EB2">
      <w:pPr>
        <w:pStyle w:val="ListParagraph"/>
        <w:ind w:left="420"/>
        <w:rPr>
          <w:rFonts w:cstheme="minorHAnsi"/>
          <w:color w:val="000000" w:themeColor="text1"/>
        </w:rPr>
      </w:pPr>
      <w:r>
        <w:rPr>
          <w:rFonts w:cstheme="minorHAnsi"/>
          <w:color w:val="000000" w:themeColor="text1"/>
        </w:rPr>
        <w:t xml:space="preserve">If these barriers can be </w:t>
      </w:r>
      <w:proofErr w:type="gramStart"/>
      <w:r>
        <w:rPr>
          <w:rFonts w:cstheme="minorHAnsi"/>
          <w:color w:val="000000" w:themeColor="text1"/>
        </w:rPr>
        <w:t>overcome</w:t>
      </w:r>
      <w:proofErr w:type="gramEnd"/>
      <w:r>
        <w:rPr>
          <w:rFonts w:cstheme="minorHAnsi"/>
          <w:color w:val="000000" w:themeColor="text1"/>
        </w:rPr>
        <w:t xml:space="preserve"> then Vehicle to Grid could be a successful system in the fight against global warming and climate change. </w:t>
      </w:r>
    </w:p>
    <w:p w14:paraId="7E40383D" w14:textId="00BA8895" w:rsidR="00505AE7" w:rsidRDefault="00505AE7" w:rsidP="003645BE">
      <w:pPr>
        <w:pStyle w:val="ListParagraph"/>
        <w:ind w:left="420"/>
        <w:rPr>
          <w:rFonts w:cstheme="minorHAnsi"/>
          <w:color w:val="000000" w:themeColor="text1"/>
        </w:rPr>
      </w:pPr>
    </w:p>
    <w:p w14:paraId="0F166F75" w14:textId="77777777" w:rsidR="00505AE7" w:rsidRPr="003645BE" w:rsidRDefault="00505AE7" w:rsidP="003645BE">
      <w:pPr>
        <w:pStyle w:val="ListParagraph"/>
        <w:ind w:left="420"/>
        <w:rPr>
          <w:rFonts w:cstheme="minorHAnsi"/>
          <w:color w:val="000000" w:themeColor="text1"/>
        </w:rPr>
      </w:pPr>
    </w:p>
    <w:p w14:paraId="55FD8A48" w14:textId="77777777" w:rsidR="003645BE" w:rsidRPr="006F294D" w:rsidRDefault="003645BE" w:rsidP="006F294D">
      <w:pPr>
        <w:pStyle w:val="ListParagraph"/>
        <w:ind w:left="420"/>
        <w:rPr>
          <w:color w:val="000000" w:themeColor="text1"/>
        </w:rPr>
      </w:pPr>
    </w:p>
    <w:p w14:paraId="76C70E02" w14:textId="77777777" w:rsidR="006F294D" w:rsidRPr="006F294D" w:rsidRDefault="006F294D" w:rsidP="006F294D">
      <w:pPr>
        <w:pStyle w:val="ListParagraph"/>
        <w:ind w:left="420"/>
        <w:jc w:val="right"/>
        <w:rPr>
          <w:i/>
          <w:iCs/>
          <w:color w:val="767171" w:themeColor="background2" w:themeShade="80"/>
        </w:rPr>
      </w:pPr>
    </w:p>
    <w:p w14:paraId="77DC6FD1" w14:textId="77777777" w:rsidR="006F294D" w:rsidRPr="0021210E" w:rsidRDefault="006F294D" w:rsidP="00BC3CB9">
      <w:pPr>
        <w:pStyle w:val="ListParagraph"/>
        <w:ind w:left="420"/>
        <w:rPr>
          <w:color w:val="000000" w:themeColor="text1"/>
        </w:rPr>
      </w:pPr>
    </w:p>
    <w:p w14:paraId="65CD5F54" w14:textId="77777777" w:rsidR="00A43624" w:rsidRDefault="00A43624" w:rsidP="0055755D">
      <w:pPr>
        <w:pStyle w:val="ListParagraph"/>
        <w:ind w:left="420"/>
      </w:pPr>
    </w:p>
    <w:p w14:paraId="19468226" w14:textId="77777777" w:rsidR="00A43624" w:rsidRDefault="00A43624" w:rsidP="0055755D">
      <w:pPr>
        <w:pStyle w:val="ListParagraph"/>
        <w:ind w:left="420"/>
      </w:pPr>
    </w:p>
    <w:p w14:paraId="3EDD21D9" w14:textId="381EEBDF" w:rsidR="00106CCE" w:rsidRDefault="00A43624" w:rsidP="0055755D">
      <w:pPr>
        <w:pStyle w:val="ListParagraph"/>
        <w:ind w:left="420"/>
        <w:rPr>
          <w:rFonts w:cstheme="minorHAnsi"/>
          <w:color w:val="000000" w:themeColor="text1"/>
        </w:rPr>
      </w:pPr>
      <w:r>
        <w:br/>
      </w:r>
    </w:p>
    <w:p w14:paraId="53368D25" w14:textId="7D4DA51D" w:rsidR="002D4F66" w:rsidRPr="002D4F66" w:rsidRDefault="002D4F66" w:rsidP="0055755D">
      <w:pPr>
        <w:pStyle w:val="ListParagraph"/>
        <w:ind w:left="420"/>
        <w:rPr>
          <w:rFonts w:cstheme="minorHAnsi"/>
          <w:color w:val="000000" w:themeColor="text1"/>
        </w:rPr>
      </w:pPr>
      <w:r>
        <w:rPr>
          <w:rFonts w:cstheme="minorHAnsi"/>
          <w:color w:val="000000" w:themeColor="text1"/>
        </w:rPr>
        <w:t xml:space="preserve">  </w:t>
      </w:r>
    </w:p>
    <w:p w14:paraId="44BC5975" w14:textId="4B50D993" w:rsidR="003334AD" w:rsidRPr="0055755D" w:rsidRDefault="009E280C" w:rsidP="0055755D">
      <w:pPr>
        <w:pStyle w:val="ListParagraph"/>
        <w:ind w:left="420"/>
        <w:rPr>
          <w:rFonts w:cstheme="minorHAnsi"/>
          <w:color w:val="000000" w:themeColor="text1"/>
        </w:rPr>
      </w:pPr>
      <w:r>
        <w:rPr>
          <w:rFonts w:cstheme="minorHAnsi"/>
          <w:color w:val="000000" w:themeColor="text1"/>
        </w:rPr>
        <w:t xml:space="preserve"> </w:t>
      </w:r>
      <w:r w:rsidR="00045A64" w:rsidRPr="0055755D">
        <w:rPr>
          <w:rFonts w:cstheme="minorHAnsi"/>
          <w:color w:val="000000" w:themeColor="text1"/>
        </w:rPr>
        <w:t xml:space="preserve"> </w:t>
      </w:r>
    </w:p>
    <w:p w14:paraId="5CA3156D" w14:textId="77777777" w:rsidR="00045A64" w:rsidRDefault="00045A64" w:rsidP="00C35402">
      <w:pPr>
        <w:pStyle w:val="ListParagraph"/>
        <w:ind w:left="420"/>
        <w:rPr>
          <w:rFonts w:cstheme="minorHAnsi"/>
          <w:color w:val="000000" w:themeColor="text1"/>
        </w:rPr>
      </w:pPr>
    </w:p>
    <w:p w14:paraId="6551D09D" w14:textId="77777777" w:rsidR="003334AD" w:rsidRDefault="003334AD" w:rsidP="00C35402">
      <w:pPr>
        <w:pStyle w:val="ListParagraph"/>
        <w:ind w:left="420"/>
        <w:rPr>
          <w:rFonts w:cstheme="minorHAnsi"/>
          <w:color w:val="000000" w:themeColor="text1"/>
        </w:rPr>
      </w:pPr>
    </w:p>
    <w:p w14:paraId="016EB32E" w14:textId="77777777" w:rsidR="003334AD" w:rsidRDefault="003334AD" w:rsidP="00C35402">
      <w:pPr>
        <w:pStyle w:val="ListParagraph"/>
        <w:ind w:left="420"/>
        <w:rPr>
          <w:rFonts w:cstheme="minorHAnsi"/>
          <w:color w:val="000000" w:themeColor="text1"/>
        </w:rPr>
      </w:pPr>
    </w:p>
    <w:p w14:paraId="41609FC6" w14:textId="77777777" w:rsidR="003334AD" w:rsidRDefault="003334AD" w:rsidP="00C35402">
      <w:pPr>
        <w:pStyle w:val="ListParagraph"/>
        <w:ind w:left="420"/>
        <w:rPr>
          <w:rFonts w:cstheme="minorHAnsi"/>
          <w:color w:val="000000" w:themeColor="text1"/>
        </w:rPr>
      </w:pPr>
    </w:p>
    <w:p w14:paraId="14BE6D96" w14:textId="77777777" w:rsidR="003334AD" w:rsidRDefault="003334AD" w:rsidP="00C35402">
      <w:pPr>
        <w:pStyle w:val="ListParagraph"/>
        <w:ind w:left="420"/>
        <w:rPr>
          <w:rFonts w:cstheme="minorHAnsi"/>
          <w:color w:val="000000" w:themeColor="text1"/>
        </w:rPr>
      </w:pPr>
    </w:p>
    <w:p w14:paraId="65D44509" w14:textId="77777777" w:rsidR="003334AD" w:rsidRDefault="003334AD" w:rsidP="00C35402">
      <w:pPr>
        <w:pStyle w:val="ListParagraph"/>
        <w:ind w:left="420"/>
        <w:rPr>
          <w:rFonts w:cstheme="minorHAnsi"/>
          <w:color w:val="000000" w:themeColor="text1"/>
        </w:rPr>
      </w:pPr>
    </w:p>
    <w:p w14:paraId="3329D808" w14:textId="77777777" w:rsidR="003334AD" w:rsidRDefault="003334AD" w:rsidP="00C35402">
      <w:pPr>
        <w:pStyle w:val="ListParagraph"/>
        <w:ind w:left="420"/>
        <w:rPr>
          <w:rFonts w:cstheme="minorHAnsi"/>
          <w:color w:val="000000" w:themeColor="text1"/>
        </w:rPr>
      </w:pPr>
    </w:p>
    <w:p w14:paraId="3ADA8207" w14:textId="77777777" w:rsidR="003334AD" w:rsidRDefault="003334AD" w:rsidP="00C35402">
      <w:pPr>
        <w:pStyle w:val="ListParagraph"/>
        <w:ind w:left="420"/>
        <w:rPr>
          <w:rFonts w:cstheme="minorHAnsi"/>
          <w:color w:val="000000" w:themeColor="text1"/>
        </w:rPr>
      </w:pPr>
    </w:p>
    <w:p w14:paraId="0520DDEA" w14:textId="77777777" w:rsidR="003334AD" w:rsidRDefault="003334AD" w:rsidP="00C35402">
      <w:pPr>
        <w:pStyle w:val="ListParagraph"/>
        <w:ind w:left="420"/>
        <w:rPr>
          <w:rFonts w:cstheme="minorHAnsi"/>
          <w:color w:val="000000" w:themeColor="text1"/>
        </w:rPr>
      </w:pPr>
    </w:p>
    <w:p w14:paraId="445FB34C" w14:textId="77777777" w:rsidR="003334AD" w:rsidRDefault="003334AD" w:rsidP="00C35402">
      <w:pPr>
        <w:pStyle w:val="ListParagraph"/>
        <w:ind w:left="420"/>
        <w:rPr>
          <w:rFonts w:cstheme="minorHAnsi"/>
          <w:color w:val="000000" w:themeColor="text1"/>
        </w:rPr>
      </w:pPr>
    </w:p>
    <w:p w14:paraId="71DFA371" w14:textId="77777777" w:rsidR="003334AD" w:rsidRDefault="003334AD" w:rsidP="00C35402">
      <w:pPr>
        <w:pStyle w:val="ListParagraph"/>
        <w:ind w:left="420"/>
        <w:rPr>
          <w:rFonts w:cstheme="minorHAnsi"/>
          <w:color w:val="000000" w:themeColor="text1"/>
        </w:rPr>
      </w:pPr>
    </w:p>
    <w:p w14:paraId="7A4E2685" w14:textId="3152E5FA" w:rsidR="0052026E" w:rsidRDefault="0052026E" w:rsidP="0052026E">
      <w:pPr>
        <w:pStyle w:val="ListParagraph"/>
        <w:ind w:left="420"/>
        <w:rPr>
          <w:rFonts w:cstheme="minorHAnsi"/>
          <w:b/>
          <w:bCs/>
          <w:color w:val="000000" w:themeColor="text1"/>
          <w:sz w:val="28"/>
          <w:szCs w:val="28"/>
          <w:u w:val="single"/>
        </w:rPr>
      </w:pPr>
      <w:r>
        <w:rPr>
          <w:rFonts w:cstheme="minorHAnsi"/>
          <w:b/>
          <w:bCs/>
          <w:color w:val="000000" w:themeColor="text1"/>
          <w:sz w:val="28"/>
          <w:szCs w:val="28"/>
          <w:u w:val="single"/>
        </w:rPr>
        <w:lastRenderedPageBreak/>
        <w:t>5.0 References</w:t>
      </w:r>
    </w:p>
    <w:p w14:paraId="544D6629" w14:textId="38551188" w:rsidR="0052026E" w:rsidRDefault="0052026E" w:rsidP="0052026E">
      <w:pPr>
        <w:pStyle w:val="ListParagraph"/>
        <w:ind w:left="420"/>
        <w:rPr>
          <w:rFonts w:cstheme="minorHAnsi"/>
          <w:b/>
          <w:bCs/>
          <w:color w:val="000000" w:themeColor="text1"/>
          <w:sz w:val="28"/>
          <w:szCs w:val="28"/>
          <w:u w:val="single"/>
        </w:rPr>
      </w:pPr>
    </w:p>
    <w:p w14:paraId="29B0AE97" w14:textId="6FEE68FE" w:rsidR="0052026E" w:rsidRDefault="0052026E" w:rsidP="0052026E">
      <w:pPr>
        <w:pStyle w:val="ListParagraph"/>
        <w:ind w:left="420"/>
        <w:rPr>
          <w:rFonts w:cstheme="minorHAnsi"/>
          <w:color w:val="000000" w:themeColor="text1"/>
        </w:rPr>
      </w:pPr>
      <w:r>
        <w:rPr>
          <w:rFonts w:cstheme="minorHAnsi"/>
          <w:color w:val="000000" w:themeColor="text1"/>
        </w:rPr>
        <w:t xml:space="preserve">UN. (2021), ‘What is Climate Change?’, </w:t>
      </w:r>
      <w:r>
        <w:rPr>
          <w:rFonts w:cstheme="minorHAnsi"/>
          <w:i/>
          <w:iCs/>
          <w:color w:val="000000" w:themeColor="text1"/>
        </w:rPr>
        <w:t xml:space="preserve">Fast Facts, </w:t>
      </w:r>
      <w:r>
        <w:rPr>
          <w:rFonts w:cstheme="minorHAnsi"/>
          <w:color w:val="000000" w:themeColor="text1"/>
        </w:rPr>
        <w:t xml:space="preserve">pp. 1. Available at: </w:t>
      </w:r>
      <w:hyperlink r:id="rId17" w:history="1">
        <w:r w:rsidRPr="00F5292D">
          <w:rPr>
            <w:rStyle w:val="Hyperlink"/>
            <w:rFonts w:cstheme="minorHAnsi"/>
          </w:rPr>
          <w:t>https://www.un.org/sites/un2.un.org/files/fastfacts-what-is-climate-change.pdf</w:t>
        </w:r>
      </w:hyperlink>
      <w:r>
        <w:rPr>
          <w:rFonts w:cstheme="minorHAnsi"/>
          <w:color w:val="000000" w:themeColor="text1"/>
        </w:rPr>
        <w:t xml:space="preserve"> </w:t>
      </w:r>
    </w:p>
    <w:p w14:paraId="379DA220" w14:textId="77777777" w:rsidR="0052026E" w:rsidRDefault="0052026E" w:rsidP="0052026E">
      <w:pPr>
        <w:pStyle w:val="ListParagraph"/>
        <w:ind w:left="420"/>
        <w:rPr>
          <w:rFonts w:cstheme="minorHAnsi"/>
          <w:i/>
          <w:iCs/>
          <w:color w:val="000000" w:themeColor="text1"/>
        </w:rPr>
      </w:pPr>
    </w:p>
    <w:p w14:paraId="099612F1" w14:textId="77777777" w:rsidR="00AE1873" w:rsidRDefault="0052026E" w:rsidP="00AE1873">
      <w:pPr>
        <w:pStyle w:val="ListParagraph"/>
        <w:ind w:left="420"/>
        <w:rPr>
          <w:rFonts w:cstheme="minorHAnsi"/>
          <w:color w:val="000000" w:themeColor="text1"/>
        </w:rPr>
      </w:pPr>
      <w:r>
        <w:rPr>
          <w:rFonts w:cstheme="minorHAnsi"/>
          <w:color w:val="000000" w:themeColor="text1"/>
        </w:rPr>
        <w:t xml:space="preserve">Griffiths, H. (2020), ‘2030 petrol and diesel ban: what is it and which cars are affected?’, </w:t>
      </w:r>
      <w:r>
        <w:rPr>
          <w:rFonts w:cstheme="minorHAnsi"/>
          <w:i/>
          <w:iCs/>
          <w:color w:val="000000" w:themeColor="text1"/>
        </w:rPr>
        <w:t xml:space="preserve">Auto Express. </w:t>
      </w:r>
      <w:r>
        <w:rPr>
          <w:rFonts w:cstheme="minorHAnsi"/>
          <w:color w:val="000000" w:themeColor="text1"/>
        </w:rPr>
        <w:t xml:space="preserve">Available at: </w:t>
      </w:r>
      <w:hyperlink r:id="rId18" w:history="1">
        <w:r w:rsidR="00AE1873" w:rsidRPr="00F5292D">
          <w:rPr>
            <w:rStyle w:val="Hyperlink"/>
            <w:rFonts w:cstheme="minorHAnsi"/>
          </w:rPr>
          <w:t>https://www.autoexpress.co.uk/news/108960/2030-petrol-and-diesel-ban-what-it-and-which-cars-are-affected</w:t>
        </w:r>
      </w:hyperlink>
      <w:r w:rsidR="00AE1873">
        <w:rPr>
          <w:rFonts w:cstheme="minorHAnsi"/>
          <w:color w:val="000000" w:themeColor="text1"/>
        </w:rPr>
        <w:t xml:space="preserve"> </w:t>
      </w:r>
    </w:p>
    <w:p w14:paraId="7ABFEF48" w14:textId="77777777" w:rsidR="00AE1873" w:rsidRDefault="00AE1873" w:rsidP="00AE1873">
      <w:pPr>
        <w:pStyle w:val="ListParagraph"/>
        <w:ind w:left="420"/>
        <w:rPr>
          <w:rFonts w:cstheme="minorHAnsi"/>
          <w:color w:val="000000" w:themeColor="text1"/>
        </w:rPr>
      </w:pPr>
    </w:p>
    <w:p w14:paraId="68098E44" w14:textId="304B921F" w:rsidR="00AE1873" w:rsidRDefault="00AE1873" w:rsidP="00AE1873">
      <w:pPr>
        <w:pStyle w:val="ListParagraph"/>
        <w:ind w:left="420"/>
        <w:rPr>
          <w:rFonts w:cstheme="minorHAnsi"/>
          <w:b/>
          <w:bCs/>
          <w:color w:val="0A0A0A"/>
          <w:spacing w:val="-10"/>
        </w:rPr>
      </w:pPr>
      <w:r w:rsidRPr="00AE1873">
        <w:rPr>
          <w:rFonts w:cstheme="minorHAnsi"/>
          <w:color w:val="000000" w:themeColor="text1"/>
        </w:rPr>
        <w:t>Edwardes-Evans, H. (2021), ‘</w:t>
      </w:r>
      <w:r w:rsidRPr="00AE1873">
        <w:rPr>
          <w:rFonts w:cstheme="minorHAnsi"/>
          <w:color w:val="0A0A0A"/>
          <w:spacing w:val="-10"/>
        </w:rPr>
        <w:t>UK targets power from 100% renewable sources by 2035</w:t>
      </w:r>
      <w:r w:rsidRPr="00AE1873">
        <w:rPr>
          <w:rFonts w:cstheme="minorHAnsi"/>
          <w:color w:val="0A0A0A"/>
          <w:spacing w:val="-10"/>
        </w:rPr>
        <w:t xml:space="preserve">’, </w:t>
      </w:r>
      <w:r w:rsidRPr="00AE1873">
        <w:rPr>
          <w:rFonts w:cstheme="minorHAnsi"/>
          <w:i/>
          <w:iCs/>
          <w:color w:val="0A0A0A"/>
          <w:spacing w:val="-10"/>
        </w:rPr>
        <w:t xml:space="preserve">S&amp;P Global Platts, </w:t>
      </w:r>
      <w:r w:rsidRPr="00AE1873">
        <w:rPr>
          <w:rFonts w:cstheme="minorHAnsi"/>
          <w:color w:val="0A0A0A"/>
          <w:spacing w:val="-10"/>
        </w:rPr>
        <w:t>Available at:</w:t>
      </w:r>
      <w:r>
        <w:rPr>
          <w:rFonts w:cstheme="minorHAnsi"/>
          <w:b/>
          <w:bCs/>
          <w:color w:val="0A0A0A"/>
          <w:spacing w:val="-10"/>
        </w:rPr>
        <w:t xml:space="preserve"> </w:t>
      </w:r>
      <w:hyperlink r:id="rId19" w:history="1">
        <w:r w:rsidRPr="00F5292D">
          <w:rPr>
            <w:rStyle w:val="Hyperlink"/>
            <w:rFonts w:cstheme="minorHAnsi"/>
            <w:spacing w:val="-10"/>
          </w:rPr>
          <w:t>https://www.spglobal.com/platts/en/market-insights/latest-news/energy-transition/100421-uk-targets-power-from-100-renewable-sources-by-2035</w:t>
        </w:r>
      </w:hyperlink>
      <w:r>
        <w:rPr>
          <w:rFonts w:cstheme="minorHAnsi"/>
          <w:b/>
          <w:bCs/>
          <w:color w:val="0A0A0A"/>
          <w:spacing w:val="-10"/>
        </w:rPr>
        <w:t xml:space="preserve"> </w:t>
      </w:r>
    </w:p>
    <w:p w14:paraId="5E317791" w14:textId="2AC4DA62" w:rsidR="00AE1873" w:rsidRDefault="00AE1873" w:rsidP="00AE1873">
      <w:pPr>
        <w:pStyle w:val="ListParagraph"/>
        <w:ind w:left="420"/>
        <w:rPr>
          <w:rFonts w:cstheme="minorHAnsi"/>
          <w:b/>
          <w:bCs/>
          <w:color w:val="0A0A0A"/>
          <w:spacing w:val="-10"/>
        </w:rPr>
      </w:pPr>
    </w:p>
    <w:p w14:paraId="12AE0045" w14:textId="1B7B68C4" w:rsidR="00AE1873" w:rsidRDefault="00AE1873" w:rsidP="00AE1873">
      <w:pPr>
        <w:pStyle w:val="ListParagraph"/>
        <w:ind w:left="420"/>
        <w:rPr>
          <w:rFonts w:cstheme="minorHAnsi"/>
          <w:color w:val="0A0A0A"/>
          <w:spacing w:val="-10"/>
        </w:rPr>
      </w:pPr>
      <w:proofErr w:type="spellStart"/>
      <w:r>
        <w:rPr>
          <w:rFonts w:cstheme="minorHAnsi"/>
          <w:color w:val="0A0A0A"/>
          <w:spacing w:val="-10"/>
        </w:rPr>
        <w:t>Thanapalan</w:t>
      </w:r>
      <w:proofErr w:type="spellEnd"/>
      <w:r>
        <w:rPr>
          <w:rFonts w:cstheme="minorHAnsi"/>
          <w:color w:val="0A0A0A"/>
          <w:spacing w:val="-10"/>
        </w:rPr>
        <w:t xml:space="preserve">, K. (2020), ‘Overview of Energy Storage </w:t>
      </w:r>
      <w:proofErr w:type="spellStart"/>
      <w:r>
        <w:rPr>
          <w:rFonts w:cstheme="minorHAnsi"/>
          <w:color w:val="0A0A0A"/>
          <w:spacing w:val="-10"/>
        </w:rPr>
        <w:t>Tehcnologies</w:t>
      </w:r>
      <w:proofErr w:type="spellEnd"/>
      <w:r>
        <w:rPr>
          <w:rFonts w:cstheme="minorHAnsi"/>
          <w:color w:val="0A0A0A"/>
          <w:spacing w:val="-10"/>
        </w:rPr>
        <w:t xml:space="preserve"> for Excess Renewable Energy Production’, </w:t>
      </w:r>
      <w:r w:rsidRPr="00AE1873">
        <w:rPr>
          <w:rFonts w:cstheme="minorHAnsi"/>
          <w:i/>
          <w:iCs/>
          <w:color w:val="0A0A0A"/>
          <w:spacing w:val="-10"/>
        </w:rPr>
        <w:t xml:space="preserve">Proceedings of </w:t>
      </w:r>
      <w:proofErr w:type="gramStart"/>
      <w:r w:rsidRPr="00AE1873">
        <w:rPr>
          <w:rFonts w:cstheme="minorHAnsi"/>
          <w:i/>
          <w:iCs/>
          <w:color w:val="0A0A0A"/>
          <w:spacing w:val="-10"/>
        </w:rPr>
        <w:t>The</w:t>
      </w:r>
      <w:proofErr w:type="gramEnd"/>
      <w:r w:rsidRPr="00AE1873">
        <w:rPr>
          <w:rFonts w:cstheme="minorHAnsi"/>
          <w:i/>
          <w:iCs/>
          <w:color w:val="0A0A0A"/>
          <w:spacing w:val="-10"/>
        </w:rPr>
        <w:t xml:space="preserve"> 24th World Multi-Conference on Systemics, Cybernetics and Informatics (WMSCI 2020)</w:t>
      </w:r>
      <w:r>
        <w:rPr>
          <w:rFonts w:cstheme="minorHAnsi"/>
          <w:i/>
          <w:iCs/>
          <w:color w:val="0A0A0A"/>
          <w:spacing w:val="-10"/>
        </w:rPr>
        <w:t xml:space="preserve">, </w:t>
      </w:r>
      <w:r>
        <w:rPr>
          <w:rFonts w:cstheme="minorHAnsi"/>
          <w:color w:val="0A0A0A"/>
          <w:spacing w:val="-10"/>
        </w:rPr>
        <w:t xml:space="preserve">PP.  91-95. Available at: </w:t>
      </w:r>
      <w:hyperlink r:id="rId20" w:history="1">
        <w:r w:rsidRPr="00F5292D">
          <w:rPr>
            <w:rStyle w:val="Hyperlink"/>
            <w:rFonts w:cstheme="minorHAnsi"/>
            <w:spacing w:val="-10"/>
          </w:rPr>
          <w:t>https://www.iiis.org/CDs2020/CD2020Summer/papers/SA297TE.pdf</w:t>
        </w:r>
      </w:hyperlink>
      <w:r>
        <w:rPr>
          <w:rFonts w:cstheme="minorHAnsi"/>
          <w:color w:val="0A0A0A"/>
          <w:spacing w:val="-10"/>
        </w:rPr>
        <w:t xml:space="preserve"> </w:t>
      </w:r>
    </w:p>
    <w:p w14:paraId="686EF01B" w14:textId="02FE31E6" w:rsidR="00AE1873" w:rsidRDefault="00AE1873" w:rsidP="00AE1873">
      <w:pPr>
        <w:pStyle w:val="ListParagraph"/>
        <w:ind w:left="420"/>
        <w:rPr>
          <w:rFonts w:cstheme="minorHAnsi"/>
          <w:color w:val="0A0A0A"/>
          <w:spacing w:val="-10"/>
        </w:rPr>
      </w:pPr>
    </w:p>
    <w:p w14:paraId="6CCD0238" w14:textId="4ACF14D0" w:rsidR="00AE1873" w:rsidRDefault="00AE1873" w:rsidP="00AE1873">
      <w:pPr>
        <w:pStyle w:val="ListParagraph"/>
        <w:ind w:left="420"/>
        <w:rPr>
          <w:rFonts w:cstheme="minorHAnsi"/>
          <w:color w:val="0A0A0A"/>
          <w:spacing w:val="-10"/>
        </w:rPr>
      </w:pPr>
      <w:r>
        <w:rPr>
          <w:rFonts w:cstheme="minorHAnsi"/>
          <w:color w:val="0A0A0A"/>
          <w:spacing w:val="-10"/>
        </w:rPr>
        <w:t>Kempton, W. (199</w:t>
      </w:r>
      <w:r w:rsidR="001F1BE5">
        <w:rPr>
          <w:rFonts w:cstheme="minorHAnsi"/>
          <w:color w:val="0A0A0A"/>
          <w:spacing w:val="-10"/>
        </w:rPr>
        <w:t xml:space="preserve">7), ‘Electric vehicles as a new power source for electric utilities’, </w:t>
      </w:r>
      <w:r w:rsidR="001F1BE5">
        <w:rPr>
          <w:rFonts w:cstheme="minorHAnsi"/>
          <w:i/>
          <w:iCs/>
          <w:color w:val="0A0A0A"/>
          <w:spacing w:val="-10"/>
        </w:rPr>
        <w:t xml:space="preserve">Transportation Research Part D: Transport and Environment, </w:t>
      </w:r>
      <w:r w:rsidR="001F1BE5">
        <w:rPr>
          <w:rFonts w:cstheme="minorHAnsi"/>
          <w:color w:val="0A0A0A"/>
          <w:spacing w:val="-10"/>
        </w:rPr>
        <w:t xml:space="preserve">2(3), PP. 157-175. Available at: </w:t>
      </w:r>
      <w:hyperlink r:id="rId21" w:history="1">
        <w:r w:rsidR="001F1BE5" w:rsidRPr="00F5292D">
          <w:rPr>
            <w:rStyle w:val="Hyperlink"/>
            <w:rFonts w:cstheme="minorHAnsi"/>
            <w:spacing w:val="-10"/>
          </w:rPr>
          <w:t>https://www.sciencedirect.com/science/article/abs/pii/S1361920997000011</w:t>
        </w:r>
      </w:hyperlink>
      <w:r w:rsidR="001F1BE5">
        <w:rPr>
          <w:rFonts w:cstheme="minorHAnsi"/>
          <w:color w:val="0A0A0A"/>
          <w:spacing w:val="-10"/>
        </w:rPr>
        <w:t xml:space="preserve"> </w:t>
      </w:r>
    </w:p>
    <w:p w14:paraId="055E3EC4" w14:textId="0B9A9875" w:rsidR="001F1BE5" w:rsidRDefault="001F1BE5" w:rsidP="00AE1873">
      <w:pPr>
        <w:pStyle w:val="ListParagraph"/>
        <w:ind w:left="420"/>
        <w:rPr>
          <w:rFonts w:cstheme="minorHAnsi"/>
          <w:color w:val="0A0A0A"/>
          <w:spacing w:val="-10"/>
        </w:rPr>
      </w:pPr>
    </w:p>
    <w:p w14:paraId="44D77D45" w14:textId="2B5BC7B8" w:rsidR="001F1BE5" w:rsidRDefault="001F1BE5" w:rsidP="00AE1873">
      <w:pPr>
        <w:pStyle w:val="ListParagraph"/>
        <w:ind w:left="420"/>
        <w:rPr>
          <w:rFonts w:cstheme="minorHAnsi"/>
          <w:color w:val="0A0A0A"/>
          <w:spacing w:val="-10"/>
        </w:rPr>
      </w:pPr>
      <w:proofErr w:type="spellStart"/>
      <w:r>
        <w:rPr>
          <w:rFonts w:cstheme="minorHAnsi"/>
          <w:color w:val="0A0A0A"/>
          <w:spacing w:val="-10"/>
        </w:rPr>
        <w:t>Bibak</w:t>
      </w:r>
      <w:proofErr w:type="spellEnd"/>
      <w:r>
        <w:rPr>
          <w:rFonts w:cstheme="minorHAnsi"/>
          <w:color w:val="0A0A0A"/>
          <w:spacing w:val="-10"/>
        </w:rPr>
        <w:t xml:space="preserve">, B. (2021), A </w:t>
      </w:r>
      <w:proofErr w:type="spellStart"/>
      <w:r>
        <w:rPr>
          <w:rFonts w:cstheme="minorHAnsi"/>
          <w:color w:val="0A0A0A"/>
          <w:spacing w:val="-10"/>
        </w:rPr>
        <w:t>Comprehensice</w:t>
      </w:r>
      <w:proofErr w:type="spellEnd"/>
      <w:r>
        <w:rPr>
          <w:rFonts w:cstheme="minorHAnsi"/>
          <w:color w:val="0A0A0A"/>
          <w:spacing w:val="-10"/>
        </w:rPr>
        <w:t xml:space="preserve"> Analysis of Vehicle to Grid (V2G) Systems and Scholarly Literature on the Application of Such Systems’, </w:t>
      </w:r>
      <w:r>
        <w:rPr>
          <w:rFonts w:cstheme="minorHAnsi"/>
          <w:i/>
          <w:iCs/>
          <w:color w:val="0A0A0A"/>
          <w:spacing w:val="-10"/>
        </w:rPr>
        <w:t xml:space="preserve">Renewable Energy Focus, </w:t>
      </w:r>
      <w:r>
        <w:rPr>
          <w:rFonts w:cstheme="minorHAnsi"/>
          <w:color w:val="0A0A0A"/>
          <w:spacing w:val="-10"/>
        </w:rPr>
        <w:t xml:space="preserve">36 (1), PP. 1-20. Available at: </w:t>
      </w:r>
      <w:hyperlink r:id="rId22" w:history="1">
        <w:r w:rsidRPr="00F5292D">
          <w:rPr>
            <w:rStyle w:val="Hyperlink"/>
            <w:rFonts w:cstheme="minorHAnsi"/>
            <w:spacing w:val="-10"/>
          </w:rPr>
          <w:t>https://www.sciencedirect.com/science/article/pii/S1755008420300533</w:t>
        </w:r>
      </w:hyperlink>
      <w:r>
        <w:rPr>
          <w:rFonts w:cstheme="minorHAnsi"/>
          <w:color w:val="0A0A0A"/>
          <w:spacing w:val="-10"/>
        </w:rPr>
        <w:t xml:space="preserve"> </w:t>
      </w:r>
    </w:p>
    <w:p w14:paraId="7B09A09A" w14:textId="3B632E14" w:rsidR="001F1BE5" w:rsidRDefault="001F1BE5" w:rsidP="00AE1873">
      <w:pPr>
        <w:pStyle w:val="ListParagraph"/>
        <w:ind w:left="420"/>
        <w:rPr>
          <w:rFonts w:cstheme="minorHAnsi"/>
          <w:color w:val="0A0A0A"/>
          <w:spacing w:val="-10"/>
        </w:rPr>
      </w:pPr>
    </w:p>
    <w:p w14:paraId="66EB921A" w14:textId="15F42D0A" w:rsidR="001F1BE5" w:rsidRDefault="002238AA" w:rsidP="00AE1873">
      <w:pPr>
        <w:pStyle w:val="ListParagraph"/>
        <w:ind w:left="420"/>
        <w:rPr>
          <w:rFonts w:cstheme="minorHAnsi"/>
          <w:color w:val="0A0A0A"/>
          <w:spacing w:val="-10"/>
        </w:rPr>
      </w:pPr>
      <w:r>
        <w:rPr>
          <w:rFonts w:cstheme="minorHAnsi"/>
          <w:color w:val="0A0A0A"/>
          <w:spacing w:val="-10"/>
        </w:rPr>
        <w:t xml:space="preserve">Element Energy. (2019), ‘V2GB Vehicle to Grid Britain’, </w:t>
      </w:r>
      <w:r>
        <w:rPr>
          <w:rFonts w:cstheme="minorHAnsi"/>
          <w:i/>
          <w:iCs/>
          <w:color w:val="0A0A0A"/>
          <w:spacing w:val="-10"/>
        </w:rPr>
        <w:t xml:space="preserve">V2GB Public Report. </w:t>
      </w:r>
      <w:r>
        <w:rPr>
          <w:rFonts w:cstheme="minorHAnsi"/>
          <w:color w:val="0A0A0A"/>
          <w:spacing w:val="-10"/>
        </w:rPr>
        <w:t xml:space="preserve">Available at: </w:t>
      </w:r>
      <w:hyperlink r:id="rId23" w:history="1">
        <w:r w:rsidRPr="00F5292D">
          <w:rPr>
            <w:rStyle w:val="Hyperlink"/>
            <w:rFonts w:cstheme="minorHAnsi"/>
            <w:spacing w:val="-10"/>
          </w:rPr>
          <w:t>http://www.element-energy.co.uk/wordpress/wp-content/uploads/2019/06/V2GB-Public-Report.pdf</w:t>
        </w:r>
      </w:hyperlink>
      <w:r>
        <w:rPr>
          <w:rFonts w:cstheme="minorHAnsi"/>
          <w:color w:val="0A0A0A"/>
          <w:spacing w:val="-10"/>
        </w:rPr>
        <w:t xml:space="preserve"> </w:t>
      </w:r>
    </w:p>
    <w:p w14:paraId="5370A655" w14:textId="23A9F295" w:rsidR="002238AA" w:rsidRDefault="002238AA" w:rsidP="00AE1873">
      <w:pPr>
        <w:pStyle w:val="ListParagraph"/>
        <w:ind w:left="420"/>
        <w:rPr>
          <w:rFonts w:cstheme="minorHAnsi"/>
          <w:color w:val="0A0A0A"/>
          <w:spacing w:val="-10"/>
        </w:rPr>
      </w:pPr>
    </w:p>
    <w:p w14:paraId="49CC0097" w14:textId="74D2E079" w:rsidR="002238AA" w:rsidRDefault="002238AA" w:rsidP="00AE1873">
      <w:pPr>
        <w:pStyle w:val="ListParagraph"/>
        <w:ind w:left="420"/>
        <w:rPr>
          <w:rFonts w:cstheme="minorHAnsi"/>
          <w:color w:val="0A0A0A"/>
          <w:spacing w:val="-10"/>
        </w:rPr>
      </w:pPr>
      <w:proofErr w:type="spellStart"/>
      <w:r>
        <w:rPr>
          <w:rFonts w:cstheme="minorHAnsi"/>
          <w:color w:val="0A0A0A"/>
          <w:spacing w:val="-10"/>
        </w:rPr>
        <w:t>Colthorpe</w:t>
      </w:r>
      <w:proofErr w:type="spellEnd"/>
      <w:r>
        <w:rPr>
          <w:rFonts w:cstheme="minorHAnsi"/>
          <w:color w:val="0A0A0A"/>
          <w:spacing w:val="-10"/>
        </w:rPr>
        <w:t xml:space="preserve">, A. (2019), ‘Vehicle-to-grid energy storage goes into action at Amsterdam Arena’, </w:t>
      </w:r>
      <w:r>
        <w:rPr>
          <w:rFonts w:cstheme="minorHAnsi"/>
          <w:i/>
          <w:iCs/>
          <w:color w:val="0A0A0A"/>
          <w:spacing w:val="-10"/>
        </w:rPr>
        <w:t xml:space="preserve">Energy Storage News. </w:t>
      </w:r>
      <w:r>
        <w:rPr>
          <w:rFonts w:cstheme="minorHAnsi"/>
          <w:color w:val="0A0A0A"/>
          <w:spacing w:val="-10"/>
        </w:rPr>
        <w:t xml:space="preserve">Available at: </w:t>
      </w:r>
      <w:hyperlink r:id="rId24" w:history="1">
        <w:r w:rsidRPr="00F5292D">
          <w:rPr>
            <w:rStyle w:val="Hyperlink"/>
            <w:rFonts w:cstheme="minorHAnsi"/>
            <w:spacing w:val="-10"/>
          </w:rPr>
          <w:t>https://www.energy-storage.news/vehicle-to-grid-energy-storage-goes-into-action-at-amsterdam-arena/</w:t>
        </w:r>
      </w:hyperlink>
      <w:r>
        <w:rPr>
          <w:rFonts w:cstheme="minorHAnsi"/>
          <w:color w:val="0A0A0A"/>
          <w:spacing w:val="-10"/>
        </w:rPr>
        <w:t xml:space="preserve"> </w:t>
      </w:r>
    </w:p>
    <w:p w14:paraId="58FA7D4A" w14:textId="1CA55920" w:rsidR="002238AA" w:rsidRDefault="002238AA" w:rsidP="00AE1873">
      <w:pPr>
        <w:pStyle w:val="ListParagraph"/>
        <w:ind w:left="420"/>
        <w:rPr>
          <w:rFonts w:cstheme="minorHAnsi"/>
          <w:color w:val="0A0A0A"/>
          <w:spacing w:val="-10"/>
        </w:rPr>
      </w:pPr>
    </w:p>
    <w:p w14:paraId="0E58E0EB" w14:textId="2F98B9E9" w:rsidR="002238AA" w:rsidRDefault="002238AA" w:rsidP="00AE1873">
      <w:pPr>
        <w:pStyle w:val="ListParagraph"/>
        <w:ind w:left="420"/>
        <w:rPr>
          <w:rFonts w:cstheme="minorHAnsi"/>
          <w:color w:val="0A0A0A"/>
          <w:spacing w:val="-10"/>
        </w:rPr>
      </w:pPr>
      <w:proofErr w:type="spellStart"/>
      <w:r>
        <w:rPr>
          <w:rFonts w:cstheme="minorHAnsi"/>
          <w:color w:val="0A0A0A"/>
          <w:spacing w:val="-10"/>
        </w:rPr>
        <w:t>Harrabin</w:t>
      </w:r>
      <w:proofErr w:type="spellEnd"/>
      <w:r>
        <w:rPr>
          <w:rFonts w:cstheme="minorHAnsi"/>
          <w:color w:val="0A0A0A"/>
          <w:spacing w:val="-10"/>
        </w:rPr>
        <w:t xml:space="preserve">, R. (2021), ‘Britain’s electricity system ‘greenest ever’ over Easter’, </w:t>
      </w:r>
      <w:r>
        <w:rPr>
          <w:rFonts w:cstheme="minorHAnsi"/>
          <w:i/>
          <w:iCs/>
          <w:color w:val="0A0A0A"/>
          <w:spacing w:val="-10"/>
        </w:rPr>
        <w:t xml:space="preserve">BBC News. </w:t>
      </w:r>
      <w:r>
        <w:rPr>
          <w:rFonts w:cstheme="minorHAnsi"/>
          <w:color w:val="0A0A0A"/>
          <w:spacing w:val="-10"/>
        </w:rPr>
        <w:t xml:space="preserve">Available at: </w:t>
      </w:r>
      <w:hyperlink r:id="rId25" w:history="1">
        <w:r w:rsidRPr="00F5292D">
          <w:rPr>
            <w:rStyle w:val="Hyperlink"/>
            <w:rFonts w:cstheme="minorHAnsi"/>
            <w:spacing w:val="-10"/>
          </w:rPr>
          <w:t>https://www.bbc.co.uk/news/uk-56657299</w:t>
        </w:r>
      </w:hyperlink>
      <w:r>
        <w:rPr>
          <w:rFonts w:cstheme="minorHAnsi"/>
          <w:color w:val="0A0A0A"/>
          <w:spacing w:val="-10"/>
        </w:rPr>
        <w:t xml:space="preserve"> </w:t>
      </w:r>
    </w:p>
    <w:p w14:paraId="1120E88E" w14:textId="368638F2" w:rsidR="002238AA" w:rsidRDefault="002238AA" w:rsidP="00AE1873">
      <w:pPr>
        <w:pStyle w:val="ListParagraph"/>
        <w:ind w:left="420"/>
        <w:rPr>
          <w:rFonts w:cstheme="minorHAnsi"/>
          <w:color w:val="0A0A0A"/>
          <w:spacing w:val="-10"/>
        </w:rPr>
      </w:pPr>
    </w:p>
    <w:p w14:paraId="56437FF1" w14:textId="34388364" w:rsidR="002238AA" w:rsidRDefault="002238AA" w:rsidP="00AE1873">
      <w:pPr>
        <w:pStyle w:val="ListParagraph"/>
        <w:ind w:left="420"/>
        <w:rPr>
          <w:rFonts w:cstheme="minorHAnsi"/>
          <w:color w:val="0A0A0A"/>
          <w:spacing w:val="-10"/>
        </w:rPr>
      </w:pPr>
      <w:r>
        <w:rPr>
          <w:rFonts w:cstheme="minorHAnsi"/>
          <w:color w:val="0A0A0A"/>
          <w:spacing w:val="-10"/>
        </w:rPr>
        <w:t>Uddin et al. (2017) ‘</w:t>
      </w:r>
      <w:r w:rsidRPr="002238AA">
        <w:rPr>
          <w:rFonts w:cstheme="minorHAnsi"/>
          <w:color w:val="0A0A0A"/>
          <w:spacing w:val="-10"/>
        </w:rPr>
        <w:t>On the possibility of extending the lifetime of lithium-ion batteries through optimal V2G facilitated by an integrated vehicle and smart-grid system</w:t>
      </w:r>
      <w:r>
        <w:rPr>
          <w:rFonts w:cstheme="minorHAnsi"/>
          <w:color w:val="0A0A0A"/>
          <w:spacing w:val="-10"/>
        </w:rPr>
        <w:t xml:space="preserve">’, </w:t>
      </w:r>
      <w:r>
        <w:rPr>
          <w:rFonts w:cstheme="minorHAnsi"/>
          <w:i/>
          <w:iCs/>
          <w:color w:val="0A0A0A"/>
          <w:spacing w:val="-10"/>
        </w:rPr>
        <w:t xml:space="preserve">Energy, </w:t>
      </w:r>
      <w:r>
        <w:rPr>
          <w:rFonts w:cstheme="minorHAnsi"/>
          <w:color w:val="0A0A0A"/>
          <w:spacing w:val="-10"/>
        </w:rPr>
        <w:t xml:space="preserve">133(1), PP. 710-722. Available at: </w:t>
      </w:r>
      <w:hyperlink r:id="rId26" w:history="1">
        <w:r w:rsidRPr="00F5292D">
          <w:rPr>
            <w:rStyle w:val="Hyperlink"/>
            <w:rFonts w:cstheme="minorHAnsi"/>
            <w:spacing w:val="-10"/>
          </w:rPr>
          <w:t>https://www.sciencedirect.com/science/article/pii/S0360544217306825?via%3Dihub</w:t>
        </w:r>
      </w:hyperlink>
      <w:r>
        <w:rPr>
          <w:rFonts w:cstheme="minorHAnsi"/>
          <w:color w:val="0A0A0A"/>
          <w:spacing w:val="-10"/>
        </w:rPr>
        <w:t xml:space="preserve"> </w:t>
      </w:r>
    </w:p>
    <w:p w14:paraId="77156F7D" w14:textId="0C62F84A" w:rsidR="002238AA" w:rsidRDefault="002238AA" w:rsidP="00AE1873">
      <w:pPr>
        <w:pStyle w:val="ListParagraph"/>
        <w:ind w:left="420"/>
        <w:rPr>
          <w:rFonts w:cstheme="minorHAnsi"/>
          <w:color w:val="0A0A0A"/>
          <w:spacing w:val="-10"/>
        </w:rPr>
      </w:pPr>
    </w:p>
    <w:p w14:paraId="4BDBD552" w14:textId="7B212F01" w:rsidR="002238AA" w:rsidRDefault="002238AA" w:rsidP="00AE1873">
      <w:pPr>
        <w:pStyle w:val="ListParagraph"/>
        <w:ind w:left="420"/>
        <w:rPr>
          <w:rFonts w:cstheme="minorHAnsi"/>
          <w:color w:val="0A0A0A"/>
          <w:spacing w:val="-10"/>
        </w:rPr>
      </w:pPr>
      <w:proofErr w:type="spellStart"/>
      <w:r>
        <w:rPr>
          <w:rFonts w:cstheme="minorHAnsi"/>
          <w:color w:val="0A0A0A"/>
          <w:spacing w:val="-10"/>
        </w:rPr>
        <w:t>Dubarry</w:t>
      </w:r>
      <w:proofErr w:type="spellEnd"/>
      <w:r>
        <w:rPr>
          <w:rFonts w:cstheme="minorHAnsi"/>
          <w:color w:val="0A0A0A"/>
          <w:spacing w:val="-10"/>
        </w:rPr>
        <w:t>, M. (2017) ‘</w:t>
      </w:r>
      <w:r w:rsidRPr="002238AA">
        <w:rPr>
          <w:rFonts w:cstheme="minorHAnsi"/>
          <w:color w:val="0A0A0A"/>
          <w:spacing w:val="-10"/>
        </w:rPr>
        <w:t>The viability of vehicle-to-grid operations from a battery technology and policy perspective</w:t>
      </w:r>
      <w:r>
        <w:rPr>
          <w:rFonts w:cstheme="minorHAnsi"/>
          <w:color w:val="0A0A0A"/>
          <w:spacing w:val="-10"/>
        </w:rPr>
        <w:t xml:space="preserve">’, </w:t>
      </w:r>
      <w:r>
        <w:rPr>
          <w:rFonts w:cstheme="minorHAnsi"/>
          <w:i/>
          <w:iCs/>
          <w:color w:val="0A0A0A"/>
          <w:spacing w:val="-10"/>
        </w:rPr>
        <w:t xml:space="preserve">Energy Policy, </w:t>
      </w:r>
      <w:r>
        <w:rPr>
          <w:rFonts w:cstheme="minorHAnsi"/>
          <w:color w:val="0A0A0A"/>
          <w:spacing w:val="-10"/>
        </w:rPr>
        <w:t xml:space="preserve">113(1), PP. 342-347. Available at: </w:t>
      </w:r>
      <w:hyperlink r:id="rId27" w:history="1">
        <w:r w:rsidR="00561887" w:rsidRPr="00F5292D">
          <w:rPr>
            <w:rStyle w:val="Hyperlink"/>
            <w:rFonts w:cstheme="minorHAnsi"/>
            <w:spacing w:val="-10"/>
          </w:rPr>
          <w:t>https://www.sciencedirect.com/science/article/pii/S0301421517307619?via%3Dihub</w:t>
        </w:r>
      </w:hyperlink>
      <w:r w:rsidR="00561887">
        <w:rPr>
          <w:rFonts w:cstheme="minorHAnsi"/>
          <w:color w:val="0A0A0A"/>
          <w:spacing w:val="-10"/>
        </w:rPr>
        <w:t xml:space="preserve"> </w:t>
      </w:r>
    </w:p>
    <w:p w14:paraId="43154541" w14:textId="220EAD40" w:rsidR="00561887" w:rsidRDefault="00561887" w:rsidP="00AE1873">
      <w:pPr>
        <w:pStyle w:val="ListParagraph"/>
        <w:ind w:left="420"/>
        <w:rPr>
          <w:rFonts w:cstheme="minorHAnsi"/>
          <w:color w:val="0A0A0A"/>
          <w:spacing w:val="-10"/>
        </w:rPr>
      </w:pPr>
    </w:p>
    <w:p w14:paraId="2819338A" w14:textId="70A9CF20" w:rsidR="00561887" w:rsidRDefault="00561887" w:rsidP="00AE1873">
      <w:pPr>
        <w:pStyle w:val="ListParagraph"/>
        <w:ind w:left="420"/>
        <w:rPr>
          <w:rFonts w:cstheme="minorHAnsi"/>
          <w:color w:val="0A0A0A"/>
          <w:spacing w:val="-10"/>
        </w:rPr>
      </w:pPr>
      <w:r>
        <w:rPr>
          <w:rFonts w:cstheme="minorHAnsi"/>
          <w:color w:val="0A0A0A"/>
          <w:spacing w:val="-10"/>
        </w:rPr>
        <w:t>Lauinger, D. (2017), ‘</w:t>
      </w:r>
      <w:r w:rsidRPr="00561887">
        <w:rPr>
          <w:rFonts w:cstheme="minorHAnsi"/>
          <w:color w:val="0A0A0A"/>
          <w:spacing w:val="-10"/>
        </w:rPr>
        <w:t>A review of the state of research on vehicle-to-grid (V2G): Progress and barriers to deployment</w:t>
      </w:r>
      <w:r>
        <w:rPr>
          <w:rFonts w:cstheme="minorHAnsi"/>
          <w:color w:val="0A0A0A"/>
          <w:spacing w:val="-10"/>
        </w:rPr>
        <w:t xml:space="preserve">’, </w:t>
      </w:r>
      <w:r w:rsidRPr="00561887">
        <w:rPr>
          <w:rFonts w:cstheme="minorHAnsi"/>
          <w:i/>
          <w:iCs/>
          <w:color w:val="0A0A0A"/>
          <w:spacing w:val="-10"/>
        </w:rPr>
        <w:t>Conference: European Battery, Hybrid and Fuel Cell Electric Vehicle Congress</w:t>
      </w:r>
      <w:r>
        <w:rPr>
          <w:rFonts w:cstheme="minorHAnsi"/>
          <w:i/>
          <w:iCs/>
          <w:color w:val="0A0A0A"/>
          <w:spacing w:val="-10"/>
        </w:rPr>
        <w:t xml:space="preserve">. </w:t>
      </w:r>
      <w:r>
        <w:rPr>
          <w:rFonts w:cstheme="minorHAnsi"/>
          <w:color w:val="0A0A0A"/>
          <w:spacing w:val="-10"/>
        </w:rPr>
        <w:t xml:space="preserve">Available at: </w:t>
      </w:r>
      <w:hyperlink r:id="rId28" w:history="1">
        <w:r w:rsidRPr="00F5292D">
          <w:rPr>
            <w:rStyle w:val="Hyperlink"/>
            <w:rFonts w:cstheme="minorHAnsi"/>
            <w:spacing w:val="-10"/>
          </w:rPr>
          <w:t>https://www.researchgate.net/publication/315144641_A_review_of_the_state_of_research_on_vehicle-to-grid_V2G_Progress_and_barriers_to_deployment</w:t>
        </w:r>
      </w:hyperlink>
      <w:r>
        <w:rPr>
          <w:rFonts w:cstheme="minorHAnsi"/>
          <w:color w:val="0A0A0A"/>
          <w:spacing w:val="-10"/>
        </w:rPr>
        <w:t xml:space="preserve"> </w:t>
      </w:r>
    </w:p>
    <w:p w14:paraId="3D7BFA68" w14:textId="24A419AD" w:rsidR="00561887" w:rsidRDefault="00561887" w:rsidP="00AE1873">
      <w:pPr>
        <w:pStyle w:val="ListParagraph"/>
        <w:ind w:left="420"/>
        <w:rPr>
          <w:rFonts w:cstheme="minorHAnsi"/>
          <w:color w:val="0A0A0A"/>
          <w:spacing w:val="-10"/>
        </w:rPr>
      </w:pPr>
      <w:r>
        <w:rPr>
          <w:rFonts w:cstheme="minorHAnsi"/>
          <w:color w:val="0A0A0A"/>
          <w:spacing w:val="-10"/>
        </w:rPr>
        <w:lastRenderedPageBreak/>
        <w:t xml:space="preserve">SmartGrid.gov. (2021), ‘The Smart Grid’, </w:t>
      </w:r>
      <w:r>
        <w:rPr>
          <w:rFonts w:cstheme="minorHAnsi"/>
          <w:i/>
          <w:iCs/>
          <w:color w:val="0A0A0A"/>
          <w:spacing w:val="-10"/>
        </w:rPr>
        <w:t xml:space="preserve">SmartGrid.gov. </w:t>
      </w:r>
      <w:r>
        <w:rPr>
          <w:rFonts w:cstheme="minorHAnsi"/>
          <w:color w:val="0A0A0A"/>
          <w:spacing w:val="-10"/>
        </w:rPr>
        <w:t xml:space="preserve">Available at: </w:t>
      </w:r>
      <w:hyperlink r:id="rId29" w:history="1">
        <w:r w:rsidRPr="00F5292D">
          <w:rPr>
            <w:rStyle w:val="Hyperlink"/>
            <w:rFonts w:cstheme="minorHAnsi"/>
            <w:spacing w:val="-10"/>
          </w:rPr>
          <w:t>https://www.smartgrid.gov/the_smart_grid/smart_grid.html</w:t>
        </w:r>
      </w:hyperlink>
      <w:r>
        <w:rPr>
          <w:rFonts w:cstheme="minorHAnsi"/>
          <w:color w:val="0A0A0A"/>
          <w:spacing w:val="-10"/>
        </w:rPr>
        <w:t xml:space="preserve"> </w:t>
      </w:r>
    </w:p>
    <w:p w14:paraId="774F34B2" w14:textId="34A58434" w:rsidR="00561887" w:rsidRDefault="00561887" w:rsidP="00AE1873">
      <w:pPr>
        <w:pStyle w:val="ListParagraph"/>
        <w:ind w:left="420"/>
        <w:rPr>
          <w:rFonts w:cstheme="minorHAnsi"/>
          <w:color w:val="0A0A0A"/>
          <w:spacing w:val="-10"/>
        </w:rPr>
      </w:pPr>
    </w:p>
    <w:p w14:paraId="4CCD9C53" w14:textId="10849C43" w:rsidR="00561887" w:rsidRDefault="00561887" w:rsidP="00AE1873">
      <w:pPr>
        <w:pStyle w:val="ListParagraph"/>
        <w:ind w:left="420"/>
        <w:rPr>
          <w:rFonts w:cstheme="minorHAnsi"/>
          <w:color w:val="0A0A0A"/>
          <w:spacing w:val="-10"/>
        </w:rPr>
      </w:pPr>
      <w:proofErr w:type="spellStart"/>
      <w:r>
        <w:rPr>
          <w:rFonts w:cstheme="minorHAnsi"/>
          <w:color w:val="0A0A0A"/>
          <w:spacing w:val="-10"/>
        </w:rPr>
        <w:t>Kanellos</w:t>
      </w:r>
      <w:proofErr w:type="spellEnd"/>
      <w:r>
        <w:rPr>
          <w:rFonts w:cstheme="minorHAnsi"/>
          <w:color w:val="0A0A0A"/>
          <w:spacing w:val="-10"/>
        </w:rPr>
        <w:t>, M. (2011), ‘</w:t>
      </w:r>
      <w:r w:rsidRPr="00561887">
        <w:rPr>
          <w:rFonts w:cstheme="minorHAnsi"/>
          <w:color w:val="0A0A0A"/>
          <w:spacing w:val="-10"/>
        </w:rPr>
        <w:t>Smart Grid Price Tag: $476 Billion; Benefits: $2 Trillion</w:t>
      </w:r>
      <w:r>
        <w:rPr>
          <w:rFonts w:cstheme="minorHAnsi"/>
          <w:color w:val="0A0A0A"/>
          <w:spacing w:val="-10"/>
        </w:rPr>
        <w:t xml:space="preserve">’, </w:t>
      </w:r>
      <w:proofErr w:type="spellStart"/>
      <w:r>
        <w:rPr>
          <w:rFonts w:cstheme="minorHAnsi"/>
          <w:i/>
          <w:iCs/>
          <w:color w:val="0A0A0A"/>
          <w:spacing w:val="-10"/>
        </w:rPr>
        <w:t>GreenTech</w:t>
      </w:r>
      <w:proofErr w:type="spellEnd"/>
      <w:r>
        <w:rPr>
          <w:rFonts w:cstheme="minorHAnsi"/>
          <w:i/>
          <w:iCs/>
          <w:color w:val="0A0A0A"/>
          <w:spacing w:val="-10"/>
        </w:rPr>
        <w:t xml:space="preserve"> Media. </w:t>
      </w:r>
      <w:r>
        <w:rPr>
          <w:rFonts w:cstheme="minorHAnsi"/>
          <w:color w:val="0A0A0A"/>
          <w:spacing w:val="-10"/>
        </w:rPr>
        <w:t xml:space="preserve">Available at: </w:t>
      </w:r>
      <w:hyperlink r:id="rId30" w:history="1">
        <w:r w:rsidRPr="00F5292D">
          <w:rPr>
            <w:rStyle w:val="Hyperlink"/>
            <w:rFonts w:cstheme="minorHAnsi"/>
            <w:spacing w:val="-10"/>
          </w:rPr>
          <w:t>https://www.greentechmedia.com/articles/read/smart-grid-price-tag-476-billion-benefits-2-trillion</w:t>
        </w:r>
      </w:hyperlink>
      <w:r>
        <w:rPr>
          <w:rFonts w:cstheme="minorHAnsi"/>
          <w:color w:val="0A0A0A"/>
          <w:spacing w:val="-10"/>
        </w:rPr>
        <w:t xml:space="preserve"> </w:t>
      </w:r>
    </w:p>
    <w:p w14:paraId="4A6B7308" w14:textId="5439E027" w:rsidR="00561887" w:rsidRDefault="00561887" w:rsidP="00AE1873">
      <w:pPr>
        <w:pStyle w:val="ListParagraph"/>
        <w:ind w:left="420"/>
        <w:rPr>
          <w:rFonts w:cstheme="minorHAnsi"/>
          <w:color w:val="0A0A0A"/>
          <w:spacing w:val="-10"/>
        </w:rPr>
      </w:pPr>
    </w:p>
    <w:p w14:paraId="4B590A24" w14:textId="6319BBEE" w:rsidR="00561887" w:rsidRDefault="00561887" w:rsidP="00AE1873">
      <w:pPr>
        <w:pStyle w:val="ListParagraph"/>
        <w:ind w:left="420"/>
        <w:rPr>
          <w:rFonts w:cstheme="minorHAnsi"/>
          <w:color w:val="0A0A0A"/>
          <w:spacing w:val="-10"/>
        </w:rPr>
      </w:pPr>
      <w:r>
        <w:rPr>
          <w:rFonts w:cstheme="minorHAnsi"/>
          <w:color w:val="0A0A0A"/>
          <w:spacing w:val="-10"/>
        </w:rPr>
        <w:t xml:space="preserve">Nissan. (2021), ‘Vehicle to Grid </w:t>
      </w:r>
      <w:proofErr w:type="gramStart"/>
      <w:r>
        <w:rPr>
          <w:rFonts w:cstheme="minorHAnsi"/>
          <w:color w:val="0A0A0A"/>
          <w:spacing w:val="-10"/>
        </w:rPr>
        <w:t>The</w:t>
      </w:r>
      <w:proofErr w:type="gramEnd"/>
      <w:r>
        <w:rPr>
          <w:rFonts w:cstheme="minorHAnsi"/>
          <w:color w:val="0A0A0A"/>
          <w:spacing w:val="-10"/>
        </w:rPr>
        <w:t xml:space="preserve"> Future of Car Charging’, </w:t>
      </w:r>
      <w:r>
        <w:rPr>
          <w:rFonts w:cstheme="minorHAnsi"/>
          <w:i/>
          <w:iCs/>
          <w:color w:val="0A0A0A"/>
          <w:spacing w:val="-10"/>
        </w:rPr>
        <w:t xml:space="preserve">Nissan. </w:t>
      </w:r>
      <w:r>
        <w:rPr>
          <w:rFonts w:cstheme="minorHAnsi"/>
          <w:color w:val="0A0A0A"/>
          <w:spacing w:val="-10"/>
        </w:rPr>
        <w:t xml:space="preserve">Available at: </w:t>
      </w:r>
      <w:hyperlink r:id="rId31" w:history="1">
        <w:r w:rsidRPr="00F5292D">
          <w:rPr>
            <w:rStyle w:val="Hyperlink"/>
            <w:rFonts w:cstheme="minorHAnsi"/>
            <w:spacing w:val="-10"/>
          </w:rPr>
          <w:t>https://www.nissan.co.uk/range/electric-cars-technology/v2g.html</w:t>
        </w:r>
      </w:hyperlink>
      <w:r>
        <w:rPr>
          <w:rFonts w:cstheme="minorHAnsi"/>
          <w:color w:val="0A0A0A"/>
          <w:spacing w:val="-10"/>
        </w:rPr>
        <w:t xml:space="preserve"> </w:t>
      </w:r>
    </w:p>
    <w:p w14:paraId="6D4B8774" w14:textId="535EBF53" w:rsidR="00561887" w:rsidRDefault="00561887" w:rsidP="00AE1873">
      <w:pPr>
        <w:pStyle w:val="ListParagraph"/>
        <w:ind w:left="420"/>
        <w:rPr>
          <w:rFonts w:cstheme="minorHAnsi"/>
          <w:color w:val="0A0A0A"/>
          <w:spacing w:val="-10"/>
        </w:rPr>
      </w:pPr>
    </w:p>
    <w:p w14:paraId="74DEA3B3" w14:textId="7E566D81" w:rsidR="00561887" w:rsidRDefault="00561887" w:rsidP="00AE1873">
      <w:pPr>
        <w:pStyle w:val="ListParagraph"/>
        <w:ind w:left="420"/>
        <w:rPr>
          <w:rFonts w:cstheme="minorHAnsi"/>
          <w:color w:val="0A0A0A"/>
          <w:spacing w:val="-10"/>
        </w:rPr>
      </w:pPr>
      <w:r>
        <w:rPr>
          <w:rFonts w:cstheme="minorHAnsi"/>
          <w:color w:val="0A0A0A"/>
          <w:spacing w:val="-10"/>
        </w:rPr>
        <w:t xml:space="preserve">EDF. (2021), ‘Vehicle to Grid (V2G) Business Solution’, </w:t>
      </w:r>
      <w:r>
        <w:rPr>
          <w:rFonts w:cstheme="minorHAnsi"/>
          <w:i/>
          <w:iCs/>
          <w:color w:val="0A0A0A"/>
          <w:spacing w:val="-10"/>
        </w:rPr>
        <w:t xml:space="preserve">EDF. </w:t>
      </w:r>
      <w:r>
        <w:rPr>
          <w:rFonts w:cstheme="minorHAnsi"/>
          <w:color w:val="0A0A0A"/>
          <w:spacing w:val="-10"/>
        </w:rPr>
        <w:t xml:space="preserve">Available at: </w:t>
      </w:r>
      <w:hyperlink r:id="rId32" w:history="1">
        <w:r w:rsidRPr="00F5292D">
          <w:rPr>
            <w:rStyle w:val="Hyperlink"/>
            <w:rFonts w:cstheme="minorHAnsi"/>
            <w:spacing w:val="-10"/>
          </w:rPr>
          <w:t>https://www.edfenergy.com/electric-cars/vehicle-grid</w:t>
        </w:r>
      </w:hyperlink>
      <w:r>
        <w:rPr>
          <w:rFonts w:cstheme="minorHAnsi"/>
          <w:color w:val="0A0A0A"/>
          <w:spacing w:val="-10"/>
        </w:rPr>
        <w:t xml:space="preserve"> </w:t>
      </w:r>
    </w:p>
    <w:p w14:paraId="54B3D9E9" w14:textId="12BB96CA" w:rsidR="00561887" w:rsidRDefault="00561887" w:rsidP="00AE1873">
      <w:pPr>
        <w:pStyle w:val="ListParagraph"/>
        <w:ind w:left="420"/>
        <w:rPr>
          <w:rFonts w:cstheme="minorHAnsi"/>
          <w:color w:val="0A0A0A"/>
          <w:spacing w:val="-10"/>
        </w:rPr>
      </w:pPr>
    </w:p>
    <w:p w14:paraId="41948060" w14:textId="679DC9EE" w:rsidR="00561887" w:rsidRDefault="00561887" w:rsidP="00AE1873">
      <w:pPr>
        <w:pStyle w:val="ListParagraph"/>
        <w:ind w:left="420"/>
        <w:rPr>
          <w:rFonts w:cstheme="minorHAnsi"/>
          <w:color w:val="0A0A0A"/>
          <w:spacing w:val="-10"/>
        </w:rPr>
      </w:pPr>
      <w:r>
        <w:rPr>
          <w:rFonts w:cstheme="minorHAnsi"/>
          <w:color w:val="0A0A0A"/>
          <w:spacing w:val="-10"/>
        </w:rPr>
        <w:t xml:space="preserve">pod point. (2021), ‘EV Charging Connector Types and Speeds’, </w:t>
      </w:r>
      <w:r>
        <w:rPr>
          <w:rFonts w:cstheme="minorHAnsi"/>
          <w:i/>
          <w:iCs/>
          <w:color w:val="0A0A0A"/>
          <w:spacing w:val="-10"/>
        </w:rPr>
        <w:t xml:space="preserve">pod point. </w:t>
      </w:r>
      <w:r>
        <w:rPr>
          <w:rFonts w:cstheme="minorHAnsi"/>
          <w:color w:val="0A0A0A"/>
          <w:spacing w:val="-10"/>
        </w:rPr>
        <w:t xml:space="preserve">Available at: </w:t>
      </w:r>
      <w:hyperlink r:id="rId33" w:history="1">
        <w:r w:rsidRPr="00F5292D">
          <w:rPr>
            <w:rStyle w:val="Hyperlink"/>
            <w:rFonts w:cstheme="minorHAnsi"/>
            <w:spacing w:val="-10"/>
          </w:rPr>
          <w:t>https://pod-point.com/guides/driver/ev-connector-types-speed</w:t>
        </w:r>
      </w:hyperlink>
      <w:r>
        <w:rPr>
          <w:rFonts w:cstheme="minorHAnsi"/>
          <w:color w:val="0A0A0A"/>
          <w:spacing w:val="-10"/>
        </w:rPr>
        <w:t xml:space="preserve"> </w:t>
      </w:r>
    </w:p>
    <w:p w14:paraId="2B589EBB" w14:textId="01CE3BA9" w:rsidR="00F1515E" w:rsidRDefault="00F1515E" w:rsidP="00AE1873">
      <w:pPr>
        <w:pStyle w:val="ListParagraph"/>
        <w:ind w:left="420"/>
        <w:rPr>
          <w:rFonts w:cstheme="minorHAnsi"/>
          <w:color w:val="0A0A0A"/>
          <w:spacing w:val="-10"/>
        </w:rPr>
      </w:pPr>
    </w:p>
    <w:p w14:paraId="5FD3800F" w14:textId="70BC706F" w:rsidR="00F1515E" w:rsidRPr="00F1515E" w:rsidRDefault="00F1515E" w:rsidP="00AE1873">
      <w:pPr>
        <w:pStyle w:val="ListParagraph"/>
        <w:ind w:left="420"/>
        <w:rPr>
          <w:rFonts w:cstheme="minorHAnsi"/>
          <w:color w:val="0A0A0A"/>
          <w:spacing w:val="-10"/>
        </w:rPr>
      </w:pPr>
      <w:r>
        <w:rPr>
          <w:rFonts w:cstheme="minorHAnsi"/>
          <w:color w:val="0A0A0A"/>
          <w:spacing w:val="-10"/>
        </w:rPr>
        <w:t xml:space="preserve">ZAPMAP. (2021), ‘map’, </w:t>
      </w:r>
      <w:r>
        <w:rPr>
          <w:rFonts w:cstheme="minorHAnsi"/>
          <w:i/>
          <w:iCs/>
          <w:color w:val="0A0A0A"/>
          <w:spacing w:val="-10"/>
        </w:rPr>
        <w:t xml:space="preserve">ZAPMAP. </w:t>
      </w:r>
      <w:r>
        <w:rPr>
          <w:rFonts w:cstheme="minorHAnsi"/>
          <w:color w:val="0A0A0A"/>
          <w:spacing w:val="-10"/>
        </w:rPr>
        <w:t xml:space="preserve">Available at: </w:t>
      </w:r>
      <w:hyperlink r:id="rId34" w:history="1">
        <w:r w:rsidRPr="00F5292D">
          <w:rPr>
            <w:rStyle w:val="Hyperlink"/>
            <w:rFonts w:cstheme="minorHAnsi"/>
            <w:spacing w:val="-10"/>
          </w:rPr>
          <w:t>https://www.zap-map.com/live/</w:t>
        </w:r>
      </w:hyperlink>
      <w:r>
        <w:rPr>
          <w:rFonts w:cstheme="minorHAnsi"/>
          <w:color w:val="0A0A0A"/>
          <w:spacing w:val="-10"/>
        </w:rPr>
        <w:t xml:space="preserve"> </w:t>
      </w:r>
    </w:p>
    <w:p w14:paraId="77A4E6A2" w14:textId="0C30DDC0" w:rsidR="00561887" w:rsidRDefault="00561887" w:rsidP="00AE1873">
      <w:pPr>
        <w:pStyle w:val="ListParagraph"/>
        <w:ind w:left="420"/>
        <w:rPr>
          <w:rFonts w:cstheme="minorHAnsi"/>
          <w:color w:val="0A0A0A"/>
          <w:spacing w:val="-10"/>
        </w:rPr>
      </w:pPr>
    </w:p>
    <w:p w14:paraId="49B7BCD5" w14:textId="55DC35F8" w:rsidR="00561887" w:rsidRDefault="00561887" w:rsidP="00AE1873">
      <w:pPr>
        <w:pStyle w:val="ListParagraph"/>
        <w:ind w:left="420"/>
        <w:rPr>
          <w:rFonts w:cstheme="minorHAnsi"/>
          <w:color w:val="0A0A0A"/>
          <w:spacing w:val="-10"/>
        </w:rPr>
      </w:pPr>
      <w:r>
        <w:rPr>
          <w:rFonts w:cstheme="minorHAnsi"/>
          <w:color w:val="0A0A0A"/>
          <w:spacing w:val="-10"/>
        </w:rPr>
        <w:t>ZAPMAP. (2021)</w:t>
      </w:r>
      <w:r w:rsidR="00F1515E">
        <w:rPr>
          <w:rFonts w:cstheme="minorHAnsi"/>
          <w:color w:val="0A0A0A"/>
          <w:spacing w:val="-10"/>
        </w:rPr>
        <w:t xml:space="preserve">, ‘EV Charging Stats 2021’, </w:t>
      </w:r>
      <w:r w:rsidR="00F1515E">
        <w:rPr>
          <w:rFonts w:cstheme="minorHAnsi"/>
          <w:i/>
          <w:iCs/>
          <w:color w:val="0A0A0A"/>
          <w:spacing w:val="-10"/>
        </w:rPr>
        <w:t xml:space="preserve">ZAPMAP. </w:t>
      </w:r>
      <w:r w:rsidR="00F1515E">
        <w:rPr>
          <w:rFonts w:cstheme="minorHAnsi"/>
          <w:color w:val="0A0A0A"/>
          <w:spacing w:val="-10"/>
        </w:rPr>
        <w:t xml:space="preserve">Available at: </w:t>
      </w:r>
      <w:hyperlink r:id="rId35" w:history="1">
        <w:r w:rsidR="00F1515E" w:rsidRPr="00F5292D">
          <w:rPr>
            <w:rStyle w:val="Hyperlink"/>
            <w:rFonts w:cstheme="minorHAnsi"/>
            <w:spacing w:val="-10"/>
          </w:rPr>
          <w:t>https://www.zap-map.com/statistics/#points</w:t>
        </w:r>
      </w:hyperlink>
      <w:r w:rsidR="00F1515E">
        <w:rPr>
          <w:rFonts w:cstheme="minorHAnsi"/>
          <w:color w:val="0A0A0A"/>
          <w:spacing w:val="-10"/>
        </w:rPr>
        <w:t xml:space="preserve"> </w:t>
      </w:r>
    </w:p>
    <w:p w14:paraId="7C0F600E" w14:textId="74E4E7AD" w:rsidR="00F1515E" w:rsidRDefault="00F1515E" w:rsidP="00AE1873">
      <w:pPr>
        <w:pStyle w:val="ListParagraph"/>
        <w:ind w:left="420"/>
        <w:rPr>
          <w:rFonts w:cstheme="minorHAnsi"/>
          <w:color w:val="0A0A0A"/>
          <w:spacing w:val="-10"/>
        </w:rPr>
      </w:pPr>
    </w:p>
    <w:p w14:paraId="0C98DBF3" w14:textId="1DD32DBF" w:rsidR="00F1515E" w:rsidRPr="00F1515E" w:rsidRDefault="00F1515E" w:rsidP="00AE1873">
      <w:pPr>
        <w:pStyle w:val="ListParagraph"/>
        <w:ind w:left="420"/>
        <w:rPr>
          <w:rFonts w:cstheme="minorHAnsi"/>
          <w:color w:val="0A0A0A"/>
          <w:spacing w:val="-10"/>
        </w:rPr>
      </w:pPr>
      <w:r>
        <w:rPr>
          <w:rFonts w:cstheme="minorHAnsi"/>
          <w:color w:val="0A0A0A"/>
          <w:spacing w:val="-10"/>
        </w:rPr>
        <w:t xml:space="preserve">Powell, D. (2021), ‘Electric Car Statistics – Data and Projections’, </w:t>
      </w:r>
      <w:proofErr w:type="spellStart"/>
      <w:r>
        <w:rPr>
          <w:rFonts w:cstheme="minorHAnsi"/>
          <w:i/>
          <w:iCs/>
          <w:color w:val="0A0A0A"/>
          <w:spacing w:val="-10"/>
        </w:rPr>
        <w:t>Heycar</w:t>
      </w:r>
      <w:proofErr w:type="spellEnd"/>
      <w:r>
        <w:rPr>
          <w:rFonts w:cstheme="minorHAnsi"/>
          <w:i/>
          <w:iCs/>
          <w:color w:val="0A0A0A"/>
          <w:spacing w:val="-10"/>
        </w:rPr>
        <w:t xml:space="preserve">. </w:t>
      </w:r>
      <w:r>
        <w:rPr>
          <w:rFonts w:cstheme="minorHAnsi"/>
          <w:color w:val="0A0A0A"/>
          <w:spacing w:val="-10"/>
        </w:rPr>
        <w:t xml:space="preserve">Available at: </w:t>
      </w:r>
      <w:hyperlink r:id="rId36" w:history="1">
        <w:r w:rsidRPr="00F5292D">
          <w:rPr>
            <w:rStyle w:val="Hyperlink"/>
            <w:rFonts w:cstheme="minorHAnsi"/>
            <w:spacing w:val="-10"/>
          </w:rPr>
          <w:t>https://heycar.co.uk/blog/electric-cars-statistics-and-projections</w:t>
        </w:r>
      </w:hyperlink>
      <w:r>
        <w:rPr>
          <w:rFonts w:cstheme="minorHAnsi"/>
          <w:color w:val="0A0A0A"/>
          <w:spacing w:val="-10"/>
        </w:rPr>
        <w:t xml:space="preserve"> </w:t>
      </w:r>
    </w:p>
    <w:p w14:paraId="20E761C0" w14:textId="08496C2D" w:rsidR="00F1515E" w:rsidRDefault="00F1515E" w:rsidP="00AE1873">
      <w:pPr>
        <w:pStyle w:val="ListParagraph"/>
        <w:ind w:left="420"/>
        <w:rPr>
          <w:rFonts w:cstheme="minorHAnsi"/>
          <w:color w:val="0A0A0A"/>
          <w:spacing w:val="-10"/>
        </w:rPr>
      </w:pPr>
    </w:p>
    <w:p w14:paraId="03C7AB94" w14:textId="783096FC" w:rsidR="00F1515E" w:rsidRDefault="00F1515E" w:rsidP="00AE1873">
      <w:pPr>
        <w:pStyle w:val="ListParagraph"/>
        <w:ind w:left="420"/>
        <w:rPr>
          <w:rFonts w:cstheme="minorHAnsi"/>
          <w:color w:val="0A0A0A"/>
          <w:spacing w:val="-10"/>
        </w:rPr>
      </w:pPr>
      <w:r>
        <w:rPr>
          <w:rFonts w:cstheme="minorHAnsi"/>
          <w:color w:val="0A0A0A"/>
          <w:spacing w:val="-10"/>
        </w:rPr>
        <w:t>Manning, J. (2020), ‘</w:t>
      </w:r>
      <w:r w:rsidRPr="00F1515E">
        <w:rPr>
          <w:rFonts w:cstheme="minorHAnsi"/>
          <w:color w:val="0A0A0A"/>
          <w:spacing w:val="-10"/>
        </w:rPr>
        <w:t xml:space="preserve">1,300 </w:t>
      </w:r>
      <w:proofErr w:type="gramStart"/>
      <w:r w:rsidRPr="00F1515E">
        <w:rPr>
          <w:rFonts w:cstheme="minorHAnsi"/>
          <w:color w:val="0A0A0A"/>
          <w:spacing w:val="-10"/>
        </w:rPr>
        <w:t>street lights</w:t>
      </w:r>
      <w:proofErr w:type="gramEnd"/>
      <w:r w:rsidRPr="00F1515E">
        <w:rPr>
          <w:rFonts w:cstheme="minorHAnsi"/>
          <w:color w:val="0A0A0A"/>
          <w:spacing w:val="-10"/>
        </w:rPr>
        <w:t xml:space="preserve"> converted to EV chargers in London</w:t>
      </w:r>
      <w:r>
        <w:rPr>
          <w:rFonts w:cstheme="minorHAnsi"/>
          <w:color w:val="0A0A0A"/>
          <w:spacing w:val="-10"/>
        </w:rPr>
        <w:t xml:space="preserve">’, </w:t>
      </w:r>
      <w:proofErr w:type="spellStart"/>
      <w:r>
        <w:rPr>
          <w:rFonts w:cstheme="minorHAnsi"/>
          <w:i/>
          <w:iCs/>
          <w:color w:val="0A0A0A"/>
          <w:spacing w:val="-10"/>
        </w:rPr>
        <w:t>FleetEurope</w:t>
      </w:r>
      <w:proofErr w:type="spellEnd"/>
      <w:r>
        <w:rPr>
          <w:rFonts w:cstheme="minorHAnsi"/>
          <w:i/>
          <w:iCs/>
          <w:color w:val="0A0A0A"/>
          <w:spacing w:val="-10"/>
        </w:rPr>
        <w:t xml:space="preserve">. </w:t>
      </w:r>
      <w:r>
        <w:rPr>
          <w:rFonts w:cstheme="minorHAnsi"/>
          <w:color w:val="0A0A0A"/>
          <w:spacing w:val="-10"/>
        </w:rPr>
        <w:t xml:space="preserve">Available at: </w:t>
      </w:r>
      <w:r w:rsidRPr="00F1515E">
        <w:rPr>
          <w:rFonts w:cstheme="minorHAnsi"/>
          <w:color w:val="0A0A0A"/>
          <w:spacing w:val="-10"/>
        </w:rPr>
        <w:t>fleeteurope.com/en/new-energies/europe/analysis/1300-street-lights-converted-ev-chargers-london?a=JMA06&amp;t%5B0%5D=Siemens&amp;t%5B1%5D=Ubitricity&amp;t%5B2%5D=electric%20vehicle&amp;t%5B3%5D=charging%20infrastructure&amp;t%5B4%5D=London&amp;curl=1</w:t>
      </w:r>
      <w:r>
        <w:rPr>
          <w:rFonts w:cstheme="minorHAnsi"/>
          <w:color w:val="0A0A0A"/>
          <w:spacing w:val="-10"/>
        </w:rPr>
        <w:t xml:space="preserve"> </w:t>
      </w:r>
    </w:p>
    <w:p w14:paraId="7B1D2ABE" w14:textId="04D915DE" w:rsidR="00F1515E" w:rsidRDefault="00F1515E" w:rsidP="00AE1873">
      <w:pPr>
        <w:pStyle w:val="ListParagraph"/>
        <w:ind w:left="420"/>
        <w:rPr>
          <w:rFonts w:cstheme="minorHAnsi"/>
          <w:color w:val="0A0A0A"/>
          <w:spacing w:val="-10"/>
        </w:rPr>
      </w:pPr>
    </w:p>
    <w:p w14:paraId="17289C20" w14:textId="0BFA2D21" w:rsidR="00F1515E" w:rsidRDefault="00F1515E" w:rsidP="00AE1873">
      <w:pPr>
        <w:pStyle w:val="ListParagraph"/>
        <w:ind w:left="420"/>
        <w:rPr>
          <w:rFonts w:cstheme="minorHAnsi"/>
          <w:color w:val="0A0A0A"/>
          <w:spacing w:val="-10"/>
        </w:rPr>
      </w:pPr>
    </w:p>
    <w:p w14:paraId="17A1F2A1" w14:textId="3AE5C156" w:rsidR="00F1515E" w:rsidRDefault="00F1515E" w:rsidP="00AE1873">
      <w:pPr>
        <w:pStyle w:val="ListParagraph"/>
        <w:ind w:left="420"/>
        <w:rPr>
          <w:rFonts w:cstheme="minorHAnsi"/>
          <w:color w:val="0A0A0A"/>
          <w:spacing w:val="-10"/>
        </w:rPr>
      </w:pPr>
    </w:p>
    <w:p w14:paraId="1B36D896" w14:textId="221FABE4" w:rsidR="00F1515E" w:rsidRDefault="00F1515E" w:rsidP="00AE1873">
      <w:pPr>
        <w:pStyle w:val="ListParagraph"/>
        <w:ind w:left="420"/>
        <w:rPr>
          <w:rFonts w:cstheme="minorHAnsi"/>
          <w:color w:val="0A0A0A"/>
          <w:spacing w:val="-10"/>
        </w:rPr>
      </w:pPr>
    </w:p>
    <w:p w14:paraId="3412028D" w14:textId="31F8A1F5" w:rsidR="00F1515E" w:rsidRDefault="00F1515E" w:rsidP="00AE1873">
      <w:pPr>
        <w:pStyle w:val="ListParagraph"/>
        <w:ind w:left="420"/>
        <w:rPr>
          <w:rFonts w:cstheme="minorHAnsi"/>
          <w:color w:val="0A0A0A"/>
          <w:spacing w:val="-10"/>
        </w:rPr>
      </w:pPr>
    </w:p>
    <w:p w14:paraId="2A69F977" w14:textId="3E940C51" w:rsidR="00F1515E" w:rsidRDefault="00F1515E" w:rsidP="00AE1873">
      <w:pPr>
        <w:pStyle w:val="ListParagraph"/>
        <w:ind w:left="420"/>
        <w:rPr>
          <w:rFonts w:cstheme="minorHAnsi"/>
          <w:color w:val="0A0A0A"/>
          <w:spacing w:val="-10"/>
        </w:rPr>
      </w:pPr>
    </w:p>
    <w:p w14:paraId="50A96135" w14:textId="0D0309AB" w:rsidR="00F1515E" w:rsidRDefault="00F1515E" w:rsidP="00AE1873">
      <w:pPr>
        <w:pStyle w:val="ListParagraph"/>
        <w:ind w:left="420"/>
        <w:rPr>
          <w:rFonts w:cstheme="minorHAnsi"/>
          <w:color w:val="0A0A0A"/>
          <w:spacing w:val="-10"/>
        </w:rPr>
      </w:pPr>
    </w:p>
    <w:p w14:paraId="4896AFAD" w14:textId="57DE4F6C" w:rsidR="00F1515E" w:rsidRDefault="00F1515E" w:rsidP="00AE1873">
      <w:pPr>
        <w:pStyle w:val="ListParagraph"/>
        <w:ind w:left="420"/>
        <w:rPr>
          <w:rFonts w:cstheme="minorHAnsi"/>
          <w:color w:val="0A0A0A"/>
          <w:spacing w:val="-10"/>
        </w:rPr>
      </w:pPr>
    </w:p>
    <w:p w14:paraId="0699B855" w14:textId="52413D0A" w:rsidR="00F1515E" w:rsidRDefault="00F1515E" w:rsidP="00AE1873">
      <w:pPr>
        <w:pStyle w:val="ListParagraph"/>
        <w:ind w:left="420"/>
        <w:rPr>
          <w:rFonts w:cstheme="minorHAnsi"/>
          <w:color w:val="0A0A0A"/>
          <w:spacing w:val="-10"/>
        </w:rPr>
      </w:pPr>
    </w:p>
    <w:p w14:paraId="2BCF9043" w14:textId="54DE15D5" w:rsidR="00F1515E" w:rsidRDefault="00F1515E" w:rsidP="00AE1873">
      <w:pPr>
        <w:pStyle w:val="ListParagraph"/>
        <w:ind w:left="420"/>
        <w:rPr>
          <w:rFonts w:cstheme="minorHAnsi"/>
          <w:color w:val="0A0A0A"/>
          <w:spacing w:val="-10"/>
        </w:rPr>
      </w:pPr>
    </w:p>
    <w:p w14:paraId="66F86EC2" w14:textId="63BDF545" w:rsidR="00F1515E" w:rsidRDefault="00F1515E" w:rsidP="00AE1873">
      <w:pPr>
        <w:pStyle w:val="ListParagraph"/>
        <w:ind w:left="420"/>
        <w:rPr>
          <w:rFonts w:cstheme="minorHAnsi"/>
          <w:color w:val="0A0A0A"/>
          <w:spacing w:val="-10"/>
        </w:rPr>
      </w:pPr>
    </w:p>
    <w:p w14:paraId="09774E62" w14:textId="4106B1CF" w:rsidR="00F1515E" w:rsidRDefault="00F1515E" w:rsidP="00AE1873">
      <w:pPr>
        <w:pStyle w:val="ListParagraph"/>
        <w:ind w:left="420"/>
        <w:rPr>
          <w:rFonts w:cstheme="minorHAnsi"/>
          <w:color w:val="0A0A0A"/>
          <w:spacing w:val="-10"/>
        </w:rPr>
      </w:pPr>
    </w:p>
    <w:p w14:paraId="38E0327C" w14:textId="0BFD8230" w:rsidR="00F1515E" w:rsidRDefault="00F1515E" w:rsidP="00AE1873">
      <w:pPr>
        <w:pStyle w:val="ListParagraph"/>
        <w:ind w:left="420"/>
        <w:rPr>
          <w:rFonts w:cstheme="minorHAnsi"/>
          <w:color w:val="0A0A0A"/>
          <w:spacing w:val="-10"/>
        </w:rPr>
      </w:pPr>
    </w:p>
    <w:p w14:paraId="17781553" w14:textId="74D6D93B" w:rsidR="00F1515E" w:rsidRDefault="00F1515E" w:rsidP="00AE1873">
      <w:pPr>
        <w:pStyle w:val="ListParagraph"/>
        <w:ind w:left="420"/>
        <w:rPr>
          <w:rFonts w:cstheme="minorHAnsi"/>
          <w:color w:val="0A0A0A"/>
          <w:spacing w:val="-10"/>
        </w:rPr>
      </w:pPr>
    </w:p>
    <w:p w14:paraId="7158A298" w14:textId="70628C4A" w:rsidR="00F1515E" w:rsidRDefault="00F1515E" w:rsidP="00AE1873">
      <w:pPr>
        <w:pStyle w:val="ListParagraph"/>
        <w:ind w:left="420"/>
        <w:rPr>
          <w:rFonts w:cstheme="minorHAnsi"/>
          <w:color w:val="0A0A0A"/>
          <w:spacing w:val="-10"/>
        </w:rPr>
      </w:pPr>
    </w:p>
    <w:p w14:paraId="0FACE274" w14:textId="76784172" w:rsidR="00F1515E" w:rsidRDefault="00F1515E" w:rsidP="00AE1873">
      <w:pPr>
        <w:pStyle w:val="ListParagraph"/>
        <w:ind w:left="420"/>
        <w:rPr>
          <w:rFonts w:cstheme="minorHAnsi"/>
          <w:color w:val="0A0A0A"/>
          <w:spacing w:val="-10"/>
        </w:rPr>
      </w:pPr>
    </w:p>
    <w:p w14:paraId="7E73B34A" w14:textId="37B207E8" w:rsidR="00F1515E" w:rsidRDefault="00F1515E" w:rsidP="00AE1873">
      <w:pPr>
        <w:pStyle w:val="ListParagraph"/>
        <w:ind w:left="420"/>
        <w:rPr>
          <w:rFonts w:cstheme="minorHAnsi"/>
          <w:color w:val="0A0A0A"/>
          <w:spacing w:val="-10"/>
        </w:rPr>
      </w:pPr>
    </w:p>
    <w:p w14:paraId="43E62A05" w14:textId="6FE6DA61" w:rsidR="00F1515E" w:rsidRDefault="00F1515E" w:rsidP="00AE1873">
      <w:pPr>
        <w:pStyle w:val="ListParagraph"/>
        <w:ind w:left="420"/>
        <w:rPr>
          <w:rFonts w:cstheme="minorHAnsi"/>
          <w:color w:val="0A0A0A"/>
          <w:spacing w:val="-10"/>
        </w:rPr>
      </w:pPr>
    </w:p>
    <w:p w14:paraId="0654AFE8" w14:textId="79ED03B6" w:rsidR="00F1515E" w:rsidRDefault="00F1515E" w:rsidP="00AE1873">
      <w:pPr>
        <w:pStyle w:val="ListParagraph"/>
        <w:ind w:left="420"/>
        <w:rPr>
          <w:rFonts w:cstheme="minorHAnsi"/>
          <w:color w:val="0A0A0A"/>
          <w:spacing w:val="-10"/>
        </w:rPr>
      </w:pPr>
    </w:p>
    <w:p w14:paraId="14B4524F" w14:textId="64C65778" w:rsidR="00F1515E" w:rsidRDefault="00F1515E" w:rsidP="00AE1873">
      <w:pPr>
        <w:pStyle w:val="ListParagraph"/>
        <w:ind w:left="420"/>
        <w:rPr>
          <w:rFonts w:cstheme="minorHAnsi"/>
          <w:color w:val="0A0A0A"/>
          <w:spacing w:val="-10"/>
        </w:rPr>
      </w:pPr>
    </w:p>
    <w:p w14:paraId="0460B0B8" w14:textId="0C682BD5" w:rsidR="00F1515E" w:rsidRDefault="00F1515E" w:rsidP="00AE1873">
      <w:pPr>
        <w:pStyle w:val="ListParagraph"/>
        <w:ind w:left="420"/>
        <w:rPr>
          <w:rFonts w:cstheme="minorHAnsi"/>
          <w:color w:val="0A0A0A"/>
          <w:spacing w:val="-10"/>
        </w:rPr>
      </w:pPr>
    </w:p>
    <w:p w14:paraId="13664B92" w14:textId="19A7B5E0" w:rsidR="00F1515E" w:rsidRDefault="00F1515E" w:rsidP="00AE1873">
      <w:pPr>
        <w:pStyle w:val="ListParagraph"/>
        <w:ind w:left="420"/>
        <w:rPr>
          <w:rFonts w:cstheme="minorHAnsi"/>
          <w:b/>
          <w:bCs/>
          <w:color w:val="0A0A0A"/>
          <w:spacing w:val="-10"/>
          <w:sz w:val="28"/>
          <w:szCs w:val="28"/>
          <w:u w:val="single"/>
        </w:rPr>
      </w:pPr>
      <w:r>
        <w:rPr>
          <w:rFonts w:cstheme="minorHAnsi"/>
          <w:b/>
          <w:bCs/>
          <w:color w:val="0A0A0A"/>
          <w:spacing w:val="-10"/>
          <w:sz w:val="28"/>
          <w:szCs w:val="28"/>
          <w:u w:val="single"/>
        </w:rPr>
        <w:lastRenderedPageBreak/>
        <w:t xml:space="preserve">6.0 Bibliography </w:t>
      </w:r>
    </w:p>
    <w:p w14:paraId="51F91AE0" w14:textId="5C88EA15" w:rsidR="00F1515E" w:rsidRDefault="00F1515E" w:rsidP="00AE1873">
      <w:pPr>
        <w:pStyle w:val="ListParagraph"/>
        <w:ind w:left="420"/>
        <w:rPr>
          <w:rFonts w:cstheme="minorHAnsi"/>
          <w:b/>
          <w:bCs/>
          <w:color w:val="0A0A0A"/>
          <w:spacing w:val="-10"/>
          <w:sz w:val="28"/>
          <w:szCs w:val="28"/>
          <w:u w:val="single"/>
        </w:rPr>
      </w:pPr>
    </w:p>
    <w:p w14:paraId="64004CE4" w14:textId="08F64638" w:rsidR="00F1515E" w:rsidRPr="00F1515E" w:rsidRDefault="00F1515E" w:rsidP="00F1515E">
      <w:pPr>
        <w:pStyle w:val="ListParagraph"/>
        <w:ind w:left="420"/>
        <w:rPr>
          <w:rFonts w:cstheme="minorHAnsi"/>
          <w:i/>
          <w:iCs/>
          <w:color w:val="0A0A0A"/>
          <w:spacing w:val="-10"/>
        </w:rPr>
      </w:pPr>
      <w:r w:rsidRPr="00F1515E">
        <w:rPr>
          <w:rFonts w:cstheme="minorHAnsi"/>
          <w:color w:val="0A0A0A"/>
          <w:spacing w:val="-10"/>
        </w:rPr>
        <w:t xml:space="preserve">IRENA (2019), </w:t>
      </w:r>
      <w:r>
        <w:rPr>
          <w:rFonts w:cstheme="minorHAnsi"/>
          <w:color w:val="0A0A0A"/>
          <w:spacing w:val="-10"/>
        </w:rPr>
        <w:t>‘</w:t>
      </w:r>
      <w:r w:rsidRPr="00F1515E">
        <w:rPr>
          <w:rFonts w:cstheme="minorHAnsi"/>
          <w:color w:val="0A0A0A"/>
          <w:spacing w:val="-10"/>
        </w:rPr>
        <w:t xml:space="preserve">Innovation landscape brief: </w:t>
      </w:r>
      <w:proofErr w:type="spellStart"/>
      <w:r w:rsidRPr="00F1515E">
        <w:rPr>
          <w:rFonts w:cstheme="minorHAnsi"/>
          <w:color w:val="0A0A0A"/>
          <w:spacing w:val="-10"/>
        </w:rPr>
        <w:t>Supergrids</w:t>
      </w:r>
      <w:proofErr w:type="spellEnd"/>
      <w:r>
        <w:rPr>
          <w:rFonts w:cstheme="minorHAnsi"/>
          <w:color w:val="0A0A0A"/>
          <w:spacing w:val="-10"/>
        </w:rPr>
        <w:t>’</w:t>
      </w:r>
      <w:r w:rsidRPr="00F1515E">
        <w:rPr>
          <w:rFonts w:cstheme="minorHAnsi"/>
          <w:color w:val="0A0A0A"/>
          <w:spacing w:val="-10"/>
        </w:rPr>
        <w:t xml:space="preserve">, </w:t>
      </w:r>
      <w:r w:rsidRPr="00F1515E">
        <w:rPr>
          <w:rFonts w:cstheme="minorHAnsi"/>
          <w:i/>
          <w:iCs/>
          <w:color w:val="0A0A0A"/>
          <w:spacing w:val="-10"/>
        </w:rPr>
        <w:t>International Renewable Energy Agency,</w:t>
      </w:r>
    </w:p>
    <w:p w14:paraId="0B890A76" w14:textId="5540F5ED" w:rsidR="00F1515E" w:rsidRDefault="00F1515E" w:rsidP="00F1515E">
      <w:pPr>
        <w:pStyle w:val="ListParagraph"/>
        <w:ind w:left="420"/>
        <w:rPr>
          <w:rFonts w:cstheme="minorHAnsi"/>
          <w:color w:val="0A0A0A"/>
          <w:spacing w:val="-10"/>
        </w:rPr>
      </w:pPr>
      <w:r w:rsidRPr="00F1515E">
        <w:rPr>
          <w:rFonts w:cstheme="minorHAnsi"/>
          <w:i/>
          <w:iCs/>
          <w:color w:val="0A0A0A"/>
          <w:spacing w:val="-10"/>
        </w:rPr>
        <w:t>Abu Dhabi.</w:t>
      </w:r>
      <w:r w:rsidRPr="00F1515E">
        <w:rPr>
          <w:rFonts w:cstheme="minorHAnsi"/>
          <w:i/>
          <w:iCs/>
          <w:color w:val="0A0A0A"/>
          <w:spacing w:val="-10"/>
        </w:rPr>
        <w:t xml:space="preserve"> </w:t>
      </w:r>
      <w:r>
        <w:rPr>
          <w:rFonts w:cstheme="minorHAnsi"/>
          <w:color w:val="0A0A0A"/>
          <w:spacing w:val="-10"/>
        </w:rPr>
        <w:t>Available at:</w:t>
      </w:r>
      <w:r w:rsidRPr="00F1515E">
        <w:t xml:space="preserve"> </w:t>
      </w:r>
      <w:hyperlink r:id="rId37" w:history="1">
        <w:r w:rsidRPr="00F5292D">
          <w:rPr>
            <w:rStyle w:val="Hyperlink"/>
            <w:rFonts w:cstheme="minorHAnsi"/>
            <w:spacing w:val="-10"/>
          </w:rPr>
          <w:t>https://www.irena.org/-/media/Files/IRENA/Agency/Publication/2019/Sep/IRENA_Supergrids_2019.pdf?la=en&amp;hash=4C6639C08B1BEC582B700609C6D3C3B2E126AE70</w:t>
        </w:r>
      </w:hyperlink>
      <w:r>
        <w:rPr>
          <w:rFonts w:cstheme="minorHAnsi"/>
          <w:color w:val="0A0A0A"/>
          <w:spacing w:val="-10"/>
        </w:rPr>
        <w:t xml:space="preserve"> </w:t>
      </w:r>
    </w:p>
    <w:p w14:paraId="38276562" w14:textId="5A6923BC" w:rsidR="00F1515E" w:rsidRDefault="00F1515E" w:rsidP="00F1515E">
      <w:pPr>
        <w:pStyle w:val="ListParagraph"/>
        <w:ind w:left="420"/>
        <w:rPr>
          <w:rFonts w:cstheme="minorHAnsi"/>
          <w:color w:val="0A0A0A"/>
          <w:spacing w:val="-10"/>
        </w:rPr>
      </w:pPr>
    </w:p>
    <w:p w14:paraId="0E8CD9E9" w14:textId="36C3CBC9" w:rsidR="00F1515E" w:rsidRDefault="00F1515E" w:rsidP="00F1515E">
      <w:pPr>
        <w:pStyle w:val="ListParagraph"/>
        <w:ind w:left="420"/>
        <w:rPr>
          <w:rFonts w:cstheme="minorHAnsi"/>
          <w:color w:val="0A0A0A"/>
          <w:spacing w:val="-10"/>
        </w:rPr>
      </w:pPr>
      <w:proofErr w:type="spellStart"/>
      <w:r>
        <w:rPr>
          <w:rFonts w:cstheme="minorHAnsi"/>
          <w:color w:val="0A0A0A"/>
          <w:spacing w:val="-10"/>
        </w:rPr>
        <w:t>Sovacool</w:t>
      </w:r>
      <w:proofErr w:type="spellEnd"/>
      <w:r>
        <w:rPr>
          <w:rFonts w:cstheme="minorHAnsi"/>
          <w:color w:val="0A0A0A"/>
          <w:spacing w:val="-10"/>
        </w:rPr>
        <w:t>, B. (2018), ‘</w:t>
      </w:r>
      <w:r w:rsidRPr="00F1515E">
        <w:rPr>
          <w:rFonts w:cstheme="minorHAnsi"/>
          <w:color w:val="0A0A0A"/>
          <w:spacing w:val="-10"/>
        </w:rPr>
        <w:t>The neglected social dimensions to a vehicle-to-grid (V2G) transition: a critical and systematic review</w:t>
      </w:r>
      <w:r>
        <w:rPr>
          <w:rFonts w:cstheme="minorHAnsi"/>
          <w:color w:val="0A0A0A"/>
          <w:spacing w:val="-10"/>
        </w:rPr>
        <w:t xml:space="preserve">’, </w:t>
      </w:r>
      <w:r>
        <w:rPr>
          <w:rFonts w:cstheme="minorHAnsi"/>
          <w:i/>
          <w:iCs/>
          <w:color w:val="0A0A0A"/>
          <w:spacing w:val="-10"/>
        </w:rPr>
        <w:t xml:space="preserve">Environmental Research Letters. </w:t>
      </w:r>
      <w:r>
        <w:rPr>
          <w:rFonts w:cstheme="minorHAnsi"/>
          <w:color w:val="0A0A0A"/>
          <w:spacing w:val="-10"/>
        </w:rPr>
        <w:t xml:space="preserve">Available at: </w:t>
      </w:r>
      <w:hyperlink r:id="rId38" w:history="1">
        <w:r w:rsidRPr="00F5292D">
          <w:rPr>
            <w:rStyle w:val="Hyperlink"/>
            <w:rFonts w:cstheme="minorHAnsi"/>
            <w:spacing w:val="-10"/>
          </w:rPr>
          <w:t>https://iopscience.iop.org/article/10.1088/1748-9326/aa9c6d/meta</w:t>
        </w:r>
      </w:hyperlink>
      <w:r>
        <w:rPr>
          <w:rFonts w:cstheme="minorHAnsi"/>
          <w:color w:val="0A0A0A"/>
          <w:spacing w:val="-10"/>
        </w:rPr>
        <w:t xml:space="preserve"> </w:t>
      </w:r>
    </w:p>
    <w:p w14:paraId="106DA787" w14:textId="59C0A0C9" w:rsidR="00F1515E" w:rsidRDefault="00F1515E" w:rsidP="00F1515E">
      <w:pPr>
        <w:pStyle w:val="ListParagraph"/>
        <w:ind w:left="420"/>
        <w:rPr>
          <w:rFonts w:cstheme="minorHAnsi"/>
          <w:color w:val="0A0A0A"/>
          <w:spacing w:val="-10"/>
        </w:rPr>
      </w:pPr>
    </w:p>
    <w:p w14:paraId="4DE52871" w14:textId="730FED92" w:rsidR="00F1515E" w:rsidRDefault="00F1515E" w:rsidP="00F1515E">
      <w:pPr>
        <w:pStyle w:val="ListParagraph"/>
        <w:ind w:left="420"/>
        <w:rPr>
          <w:rFonts w:cstheme="minorHAnsi"/>
          <w:color w:val="0A0A0A"/>
          <w:spacing w:val="-10"/>
        </w:rPr>
      </w:pPr>
      <w:r>
        <w:rPr>
          <w:rFonts w:cstheme="minorHAnsi"/>
          <w:color w:val="0A0A0A"/>
          <w:spacing w:val="-10"/>
        </w:rPr>
        <w:t xml:space="preserve">Department of Energy and Climate Change. (2011), ‘UK Renewable Energy Roadmap’, </w:t>
      </w:r>
      <w:r>
        <w:rPr>
          <w:rFonts w:cstheme="minorHAnsi"/>
          <w:i/>
          <w:iCs/>
          <w:color w:val="0A0A0A"/>
          <w:spacing w:val="-10"/>
        </w:rPr>
        <w:t xml:space="preserve">Department of Energy and Climate Change. </w:t>
      </w:r>
      <w:r>
        <w:rPr>
          <w:rFonts w:cstheme="minorHAnsi"/>
          <w:color w:val="0A0A0A"/>
          <w:spacing w:val="-10"/>
        </w:rPr>
        <w:t xml:space="preserve">Available at: </w:t>
      </w:r>
      <w:hyperlink r:id="rId39" w:history="1">
        <w:r w:rsidR="00A047A8" w:rsidRPr="00F5292D">
          <w:rPr>
            <w:rStyle w:val="Hyperlink"/>
            <w:rFonts w:cstheme="minorHAnsi"/>
            <w:spacing w:val="-10"/>
          </w:rPr>
          <w:t>https://assets.publishing.service.gov.uk/government/uploads/system/uploads/attachment_data/file/48128/2167-uk-renewable-energy-roadmap.pdf</w:t>
        </w:r>
      </w:hyperlink>
      <w:r w:rsidR="00A047A8">
        <w:rPr>
          <w:rFonts w:cstheme="minorHAnsi"/>
          <w:color w:val="0A0A0A"/>
          <w:spacing w:val="-10"/>
        </w:rPr>
        <w:t xml:space="preserve"> </w:t>
      </w:r>
    </w:p>
    <w:p w14:paraId="4519FD3D" w14:textId="1114E91A" w:rsidR="00A047A8" w:rsidRDefault="00A047A8" w:rsidP="00F1515E">
      <w:pPr>
        <w:pStyle w:val="ListParagraph"/>
        <w:ind w:left="420"/>
        <w:rPr>
          <w:rFonts w:cstheme="minorHAnsi"/>
          <w:color w:val="0A0A0A"/>
          <w:spacing w:val="-10"/>
        </w:rPr>
      </w:pPr>
    </w:p>
    <w:p w14:paraId="6A3F390C" w14:textId="77C6A1B4" w:rsidR="00A047A8" w:rsidRPr="00A047A8" w:rsidRDefault="00A047A8" w:rsidP="00F1515E">
      <w:pPr>
        <w:pStyle w:val="ListParagraph"/>
        <w:ind w:left="420"/>
        <w:rPr>
          <w:rFonts w:cstheme="minorHAnsi"/>
          <w:color w:val="0A0A0A"/>
          <w:spacing w:val="-10"/>
        </w:rPr>
      </w:pPr>
      <w:r>
        <w:rPr>
          <w:rFonts w:cstheme="minorHAnsi"/>
          <w:color w:val="0A0A0A"/>
          <w:spacing w:val="-10"/>
        </w:rPr>
        <w:t xml:space="preserve">Payne, G. (2019), ‘Understanding the True Value of V2G’, </w:t>
      </w:r>
      <w:r>
        <w:rPr>
          <w:rFonts w:cstheme="minorHAnsi"/>
          <w:i/>
          <w:iCs/>
          <w:color w:val="0A0A0A"/>
          <w:spacing w:val="-10"/>
        </w:rPr>
        <w:t xml:space="preserve">CENEX. </w:t>
      </w:r>
      <w:r>
        <w:rPr>
          <w:rFonts w:cstheme="minorHAnsi"/>
          <w:color w:val="0A0A0A"/>
          <w:spacing w:val="-10"/>
        </w:rPr>
        <w:t xml:space="preserve">Available at: </w:t>
      </w:r>
      <w:hyperlink r:id="rId40" w:history="1">
        <w:r w:rsidRPr="00F5292D">
          <w:rPr>
            <w:rStyle w:val="Hyperlink"/>
            <w:rFonts w:cstheme="minorHAnsi"/>
            <w:spacing w:val="-10"/>
          </w:rPr>
          <w:t>https://www.cenex.co.uk/app/uploads/2019/10/True-Value-of-V2G-Report.pdf</w:t>
        </w:r>
      </w:hyperlink>
      <w:r>
        <w:rPr>
          <w:rFonts w:cstheme="minorHAnsi"/>
          <w:color w:val="0A0A0A"/>
          <w:spacing w:val="-10"/>
        </w:rPr>
        <w:t xml:space="preserve"> </w:t>
      </w:r>
    </w:p>
    <w:p w14:paraId="2926F044" w14:textId="77777777" w:rsidR="00F1515E" w:rsidRPr="00F1515E" w:rsidRDefault="00F1515E" w:rsidP="00AE1873">
      <w:pPr>
        <w:pStyle w:val="ListParagraph"/>
        <w:ind w:left="420"/>
        <w:rPr>
          <w:rFonts w:cstheme="minorHAnsi"/>
          <w:color w:val="0A0A0A"/>
          <w:spacing w:val="-10"/>
        </w:rPr>
      </w:pPr>
    </w:p>
    <w:p w14:paraId="691B032A" w14:textId="77777777" w:rsidR="00AE1873" w:rsidRPr="00AE1873" w:rsidRDefault="00AE1873" w:rsidP="00AE1873">
      <w:pPr>
        <w:pStyle w:val="Heading1"/>
        <w:shd w:val="clear" w:color="auto" w:fill="FEFEFE"/>
        <w:spacing w:before="144" w:beforeAutospacing="0" w:after="0" w:afterAutospacing="0"/>
        <w:rPr>
          <w:rFonts w:asciiTheme="minorHAnsi" w:hAnsiTheme="minorHAnsi" w:cstheme="minorHAnsi"/>
          <w:b w:val="0"/>
          <w:bCs w:val="0"/>
          <w:color w:val="0A0A0A"/>
          <w:spacing w:val="-10"/>
          <w:sz w:val="22"/>
          <w:szCs w:val="22"/>
        </w:rPr>
      </w:pPr>
    </w:p>
    <w:p w14:paraId="328E51B1" w14:textId="51A3AC88" w:rsidR="0052026E" w:rsidRPr="0052026E" w:rsidRDefault="0052026E" w:rsidP="0052026E">
      <w:pPr>
        <w:pStyle w:val="ListParagraph"/>
        <w:ind w:left="420"/>
        <w:rPr>
          <w:rFonts w:cstheme="minorHAnsi"/>
          <w:i/>
          <w:iCs/>
          <w:color w:val="000000" w:themeColor="text1"/>
        </w:rPr>
      </w:pPr>
      <w:r>
        <w:rPr>
          <w:rFonts w:cstheme="minorHAnsi"/>
          <w:i/>
          <w:iCs/>
          <w:color w:val="000000" w:themeColor="text1"/>
        </w:rPr>
        <w:t xml:space="preserve"> </w:t>
      </w:r>
    </w:p>
    <w:p w14:paraId="2FD2D3A8" w14:textId="77777777" w:rsidR="003334AD" w:rsidRDefault="003334AD" w:rsidP="00C35402">
      <w:pPr>
        <w:pStyle w:val="ListParagraph"/>
        <w:ind w:left="420"/>
        <w:rPr>
          <w:rFonts w:cstheme="minorHAnsi"/>
          <w:color w:val="000000" w:themeColor="text1"/>
        </w:rPr>
      </w:pPr>
    </w:p>
    <w:p w14:paraId="3973B53D" w14:textId="77777777" w:rsidR="003334AD" w:rsidRDefault="003334AD" w:rsidP="00C35402">
      <w:pPr>
        <w:pStyle w:val="ListParagraph"/>
        <w:ind w:left="420"/>
        <w:rPr>
          <w:rFonts w:cstheme="minorHAnsi"/>
          <w:color w:val="000000" w:themeColor="text1"/>
        </w:rPr>
      </w:pPr>
    </w:p>
    <w:p w14:paraId="4A5D677B" w14:textId="77777777" w:rsidR="003334AD" w:rsidRDefault="003334AD" w:rsidP="00C35402">
      <w:pPr>
        <w:pStyle w:val="ListParagraph"/>
        <w:ind w:left="420"/>
        <w:rPr>
          <w:rFonts w:cstheme="minorHAnsi"/>
          <w:color w:val="000000" w:themeColor="text1"/>
        </w:rPr>
      </w:pPr>
    </w:p>
    <w:p w14:paraId="4BBCEB48" w14:textId="77777777" w:rsidR="003334AD" w:rsidRDefault="003334AD" w:rsidP="00C35402">
      <w:pPr>
        <w:pStyle w:val="ListParagraph"/>
        <w:ind w:left="420"/>
        <w:rPr>
          <w:rFonts w:cstheme="minorHAnsi"/>
          <w:color w:val="000000" w:themeColor="text1"/>
        </w:rPr>
      </w:pPr>
    </w:p>
    <w:p w14:paraId="3C613034" w14:textId="77777777" w:rsidR="003334AD" w:rsidRDefault="003334AD" w:rsidP="00C35402">
      <w:pPr>
        <w:pStyle w:val="ListParagraph"/>
        <w:ind w:left="420"/>
        <w:rPr>
          <w:rFonts w:cstheme="minorHAnsi"/>
          <w:color w:val="000000" w:themeColor="text1"/>
        </w:rPr>
      </w:pPr>
    </w:p>
    <w:p w14:paraId="7A745EF7" w14:textId="77777777" w:rsidR="003334AD" w:rsidRDefault="003334AD" w:rsidP="00C35402">
      <w:pPr>
        <w:pStyle w:val="ListParagraph"/>
        <w:ind w:left="420"/>
        <w:rPr>
          <w:rFonts w:cstheme="minorHAnsi"/>
          <w:color w:val="000000" w:themeColor="text1"/>
        </w:rPr>
      </w:pPr>
    </w:p>
    <w:p w14:paraId="184F960F" w14:textId="77777777" w:rsidR="003334AD" w:rsidRDefault="003334AD" w:rsidP="00C35402">
      <w:pPr>
        <w:pStyle w:val="ListParagraph"/>
        <w:ind w:left="420"/>
        <w:rPr>
          <w:rFonts w:cstheme="minorHAnsi"/>
          <w:color w:val="000000" w:themeColor="text1"/>
        </w:rPr>
      </w:pPr>
    </w:p>
    <w:p w14:paraId="6AED1872" w14:textId="77777777" w:rsidR="003334AD" w:rsidRDefault="003334AD" w:rsidP="00C35402">
      <w:pPr>
        <w:pStyle w:val="ListParagraph"/>
        <w:ind w:left="420"/>
        <w:rPr>
          <w:rFonts w:cstheme="minorHAnsi"/>
          <w:color w:val="000000" w:themeColor="text1"/>
        </w:rPr>
      </w:pPr>
    </w:p>
    <w:p w14:paraId="529FDD1D" w14:textId="77777777" w:rsidR="003334AD" w:rsidRDefault="003334AD" w:rsidP="00C35402">
      <w:pPr>
        <w:pStyle w:val="ListParagraph"/>
        <w:ind w:left="420"/>
        <w:rPr>
          <w:rFonts w:cstheme="minorHAnsi"/>
          <w:color w:val="000000" w:themeColor="text1"/>
        </w:rPr>
      </w:pPr>
    </w:p>
    <w:p w14:paraId="477977C7" w14:textId="77777777" w:rsidR="003334AD" w:rsidRDefault="003334AD" w:rsidP="00C35402">
      <w:pPr>
        <w:pStyle w:val="ListParagraph"/>
        <w:ind w:left="420"/>
        <w:rPr>
          <w:rFonts w:cstheme="minorHAnsi"/>
          <w:color w:val="000000" w:themeColor="text1"/>
        </w:rPr>
      </w:pPr>
    </w:p>
    <w:p w14:paraId="648D26ED" w14:textId="77777777" w:rsidR="003334AD" w:rsidRDefault="003334AD" w:rsidP="00C35402">
      <w:pPr>
        <w:pStyle w:val="ListParagraph"/>
        <w:ind w:left="420"/>
        <w:rPr>
          <w:rFonts w:cstheme="minorHAnsi"/>
          <w:color w:val="000000" w:themeColor="text1"/>
        </w:rPr>
      </w:pPr>
    </w:p>
    <w:p w14:paraId="2D0C755E" w14:textId="77777777" w:rsidR="003334AD" w:rsidRDefault="003334AD" w:rsidP="00C35402">
      <w:pPr>
        <w:pStyle w:val="ListParagraph"/>
        <w:ind w:left="420"/>
        <w:rPr>
          <w:rFonts w:cstheme="minorHAnsi"/>
          <w:color w:val="000000" w:themeColor="text1"/>
        </w:rPr>
      </w:pPr>
    </w:p>
    <w:p w14:paraId="4D796448" w14:textId="77777777" w:rsidR="003334AD" w:rsidRDefault="003334AD" w:rsidP="00C35402">
      <w:pPr>
        <w:pStyle w:val="ListParagraph"/>
        <w:ind w:left="420"/>
        <w:rPr>
          <w:rFonts w:cstheme="minorHAnsi"/>
          <w:color w:val="000000" w:themeColor="text1"/>
        </w:rPr>
      </w:pPr>
    </w:p>
    <w:p w14:paraId="070741D1" w14:textId="77777777" w:rsidR="003334AD" w:rsidRDefault="003334AD" w:rsidP="00C35402">
      <w:pPr>
        <w:pStyle w:val="ListParagraph"/>
        <w:ind w:left="420"/>
        <w:rPr>
          <w:rFonts w:cstheme="minorHAnsi"/>
          <w:color w:val="000000" w:themeColor="text1"/>
        </w:rPr>
      </w:pPr>
    </w:p>
    <w:p w14:paraId="627B7018" w14:textId="77777777" w:rsidR="003334AD" w:rsidRDefault="003334AD" w:rsidP="00C35402">
      <w:pPr>
        <w:pStyle w:val="ListParagraph"/>
        <w:ind w:left="420"/>
        <w:rPr>
          <w:rFonts w:cstheme="minorHAnsi"/>
          <w:color w:val="000000" w:themeColor="text1"/>
        </w:rPr>
      </w:pPr>
    </w:p>
    <w:p w14:paraId="6A9080D8" w14:textId="77777777" w:rsidR="003334AD" w:rsidRDefault="003334AD" w:rsidP="00C35402">
      <w:pPr>
        <w:pStyle w:val="ListParagraph"/>
        <w:ind w:left="420"/>
        <w:rPr>
          <w:rFonts w:cstheme="minorHAnsi"/>
          <w:color w:val="000000" w:themeColor="text1"/>
        </w:rPr>
      </w:pPr>
    </w:p>
    <w:p w14:paraId="1226AD62" w14:textId="77777777" w:rsidR="003334AD" w:rsidRDefault="003334AD" w:rsidP="00C35402">
      <w:pPr>
        <w:pStyle w:val="ListParagraph"/>
        <w:ind w:left="420"/>
        <w:rPr>
          <w:rFonts w:cstheme="minorHAnsi"/>
          <w:color w:val="000000" w:themeColor="text1"/>
        </w:rPr>
      </w:pPr>
    </w:p>
    <w:p w14:paraId="4B8EE607" w14:textId="2C5B9242" w:rsidR="00A43624" w:rsidRDefault="00A43624" w:rsidP="00C35402">
      <w:pPr>
        <w:pStyle w:val="ListParagraph"/>
        <w:ind w:left="420"/>
        <w:rPr>
          <w:rFonts w:cstheme="minorHAnsi"/>
          <w:color w:val="000000" w:themeColor="text1"/>
        </w:rPr>
      </w:pPr>
    </w:p>
    <w:p w14:paraId="6BEAE9AB" w14:textId="77777777" w:rsidR="00A43624" w:rsidRDefault="00A43624" w:rsidP="00C35402">
      <w:pPr>
        <w:pStyle w:val="ListParagraph"/>
        <w:ind w:left="420"/>
        <w:rPr>
          <w:rFonts w:cstheme="minorHAnsi"/>
          <w:color w:val="000000" w:themeColor="text1"/>
        </w:rPr>
      </w:pPr>
    </w:p>
    <w:p w14:paraId="32466AB2" w14:textId="77777777" w:rsidR="00A43624" w:rsidRDefault="00A43624" w:rsidP="00C35402">
      <w:pPr>
        <w:pStyle w:val="ListParagraph"/>
        <w:ind w:left="420"/>
        <w:rPr>
          <w:rFonts w:cstheme="minorHAnsi"/>
          <w:color w:val="000000" w:themeColor="text1"/>
        </w:rPr>
      </w:pPr>
    </w:p>
    <w:p w14:paraId="618C32CD" w14:textId="77777777" w:rsidR="00A43624" w:rsidRDefault="00A43624" w:rsidP="00C35402">
      <w:pPr>
        <w:pStyle w:val="ListParagraph"/>
        <w:ind w:left="420"/>
        <w:rPr>
          <w:rFonts w:cstheme="minorHAnsi"/>
          <w:color w:val="000000" w:themeColor="text1"/>
        </w:rPr>
      </w:pPr>
    </w:p>
    <w:p w14:paraId="5AA6D76D" w14:textId="77777777" w:rsidR="00A43624" w:rsidRDefault="00A43624" w:rsidP="00C35402">
      <w:pPr>
        <w:pStyle w:val="ListParagraph"/>
        <w:ind w:left="420"/>
        <w:rPr>
          <w:rFonts w:cstheme="minorHAnsi"/>
          <w:color w:val="000000" w:themeColor="text1"/>
        </w:rPr>
      </w:pPr>
    </w:p>
    <w:p w14:paraId="1039F085" w14:textId="77777777" w:rsidR="00A43624" w:rsidRDefault="00A43624" w:rsidP="00C35402">
      <w:pPr>
        <w:pStyle w:val="ListParagraph"/>
        <w:ind w:left="420"/>
        <w:rPr>
          <w:rFonts w:cstheme="minorHAnsi"/>
          <w:color w:val="000000" w:themeColor="text1"/>
        </w:rPr>
      </w:pPr>
    </w:p>
    <w:p w14:paraId="64E36486" w14:textId="77777777" w:rsidR="00A43624" w:rsidRDefault="00A43624" w:rsidP="00C35402">
      <w:pPr>
        <w:pStyle w:val="ListParagraph"/>
        <w:ind w:left="420"/>
        <w:rPr>
          <w:rFonts w:cstheme="minorHAnsi"/>
          <w:color w:val="000000" w:themeColor="text1"/>
        </w:rPr>
      </w:pPr>
    </w:p>
    <w:p w14:paraId="0FBCB7FB" w14:textId="77777777" w:rsidR="00A43624" w:rsidRDefault="00A43624" w:rsidP="00C35402">
      <w:pPr>
        <w:pStyle w:val="ListParagraph"/>
        <w:ind w:left="420"/>
        <w:rPr>
          <w:rFonts w:cstheme="minorHAnsi"/>
          <w:color w:val="000000" w:themeColor="text1"/>
        </w:rPr>
      </w:pPr>
    </w:p>
    <w:p w14:paraId="2A0FEC88" w14:textId="77777777" w:rsidR="00A43624" w:rsidRDefault="00A43624" w:rsidP="00C35402">
      <w:pPr>
        <w:pStyle w:val="ListParagraph"/>
        <w:ind w:left="420"/>
        <w:rPr>
          <w:rFonts w:cstheme="minorHAnsi"/>
          <w:color w:val="000000" w:themeColor="text1"/>
        </w:rPr>
      </w:pPr>
    </w:p>
    <w:p w14:paraId="3C5CEEF6" w14:textId="77777777" w:rsidR="00A43624" w:rsidRDefault="00A43624" w:rsidP="00C35402">
      <w:pPr>
        <w:pStyle w:val="ListParagraph"/>
        <w:ind w:left="420"/>
        <w:rPr>
          <w:rFonts w:cstheme="minorHAnsi"/>
          <w:color w:val="000000" w:themeColor="text1"/>
        </w:rPr>
      </w:pPr>
    </w:p>
    <w:p w14:paraId="701D9A5F" w14:textId="77777777" w:rsidR="00A43624" w:rsidRDefault="00A43624" w:rsidP="00C35402">
      <w:pPr>
        <w:pStyle w:val="ListParagraph"/>
        <w:ind w:left="420"/>
        <w:rPr>
          <w:rFonts w:cstheme="minorHAnsi"/>
          <w:color w:val="000000" w:themeColor="text1"/>
        </w:rPr>
      </w:pPr>
    </w:p>
    <w:p w14:paraId="15B1F6DC" w14:textId="452A4825" w:rsidR="00C42F99" w:rsidRPr="00C35402" w:rsidRDefault="00A43624" w:rsidP="00C35402">
      <w:pPr>
        <w:pStyle w:val="ListParagraph"/>
        <w:ind w:left="420"/>
        <w:rPr>
          <w:rFonts w:cstheme="minorHAnsi"/>
          <w:color w:val="000000" w:themeColor="text1"/>
        </w:rPr>
      </w:pPr>
      <w:r>
        <w:rPr>
          <w:i/>
          <w:iCs/>
        </w:rPr>
        <w:t>(PDF) A review of the state of research on vehicle-to-grid (V2G): Progress and barriers to deployment</w:t>
      </w:r>
      <w:r>
        <w:t xml:space="preserve">. Available from: </w:t>
      </w:r>
      <w:hyperlink r:id="rId41" w:history="1">
        <w:r>
          <w:rPr>
            <w:rStyle w:val="Hyperlink"/>
          </w:rPr>
          <w:t>https://www.researchgate.net/publication/315144641_A_review_of_the_state_of_research_on_vehicle-to-grid_V2G_Progress_and_barriers_to_deployment</w:t>
        </w:r>
      </w:hyperlink>
      <w:r>
        <w:t xml:space="preserve"> [accessed Nov 22 2021]. </w:t>
      </w:r>
      <w:r>
        <w:t xml:space="preserve"> </w:t>
      </w:r>
      <w:r w:rsidR="00C35402">
        <w:rPr>
          <w:rFonts w:cstheme="minorHAnsi"/>
          <w:color w:val="000000" w:themeColor="text1"/>
        </w:rPr>
        <w:t xml:space="preserve"> </w:t>
      </w:r>
      <w:r w:rsidR="00C42F99" w:rsidRPr="00C35402">
        <w:rPr>
          <w:rFonts w:cstheme="minorHAnsi"/>
          <w:color w:val="000000" w:themeColor="text1"/>
        </w:rPr>
        <w:t xml:space="preserve"> </w:t>
      </w:r>
    </w:p>
    <w:sectPr w:rsidR="00C42F99" w:rsidRPr="00C35402">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07FFE" w14:textId="77777777" w:rsidR="00B47702" w:rsidRDefault="00B47702" w:rsidP="008B4DD5">
      <w:pPr>
        <w:spacing w:after="0" w:line="240" w:lineRule="auto"/>
      </w:pPr>
      <w:r>
        <w:separator/>
      </w:r>
    </w:p>
  </w:endnote>
  <w:endnote w:type="continuationSeparator" w:id="0">
    <w:p w14:paraId="2F36D8B2" w14:textId="77777777" w:rsidR="00B47702" w:rsidRDefault="00B47702" w:rsidP="008B4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659380"/>
      <w:docPartObj>
        <w:docPartGallery w:val="Page Numbers (Bottom of Page)"/>
        <w:docPartUnique/>
      </w:docPartObj>
    </w:sdtPr>
    <w:sdtEndPr>
      <w:rPr>
        <w:noProof/>
      </w:rPr>
    </w:sdtEndPr>
    <w:sdtContent>
      <w:p w14:paraId="635B7FE5" w14:textId="4C0CBC00" w:rsidR="008B4DD5" w:rsidRDefault="008B4D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3C41CF" w14:textId="77777777" w:rsidR="008B4DD5" w:rsidRDefault="008B4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02BCB" w14:textId="77777777" w:rsidR="00B47702" w:rsidRDefault="00B47702" w:rsidP="008B4DD5">
      <w:pPr>
        <w:spacing w:after="0" w:line="240" w:lineRule="auto"/>
      </w:pPr>
      <w:r>
        <w:separator/>
      </w:r>
    </w:p>
  </w:footnote>
  <w:footnote w:type="continuationSeparator" w:id="0">
    <w:p w14:paraId="7BF714C8" w14:textId="77777777" w:rsidR="00B47702" w:rsidRDefault="00B47702" w:rsidP="008B4D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7283C"/>
    <w:multiLevelType w:val="multilevel"/>
    <w:tmpl w:val="70F4C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414A77"/>
    <w:multiLevelType w:val="multilevel"/>
    <w:tmpl w:val="F824FD9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384E588A"/>
    <w:multiLevelType w:val="multilevel"/>
    <w:tmpl w:val="F824FD9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74666C4"/>
    <w:multiLevelType w:val="multilevel"/>
    <w:tmpl w:val="8FFC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DF13BD"/>
    <w:multiLevelType w:val="hybridMultilevel"/>
    <w:tmpl w:val="E0D4A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92"/>
    <w:rsid w:val="00045A64"/>
    <w:rsid w:val="000760E7"/>
    <w:rsid w:val="00106CCE"/>
    <w:rsid w:val="00162482"/>
    <w:rsid w:val="001902CC"/>
    <w:rsid w:val="001A3CBE"/>
    <w:rsid w:val="001B4603"/>
    <w:rsid w:val="001B5277"/>
    <w:rsid w:val="001F1BE5"/>
    <w:rsid w:val="0021210E"/>
    <w:rsid w:val="002238AA"/>
    <w:rsid w:val="002D4F66"/>
    <w:rsid w:val="003334AD"/>
    <w:rsid w:val="003645BE"/>
    <w:rsid w:val="00370DA3"/>
    <w:rsid w:val="00391E31"/>
    <w:rsid w:val="0039602B"/>
    <w:rsid w:val="00446B44"/>
    <w:rsid w:val="00505AE7"/>
    <w:rsid w:val="0052026E"/>
    <w:rsid w:val="0055755D"/>
    <w:rsid w:val="00561887"/>
    <w:rsid w:val="00596ACA"/>
    <w:rsid w:val="006364EA"/>
    <w:rsid w:val="00661DB0"/>
    <w:rsid w:val="006F294D"/>
    <w:rsid w:val="007207B3"/>
    <w:rsid w:val="007372D7"/>
    <w:rsid w:val="00751EB2"/>
    <w:rsid w:val="007721B6"/>
    <w:rsid w:val="007C3F6B"/>
    <w:rsid w:val="008550D7"/>
    <w:rsid w:val="008B4DD5"/>
    <w:rsid w:val="008C7CD4"/>
    <w:rsid w:val="008F3541"/>
    <w:rsid w:val="009E280C"/>
    <w:rsid w:val="00A047A8"/>
    <w:rsid w:val="00A43624"/>
    <w:rsid w:val="00AC7E12"/>
    <w:rsid w:val="00AE1873"/>
    <w:rsid w:val="00B47702"/>
    <w:rsid w:val="00BA1324"/>
    <w:rsid w:val="00BC3CB9"/>
    <w:rsid w:val="00C35402"/>
    <w:rsid w:val="00C42F99"/>
    <w:rsid w:val="00CE6899"/>
    <w:rsid w:val="00D2666E"/>
    <w:rsid w:val="00D6438A"/>
    <w:rsid w:val="00D75019"/>
    <w:rsid w:val="00D84092"/>
    <w:rsid w:val="00E03BC0"/>
    <w:rsid w:val="00E2433A"/>
    <w:rsid w:val="00E462C3"/>
    <w:rsid w:val="00EF1750"/>
    <w:rsid w:val="00F1515E"/>
    <w:rsid w:val="00F558C5"/>
    <w:rsid w:val="00FD5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457A2"/>
  <w15:chartTrackingRefBased/>
  <w15:docId w15:val="{E980D44C-98C9-4F0E-9FD3-E015415D6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187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092"/>
    <w:pPr>
      <w:ind w:left="720"/>
      <w:contextualSpacing/>
    </w:pPr>
  </w:style>
  <w:style w:type="character" w:styleId="Hyperlink">
    <w:name w:val="Hyperlink"/>
    <w:basedOn w:val="DefaultParagraphFont"/>
    <w:uiPriority w:val="99"/>
    <w:unhideWhenUsed/>
    <w:rsid w:val="00C42F99"/>
    <w:rPr>
      <w:color w:val="0000FF"/>
      <w:u w:val="single"/>
    </w:rPr>
  </w:style>
  <w:style w:type="character" w:styleId="Emphasis">
    <w:name w:val="Emphasis"/>
    <w:basedOn w:val="DefaultParagraphFont"/>
    <w:uiPriority w:val="20"/>
    <w:qFormat/>
    <w:rsid w:val="002D4F66"/>
    <w:rPr>
      <w:i/>
      <w:iCs/>
    </w:rPr>
  </w:style>
  <w:style w:type="paragraph" w:styleId="Header">
    <w:name w:val="header"/>
    <w:basedOn w:val="Normal"/>
    <w:link w:val="HeaderChar"/>
    <w:uiPriority w:val="99"/>
    <w:unhideWhenUsed/>
    <w:rsid w:val="008B4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DD5"/>
  </w:style>
  <w:style w:type="paragraph" w:styleId="Footer">
    <w:name w:val="footer"/>
    <w:basedOn w:val="Normal"/>
    <w:link w:val="FooterChar"/>
    <w:uiPriority w:val="99"/>
    <w:unhideWhenUsed/>
    <w:rsid w:val="008B4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DD5"/>
  </w:style>
  <w:style w:type="character" w:styleId="UnresolvedMention">
    <w:name w:val="Unresolved Mention"/>
    <w:basedOn w:val="DefaultParagraphFont"/>
    <w:uiPriority w:val="99"/>
    <w:semiHidden/>
    <w:unhideWhenUsed/>
    <w:rsid w:val="0052026E"/>
    <w:rPr>
      <w:color w:val="605E5C"/>
      <w:shd w:val="clear" w:color="auto" w:fill="E1DFDD"/>
    </w:rPr>
  </w:style>
  <w:style w:type="character" w:customStyle="1" w:styleId="Heading1Char">
    <w:name w:val="Heading 1 Char"/>
    <w:basedOn w:val="DefaultParagraphFont"/>
    <w:link w:val="Heading1"/>
    <w:uiPriority w:val="9"/>
    <w:rsid w:val="00AE187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84102">
      <w:bodyDiv w:val="1"/>
      <w:marLeft w:val="0"/>
      <w:marRight w:val="0"/>
      <w:marTop w:val="0"/>
      <w:marBottom w:val="0"/>
      <w:divBdr>
        <w:top w:val="none" w:sz="0" w:space="0" w:color="auto"/>
        <w:left w:val="none" w:sz="0" w:space="0" w:color="auto"/>
        <w:bottom w:val="none" w:sz="0" w:space="0" w:color="auto"/>
        <w:right w:val="none" w:sz="0" w:space="0" w:color="auto"/>
      </w:divBdr>
    </w:div>
    <w:div w:id="457995232">
      <w:bodyDiv w:val="1"/>
      <w:marLeft w:val="0"/>
      <w:marRight w:val="0"/>
      <w:marTop w:val="0"/>
      <w:marBottom w:val="0"/>
      <w:divBdr>
        <w:top w:val="none" w:sz="0" w:space="0" w:color="auto"/>
        <w:left w:val="none" w:sz="0" w:space="0" w:color="auto"/>
        <w:bottom w:val="none" w:sz="0" w:space="0" w:color="auto"/>
        <w:right w:val="none" w:sz="0" w:space="0" w:color="auto"/>
      </w:divBdr>
    </w:div>
    <w:div w:id="181883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utoexpress.co.uk/news/108960/2030-petrol-and-diesel-ban-what-it-and-which-cars-are-affected" TargetMode="External"/><Relationship Id="rId26" Type="http://schemas.openxmlformats.org/officeDocument/2006/relationships/hyperlink" Target="https://www.sciencedirect.com/science/article/pii/S0360544217306825?via%3Dihub" TargetMode="External"/><Relationship Id="rId39" Type="http://schemas.openxmlformats.org/officeDocument/2006/relationships/hyperlink" Target="https://assets.publishing.service.gov.uk/government/uploads/system/uploads/attachment_data/file/48128/2167-uk-renewable-energy-roadmap.pdf" TargetMode="External"/><Relationship Id="rId21" Type="http://schemas.openxmlformats.org/officeDocument/2006/relationships/hyperlink" Target="https://www.sciencedirect.com/science/article/abs/pii/S1361920997000011" TargetMode="External"/><Relationship Id="rId34" Type="http://schemas.openxmlformats.org/officeDocument/2006/relationships/hyperlink" Target="https://www.zap-map.com/live/"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iiis.org/CDs2020/CD2020Summer/papers/SA297TE.pdf" TargetMode="External"/><Relationship Id="rId29" Type="http://schemas.openxmlformats.org/officeDocument/2006/relationships/hyperlink" Target="https://www.smartgrid.gov/the_smart_grid/smart_grid.html" TargetMode="External"/><Relationship Id="rId41" Type="http://schemas.openxmlformats.org/officeDocument/2006/relationships/hyperlink" Target="https://www.researchgate.net/publication/315144641_A_review_of_the_state_of_research_on_vehicle-to-grid_V2G_Progress_and_barriers_to_deploy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energy-storage.news/vehicle-to-grid-energy-storage-goes-into-action-at-amsterdam-arena/" TargetMode="External"/><Relationship Id="rId32" Type="http://schemas.openxmlformats.org/officeDocument/2006/relationships/hyperlink" Target="https://www.edfenergy.com/electric-cars/vehicle-grid" TargetMode="External"/><Relationship Id="rId37" Type="http://schemas.openxmlformats.org/officeDocument/2006/relationships/hyperlink" Target="https://www.irena.org/-/media/Files/IRENA/Agency/Publication/2019/Sep/IRENA_Supergrids_2019.pdf?la=en&amp;hash=4C6639C08B1BEC582B700609C6D3C3B2E126AE70" TargetMode="External"/><Relationship Id="rId40" Type="http://schemas.openxmlformats.org/officeDocument/2006/relationships/hyperlink" Target="https://www.cenex.co.uk/app/uploads/2019/10/True-Value-of-V2G-Report.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element-energy.co.uk/wordpress/wp-content/uploads/2019/06/V2GB-Public-Report.pdf" TargetMode="External"/><Relationship Id="rId28" Type="http://schemas.openxmlformats.org/officeDocument/2006/relationships/hyperlink" Target="https://www.researchgate.net/publication/315144641_A_review_of_the_state_of_research_on_vehicle-to-grid_V2G_Progress_and_barriers_to_deployment" TargetMode="External"/><Relationship Id="rId36" Type="http://schemas.openxmlformats.org/officeDocument/2006/relationships/hyperlink" Target="https://heycar.co.uk/blog/electric-cars-statistics-and-projections" TargetMode="External"/><Relationship Id="rId10" Type="http://schemas.openxmlformats.org/officeDocument/2006/relationships/hyperlink" Target="https://www.greentechmedia.com/articles/read/dissecting-the-cost-of-the-smart-grid/" TargetMode="External"/><Relationship Id="rId19" Type="http://schemas.openxmlformats.org/officeDocument/2006/relationships/hyperlink" Target="https://www.spglobal.com/platts/en/market-insights/latest-news/energy-transition/100421-uk-targets-power-from-100-renewable-sources-by-2035" TargetMode="External"/><Relationship Id="rId31" Type="http://schemas.openxmlformats.org/officeDocument/2006/relationships/hyperlink" Target="https://www.nissan.co.uk/range/electric-cars-technology/v2g.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sciencedirect.com/science/article/pii/S1755008420300533" TargetMode="External"/><Relationship Id="rId27" Type="http://schemas.openxmlformats.org/officeDocument/2006/relationships/hyperlink" Target="https://www.sciencedirect.com/science/article/pii/S0301421517307619?via%3Dihub" TargetMode="External"/><Relationship Id="rId30" Type="http://schemas.openxmlformats.org/officeDocument/2006/relationships/hyperlink" Target="https://www.greentechmedia.com/articles/read/smart-grid-price-tag-476-billion-benefits-2-trillion" TargetMode="External"/><Relationship Id="rId35" Type="http://schemas.openxmlformats.org/officeDocument/2006/relationships/hyperlink" Target="https://www.zap-map.com/statistics/#point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un.org/sites/un2.un.org/files/fastfacts-what-is-climate-change.pdf" TargetMode="External"/><Relationship Id="rId25" Type="http://schemas.openxmlformats.org/officeDocument/2006/relationships/hyperlink" Target="https://www.bbc.co.uk/news/uk-56657299" TargetMode="External"/><Relationship Id="rId33" Type="http://schemas.openxmlformats.org/officeDocument/2006/relationships/hyperlink" Target="https://pod-point.com/guides/driver/ev-connector-types-speed" TargetMode="External"/><Relationship Id="rId38" Type="http://schemas.openxmlformats.org/officeDocument/2006/relationships/hyperlink" Target="https://iopscience.iop.org/article/10.1088/1748-9326/aa9c6d/m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AD272-2054-4C4A-9B27-13EC344EC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9106</TotalTime>
  <Pages>15</Pages>
  <Words>3886</Words>
  <Characters>22153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31</cp:revision>
  <dcterms:created xsi:type="dcterms:W3CDTF">2021-11-15T19:14:00Z</dcterms:created>
  <dcterms:modified xsi:type="dcterms:W3CDTF">2021-11-22T23:32:00Z</dcterms:modified>
</cp:coreProperties>
</file>