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page" w:tblpX="959" w:tblpY="849"/>
        <w:tblOverlap w:val="never"/>
        <w:tblW w:w="10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10300"/>
      </w:tblGrid>
      <w:tr w14:paraId="1AD69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rPr>
          <w:trHeight w:val="866" w:hRule="atLeast"/>
        </w:trPr>
        <w:tc>
          <w:tcPr>
            <w:tcW w:w="10300" w:type="dxa"/>
            <w:shd w:val="clear" w:color="auto" w:fill="C0C0C0"/>
          </w:tcPr>
          <w:p w14:paraId="54995ECC">
            <w:pPr>
              <w:pStyle w:val="4"/>
              <w:rPr>
                <w:rFonts w:hint="default" w:ascii="Times New Roman" w:hAnsi="Times New Roman" w:cs="Times New Roman"/>
                <w:b/>
              </w:rPr>
            </w:pPr>
            <w:r>
              <w:rPr>
                <w:rFonts w:hint="default" w:ascii="Times New Roman" w:hAnsi="Times New Roman" w:cs="Times New Roman"/>
                <w:b/>
              </w:rPr>
              <w:t xml:space="preserve">ASSESSMENT 2 SPECIFICATION </w:t>
            </w:r>
          </w:p>
        </w:tc>
      </w:tr>
    </w:tbl>
    <w:tbl>
      <w:tblPr>
        <w:tblStyle w:val="5"/>
        <w:tblpPr w:leftFromText="180" w:rightFromText="180" w:vertAnchor="text" w:horzAnchor="page" w:tblpX="925" w:tblpY="1097"/>
        <w:tblOverlap w:val="never"/>
        <w:tblW w:w="10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337"/>
        <w:gridCol w:w="2298"/>
        <w:gridCol w:w="2298"/>
      </w:tblGrid>
      <w:tr w14:paraId="6E9E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86" w:type="dxa"/>
            <w:shd w:val="pct15" w:color="auto" w:fill="auto"/>
          </w:tcPr>
          <w:p w14:paraId="50A54C1E">
            <w:pPr>
              <w:spacing w:before="120" w:after="120"/>
              <w:jc w:val="both"/>
              <w:rPr>
                <w:rFonts w:hint="default" w:ascii="Times New Roman" w:hAnsi="Times New Roman" w:cs="Times New Roman"/>
                <w:b/>
              </w:rPr>
            </w:pPr>
            <w:r>
              <w:rPr>
                <w:rFonts w:hint="default" w:ascii="Times New Roman" w:hAnsi="Times New Roman" w:cs="Times New Roman"/>
                <w:b/>
              </w:rPr>
              <w:t>Student name:</w:t>
            </w:r>
          </w:p>
        </w:tc>
        <w:tc>
          <w:tcPr>
            <w:tcW w:w="3337" w:type="dxa"/>
            <w:shd w:val="clear" w:color="auto" w:fill="auto"/>
          </w:tcPr>
          <w:p w14:paraId="1799588F">
            <w:pPr>
              <w:spacing w:before="120" w:after="120"/>
              <w:jc w:val="both"/>
              <w:rPr>
                <w:rFonts w:hint="default" w:ascii="Times New Roman" w:hAnsi="Times New Roman" w:eastAsia="宋体" w:cs="Times New Roman"/>
                <w:b/>
                <w:lang w:val="en-US" w:eastAsia="zh-CN"/>
              </w:rPr>
            </w:pPr>
            <w:r>
              <w:rPr>
                <w:rFonts w:hint="default" w:ascii="Times New Roman" w:hAnsi="Times New Roman" w:eastAsia="宋体" w:cs="Times New Roman"/>
                <w:b/>
                <w:lang w:val="en-US" w:eastAsia="zh-CN"/>
              </w:rPr>
              <w:t xml:space="preserve"> Jian Huang</w:t>
            </w:r>
          </w:p>
        </w:tc>
        <w:tc>
          <w:tcPr>
            <w:tcW w:w="2298" w:type="dxa"/>
            <w:shd w:val="clear" w:color="auto" w:fill="D9D9D9"/>
          </w:tcPr>
          <w:p w14:paraId="364EF5D2">
            <w:pPr>
              <w:spacing w:before="120" w:after="120"/>
              <w:jc w:val="both"/>
              <w:rPr>
                <w:rFonts w:hint="default" w:ascii="Times New Roman" w:hAnsi="Times New Roman" w:cs="Times New Roman"/>
                <w:b/>
              </w:rPr>
            </w:pPr>
            <w:r>
              <w:rPr>
                <w:rFonts w:hint="default" w:ascii="Times New Roman" w:hAnsi="Times New Roman" w:cs="Times New Roman"/>
                <w:b/>
              </w:rPr>
              <w:t>Student ID number:</w:t>
            </w:r>
          </w:p>
        </w:tc>
        <w:tc>
          <w:tcPr>
            <w:tcW w:w="2298" w:type="dxa"/>
          </w:tcPr>
          <w:p w14:paraId="247082D7">
            <w:pPr>
              <w:spacing w:before="120" w:after="120"/>
              <w:jc w:val="both"/>
              <w:rPr>
                <w:rFonts w:hint="default" w:ascii="Times New Roman" w:hAnsi="Times New Roman" w:eastAsia="宋体" w:cs="Times New Roman"/>
                <w:b/>
                <w:lang w:val="en-US" w:eastAsia="zh-CN"/>
              </w:rPr>
            </w:pPr>
            <w:r>
              <w:rPr>
                <w:rFonts w:hint="default" w:ascii="Times New Roman" w:hAnsi="Times New Roman" w:eastAsia="宋体" w:cs="Times New Roman"/>
                <w:b/>
                <w:lang w:val="en-US" w:eastAsia="zh-CN"/>
              </w:rPr>
              <w:t xml:space="preserve"> 2400261</w:t>
            </w:r>
          </w:p>
        </w:tc>
      </w:tr>
      <w:tr w14:paraId="749F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86" w:type="dxa"/>
            <w:shd w:val="pct15" w:color="auto" w:fill="auto"/>
          </w:tcPr>
          <w:p w14:paraId="60AA6BD7">
            <w:pPr>
              <w:spacing w:before="120" w:after="120"/>
              <w:jc w:val="both"/>
              <w:rPr>
                <w:rFonts w:hint="default" w:ascii="Times New Roman" w:hAnsi="Times New Roman" w:cs="Times New Roman"/>
                <w:b/>
              </w:rPr>
            </w:pPr>
            <w:r>
              <w:rPr>
                <w:rFonts w:hint="default" w:ascii="Times New Roman" w:hAnsi="Times New Roman" w:cs="Times New Roman"/>
                <w:b/>
              </w:rPr>
              <w:t>Programme:</w:t>
            </w:r>
          </w:p>
        </w:tc>
        <w:tc>
          <w:tcPr>
            <w:tcW w:w="7933" w:type="dxa"/>
            <w:gridSpan w:val="3"/>
          </w:tcPr>
          <w:p w14:paraId="39EF0B3F">
            <w:pPr>
              <w:spacing w:before="120" w:after="120"/>
              <w:jc w:val="both"/>
              <w:rPr>
                <w:rFonts w:hint="default" w:ascii="Times New Roman" w:hAnsi="Times New Roman" w:cs="Times New Roman"/>
                <w:b/>
              </w:rPr>
            </w:pPr>
            <w:r>
              <w:rPr>
                <w:rFonts w:hint="default" w:ascii="Times New Roman" w:hAnsi="Times New Roman" w:cs="Times New Roman"/>
                <w:b/>
              </w:rPr>
              <w:t xml:space="preserve">Business Management </w:t>
            </w:r>
          </w:p>
        </w:tc>
      </w:tr>
      <w:tr w14:paraId="34E1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86" w:type="dxa"/>
            <w:shd w:val="pct15" w:color="auto" w:fill="auto"/>
          </w:tcPr>
          <w:p w14:paraId="3B4A92DD">
            <w:pPr>
              <w:spacing w:before="120" w:after="120"/>
              <w:jc w:val="both"/>
              <w:rPr>
                <w:rFonts w:hint="default" w:ascii="Times New Roman" w:hAnsi="Times New Roman" w:cs="Times New Roman"/>
                <w:b/>
              </w:rPr>
            </w:pPr>
            <w:r>
              <w:rPr>
                <w:rFonts w:hint="default" w:ascii="Times New Roman" w:hAnsi="Times New Roman" w:cs="Times New Roman"/>
                <w:b/>
              </w:rPr>
              <w:t>Module:</w:t>
            </w:r>
          </w:p>
        </w:tc>
        <w:tc>
          <w:tcPr>
            <w:tcW w:w="7933" w:type="dxa"/>
            <w:gridSpan w:val="3"/>
            <w:shd w:val="clear" w:color="auto" w:fill="auto"/>
          </w:tcPr>
          <w:p w14:paraId="28ECE8D2">
            <w:pPr>
              <w:spacing w:before="120" w:after="120"/>
              <w:jc w:val="both"/>
              <w:rPr>
                <w:rFonts w:hint="default" w:ascii="Times New Roman" w:hAnsi="Times New Roman" w:cs="Times New Roman"/>
                <w:b/>
              </w:rPr>
            </w:pPr>
            <w:r>
              <w:rPr>
                <w:rFonts w:hint="default" w:ascii="Times New Roman" w:hAnsi="Times New Roman" w:cs="Times New Roman"/>
                <w:b/>
              </w:rPr>
              <w:t xml:space="preserve">Contemporary Issues in Management </w:t>
            </w:r>
          </w:p>
        </w:tc>
      </w:tr>
      <w:tr w14:paraId="6044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trPr>
        <w:tc>
          <w:tcPr>
            <w:tcW w:w="2586" w:type="dxa"/>
            <w:shd w:val="pct15" w:color="auto" w:fill="auto"/>
          </w:tcPr>
          <w:p w14:paraId="7B8853AE">
            <w:pPr>
              <w:spacing w:before="120" w:after="120"/>
              <w:jc w:val="both"/>
              <w:rPr>
                <w:rFonts w:hint="default" w:ascii="Times New Roman" w:hAnsi="Times New Roman" w:cs="Times New Roman"/>
                <w:b/>
              </w:rPr>
            </w:pPr>
            <w:r>
              <w:rPr>
                <w:rFonts w:hint="default" w:ascii="Times New Roman" w:hAnsi="Times New Roman" w:cs="Times New Roman"/>
                <w:b/>
              </w:rPr>
              <w:t>Module code:</w:t>
            </w:r>
          </w:p>
        </w:tc>
        <w:tc>
          <w:tcPr>
            <w:tcW w:w="3337" w:type="dxa"/>
          </w:tcPr>
          <w:p w14:paraId="03814B69">
            <w:pPr>
              <w:spacing w:before="120" w:after="120"/>
              <w:jc w:val="both"/>
              <w:rPr>
                <w:rFonts w:hint="default" w:ascii="Times New Roman" w:hAnsi="Times New Roman" w:cs="Times New Roman"/>
                <w:b/>
              </w:rPr>
            </w:pPr>
            <w:r>
              <w:rPr>
                <w:rFonts w:hint="default" w:ascii="Times New Roman" w:hAnsi="Times New Roman" w:cs="Times New Roman"/>
                <w:b/>
              </w:rPr>
              <w:t>BMBM6003</w:t>
            </w:r>
          </w:p>
        </w:tc>
        <w:tc>
          <w:tcPr>
            <w:tcW w:w="2298" w:type="dxa"/>
            <w:shd w:val="clear" w:color="auto" w:fill="D9D9D9"/>
          </w:tcPr>
          <w:p w14:paraId="262E97B6">
            <w:pPr>
              <w:pStyle w:val="3"/>
              <w:rPr>
                <w:rFonts w:hint="default" w:ascii="Times New Roman" w:hAnsi="Times New Roman" w:cs="Times New Roman"/>
                <w:b/>
                <w:bCs/>
                <w:sz w:val="22"/>
                <w:szCs w:val="22"/>
              </w:rPr>
            </w:pPr>
            <w:r>
              <w:rPr>
                <w:rFonts w:hint="default" w:ascii="Times New Roman" w:hAnsi="Times New Roman" w:cs="Times New Roman"/>
                <w:b/>
                <w:bCs/>
                <w:color w:val="auto"/>
                <w:sz w:val="22"/>
                <w:szCs w:val="22"/>
              </w:rPr>
              <w:t>Contribution to Overall Module Assessment (%):</w:t>
            </w:r>
          </w:p>
        </w:tc>
        <w:tc>
          <w:tcPr>
            <w:tcW w:w="2298" w:type="dxa"/>
          </w:tcPr>
          <w:p w14:paraId="037717C9">
            <w:pPr>
              <w:spacing w:before="120" w:after="120"/>
              <w:jc w:val="both"/>
              <w:rPr>
                <w:rFonts w:hint="default" w:ascii="Times New Roman" w:hAnsi="Times New Roman" w:cs="Times New Roman"/>
                <w:b/>
              </w:rPr>
            </w:pPr>
            <w:r>
              <w:rPr>
                <w:rFonts w:hint="default" w:ascii="Times New Roman" w:hAnsi="Times New Roman" w:cs="Times New Roman"/>
                <w:b/>
              </w:rPr>
              <w:t>50%</w:t>
            </w:r>
          </w:p>
        </w:tc>
      </w:tr>
      <w:tr w14:paraId="1760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86" w:type="dxa"/>
            <w:shd w:val="pct15" w:color="auto" w:fill="auto"/>
          </w:tcPr>
          <w:p w14:paraId="57B00091">
            <w:pPr>
              <w:spacing w:before="120" w:after="120"/>
              <w:jc w:val="both"/>
              <w:rPr>
                <w:rFonts w:hint="default" w:ascii="Times New Roman" w:hAnsi="Times New Roman" w:cs="Times New Roman"/>
                <w:b/>
              </w:rPr>
            </w:pPr>
            <w:r>
              <w:rPr>
                <w:rFonts w:hint="default" w:ascii="Times New Roman" w:hAnsi="Times New Roman" w:cs="Times New Roman"/>
                <w:b/>
              </w:rPr>
              <w:t>Lecturer:</w:t>
            </w:r>
          </w:p>
        </w:tc>
        <w:tc>
          <w:tcPr>
            <w:tcW w:w="3337" w:type="dxa"/>
          </w:tcPr>
          <w:p w14:paraId="20D419EC">
            <w:pPr>
              <w:spacing w:before="120" w:after="120"/>
              <w:jc w:val="both"/>
              <w:rPr>
                <w:rFonts w:hint="default" w:ascii="Times New Roman" w:hAnsi="Times New Roman" w:cs="Times New Roman"/>
                <w:b/>
              </w:rPr>
            </w:pPr>
            <w:r>
              <w:rPr>
                <w:rFonts w:hint="default" w:ascii="Times New Roman" w:hAnsi="Times New Roman" w:cs="Times New Roman"/>
                <w:b/>
              </w:rPr>
              <w:t xml:space="preserve">Helen Evans  </w:t>
            </w:r>
          </w:p>
        </w:tc>
        <w:tc>
          <w:tcPr>
            <w:tcW w:w="2298" w:type="dxa"/>
            <w:shd w:val="clear" w:color="auto" w:fill="D9D9D9"/>
          </w:tcPr>
          <w:p w14:paraId="56898540">
            <w:pPr>
              <w:spacing w:before="120" w:after="120"/>
              <w:jc w:val="both"/>
              <w:rPr>
                <w:rFonts w:hint="default" w:ascii="Times New Roman" w:hAnsi="Times New Roman" w:cs="Times New Roman"/>
                <w:b/>
              </w:rPr>
            </w:pPr>
            <w:r>
              <w:rPr>
                <w:rFonts w:hint="default" w:ascii="Times New Roman" w:hAnsi="Times New Roman" w:cs="Times New Roman"/>
                <w:b/>
              </w:rPr>
              <w:t>Internal Verifier:</w:t>
            </w:r>
          </w:p>
        </w:tc>
        <w:tc>
          <w:tcPr>
            <w:tcW w:w="2298" w:type="dxa"/>
          </w:tcPr>
          <w:p w14:paraId="630121E2">
            <w:pPr>
              <w:spacing w:before="120" w:after="120"/>
              <w:jc w:val="both"/>
              <w:rPr>
                <w:rFonts w:hint="default" w:ascii="Times New Roman" w:hAnsi="Times New Roman" w:cs="Times New Roman"/>
                <w:b/>
              </w:rPr>
            </w:pPr>
          </w:p>
        </w:tc>
      </w:tr>
      <w:tr w14:paraId="6993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2586" w:type="dxa"/>
            <w:shd w:val="pct15" w:color="auto" w:fill="auto"/>
          </w:tcPr>
          <w:p w14:paraId="5589CFBC">
            <w:pPr>
              <w:spacing w:before="120" w:after="120"/>
              <w:jc w:val="both"/>
              <w:rPr>
                <w:rFonts w:hint="default" w:ascii="Times New Roman" w:hAnsi="Times New Roman" w:cs="Times New Roman"/>
                <w:b/>
              </w:rPr>
            </w:pPr>
            <w:r>
              <w:rPr>
                <w:rFonts w:hint="default" w:ascii="Times New Roman" w:hAnsi="Times New Roman" w:cs="Times New Roman"/>
                <w:b/>
              </w:rPr>
              <w:t>Assignment Title:</w:t>
            </w:r>
          </w:p>
        </w:tc>
        <w:tc>
          <w:tcPr>
            <w:tcW w:w="3337" w:type="dxa"/>
          </w:tcPr>
          <w:p w14:paraId="4819D71A">
            <w:pPr>
              <w:spacing w:before="120" w:after="120"/>
              <w:jc w:val="both"/>
              <w:rPr>
                <w:rFonts w:hint="default" w:ascii="Times New Roman" w:hAnsi="Times New Roman" w:cs="Times New Roman"/>
                <w:b/>
              </w:rPr>
            </w:pPr>
            <w:bookmarkStart w:id="0" w:name="_Hlk48636561"/>
            <w:r>
              <w:rPr>
                <w:rFonts w:hint="default" w:ascii="Times New Roman" w:hAnsi="Times New Roman" w:cs="Times New Roman"/>
                <w:b/>
              </w:rPr>
              <w:t>Challenges Facing Managers in the Modern Organisation</w:t>
            </w:r>
            <w:bookmarkEnd w:id="0"/>
          </w:p>
        </w:tc>
        <w:tc>
          <w:tcPr>
            <w:tcW w:w="2298" w:type="dxa"/>
            <w:shd w:val="pct15" w:color="auto" w:fill="auto"/>
          </w:tcPr>
          <w:p w14:paraId="30726571">
            <w:pPr>
              <w:spacing w:before="120" w:after="120"/>
              <w:jc w:val="both"/>
              <w:rPr>
                <w:rFonts w:hint="default" w:ascii="Times New Roman" w:hAnsi="Times New Roman" w:cs="Times New Roman"/>
                <w:b/>
              </w:rPr>
            </w:pPr>
            <w:r>
              <w:rPr>
                <w:rFonts w:hint="default" w:ascii="Times New Roman" w:hAnsi="Times New Roman" w:cs="Times New Roman"/>
                <w:b/>
              </w:rPr>
              <w:t>Word count (or equivalent):</w:t>
            </w:r>
          </w:p>
        </w:tc>
        <w:tc>
          <w:tcPr>
            <w:tcW w:w="2298" w:type="dxa"/>
          </w:tcPr>
          <w:p w14:paraId="25F0EFBF">
            <w:pPr>
              <w:spacing w:before="120" w:after="120"/>
              <w:rPr>
                <w:rFonts w:hint="default" w:ascii="Times New Roman" w:hAnsi="Times New Roman" w:cs="Times New Roman"/>
                <w:b/>
              </w:rPr>
            </w:pPr>
            <w:r>
              <w:rPr>
                <w:rFonts w:hint="default" w:ascii="Times New Roman" w:hAnsi="Times New Roman" w:cs="Times New Roman"/>
                <w:b/>
              </w:rPr>
              <w:t xml:space="preserve">15-minute Presentation </w:t>
            </w:r>
          </w:p>
        </w:tc>
      </w:tr>
      <w:tr w14:paraId="2FDC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2586" w:type="dxa"/>
            <w:shd w:val="pct15" w:color="auto" w:fill="auto"/>
          </w:tcPr>
          <w:p w14:paraId="23E75F23">
            <w:pPr>
              <w:spacing w:before="120" w:after="120"/>
              <w:jc w:val="both"/>
              <w:rPr>
                <w:rFonts w:hint="default" w:ascii="Times New Roman" w:hAnsi="Times New Roman" w:cs="Times New Roman"/>
                <w:b/>
              </w:rPr>
            </w:pPr>
            <w:r>
              <w:rPr>
                <w:rFonts w:hint="default" w:ascii="Times New Roman" w:hAnsi="Times New Roman" w:cs="Times New Roman"/>
                <w:b/>
              </w:rPr>
              <w:t>Submission deadline:</w:t>
            </w:r>
          </w:p>
        </w:tc>
        <w:tc>
          <w:tcPr>
            <w:tcW w:w="3337" w:type="dxa"/>
            <w:shd w:val="clear" w:color="auto" w:fill="auto"/>
          </w:tcPr>
          <w:p w14:paraId="6A5789B0">
            <w:pPr>
              <w:spacing w:before="120" w:after="120"/>
              <w:jc w:val="both"/>
              <w:rPr>
                <w:rFonts w:hint="default" w:ascii="Times New Roman" w:hAnsi="Times New Roman" w:cs="Times New Roman"/>
                <w:b/>
              </w:rPr>
            </w:pPr>
            <w:r>
              <w:rPr>
                <w:rFonts w:hint="default" w:ascii="Times New Roman" w:hAnsi="Times New Roman" w:cs="Times New Roman"/>
                <w:b/>
              </w:rPr>
              <w:t>16/01/2025</w:t>
            </w:r>
          </w:p>
        </w:tc>
        <w:tc>
          <w:tcPr>
            <w:tcW w:w="2298" w:type="dxa"/>
            <w:shd w:val="pct15" w:color="auto" w:fill="auto"/>
          </w:tcPr>
          <w:p w14:paraId="009DA953">
            <w:pPr>
              <w:spacing w:before="120" w:after="120"/>
              <w:jc w:val="both"/>
              <w:rPr>
                <w:rFonts w:hint="default" w:ascii="Times New Roman" w:hAnsi="Times New Roman" w:cs="Times New Roman"/>
                <w:b/>
              </w:rPr>
            </w:pPr>
            <w:r>
              <w:rPr>
                <w:rFonts w:hint="default" w:ascii="Times New Roman" w:hAnsi="Times New Roman" w:cs="Times New Roman"/>
                <w:b/>
              </w:rPr>
              <w:t>Return date of provisional marks &amp; written feedback:</w:t>
            </w:r>
          </w:p>
        </w:tc>
        <w:tc>
          <w:tcPr>
            <w:tcW w:w="2298" w:type="dxa"/>
          </w:tcPr>
          <w:p w14:paraId="7058A17B">
            <w:pPr>
              <w:spacing w:before="120" w:after="120"/>
              <w:jc w:val="both"/>
              <w:rPr>
                <w:rFonts w:hint="default" w:ascii="Times New Roman" w:hAnsi="Times New Roman" w:cs="Times New Roman"/>
                <w:b/>
              </w:rPr>
            </w:pPr>
            <w:r>
              <w:rPr>
                <w:rFonts w:hint="default" w:ascii="Times New Roman" w:hAnsi="Times New Roman" w:cs="Times New Roman"/>
                <w:b/>
              </w:rPr>
              <w:t>13/02/2024</w:t>
            </w:r>
          </w:p>
        </w:tc>
      </w:tr>
      <w:tr w14:paraId="5995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9" w:hRule="atLeast"/>
        </w:trPr>
        <w:tc>
          <w:tcPr>
            <w:tcW w:w="2586" w:type="dxa"/>
            <w:shd w:val="pct15" w:color="auto" w:fill="auto"/>
          </w:tcPr>
          <w:p w14:paraId="41F2E73C">
            <w:pPr>
              <w:spacing w:before="120" w:after="120"/>
              <w:jc w:val="both"/>
              <w:rPr>
                <w:rFonts w:hint="default" w:ascii="Times New Roman" w:hAnsi="Times New Roman" w:cs="Times New Roman"/>
                <w:b/>
              </w:rPr>
            </w:pPr>
            <w:r>
              <w:rPr>
                <w:rFonts w:hint="default" w:ascii="Times New Roman" w:hAnsi="Times New Roman" w:cs="Times New Roman"/>
                <w:b/>
              </w:rPr>
              <w:t>Submission method:</w:t>
            </w:r>
          </w:p>
        </w:tc>
        <w:tc>
          <w:tcPr>
            <w:tcW w:w="7933" w:type="dxa"/>
            <w:gridSpan w:val="3"/>
            <w:shd w:val="clear" w:color="auto" w:fill="auto"/>
          </w:tcPr>
          <w:p w14:paraId="6958C41D">
            <w:pPr>
              <w:rPr>
                <w:rFonts w:hint="default" w:ascii="Times New Roman" w:hAnsi="Times New Roman" w:cs="Times New Roman"/>
              </w:rPr>
            </w:pPr>
            <w:r>
              <w:rPr>
                <w:rFonts w:hint="default"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16091">
            <w:pPr>
              <w:spacing w:before="120" w:after="120"/>
              <w:jc w:val="both"/>
              <w:rPr>
                <w:rFonts w:hint="default" w:ascii="Times New Roman" w:hAnsi="Times New Roman" w:cs="Times New Roman"/>
                <w:b/>
              </w:rPr>
            </w:pPr>
            <w:r>
              <w:rPr>
                <w:rFonts w:hint="default" w:ascii="Times New Roman" w:hAnsi="Times New Roman" w:cs="Times New Roman"/>
                <w:b/>
              </w:rPr>
              <w:t xml:space="preserve">Alternative submission method (if applicable): </w:t>
            </w:r>
          </w:p>
          <w:p w14:paraId="7AB98D5F">
            <w:pPr>
              <w:spacing w:before="120" w:after="120"/>
              <w:jc w:val="both"/>
              <w:rPr>
                <w:rFonts w:hint="default" w:ascii="Times New Roman" w:hAnsi="Times New Roman" w:cs="Times New Roman"/>
                <w:b/>
              </w:rPr>
            </w:pPr>
            <w:r>
              <w:rPr>
                <w:rFonts w:hint="default" w:ascii="Times New Roman" w:hAnsi="Times New Roman" w:cs="Times New Roman"/>
                <w:b/>
              </w:rPr>
              <w:t xml:space="preserve">Late submission of the assessment will result in a late penalty mark.  </w:t>
            </w:r>
            <w:r>
              <w:rPr>
                <w:rFonts w:hint="default" w:ascii="Times New Roman" w:hAnsi="Times New Roman" w:cs="Times New Roman"/>
              </w:rPr>
              <w:t>Penalties for late submission: Up to one week late, maximum mark of 40%.  Over one week late, 0%.  Only the Extenuating Circumstances Panel may approve a change to submission dates.</w:t>
            </w:r>
          </w:p>
        </w:tc>
      </w:tr>
      <w:tr w14:paraId="2AB3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trPr>
        <w:tc>
          <w:tcPr>
            <w:tcW w:w="2586" w:type="dxa"/>
            <w:shd w:val="pct15" w:color="auto" w:fill="auto"/>
          </w:tcPr>
          <w:p w14:paraId="4DFBCCE3">
            <w:pPr>
              <w:spacing w:before="120" w:after="120"/>
              <w:rPr>
                <w:rFonts w:hint="default" w:ascii="Times New Roman" w:hAnsi="Times New Roman" w:cs="Times New Roman"/>
                <w:b/>
              </w:rPr>
            </w:pPr>
            <w:r>
              <w:rPr>
                <w:rFonts w:hint="default" w:ascii="Times New Roman" w:hAnsi="Times New Roman" w:cs="Times New Roman"/>
                <w:b/>
              </w:rPr>
              <w:t>Academic honesty / referencing:</w:t>
            </w:r>
          </w:p>
        </w:tc>
        <w:tc>
          <w:tcPr>
            <w:tcW w:w="7933" w:type="dxa"/>
            <w:gridSpan w:val="3"/>
            <w:shd w:val="clear" w:color="auto" w:fill="auto"/>
          </w:tcPr>
          <w:p w14:paraId="7E9EA82C">
            <w:pPr>
              <w:spacing w:before="120" w:after="120"/>
              <w:jc w:val="both"/>
              <w:rPr>
                <w:rFonts w:hint="default" w:ascii="Times New Roman" w:hAnsi="Times New Roman" w:cs="Times New Roman"/>
              </w:rPr>
            </w:pPr>
            <w:r>
              <w:rPr>
                <w:rFonts w:hint="default"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3067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0519" w:type="dxa"/>
            <w:gridSpan w:val="4"/>
            <w:shd w:val="pct15" w:color="auto" w:fill="auto"/>
          </w:tcPr>
          <w:p w14:paraId="623E5320">
            <w:pPr>
              <w:spacing w:after="0"/>
              <w:rPr>
                <w:rFonts w:hint="default" w:ascii="Times New Roman" w:hAnsi="Times New Roman" w:cs="Times New Roman"/>
                <w:b/>
              </w:rPr>
            </w:pPr>
            <w:r>
              <w:rPr>
                <w:rFonts w:hint="default" w:ascii="Times New Roman" w:hAnsi="Times New Roman" w:cs="Times New Roman"/>
                <w:b/>
              </w:rPr>
              <w:t xml:space="preserve">Module Learning Outcomes </w:t>
            </w:r>
          </w:p>
          <w:p w14:paraId="208F09E8">
            <w:pPr>
              <w:spacing w:before="120" w:after="0"/>
              <w:jc w:val="both"/>
              <w:rPr>
                <w:rFonts w:hint="default" w:ascii="Times New Roman" w:hAnsi="Times New Roman" w:cs="Times New Roman"/>
              </w:rPr>
            </w:pPr>
            <w:r>
              <w:rPr>
                <w:rFonts w:hint="default" w:ascii="Times New Roman" w:hAnsi="Times New Roman" w:cs="Times New Roman"/>
                <w:b/>
              </w:rPr>
              <w:t>(from module syllabus)</w:t>
            </w:r>
          </w:p>
        </w:tc>
      </w:tr>
      <w:tr w14:paraId="3A02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10519" w:type="dxa"/>
            <w:gridSpan w:val="4"/>
            <w:shd w:val="clear" w:color="auto" w:fill="FFFFFF" w:themeFill="background1"/>
          </w:tcPr>
          <w:p w14:paraId="757B65FD">
            <w:pPr>
              <w:shd w:val="clear" w:color="auto" w:fill="FFFFFF"/>
              <w:spacing w:after="0" w:line="240" w:lineRule="auto"/>
              <w:jc w:val="both"/>
              <w:textAlignment w:val="baseline"/>
              <w:rPr>
                <w:rFonts w:hint="default" w:ascii="Times New Roman" w:hAnsi="Times New Roman" w:eastAsia="Times New Roman" w:cs="Times New Roman"/>
                <w:color w:val="201F1E"/>
                <w:lang w:eastAsia="en-GB"/>
              </w:rPr>
            </w:pPr>
            <w:r>
              <w:rPr>
                <w:rFonts w:hint="default" w:ascii="Times New Roman" w:hAnsi="Times New Roman" w:eastAsia="Times New Roman" w:cs="Times New Roman"/>
                <w:color w:val="201F1E"/>
                <w:lang w:eastAsia="en-GB"/>
              </w:rPr>
              <w:t>Upon the successful completion of this assessment, the student should be able to demonstrate the ability to:</w:t>
            </w:r>
          </w:p>
          <w:p w14:paraId="657147D6">
            <w:pPr>
              <w:pStyle w:val="8"/>
              <w:shd w:val="clear" w:color="auto" w:fill="FFFFFF"/>
              <w:spacing w:after="0" w:line="240" w:lineRule="auto"/>
              <w:ind w:left="0" w:leftChars="0" w:firstLine="0" w:firstLineChars="0"/>
              <w:textAlignment w:val="baseline"/>
              <w:rPr>
                <w:rFonts w:hint="default" w:ascii="Times New Roman" w:hAnsi="Times New Roman" w:cs="Times New Roman"/>
                <w:b/>
              </w:rPr>
            </w:pPr>
            <w:r>
              <w:rPr>
                <w:rFonts w:hint="default" w:ascii="Times New Roman" w:hAnsi="Times New Roman" w:eastAsia="Times New Roman" w:cs="Times New Roman"/>
                <w:color w:val="201F1E"/>
                <w:lang w:eastAsia="en-GB"/>
              </w:rPr>
              <w:t>Analyse problems arising in a select number of contemporary management/organisational topics and themes including, but not limited to, bureaucracy and post bureaucracy, scientific management, team working, and ethical decision making and argue coherently for acceptable solutions.</w:t>
            </w:r>
          </w:p>
        </w:tc>
      </w:tr>
    </w:tbl>
    <w:p w14:paraId="206B11E3">
      <w:pP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Link to presentation:</w:t>
      </w:r>
    </w:p>
    <w:p w14:paraId="21DF4838">
      <w:pPr>
        <w:keepNext w:val="0"/>
        <w:keepLines w:val="0"/>
        <w:widowControl/>
        <w:suppressLineNumbers w:val="0"/>
        <w:jc w:val="left"/>
        <w:rPr>
          <w:rFonts w:hint="default" w:ascii="Times New Roman" w:hAnsi="Times New Roman" w:cs="Times New Roman"/>
          <w:sz w:val="30"/>
          <w:szCs w:val="30"/>
        </w:rPr>
      </w:pPr>
      <w:r>
        <w:rPr>
          <w:rFonts w:hint="default" w:ascii="Times New Roman" w:hAnsi="Times New Roman" w:eastAsia="宋体" w:cs="Times New Roman"/>
          <w:kern w:val="0"/>
          <w:sz w:val="30"/>
          <w:szCs w:val="30"/>
          <w:lang w:val="en-US" w:eastAsia="zh-CN" w:bidi="ar"/>
        </w:rPr>
        <w:fldChar w:fldCharType="begin"/>
      </w:r>
      <w:r>
        <w:rPr>
          <w:rFonts w:hint="default" w:ascii="Times New Roman" w:hAnsi="Times New Roman" w:eastAsia="宋体" w:cs="Times New Roman"/>
          <w:kern w:val="0"/>
          <w:sz w:val="30"/>
          <w:szCs w:val="30"/>
          <w:lang w:val="en-US" w:eastAsia="zh-CN" w:bidi="ar"/>
        </w:rPr>
        <w:instrText xml:space="preserve"> HYPERLINK "https://uowtsd-my.sharepoint.com/:v:/g/personal/2400261_student_uwtsd_ac_uk/EYQR-JSnmA5JgDGXnq3zsWMBlIT45SDoWJ-v4b2OldGCyg?e=eRSf4u" </w:instrText>
      </w:r>
      <w:r>
        <w:rPr>
          <w:rFonts w:hint="default" w:ascii="Times New Roman" w:hAnsi="Times New Roman" w:eastAsia="宋体" w:cs="Times New Roman"/>
          <w:kern w:val="0"/>
          <w:sz w:val="30"/>
          <w:szCs w:val="30"/>
          <w:lang w:val="en-US" w:eastAsia="zh-CN" w:bidi="ar"/>
        </w:rPr>
        <w:fldChar w:fldCharType="separate"/>
      </w:r>
      <w:r>
        <w:rPr>
          <w:rStyle w:val="7"/>
          <w:rFonts w:hint="default" w:ascii="Times New Roman" w:hAnsi="Times New Roman" w:eastAsia="宋体" w:cs="Times New Roman"/>
          <w:sz w:val="30"/>
          <w:szCs w:val="30"/>
        </w:rPr>
        <w:t>Assessment 2 video</w:t>
      </w:r>
      <w:r>
        <w:rPr>
          <w:rFonts w:hint="default" w:ascii="Times New Roman" w:hAnsi="Times New Roman" w:eastAsia="宋体" w:cs="Times New Roman"/>
          <w:kern w:val="0"/>
          <w:sz w:val="30"/>
          <w:szCs w:val="30"/>
          <w:lang w:val="en-US" w:eastAsia="zh-CN" w:bidi="ar"/>
        </w:rPr>
        <w:fldChar w:fldCharType="end"/>
      </w:r>
    </w:p>
    <w:p w14:paraId="1EBAB544">
      <w:pPr>
        <w:rPr>
          <w:rFonts w:hint="default" w:ascii="Times New Roman" w:hAnsi="Times New Roman" w:eastAsia="宋体" w:cs="Times New Roman"/>
          <w:sz w:val="24"/>
          <w:szCs w:val="24"/>
          <w:lang w:val="en-US" w:eastAsia="zh-CN"/>
        </w:rPr>
      </w:pPr>
    </w:p>
    <w:p w14:paraId="0AC36A49">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bookmarkStart w:id="1" w:name="_GoBack"/>
      <w:bookmarkEnd w:id="1"/>
    </w:p>
    <w:p w14:paraId="58FEF02B">
      <w:pPr>
        <w:spacing w:line="240" w:lineRule="auto"/>
        <w:jc w:val="both"/>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Narrative</w:t>
      </w:r>
    </w:p>
    <w:p w14:paraId="7BE6A635">
      <w:pPr>
        <w:spacing w:line="240" w:lineRule="auto"/>
        <w:jc w:val="both"/>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Hi everyone, my name is jian huang, the main purpose of this report is to understand the current problems in management, I will use Starbucks as an example and analyse the problems that may occur in its operational management through some theoretical models.</w:t>
      </w:r>
      <w:r>
        <w:rPr>
          <w:rFonts w:hint="eastAsia" w:ascii="Times New Roman" w:hAnsi="Times New Roman" w:eastAsia="宋体" w:cs="Times New Roman"/>
          <w:sz w:val="24"/>
          <w:szCs w:val="24"/>
          <w:lang w:val="en-US" w:eastAsia="zh-CN"/>
        </w:rPr>
        <w:t xml:space="preserve"> </w:t>
      </w:r>
    </w:p>
    <w:p w14:paraId="738A12C2">
      <w:pPr>
        <w:spacing w:line="240" w:lineRule="auto"/>
        <w:jc w:val="both"/>
        <w:rPr>
          <w:rFonts w:hint="eastAsia" w:ascii="Times New Roman" w:hAnsi="Times New Roman" w:eastAsia="宋体" w:cs="Times New Roman"/>
          <w:sz w:val="24"/>
          <w:szCs w:val="24"/>
          <w:lang w:val="en-US" w:eastAsia="zh-CN"/>
        </w:rPr>
      </w:pPr>
    </w:p>
    <w:p w14:paraId="1852A3FC">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research is divided into four main parts, the first part is to give a brief introduction to Starbucks, the second part is to analyse the current problems in the management of Starbucks, and the third part is to give the corresponding recommendations for the problems in the management of Starbucks. The last part is a summary of the whole report.</w:t>
      </w:r>
    </w:p>
    <w:p w14:paraId="09081206">
      <w:pPr>
        <w:spacing w:line="240" w:lineRule="auto"/>
        <w:jc w:val="both"/>
        <w:rPr>
          <w:rFonts w:hint="default" w:ascii="Times New Roman" w:hAnsi="Times New Roman" w:eastAsia="宋体" w:cs="Times New Roman"/>
          <w:sz w:val="24"/>
          <w:szCs w:val="24"/>
          <w:lang w:val="en-US" w:eastAsia="zh-CN"/>
        </w:rPr>
      </w:pPr>
    </w:p>
    <w:p w14:paraId="783FBEC8">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Starbucks is an American coffee company founded in 1971 and headquartered in Seattle, Washington. Starbucks is committed to the business ethics of sourcing and roasting the world's highest quality Arabica coffee. Starbucks’ mission is to inspire and nuture a passion for coffee. Starbucks' vision is to create a sense of family and loyalty among its customers and employees. Based on this corporate culture, Starbucks has developed its own special values.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Take positive action, bravely challenge the status quo, break conventions, and achieve mutual growth for the company and partners in innovative ways.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In every moment that connects us, we focus and engage, being open and respectful to each other.</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For everything we do, we strive to do our best and take responsibility.</w:t>
      </w:r>
    </w:p>
    <w:p w14:paraId="48181D58">
      <w:pPr>
        <w:spacing w:line="240" w:lineRule="auto"/>
        <w:jc w:val="both"/>
        <w:rPr>
          <w:rFonts w:hint="default" w:ascii="Times New Roman" w:hAnsi="Times New Roman" w:eastAsia="宋体" w:cs="Times New Roman"/>
          <w:sz w:val="24"/>
          <w:szCs w:val="24"/>
          <w:lang w:val="en-US" w:eastAsia="zh-CN"/>
        </w:rPr>
      </w:pPr>
    </w:p>
    <w:p w14:paraId="5374D6A4">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Firstly, the first problem in the management of Starbucks is the lack of a fixed salary system. There is variability in salary levels. Starbucks' wage level varies in the sense that employees in different departments and different occupations get different values in return for a certain amount of labour time. Wage as a form of external incentive, can directly stimulate employees' work enthusiasm and creativity. When wages are higher, employees are more likely to put more effort into their work to get higher returns. At the same time, sound corporate governance is positively correlated with high levels of employee wages, which also helps to increase the profitability and value of the firm. Therefore, a stable compensation system is essential for the long-term stable development of an enterprise.</w:t>
      </w:r>
    </w:p>
    <w:p w14:paraId="6FA3021E">
      <w:pPr>
        <w:spacing w:line="240" w:lineRule="auto"/>
        <w:jc w:val="both"/>
        <w:rPr>
          <w:rFonts w:hint="default" w:ascii="Times New Roman" w:hAnsi="Times New Roman" w:eastAsia="宋体" w:cs="Times New Roman"/>
          <w:sz w:val="24"/>
          <w:szCs w:val="24"/>
          <w:lang w:val="en-US" w:eastAsia="zh-CN"/>
        </w:rPr>
      </w:pPr>
    </w:p>
    <w:p w14:paraId="7DA46951">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As the market environment changes and the company's business develops, the compensation system may need to be constantly adjusted and optimised. However, Starbucks has certain deficiencies in the flexibility of its compensation system, making it difficult to quickly adapt to market changes and the needs of the company's strategic adjustments. With the continuous improvement of modern management systems and systems, once the company still maintains the original compensation system it will significantly reduce its own competitive advantage of employees, thus failing to gain more employees' attention in the fierce talent market. According to Herzberg's two-factor theory, employees' job satisfaction is influenced by health factors and motivational factors. Health factors include working conditions, company policies, and relationships with co-workers, which can lead to employee dissatisfaction if these factors are not handled properly. Motivational factors include sense of achievement, job recognition, career development, etc., which, if satisfied, can stimulate employees' motivation and creativity. Starbucks fails to set up motivational factors and health care factors reasonably in performance management, which leads to low employee satisfaction. Therefore, an imperfect salary system will gradually reduce the job satisfaction of employees.</w:t>
      </w:r>
    </w:p>
    <w:p w14:paraId="2E5C6A1F">
      <w:pPr>
        <w:spacing w:line="240" w:lineRule="auto"/>
        <w:jc w:val="both"/>
        <w:rPr>
          <w:rFonts w:hint="default" w:ascii="Times New Roman" w:hAnsi="Times New Roman" w:eastAsia="宋体" w:cs="Times New Roman"/>
          <w:sz w:val="24"/>
          <w:szCs w:val="24"/>
          <w:lang w:val="en-US" w:eastAsia="zh-CN"/>
        </w:rPr>
      </w:pPr>
    </w:p>
    <w:p w14:paraId="11B00BB2">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According to Starbucks' annual report, the company's biggest risk is that internal talented employees loss will have an impact on management and the company's bottom line. The primary cause of this issue is the human resources department's carelessness in employee training and care, as well as its failure to promptly resolve internal conflicts, which ultimately causes many employees to lose faith in the company. However, Starbucks does not have a significant pool of talented employees to help the company boost its earnings because it is not only losing talented person within the company but is also under intense competition from the external talent market. As a result, a lack of talented staff causes the company's internal work efficiency to decline, and its output may not be able to satisfy market demand, which results in a significant loss of customers.</w:t>
      </w:r>
    </w:p>
    <w:p w14:paraId="5BE9A346">
      <w:pPr>
        <w:spacing w:line="240" w:lineRule="auto"/>
        <w:jc w:val="both"/>
        <w:rPr>
          <w:rFonts w:hint="default" w:ascii="Times New Roman" w:hAnsi="Times New Roman" w:eastAsia="宋体" w:cs="Times New Roman"/>
          <w:sz w:val="24"/>
          <w:szCs w:val="24"/>
          <w:lang w:val="en-US" w:eastAsia="zh-CN"/>
        </w:rPr>
      </w:pPr>
    </w:p>
    <w:p w14:paraId="7A08D908">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Talented employees are vital in company management and organisational development.Talented people can firstly increase the market prospects of Starbucks during the operation.Some of the best people in Starbucks usually have many job characteristics such as unique insight into market evolution, strong theoretical foundation, extensive experience and reliable technical skills.These characteristics enable Starbucks to quickly identify emerging consumer trends and market directions in the competitive landscape, focus its research efforts, and create products and services that meet the needs of the consumer marketplace.</w:t>
      </w:r>
    </w:p>
    <w:p w14:paraId="7F68652A">
      <w:pPr>
        <w:spacing w:line="240" w:lineRule="auto"/>
        <w:jc w:val="both"/>
        <w:rPr>
          <w:rFonts w:hint="default" w:ascii="Times New Roman" w:hAnsi="Times New Roman" w:eastAsia="宋体" w:cs="Times New Roman"/>
          <w:sz w:val="24"/>
          <w:szCs w:val="24"/>
          <w:lang w:val="en-US" w:eastAsia="zh-CN"/>
        </w:rPr>
      </w:pPr>
    </w:p>
    <w:p w14:paraId="4FC4AC13">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growth of the business is significantly affected by people management and retention. The loss of talented employees prevents Starbucks from managing efficiently.In the context of organisational management, talented people are able to understand the work intention of their supervisors from the very beginning and understand some of the business management practices, which reduces the complexity of job segmentation for managers to some extent and increases the productivity of the department.When there is a problem at work, other employees can also get help from these talent types to solve the problem.However, the loss of a large number of good talents in Starbucks makes it difficult to run the business internally.</w:t>
      </w:r>
    </w:p>
    <w:p w14:paraId="2C93D0CF">
      <w:pPr>
        <w:spacing w:line="240" w:lineRule="auto"/>
        <w:jc w:val="both"/>
        <w:rPr>
          <w:rFonts w:hint="default" w:ascii="Times New Roman" w:hAnsi="Times New Roman" w:eastAsia="宋体" w:cs="Times New Roman"/>
          <w:sz w:val="24"/>
          <w:szCs w:val="24"/>
          <w:lang w:val="en-US" w:eastAsia="zh-CN"/>
        </w:rPr>
      </w:pPr>
    </w:p>
    <w:p w14:paraId="16DB43BB">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Mintzberg categorises managers into ten roles and divides them into three groups: decision-making relationships, information relationships and interpersonal relationships.Based on the characteristics of these ten jobs, managers can adapt their working style to particular situations during the departmental management process. The responsibilities that managers must play and take must adapt to various social contexts and evolve with the times as public culture changes. In addition to helping business managers at Starbucks create the ideal management job, Mintzberg's role theory may also draw in some talented individuals due to social culture. Therefore, businesses should continuously develop the role connotation based on historical context in addition to playing the role of role management in the management process.</w:t>
      </w:r>
    </w:p>
    <w:p w14:paraId="0AD4A716">
      <w:pPr>
        <w:spacing w:line="240" w:lineRule="auto"/>
        <w:jc w:val="both"/>
        <w:rPr>
          <w:rFonts w:hint="default" w:ascii="Times New Roman" w:hAnsi="Times New Roman" w:eastAsia="宋体" w:cs="Times New Roman"/>
          <w:sz w:val="24"/>
          <w:szCs w:val="24"/>
          <w:lang w:val="en-US" w:eastAsia="zh-CN"/>
        </w:rPr>
      </w:pPr>
    </w:p>
    <w:p w14:paraId="2AFE04EB">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Starbucks has certain criteria for supplier selection, but some suppliers use unethical means such as child labour, exploitative labour or environmentally destructive production in order to meet Starbucks' needs.In response to the unethical means used by suppliers in meeting Starbucks' production needs, to a great extent, it damages the social image of the company and may reduce the potential customers of the company.</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Therefore, Starbucks needs to be aware of its ethical choices of suppliers and make timely adjustments.</w:t>
      </w:r>
    </w:p>
    <w:p w14:paraId="3A76CBC2">
      <w:pPr>
        <w:spacing w:line="240" w:lineRule="auto"/>
        <w:jc w:val="both"/>
        <w:rPr>
          <w:rFonts w:hint="default" w:ascii="Times New Roman" w:hAnsi="Times New Roman" w:eastAsia="宋体" w:cs="Times New Roman"/>
          <w:sz w:val="24"/>
          <w:szCs w:val="24"/>
          <w:lang w:val="en-US" w:eastAsia="zh-CN"/>
        </w:rPr>
      </w:pPr>
    </w:p>
    <w:p w14:paraId="0273F904">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Firstly, Starbucks can further improve its salary system, adopt the dual standards of performance and market standards for salary adjustment, and ensure that employees' income reflects both personal contributions and industry trends. At the same time, the establishment of equity incentive plan, let employees share the corporate growth dividend. In terms of employee welfare, we should strengthen health insurance, increase mental health support, establish a flexible working system, and improve the balance between work and life. These measures can enhance the sense of belonging of employees, improve work efficiency, continue to attract and retain excellent talents for Starbucks, and promote the long-term development of the enterprise.</w:t>
      </w:r>
    </w:p>
    <w:p w14:paraId="0A96EBA9">
      <w:pPr>
        <w:spacing w:line="240" w:lineRule="auto"/>
        <w:jc w:val="both"/>
        <w:rPr>
          <w:rFonts w:hint="default" w:ascii="Times New Roman" w:hAnsi="Times New Roman" w:eastAsia="宋体" w:cs="Times New Roman"/>
          <w:sz w:val="24"/>
          <w:szCs w:val="24"/>
          <w:lang w:val="en-US" w:eastAsia="zh-CN"/>
        </w:rPr>
      </w:pPr>
    </w:p>
    <w:p w14:paraId="46DD3F8D">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Secondly, For Starbucks' human resources department, managers need to prevent employee turnover through suitable incentives when managing the company's personnel, especially for highly skilled people. Common incentives include bonuses, promotions, and holidays. However, with the development of society, there are also some enterprises will be through the way of equity incentives to retain high-end personnel. Therefore, the necessary employee incentives can have to increase the confidence of employees for the enterprise, and then ensure the operation of the enterprise. In addition, human resource managers should also play the role of leader in Mintzberg's managerial roles theory, through the way of motivating employees to retain talented employees. talent management for the value of the enterprise is unlimited, talent management and the strategic management of the enterprise is closely related. Talent management is of infinite value to the enterprise, and talent management is closely related to the strategic management of the enterprise. Therefore, optimising the management style and system management can help to solve the problems within the company.</w:t>
      </w:r>
    </w:p>
    <w:p w14:paraId="16915246">
      <w:pPr>
        <w:spacing w:line="240" w:lineRule="auto"/>
        <w:jc w:val="both"/>
        <w:rPr>
          <w:rFonts w:hint="default" w:ascii="Times New Roman" w:hAnsi="Times New Roman" w:eastAsia="宋体" w:cs="Times New Roman"/>
          <w:sz w:val="24"/>
          <w:szCs w:val="24"/>
          <w:lang w:val="en-US" w:eastAsia="zh-CN"/>
        </w:rPr>
      </w:pPr>
    </w:p>
    <w:p w14:paraId="205B2E33">
      <w:pPr>
        <w:spacing w:line="24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Thirdly, Starbucks should strengthen its supplier management, which can be done by establishing strict screening standards and evaluation systems to ensure that suppliers meet high quality standards; at the same time, strengthening technical cooperation and exchanges with suppliers to jointly improve product quality and reduce production costs; and promoting sustainable development to reduce the impact on the environment. These initiatives will help Starbucks build a stable and efficient supply chain system, safeguard product quality and enhance corporate competitiveness.</w:t>
      </w:r>
    </w:p>
    <w:p w14:paraId="2CA63106">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14:paraId="1E6A91D2">
      <w:pP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Reference</w:t>
      </w:r>
    </w:p>
    <w:p w14:paraId="34361080">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Sakal, D. V. (2018, September). Company analysis of Starbucks Corporation.</w:t>
      </w:r>
    </w:p>
    <w:p w14:paraId="7B10B165">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Phuong, T. T. M., &amp; Hong, N. T. (2024). The Influence of Salary on Employee Engagement with Organizations: the Case of Small and Medium Enterprises in Hanoi. Journal of Law and Sustainable Development, 12(1), e2775-e2775.</w:t>
      </w:r>
    </w:p>
    <w:p w14:paraId="3A7FFABA">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Wang, M. C., Chen, S. Y., &amp; Hung, S. W. (2024). THE RELATIONSHIP BETWEEN CORPORATE GOVERNANCE, EMPLOYEE SALARIES, SALARY GAPS AND FINANCIAL PERFORMANCE. Asian Academy of Management Journal of Accounting &amp; Finance, 20(1).</w:t>
      </w:r>
    </w:p>
    <w:p w14:paraId="470AE9EA">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Yang, L., &amp; Ji, L. (2024). Can the Executive Pay Gap Promote High-Quality Corporate Development?.</w:t>
      </w:r>
    </w:p>
    <w:p w14:paraId="07285AB7">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Samašonok, K. (2024). Employee turnover: causes and retention strategies. Entrepreneurship and Sustainability Issues, 11(3), 134-148.</w:t>
      </w:r>
    </w:p>
    <w:p w14:paraId="6C89A04E">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Wirba, A. V. (2024). Corporate social responsibility (CSR): The role of government in promoting CSR. Journal of the Knowledge Economy, 15(2), 7428-7454.</w:t>
      </w:r>
    </w:p>
    <w:p w14:paraId="4657DC25">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Stoian, M. C., &amp; Plakoyiannaki, E. (2024). Understanding international CSR in SMEs. Journal of Small Business Management, 62(4), 1828-1864.</w:t>
      </w:r>
    </w:p>
    <w:p w14:paraId="4A2A4482">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Alkhalaf, T., &amp; Al‐Tabbaa, O. (2024). The effect of ability, motivation and opportunity (AMO) on SMEs' innovation performance. Creativity and Innovation Management, 33(1), 21-38.</w:t>
      </w:r>
    </w:p>
    <w:p w14:paraId="7563A5FB">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Alnahhal, M. et al. (2024) ‘The impact of pricing on consumer buying behavior in the UAE’, Cogent Business &amp; Management, 11(1). doi: 10.1080/23311975.2023.2300159.</w:t>
      </w:r>
    </w:p>
    <w:p w14:paraId="077F8946">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Carbery, R., &amp; Cross, C. (2024). Human resource management. Bloomsbury Publishing.</w:t>
      </w:r>
    </w:p>
    <w:p w14:paraId="4B05149B">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COSTAS, J., 2010. Book review: Unveiling the Masks: Critical Management Studies: The Oxford Handbook of Critical Management Studies, edited by Mats Alvesson, Todd Bridgman and Hugh Willmott. Oxford: Oxford University Press, 2009. 752 pp. £89.00. ISBN 0199237719. Organization, 17(6), pp. 789-792.</w:t>
      </w:r>
    </w:p>
    <w:p w14:paraId="7E103C3D">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Freitas, V. V., Borges, L. L. R., Vidigal, M. C. T. R., dos Santos, M. H., &amp; Stringheta, P. C. (2024). Coffee: A comprehensive overview of origin, market, and the quality process. Trends in Food Science &amp; Technology, 104411.</w:t>
      </w:r>
    </w:p>
    <w:p w14:paraId="1B9F6FE9">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Gofur, A. and Sari, S. R. (2024) “Price-quality interaction on the formation of buying interest of apartment customers”, Jurnal Manajemen Strategi dan Aplikasi Bisnis, 7(1), pp. 71-80. Available at: https://ejournal.imperiuminstitute.org/index.php/JMSAB/article/view/1211 (Accessed: 24November2024).</w:t>
      </w:r>
    </w:p>
    <w:p w14:paraId="12509613">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Hendriati, Y., Sufa, S. A., Telaumbanua, E. and Uhai, S. (2024) “Analysis of the Impact of Organizational Culture, Employee Training, and Internal Communication on Employee Retention: A Case Study in the Manufacturing Industry in Indonesia”, International Journal of Business, Law, and Education, 5(1), pp. 644 - 656. doi: 10.56442/ijble.v5i1.454.</w:t>
      </w:r>
    </w:p>
    <w:p w14:paraId="297F7403">
      <w:pPr>
        <w:numPr>
          <w:ilvl w:val="0"/>
          <w:numId w:val="1"/>
        </w:numPr>
        <w:ind w:left="425" w:leftChars="0" w:hanging="425"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Jooss, S., Collings, D. G., McMackin, J., &amp; Dickmann, M. (2024). A skills‐matching perspective on talent management: Developing strategic agility. Human Resource Management, 63(1), 141-157</w:t>
      </w:r>
    </w:p>
    <w:p w14:paraId="0B34F473">
      <w:pPr>
        <w:rPr>
          <w:rFonts w:hint="default" w:ascii="Times New Roman" w:hAnsi="Times New Roman" w:eastAsia="宋体" w:cs="Times New Roman"/>
          <w:lang w:val="en-US" w:eastAsia="zh-CN"/>
        </w:rPr>
      </w:pPr>
    </w:p>
    <w:sectPr>
      <w:pgSz w:w="11906" w:h="16838"/>
      <w:pgMar w:top="720" w:right="720" w:bottom="720" w:left="720" w:header="851" w:footer="992"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FDF2F3"/>
    <w:multiLevelType w:val="singleLevel"/>
    <w:tmpl w:val="A3FDF2F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126660CC"/>
    <w:rsid w:val="17A056D1"/>
    <w:rsid w:val="237464B5"/>
    <w:rsid w:val="249158B6"/>
    <w:rsid w:val="3D1D6D77"/>
    <w:rsid w:val="3E741203"/>
    <w:rsid w:val="3F8D6285"/>
    <w:rsid w:val="418B58D5"/>
    <w:rsid w:val="503C4BA3"/>
    <w:rsid w:val="5715646F"/>
    <w:rsid w:val="5A86312A"/>
    <w:rsid w:val="5AAA3FEA"/>
    <w:rsid w:val="5F7858AF"/>
    <w:rsid w:val="624B68DE"/>
    <w:rsid w:val="63647537"/>
    <w:rsid w:val="7F63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paragraph" w:styleId="4">
    <w:name w:val="heading 4"/>
    <w:basedOn w:val="1"/>
    <w:next w:val="1"/>
    <w:qFormat/>
    <w:uiPriority w:val="0"/>
    <w:pPr>
      <w:keepNext/>
      <w:spacing w:before="120" w:after="120" w:line="240" w:lineRule="auto"/>
      <w:jc w:val="center"/>
      <w:outlineLvl w:val="3"/>
    </w:pPr>
    <w:rPr>
      <w:rFonts w:ascii="Times New Roman" w:hAnsi="Times New Roman" w:eastAsia="Times New Roman" w:cs="Times New Roman"/>
      <w:sz w:val="40"/>
      <w:szCs w:val="20"/>
      <w:lang w:eastAsia="en-GB"/>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262</Words>
  <Characters>1577</Characters>
  <Lines>0</Lines>
  <Paragraphs>0</Paragraphs>
  <TotalTime>8</TotalTime>
  <ScaleCrop>false</ScaleCrop>
  <LinksUpToDate>false</LinksUpToDate>
  <CharactersWithSpaces>1820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2022-01-05T06:20:00Z</dcterms:created>
  <dc:creator>HONOR</dc:creator>
  <cp:lastModifiedBy>HONOR</cp:lastModifiedBy>
  <dcterms:modified xsi:type="dcterms:W3CDTF">2025-01-13T16:54:28Z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2D0D256DE78D4F7BAD3938ADB08E94D7</vt:lpwstr>
  </property>
  <property fmtid="{D5CDD505-2E9C-101B-9397-08002B2CF9AE}" pid="4" name="KSOTemplateDocerSaveRecord">
    <vt:lpwstr>eyJoZGlkIjoiN2YzNjBkOTgyNWQ1YTMxYzM3MzMwNWFiODNmOWIzYWMiLCJ1c2VySWQiOiI0MTIyMTExMDkifQ==</vt:lpwstr>
  </property>
</Properties>
</file>