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1FAB0" w14:textId="77777777" w:rsidR="000F74AF" w:rsidRDefault="000F74AF" w:rsidP="000F74AF">
      <w:pPr>
        <w:pStyle w:val="Nornal"/>
        <w:numPr>
          <w:ilvl w:val="0"/>
          <w:numId w:val="1"/>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736543">
        <w:rPr>
          <w:rFonts w:ascii="Trebuchet MS" w:hAnsi="Trebuchet MS"/>
          <w:color w:val="000000"/>
          <w:highlight w:val="yellow"/>
        </w:rPr>
        <w:t>(AC 1.1)</w:t>
      </w:r>
    </w:p>
    <w:p w14:paraId="7B9B112B" w14:textId="77777777" w:rsidR="000F74AF" w:rsidRDefault="000F74AF" w:rsidP="000F74AF">
      <w:pPr>
        <w:pStyle w:val="Nornal"/>
        <w:spacing w:after="0" w:line="240" w:lineRule="auto"/>
        <w:ind w:left="360"/>
        <w:rPr>
          <w:rFonts w:ascii="Trebuchet MS" w:hAnsi="Trebuchet MS"/>
          <w:color w:val="000000"/>
        </w:rPr>
      </w:pPr>
    </w:p>
    <w:p w14:paraId="06EE99A8"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The principles of reward can help shape how an organisation can implement an effective reward structure. The total reward approach </w:t>
      </w:r>
      <w:r w:rsidRPr="005D13C5">
        <w:rPr>
          <w:rFonts w:ascii="Trebuchet MS" w:hAnsi="Trebuchet MS"/>
          <w:color w:val="000000"/>
        </w:rPr>
        <w:t>covers the tangible and intangible aspects of work that people value and may form part of a reward strategy</w:t>
      </w:r>
      <w:r>
        <w:rPr>
          <w:rFonts w:ascii="Trebuchet MS" w:hAnsi="Trebuchet MS"/>
          <w:color w:val="000000"/>
        </w:rPr>
        <w:t xml:space="preserve"> </w:t>
      </w:r>
      <w:r w:rsidRPr="001971D9">
        <w:rPr>
          <w:rFonts w:ascii="Trebuchet MS" w:hAnsi="Trebuchet MS"/>
          <w:color w:val="000000"/>
        </w:rPr>
        <w:t>(Cotton, 2024)</w:t>
      </w:r>
      <w:r w:rsidRPr="005D13C5">
        <w:rPr>
          <w:rFonts w:ascii="Trebuchet MS" w:hAnsi="Trebuchet MS"/>
          <w:color w:val="000000"/>
        </w:rPr>
        <w:t>.</w:t>
      </w:r>
      <w:r>
        <w:rPr>
          <w:rFonts w:ascii="Trebuchet MS" w:hAnsi="Trebuchet MS"/>
          <w:color w:val="000000"/>
        </w:rPr>
        <w:t xml:space="preserve"> This approach encompasses intrinsic (non-financial) and extrinsic (financial) reward </w:t>
      </w:r>
      <w:r w:rsidRPr="001971D9">
        <w:rPr>
          <w:rFonts w:ascii="Trebuchet MS" w:hAnsi="Trebuchet MS"/>
          <w:color w:val="000000"/>
        </w:rPr>
        <w:t>ensur</w:t>
      </w:r>
      <w:r>
        <w:rPr>
          <w:rFonts w:ascii="Trebuchet MS" w:hAnsi="Trebuchet MS"/>
          <w:color w:val="000000"/>
        </w:rPr>
        <w:t>ing</w:t>
      </w:r>
      <w:r w:rsidRPr="001971D9">
        <w:rPr>
          <w:rFonts w:ascii="Trebuchet MS" w:hAnsi="Trebuchet MS"/>
          <w:color w:val="000000"/>
        </w:rPr>
        <w:t xml:space="preserve"> a comprehensive value proposition, balancing </w:t>
      </w:r>
      <w:r>
        <w:rPr>
          <w:rFonts w:ascii="Trebuchet MS" w:hAnsi="Trebuchet MS"/>
          <w:color w:val="000000"/>
        </w:rPr>
        <w:t xml:space="preserve">a variety of </w:t>
      </w:r>
      <w:r w:rsidRPr="001971D9">
        <w:rPr>
          <w:rFonts w:ascii="Trebuchet MS" w:hAnsi="Trebuchet MS"/>
          <w:color w:val="000000"/>
        </w:rPr>
        <w:t>incentives to engage employees holistically</w:t>
      </w:r>
      <w:r>
        <w:rPr>
          <w:rFonts w:ascii="Trebuchet MS" w:hAnsi="Trebuchet MS"/>
          <w:color w:val="000000"/>
        </w:rPr>
        <w:t xml:space="preserve"> (</w:t>
      </w:r>
      <w:r w:rsidRPr="001971D9">
        <w:rPr>
          <w:rFonts w:ascii="Trebuchet MS" w:hAnsi="Trebuchet MS"/>
          <w:color w:val="000000"/>
        </w:rPr>
        <w:t xml:space="preserve">Armstrong </w:t>
      </w:r>
      <w:r>
        <w:rPr>
          <w:rFonts w:ascii="Trebuchet MS" w:hAnsi="Trebuchet MS"/>
          <w:color w:val="000000"/>
        </w:rPr>
        <w:t>&amp;</w:t>
      </w:r>
      <w:r w:rsidRPr="001971D9">
        <w:rPr>
          <w:rFonts w:ascii="Trebuchet MS" w:hAnsi="Trebuchet MS"/>
          <w:color w:val="000000"/>
        </w:rPr>
        <w:t xml:space="preserve"> Taylor</w:t>
      </w:r>
      <w:r>
        <w:rPr>
          <w:rFonts w:ascii="Trebuchet MS" w:hAnsi="Trebuchet MS"/>
          <w:color w:val="000000"/>
        </w:rPr>
        <w:t xml:space="preserve">, </w:t>
      </w:r>
      <w:r w:rsidRPr="001971D9">
        <w:rPr>
          <w:rFonts w:ascii="Trebuchet MS" w:hAnsi="Trebuchet MS"/>
          <w:color w:val="000000"/>
        </w:rPr>
        <w:t>2020).</w:t>
      </w:r>
    </w:p>
    <w:p w14:paraId="0A897F40" w14:textId="77777777" w:rsidR="000F74AF" w:rsidRDefault="000F74AF" w:rsidP="000F74AF">
      <w:pPr>
        <w:pStyle w:val="Nornal"/>
        <w:spacing w:after="0" w:line="240" w:lineRule="auto"/>
        <w:rPr>
          <w:rFonts w:ascii="Trebuchet MS" w:hAnsi="Trebuchet MS"/>
          <w:color w:val="000000"/>
        </w:rPr>
      </w:pPr>
    </w:p>
    <w:p w14:paraId="57E37D16"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Another key principle of reward is the fairness, consistency and transparency that must be implemented to ensure there is no bias in rewarding individuals. Consistency and transparency also vital to ensuring trust is built and maintained by employees and helps reinforce a positive workplace culture (</w:t>
      </w:r>
      <w:r w:rsidRPr="001971D9">
        <w:rPr>
          <w:rFonts w:ascii="Trebuchet MS" w:hAnsi="Trebuchet MS"/>
          <w:color w:val="000000"/>
        </w:rPr>
        <w:t xml:space="preserve">Armstrong </w:t>
      </w:r>
      <w:r>
        <w:rPr>
          <w:rFonts w:ascii="Trebuchet MS" w:hAnsi="Trebuchet MS"/>
          <w:color w:val="000000"/>
        </w:rPr>
        <w:t>&amp;</w:t>
      </w:r>
      <w:r w:rsidRPr="001971D9">
        <w:rPr>
          <w:rFonts w:ascii="Trebuchet MS" w:hAnsi="Trebuchet MS"/>
          <w:color w:val="000000"/>
        </w:rPr>
        <w:t xml:space="preserve"> Taylor</w:t>
      </w:r>
      <w:r>
        <w:rPr>
          <w:rFonts w:ascii="Trebuchet MS" w:hAnsi="Trebuchet MS"/>
          <w:color w:val="000000"/>
        </w:rPr>
        <w:t xml:space="preserve">, </w:t>
      </w:r>
      <w:r w:rsidRPr="001971D9">
        <w:rPr>
          <w:rFonts w:ascii="Trebuchet MS" w:hAnsi="Trebuchet MS"/>
          <w:color w:val="000000"/>
        </w:rPr>
        <w:t>2020</w:t>
      </w:r>
      <w:r>
        <w:rPr>
          <w:rFonts w:ascii="Trebuchet MS" w:hAnsi="Trebuchet MS"/>
          <w:color w:val="000000"/>
        </w:rPr>
        <w:t>). As when employees trust the reward system to be fair and transparent, it will boost employee retention and engagement (</w:t>
      </w:r>
      <w:r w:rsidRPr="001971D9">
        <w:rPr>
          <w:rFonts w:ascii="Trebuchet MS" w:hAnsi="Trebuchet MS"/>
          <w:color w:val="000000"/>
        </w:rPr>
        <w:t xml:space="preserve">Armstrong </w:t>
      </w:r>
      <w:r>
        <w:rPr>
          <w:rFonts w:ascii="Trebuchet MS" w:hAnsi="Trebuchet MS"/>
          <w:color w:val="000000"/>
        </w:rPr>
        <w:t>&amp;</w:t>
      </w:r>
      <w:r w:rsidRPr="001971D9">
        <w:rPr>
          <w:rFonts w:ascii="Trebuchet MS" w:hAnsi="Trebuchet MS"/>
          <w:color w:val="000000"/>
        </w:rPr>
        <w:t xml:space="preserve"> Taylor</w:t>
      </w:r>
      <w:r>
        <w:rPr>
          <w:rFonts w:ascii="Trebuchet MS" w:hAnsi="Trebuchet MS"/>
          <w:color w:val="000000"/>
        </w:rPr>
        <w:t xml:space="preserve">, </w:t>
      </w:r>
      <w:r w:rsidRPr="001971D9">
        <w:rPr>
          <w:rFonts w:ascii="Trebuchet MS" w:hAnsi="Trebuchet MS"/>
          <w:color w:val="000000"/>
        </w:rPr>
        <w:t>2020</w:t>
      </w:r>
      <w:proofErr w:type="gramStart"/>
      <w:r>
        <w:rPr>
          <w:rFonts w:ascii="Trebuchet MS" w:hAnsi="Trebuchet MS"/>
          <w:color w:val="000000"/>
        </w:rPr>
        <w:t>).However</w:t>
      </w:r>
      <w:proofErr w:type="gramEnd"/>
      <w:r>
        <w:rPr>
          <w:rFonts w:ascii="Trebuchet MS" w:hAnsi="Trebuchet MS"/>
          <w:color w:val="000000"/>
        </w:rPr>
        <w:t xml:space="preserve">, it is important to note that this fairness must be balanced with external market rates to ensure equity, attract talent and reduce dissatisfaction. This way, employees are more likely to see the reward as equitable and in turn feel more motivated and engaged, increasing retention as well as boosting attraction to potential candidates. </w:t>
      </w:r>
      <w:r w:rsidRPr="001971D9">
        <w:rPr>
          <w:rFonts w:ascii="Trebuchet MS" w:hAnsi="Trebuchet MS"/>
          <w:color w:val="000000"/>
        </w:rPr>
        <w:t>(Cotton, 2024)</w:t>
      </w:r>
      <w:r>
        <w:rPr>
          <w:rFonts w:ascii="Trebuchet MS" w:hAnsi="Trebuchet MS"/>
          <w:color w:val="000000"/>
        </w:rPr>
        <w:t>.</w:t>
      </w:r>
    </w:p>
    <w:p w14:paraId="4D428FBB" w14:textId="77777777" w:rsidR="000F74AF" w:rsidRDefault="000F74AF" w:rsidP="000F74AF">
      <w:pPr>
        <w:pStyle w:val="Nornal"/>
        <w:spacing w:after="0" w:line="240" w:lineRule="auto"/>
        <w:rPr>
          <w:rFonts w:ascii="Trebuchet MS" w:hAnsi="Trebuchet MS"/>
          <w:color w:val="000000"/>
        </w:rPr>
      </w:pPr>
    </w:p>
    <w:p w14:paraId="0D90D181"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When the reward process has clear procedures and policies around it that ensure legal compliance with both employment laws like the Equal Pay Act 2010 and the Equality Act 1970 as well as internal business objectives </w:t>
      </w:r>
      <w:r w:rsidRPr="001971D9">
        <w:rPr>
          <w:rFonts w:ascii="Trebuchet MS" w:hAnsi="Trebuchet MS"/>
          <w:color w:val="000000"/>
        </w:rPr>
        <w:t>(Cotton, 2024)</w:t>
      </w:r>
      <w:r>
        <w:rPr>
          <w:rFonts w:ascii="Trebuchet MS" w:hAnsi="Trebuchet MS"/>
          <w:color w:val="000000"/>
        </w:rPr>
        <w:t>. In turn, reward can help foster positive work practices such as collaboration and innovation whilst reducing excessive competition (</w:t>
      </w:r>
      <w:r w:rsidRPr="001971D9">
        <w:rPr>
          <w:rFonts w:ascii="Trebuchet MS" w:hAnsi="Trebuchet MS"/>
          <w:color w:val="000000"/>
        </w:rPr>
        <w:t xml:space="preserve">Armstrong </w:t>
      </w:r>
      <w:r>
        <w:rPr>
          <w:rFonts w:ascii="Trebuchet MS" w:hAnsi="Trebuchet MS"/>
          <w:color w:val="000000"/>
        </w:rPr>
        <w:t>&amp;</w:t>
      </w:r>
      <w:r w:rsidRPr="001971D9">
        <w:rPr>
          <w:rFonts w:ascii="Trebuchet MS" w:hAnsi="Trebuchet MS"/>
          <w:color w:val="000000"/>
        </w:rPr>
        <w:t xml:space="preserve"> Taylor</w:t>
      </w:r>
      <w:r>
        <w:rPr>
          <w:rFonts w:ascii="Trebuchet MS" w:hAnsi="Trebuchet MS"/>
          <w:color w:val="000000"/>
        </w:rPr>
        <w:t xml:space="preserve">, </w:t>
      </w:r>
      <w:r w:rsidRPr="001971D9">
        <w:rPr>
          <w:rFonts w:ascii="Trebuchet MS" w:hAnsi="Trebuchet MS"/>
          <w:color w:val="000000"/>
        </w:rPr>
        <w:t>2020</w:t>
      </w:r>
      <w:r>
        <w:rPr>
          <w:rFonts w:ascii="Trebuchet MS" w:hAnsi="Trebuchet MS"/>
          <w:color w:val="000000"/>
        </w:rPr>
        <w:t>). By providing structure to the reward system, this will help the organisation promote behaviours that are aligned with organisational values and goals such as accountability and continuous improvement, reducing the risk of unethical behaviours (</w:t>
      </w:r>
      <w:r w:rsidRPr="001971D9">
        <w:rPr>
          <w:rFonts w:ascii="Trebuchet MS" w:hAnsi="Trebuchet MS"/>
          <w:color w:val="000000"/>
        </w:rPr>
        <w:t xml:space="preserve">Armstrong </w:t>
      </w:r>
      <w:r>
        <w:rPr>
          <w:rFonts w:ascii="Trebuchet MS" w:hAnsi="Trebuchet MS"/>
          <w:color w:val="000000"/>
        </w:rPr>
        <w:t>&amp;</w:t>
      </w:r>
      <w:r w:rsidRPr="001971D9">
        <w:rPr>
          <w:rFonts w:ascii="Trebuchet MS" w:hAnsi="Trebuchet MS"/>
          <w:color w:val="000000"/>
        </w:rPr>
        <w:t xml:space="preserve"> Taylor</w:t>
      </w:r>
      <w:r>
        <w:rPr>
          <w:rFonts w:ascii="Trebuchet MS" w:hAnsi="Trebuchet MS"/>
          <w:color w:val="000000"/>
        </w:rPr>
        <w:t xml:space="preserve">, </w:t>
      </w:r>
      <w:r w:rsidRPr="001971D9">
        <w:rPr>
          <w:rFonts w:ascii="Trebuchet MS" w:hAnsi="Trebuchet MS"/>
          <w:color w:val="000000"/>
        </w:rPr>
        <w:t>2020</w:t>
      </w:r>
      <w:r>
        <w:rPr>
          <w:rFonts w:ascii="Trebuchet MS" w:hAnsi="Trebuchet MS"/>
          <w:color w:val="000000"/>
        </w:rPr>
        <w:t>).</w:t>
      </w:r>
    </w:p>
    <w:p w14:paraId="07C1E9CE" w14:textId="77777777" w:rsidR="000F74AF" w:rsidRDefault="000F74AF" w:rsidP="000F74AF">
      <w:pPr>
        <w:pStyle w:val="Nornal"/>
        <w:spacing w:after="0" w:line="240" w:lineRule="auto"/>
        <w:rPr>
          <w:rFonts w:ascii="Trebuchet MS" w:hAnsi="Trebuchet MS"/>
          <w:color w:val="000000"/>
        </w:rPr>
      </w:pPr>
    </w:p>
    <w:p w14:paraId="35333032" w14:textId="77777777" w:rsidR="000F74AF" w:rsidRPr="00E446B9" w:rsidRDefault="000F74AF" w:rsidP="000F74AF">
      <w:pPr>
        <w:pStyle w:val="Listparag"/>
        <w:spacing w:after="0" w:line="240" w:lineRule="auto"/>
        <w:ind w:left="720"/>
        <w:rPr>
          <w:rFonts w:ascii="Trebuchet MS" w:hAnsi="Trebuchet MS"/>
          <w:color w:val="FF0000"/>
        </w:rPr>
      </w:pPr>
    </w:p>
    <w:p w14:paraId="07CCB606" w14:textId="77777777" w:rsidR="000F74AF" w:rsidRPr="00AE1BCE" w:rsidRDefault="000F74AF" w:rsidP="000F74AF">
      <w:pPr>
        <w:pStyle w:val="Nornal"/>
        <w:numPr>
          <w:ilvl w:val="0"/>
          <w:numId w:val="1"/>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536FBF13" w14:textId="77777777" w:rsidR="000F74AF" w:rsidRPr="00910FBF" w:rsidRDefault="000F74AF" w:rsidP="000F74AF">
      <w:pPr>
        <w:pStyle w:val="Nornal"/>
        <w:spacing w:after="0" w:line="240" w:lineRule="auto"/>
        <w:ind w:left="720"/>
        <w:rPr>
          <w:rFonts w:ascii="Trebuchet MS" w:hAnsi="Trebuchet MS"/>
          <w:color w:val="000000"/>
        </w:rPr>
      </w:pPr>
    </w:p>
    <w:p w14:paraId="01020CE7"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Extrinsic reward can be defined is tangible and external to the employee such as extra paid time off, whereas intrinsic reward is intangible and internal to the employee such as praise for completing a work-related course </w:t>
      </w:r>
      <w:r w:rsidRPr="00056DFB">
        <w:rPr>
          <w:rFonts w:ascii="Trebuchet MS" w:hAnsi="Trebuchet MS"/>
          <w:color w:val="000000" w:themeColor="text1"/>
        </w:rPr>
        <w:t>(Indeed, 2024)</w:t>
      </w:r>
      <w:r>
        <w:rPr>
          <w:rFonts w:ascii="Trebuchet MS" w:hAnsi="Trebuchet MS"/>
          <w:color w:val="000000" w:themeColor="text1"/>
        </w:rPr>
        <w:t>.</w:t>
      </w:r>
    </w:p>
    <w:p w14:paraId="46B5BAF5" w14:textId="77777777" w:rsidR="000F74AF" w:rsidRDefault="000F74AF" w:rsidP="000F74AF">
      <w:pPr>
        <w:pStyle w:val="Nornal"/>
        <w:spacing w:after="0" w:line="240" w:lineRule="auto"/>
        <w:rPr>
          <w:rFonts w:ascii="Trebuchet MS" w:hAnsi="Trebuchet MS"/>
          <w:color w:val="000000" w:themeColor="text1"/>
        </w:rPr>
      </w:pPr>
    </w:p>
    <w:p w14:paraId="44D215F5" w14:textId="77777777" w:rsidR="000F74AF" w:rsidRDefault="000F74AF" w:rsidP="000F74AF">
      <w:pPr>
        <w:pStyle w:val="Nornal"/>
        <w:spacing w:after="0" w:line="240" w:lineRule="auto"/>
        <w:rPr>
          <w:rFonts w:ascii="Trebuchet MS" w:hAnsi="Trebuchet MS"/>
          <w:color w:val="000000" w:themeColor="text1"/>
        </w:rPr>
      </w:pPr>
      <w:proofErr w:type="gramStart"/>
      <w:r>
        <w:rPr>
          <w:rFonts w:ascii="Trebuchet MS" w:hAnsi="Trebuchet MS"/>
          <w:color w:val="000000" w:themeColor="text1"/>
        </w:rPr>
        <w:t>It is clear that extrinsic</w:t>
      </w:r>
      <w:proofErr w:type="gramEnd"/>
      <w:r>
        <w:rPr>
          <w:rFonts w:ascii="Trebuchet MS" w:hAnsi="Trebuchet MS"/>
          <w:color w:val="000000" w:themeColor="text1"/>
        </w:rPr>
        <w:t xml:space="preserve"> reward leads to improved employee contribution ad organisational performance when looking at Vroom’s Expectancy Theory, it can be seen that there is a clear link between motivation, performance and reward. </w:t>
      </w:r>
      <w:r w:rsidRPr="00DE225F">
        <w:rPr>
          <w:rFonts w:ascii="Trebuchet MS" w:hAnsi="Trebuchet MS"/>
          <w:color w:val="000000" w:themeColor="text1"/>
        </w:rPr>
        <w:t>Vroom (1964) suggested that an individual’s behavio</w:t>
      </w:r>
      <w:r>
        <w:rPr>
          <w:rFonts w:ascii="Trebuchet MS" w:hAnsi="Trebuchet MS"/>
          <w:color w:val="000000" w:themeColor="text1"/>
        </w:rPr>
        <w:t>u</w:t>
      </w:r>
      <w:r w:rsidRPr="00DE225F">
        <w:rPr>
          <w:rFonts w:ascii="Trebuchet MS" w:hAnsi="Trebuchet MS"/>
          <w:color w:val="000000" w:themeColor="text1"/>
        </w:rPr>
        <w:t xml:space="preserve">r </w:t>
      </w:r>
      <w:r>
        <w:rPr>
          <w:rFonts w:ascii="Trebuchet MS" w:hAnsi="Trebuchet MS"/>
          <w:color w:val="000000" w:themeColor="text1"/>
        </w:rPr>
        <w:t xml:space="preserve">is </w:t>
      </w:r>
      <w:r w:rsidRPr="00DE225F">
        <w:rPr>
          <w:rFonts w:ascii="Trebuchet MS" w:hAnsi="Trebuchet MS"/>
          <w:color w:val="000000" w:themeColor="text1"/>
        </w:rPr>
        <w:t xml:space="preserve">motivated by anticipated results, and </w:t>
      </w:r>
      <w:r>
        <w:rPr>
          <w:rFonts w:ascii="Trebuchet MS" w:hAnsi="Trebuchet MS"/>
          <w:color w:val="000000" w:themeColor="text1"/>
        </w:rPr>
        <w:t xml:space="preserve">that </w:t>
      </w:r>
      <w:r w:rsidRPr="00DE225F">
        <w:rPr>
          <w:rFonts w:ascii="Trebuchet MS" w:hAnsi="Trebuchet MS"/>
          <w:color w:val="000000" w:themeColor="text1"/>
        </w:rPr>
        <w:t xml:space="preserve">the intensity of their work </w:t>
      </w:r>
      <w:r>
        <w:rPr>
          <w:rFonts w:ascii="Trebuchet MS" w:hAnsi="Trebuchet MS"/>
          <w:color w:val="000000" w:themeColor="text1"/>
        </w:rPr>
        <w:t>is</w:t>
      </w:r>
      <w:r w:rsidRPr="00DE225F">
        <w:rPr>
          <w:rFonts w:ascii="Trebuchet MS" w:hAnsi="Trebuchet MS"/>
          <w:color w:val="000000" w:themeColor="text1"/>
        </w:rPr>
        <w:t xml:space="preserve"> driven by the </w:t>
      </w:r>
      <w:r>
        <w:rPr>
          <w:rFonts w:ascii="Trebuchet MS" w:hAnsi="Trebuchet MS"/>
          <w:color w:val="000000" w:themeColor="text1"/>
        </w:rPr>
        <w:t>belief</w:t>
      </w:r>
      <w:r w:rsidRPr="00DE225F">
        <w:rPr>
          <w:rFonts w:ascii="Trebuchet MS" w:hAnsi="Trebuchet MS"/>
          <w:color w:val="000000" w:themeColor="text1"/>
        </w:rPr>
        <w:t xml:space="preserve"> that their effort would lead to the desired outcome</w:t>
      </w:r>
      <w:r>
        <w:rPr>
          <w:rFonts w:ascii="Trebuchet MS" w:hAnsi="Trebuchet MS"/>
          <w:color w:val="000000" w:themeColor="text1"/>
        </w:rPr>
        <w:t xml:space="preserve"> such as a performance related bonus </w:t>
      </w:r>
      <w:r w:rsidRPr="00DE225F">
        <w:rPr>
          <w:rFonts w:ascii="Trebuchet MS" w:hAnsi="Trebuchet MS"/>
          <w:color w:val="000000" w:themeColor="text1"/>
        </w:rPr>
        <w:t>(Sutton, 2024)</w:t>
      </w:r>
      <w:r>
        <w:rPr>
          <w:rFonts w:ascii="Trebuchet MS" w:hAnsi="Trebuchet MS"/>
          <w:color w:val="000000" w:themeColor="text1"/>
        </w:rPr>
        <w:t xml:space="preserve">.  </w:t>
      </w:r>
    </w:p>
    <w:p w14:paraId="4AA12BD9" w14:textId="77777777" w:rsidR="000F74AF" w:rsidRDefault="000F74AF" w:rsidP="000F74AF">
      <w:pPr>
        <w:pStyle w:val="Nornal"/>
        <w:spacing w:after="0" w:line="240" w:lineRule="auto"/>
        <w:rPr>
          <w:rFonts w:ascii="Trebuchet MS" w:hAnsi="Trebuchet MS"/>
          <w:color w:val="000000" w:themeColor="text1"/>
        </w:rPr>
      </w:pPr>
    </w:p>
    <w:p w14:paraId="241C077D"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Extrinsic reward such as base pay are what an employee receives for fulfilling their job requirement, it is likely that if someone is renumerated well for their role, they are likely to be more motivated to fulfil their job requirements and more, in turn helping to boost organisational performance (</w:t>
      </w:r>
      <w:r w:rsidRPr="009A000F">
        <w:rPr>
          <w:rFonts w:ascii="Trebuchet MS" w:hAnsi="Trebuchet MS"/>
          <w:color w:val="000000" w:themeColor="text1"/>
        </w:rPr>
        <w:t>Antoni</w:t>
      </w:r>
      <w:r>
        <w:rPr>
          <w:rFonts w:ascii="Trebuchet MS" w:hAnsi="Trebuchet MS"/>
          <w:color w:val="000000" w:themeColor="text1"/>
        </w:rPr>
        <w:t xml:space="preserve"> </w:t>
      </w:r>
      <w:r w:rsidRPr="009A000F">
        <w:rPr>
          <w:rFonts w:ascii="Trebuchet MS" w:hAnsi="Trebuchet MS"/>
          <w:i/>
          <w:iCs/>
          <w:color w:val="000000" w:themeColor="text1"/>
        </w:rPr>
        <w:t>et a</w:t>
      </w:r>
      <w:r>
        <w:rPr>
          <w:rFonts w:ascii="Trebuchet MS" w:hAnsi="Trebuchet MS"/>
          <w:i/>
          <w:iCs/>
          <w:color w:val="000000" w:themeColor="text1"/>
        </w:rPr>
        <w:t xml:space="preserve">l, </w:t>
      </w:r>
      <w:r w:rsidRPr="009A000F">
        <w:rPr>
          <w:rFonts w:ascii="Trebuchet MS" w:hAnsi="Trebuchet MS"/>
          <w:color w:val="000000" w:themeColor="text1"/>
        </w:rPr>
        <w:t>2017)</w:t>
      </w:r>
      <w:r>
        <w:rPr>
          <w:rFonts w:ascii="Trebuchet MS" w:hAnsi="Trebuchet MS"/>
          <w:color w:val="000000" w:themeColor="text1"/>
        </w:rPr>
        <w:t xml:space="preserve">. If roles are renumerated poorly, employees are less likely to give their full effort and potential to the organisation, be retained or attracted in the first place as this is an extremely important factor for both existing employees and potential candidates </w:t>
      </w:r>
      <w:r w:rsidRPr="00DA3CD7">
        <w:rPr>
          <w:rFonts w:ascii="Trebuchet MS" w:hAnsi="Trebuchet MS"/>
          <w:color w:val="000000" w:themeColor="text1"/>
        </w:rPr>
        <w:t>(Costello, 2023)</w:t>
      </w:r>
      <w:r>
        <w:rPr>
          <w:rFonts w:ascii="Trebuchet MS" w:hAnsi="Trebuchet MS"/>
          <w:color w:val="000000" w:themeColor="text1"/>
        </w:rPr>
        <w:t xml:space="preserve">. </w:t>
      </w:r>
    </w:p>
    <w:p w14:paraId="62581036" w14:textId="77777777" w:rsidR="000F74AF" w:rsidRDefault="000F74AF" w:rsidP="000F74AF">
      <w:pPr>
        <w:pStyle w:val="Nornal"/>
        <w:spacing w:after="0" w:line="240" w:lineRule="auto"/>
        <w:rPr>
          <w:rFonts w:ascii="Trebuchet MS" w:hAnsi="Trebuchet MS"/>
          <w:color w:val="000000" w:themeColor="text1"/>
        </w:rPr>
      </w:pPr>
    </w:p>
    <w:p w14:paraId="6772E498"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lastRenderedPageBreak/>
        <w:t>On the other hand, it is important to note the importance of intrinsic reward. Herzberg’s Two-Factor Theory suggests t</w:t>
      </w:r>
      <w:r w:rsidRPr="003273F9">
        <w:rPr>
          <w:rFonts w:ascii="Trebuchet MS" w:hAnsi="Trebuchet MS"/>
          <w:color w:val="000000" w:themeColor="text1"/>
        </w:rPr>
        <w:t>h</w:t>
      </w:r>
      <w:r>
        <w:rPr>
          <w:rFonts w:ascii="Trebuchet MS" w:hAnsi="Trebuchet MS"/>
          <w:color w:val="000000" w:themeColor="text1"/>
        </w:rPr>
        <w:t>at</w:t>
      </w:r>
      <w:r w:rsidRPr="003273F9">
        <w:rPr>
          <w:rFonts w:ascii="Trebuchet MS" w:hAnsi="Trebuchet MS"/>
          <w:color w:val="000000" w:themeColor="text1"/>
        </w:rPr>
        <w:t xml:space="preserve"> </w:t>
      </w:r>
      <w:r>
        <w:rPr>
          <w:rFonts w:ascii="Trebuchet MS" w:hAnsi="Trebuchet MS"/>
          <w:color w:val="000000" w:themeColor="text1"/>
        </w:rPr>
        <w:t xml:space="preserve">intrinsic rewards </w:t>
      </w:r>
      <w:r w:rsidRPr="003273F9">
        <w:rPr>
          <w:rFonts w:ascii="Trebuchet MS" w:hAnsi="Trebuchet MS"/>
          <w:color w:val="000000" w:themeColor="text1"/>
        </w:rPr>
        <w:t>are the most potent in driving job satisfaction and motivation</w:t>
      </w:r>
      <w:r>
        <w:rPr>
          <w:rFonts w:ascii="Trebuchet MS" w:hAnsi="Trebuchet MS"/>
          <w:color w:val="000000" w:themeColor="text1"/>
        </w:rPr>
        <w:t xml:space="preserve"> depending on an individual’s values and needs. Noting that ‘hygiene’ factors (extrinsic) such as salary can cause dissatisfaction if not adequate </w:t>
      </w:r>
      <w:r w:rsidRPr="00056DFB">
        <w:rPr>
          <w:rFonts w:ascii="Trebuchet MS" w:hAnsi="Trebuchet MS"/>
          <w:color w:val="000000" w:themeColor="text1"/>
        </w:rPr>
        <w:t>(Nickerson, 2023)</w:t>
      </w:r>
      <w:r>
        <w:rPr>
          <w:rFonts w:ascii="Trebuchet MS" w:hAnsi="Trebuchet MS"/>
          <w:color w:val="000000" w:themeColor="text1"/>
        </w:rPr>
        <w:t xml:space="preserve">. </w:t>
      </w:r>
    </w:p>
    <w:p w14:paraId="3DB89A86" w14:textId="77777777" w:rsidR="000F74AF" w:rsidRDefault="000F74AF" w:rsidP="000F74AF">
      <w:pPr>
        <w:pStyle w:val="Nornal"/>
        <w:spacing w:after="0" w:line="240" w:lineRule="auto"/>
        <w:rPr>
          <w:rFonts w:ascii="Trebuchet MS" w:hAnsi="Trebuchet MS"/>
          <w:color w:val="000000" w:themeColor="text1"/>
        </w:rPr>
      </w:pPr>
    </w:p>
    <w:p w14:paraId="6E0CD175"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Intrinsic rewards such as recognition enable employees to feel good and acknowledged for the effort they have put in and as humans, our desire to achieve this motivates us. This will not only impact the employee that receives the recognition, but also the wider team and can be utilised longer term than that of extrinsic rewards like bonuses due to the reduced cost (Cotton et al, 2022). Intrinsic rewards also help to nurture confidence and help stimulate a feeling of belonging within the organisation, which will also help retain employees and sustain organisational performance </w:t>
      </w:r>
      <w:r w:rsidRPr="00056DFB">
        <w:rPr>
          <w:rFonts w:ascii="Trebuchet MS" w:hAnsi="Trebuchet MS"/>
          <w:color w:val="000000" w:themeColor="text1"/>
        </w:rPr>
        <w:t>(Indeed, 2024)</w:t>
      </w:r>
      <w:r>
        <w:rPr>
          <w:rFonts w:ascii="Trebuchet MS" w:hAnsi="Trebuchet MS"/>
          <w:color w:val="000000" w:themeColor="text1"/>
        </w:rPr>
        <w:t>.</w:t>
      </w:r>
    </w:p>
    <w:p w14:paraId="7CCC59FB" w14:textId="77777777" w:rsidR="000F74AF" w:rsidRDefault="000F74AF" w:rsidP="000F74AF">
      <w:pPr>
        <w:pStyle w:val="Nornal"/>
        <w:spacing w:after="0" w:line="240" w:lineRule="auto"/>
        <w:rPr>
          <w:rFonts w:ascii="Trebuchet MS" w:hAnsi="Trebuchet MS"/>
          <w:color w:val="000000" w:themeColor="text1"/>
        </w:rPr>
      </w:pPr>
    </w:p>
    <w:p w14:paraId="46A4E25A" w14:textId="77777777" w:rsidR="000F74AF" w:rsidRPr="00D74D23"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There needs to be a mix of both extrinsic and intrinsic reward to ensure improved employee contribution and organisational performance. It may be useful for Eco-Insulate UK to implement a performance bonus or something similar and to place more importance on introducing more intrinsic rewards such as recognition or flexibility in the workplace that can be used longer term. </w:t>
      </w:r>
    </w:p>
    <w:p w14:paraId="3E8C6D63" w14:textId="77777777" w:rsidR="000F74AF" w:rsidRPr="00E446B9" w:rsidRDefault="000F74AF" w:rsidP="000F74AF">
      <w:pPr>
        <w:pStyle w:val="Nornal"/>
        <w:spacing w:after="0" w:line="240" w:lineRule="auto"/>
        <w:rPr>
          <w:rFonts w:ascii="Trebuchet MS" w:hAnsi="Trebuchet MS"/>
          <w:color w:val="000000"/>
        </w:rPr>
      </w:pPr>
    </w:p>
    <w:p w14:paraId="2C4D4EE0" w14:textId="77777777" w:rsidR="000F74AF" w:rsidRPr="00E20145" w:rsidRDefault="000F74AF" w:rsidP="000F74AF">
      <w:pPr>
        <w:pStyle w:val="Nornal"/>
        <w:numPr>
          <w:ilvl w:val="0"/>
          <w:numId w:val="1"/>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2CD7AE09" w14:textId="77777777" w:rsidR="000F74AF" w:rsidRDefault="000F74AF" w:rsidP="000F74AF">
      <w:pPr>
        <w:pStyle w:val="Nornal"/>
        <w:spacing w:after="0" w:line="240" w:lineRule="auto"/>
        <w:rPr>
          <w:rFonts w:ascii="Trebuchet MS" w:hAnsi="Trebuchet MS"/>
          <w:color w:val="000000" w:themeColor="text1"/>
        </w:rPr>
      </w:pPr>
    </w:p>
    <w:p w14:paraId="693C4DC2" w14:textId="77777777" w:rsidR="000F74AF" w:rsidRDefault="000F74AF" w:rsidP="000F74AF">
      <w:pPr>
        <w:pStyle w:val="Nornal"/>
        <w:spacing w:after="0" w:line="240" w:lineRule="auto"/>
        <w:rPr>
          <w:rFonts w:ascii="Trebuchet MS" w:hAnsi="Trebuchet MS"/>
          <w:color w:val="000000" w:themeColor="text1"/>
        </w:rPr>
      </w:pPr>
      <w:r w:rsidRPr="00322F8A">
        <w:rPr>
          <w:rFonts w:ascii="Trebuchet MS" w:hAnsi="Trebuchet MS"/>
          <w:color w:val="000000" w:themeColor="text1"/>
        </w:rPr>
        <w:t>A pay structure is a collection of grades, levels, or bands linking related jobs within a hierarchy or series.</w:t>
      </w:r>
      <w:r>
        <w:rPr>
          <w:rFonts w:ascii="Trebuchet MS" w:hAnsi="Trebuchet MS"/>
          <w:color w:val="000000" w:themeColor="text1"/>
        </w:rPr>
        <w:t xml:space="preserve"> The grade then falls within this structure highlighting an employee’s exact salary within a specific range </w:t>
      </w:r>
      <w:r w:rsidRPr="00322F8A">
        <w:rPr>
          <w:rFonts w:ascii="Trebuchet MS" w:hAnsi="Trebuchet MS"/>
          <w:color w:val="000000" w:themeColor="text1"/>
        </w:rPr>
        <w:t>(CIPD, 2024)</w:t>
      </w:r>
      <w:r>
        <w:rPr>
          <w:rFonts w:ascii="Trebuchet MS" w:hAnsi="Trebuchet MS"/>
          <w:color w:val="000000" w:themeColor="text1"/>
        </w:rPr>
        <w:t>.</w:t>
      </w:r>
    </w:p>
    <w:p w14:paraId="497FF80C" w14:textId="77777777" w:rsidR="000F74AF" w:rsidRDefault="000F74AF" w:rsidP="000F74AF">
      <w:pPr>
        <w:pStyle w:val="Nornal"/>
        <w:spacing w:after="0" w:line="240" w:lineRule="auto"/>
        <w:rPr>
          <w:rFonts w:ascii="Trebuchet MS" w:hAnsi="Trebuchet MS"/>
          <w:color w:val="000000" w:themeColor="text1"/>
        </w:rPr>
      </w:pPr>
    </w:p>
    <w:p w14:paraId="4D5BC5C4"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These structures can be divided into formal and informal structures. An example of a formal structure is a broad-banded pay structure, this can be defined as a structure that uses narrow pay bands to allow for greater pay flexibility and progression than a narrow-graded structure would. Narrow graded structures usually include 10 or more grades with a range of jobs of equivalent worth within each grade band. The pay progression here is usually linked to length of service, being less flexible and cause issues around ‘grade drift’ for some </w:t>
      </w:r>
      <w:proofErr w:type="gramStart"/>
      <w:r>
        <w:rPr>
          <w:rFonts w:ascii="Trebuchet MS" w:hAnsi="Trebuchet MS"/>
          <w:color w:val="000000" w:themeColor="text1"/>
        </w:rPr>
        <w:t>roles</w:t>
      </w:r>
      <w:r w:rsidRPr="00322F8A">
        <w:rPr>
          <w:rFonts w:ascii="Trebuchet MS" w:hAnsi="Trebuchet MS"/>
          <w:color w:val="000000" w:themeColor="text1"/>
        </w:rPr>
        <w:t>(</w:t>
      </w:r>
      <w:proofErr w:type="gramEnd"/>
      <w:r w:rsidRPr="00322F8A">
        <w:rPr>
          <w:rFonts w:ascii="Trebuchet MS" w:hAnsi="Trebuchet MS"/>
          <w:color w:val="000000" w:themeColor="text1"/>
        </w:rPr>
        <w:t>CIPD, 2024)</w:t>
      </w:r>
      <w:r>
        <w:rPr>
          <w:rFonts w:ascii="Trebuchet MS" w:hAnsi="Trebuchet MS"/>
          <w:color w:val="000000" w:themeColor="text1"/>
        </w:rPr>
        <w:t>. If this becomes an issue, broad grading which increases the number of grades whilst narrowing the pay bands.</w:t>
      </w:r>
    </w:p>
    <w:p w14:paraId="54BECF23" w14:textId="77777777" w:rsidR="000F74AF" w:rsidRDefault="000F74AF" w:rsidP="000F74AF">
      <w:pPr>
        <w:pStyle w:val="Nornal"/>
        <w:spacing w:after="0" w:line="240" w:lineRule="auto"/>
        <w:rPr>
          <w:rFonts w:ascii="Trebuchet MS" w:hAnsi="Trebuchet MS"/>
          <w:color w:val="000000" w:themeColor="text1"/>
        </w:rPr>
      </w:pPr>
    </w:p>
    <w:p w14:paraId="371D50E0"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 Another example of a formal pay structure is the grouping together of roles within pay and grading structure dependant what job family they are in. These structures usually have around six to eight levels similar to that of a broad graded structure to help facilitate higher pay rates for specific sought after roles </w:t>
      </w:r>
      <w:r w:rsidRPr="00322F8A">
        <w:rPr>
          <w:rFonts w:ascii="Trebuchet MS" w:hAnsi="Trebuchet MS"/>
          <w:color w:val="000000" w:themeColor="text1"/>
        </w:rPr>
        <w:t>(CIPD, 2024</w:t>
      </w:r>
      <w:proofErr w:type="gramStart"/>
      <w:r w:rsidRPr="00322F8A">
        <w:rPr>
          <w:rFonts w:ascii="Trebuchet MS" w:hAnsi="Trebuchet MS"/>
          <w:color w:val="000000" w:themeColor="text1"/>
        </w:rPr>
        <w:t>)</w:t>
      </w:r>
      <w:r>
        <w:rPr>
          <w:rFonts w:ascii="Trebuchet MS" w:hAnsi="Trebuchet MS"/>
          <w:color w:val="000000" w:themeColor="text1"/>
        </w:rPr>
        <w:t>..</w:t>
      </w:r>
      <w:proofErr w:type="gramEnd"/>
    </w:p>
    <w:p w14:paraId="7AB46F13" w14:textId="77777777" w:rsidR="000F74AF" w:rsidRDefault="000F74AF" w:rsidP="000F74AF">
      <w:pPr>
        <w:pStyle w:val="Nornal"/>
        <w:spacing w:after="0" w:line="240" w:lineRule="auto"/>
        <w:rPr>
          <w:rFonts w:ascii="Trebuchet MS" w:hAnsi="Trebuchet MS"/>
          <w:color w:val="000000" w:themeColor="text1"/>
        </w:rPr>
      </w:pPr>
    </w:p>
    <w:p w14:paraId="7716139A"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In comparison, informal pay structures such as individual pay rates/spot rates are where there is a single pay rate for each job or person. These are usually applied where there is need for a ‘rate’ for a specific job </w:t>
      </w:r>
      <w:proofErr w:type="gramStart"/>
      <w:r>
        <w:rPr>
          <w:rFonts w:ascii="Trebuchet MS" w:hAnsi="Trebuchet MS"/>
          <w:color w:val="000000" w:themeColor="text1"/>
        </w:rPr>
        <w:t>i.e.</w:t>
      </w:r>
      <w:proofErr w:type="gramEnd"/>
      <w:r>
        <w:rPr>
          <w:rFonts w:ascii="Trebuchet MS" w:hAnsi="Trebuchet MS"/>
          <w:color w:val="000000" w:themeColor="text1"/>
        </w:rPr>
        <w:t xml:space="preserve"> at a senior level where a benefit package has to be designed to attract and retain. </w:t>
      </w:r>
      <w:proofErr w:type="gramStart"/>
      <w:r>
        <w:rPr>
          <w:rFonts w:ascii="Trebuchet MS" w:hAnsi="Trebuchet MS"/>
          <w:color w:val="000000" w:themeColor="text1"/>
        </w:rPr>
        <w:t>Linking closely to this, there</w:t>
      </w:r>
      <w:proofErr w:type="gramEnd"/>
      <w:r>
        <w:rPr>
          <w:rFonts w:ascii="Trebuchet MS" w:hAnsi="Trebuchet MS"/>
          <w:color w:val="000000" w:themeColor="text1"/>
        </w:rPr>
        <w:t xml:space="preserve"> is also individual pay ranges, where a structure containing different salaries or grades may be allocated to an individual or role to allow for progression as there would be no other formal progression without this </w:t>
      </w:r>
      <w:r w:rsidRPr="00322F8A">
        <w:rPr>
          <w:rFonts w:ascii="Trebuchet MS" w:hAnsi="Trebuchet MS"/>
          <w:color w:val="000000" w:themeColor="text1"/>
        </w:rPr>
        <w:t>(CIPD, 2024)</w:t>
      </w:r>
      <w:r>
        <w:rPr>
          <w:rFonts w:ascii="Trebuchet MS" w:hAnsi="Trebuchet MS"/>
          <w:color w:val="000000" w:themeColor="text1"/>
        </w:rPr>
        <w:t xml:space="preserve">. </w:t>
      </w:r>
    </w:p>
    <w:p w14:paraId="24FAE3C6" w14:textId="77777777" w:rsidR="000F74AF" w:rsidRDefault="000F74AF" w:rsidP="000F74AF">
      <w:pPr>
        <w:pStyle w:val="Nornal"/>
        <w:spacing w:after="0" w:line="240" w:lineRule="auto"/>
        <w:rPr>
          <w:rFonts w:ascii="Trebuchet MS" w:hAnsi="Trebuchet MS"/>
          <w:color w:val="000000" w:themeColor="text1"/>
        </w:rPr>
      </w:pPr>
    </w:p>
    <w:p w14:paraId="4800DAE7"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Whilst formal grades and structures tend to be more uniform and provide structure, informal grades and structures can be more flexible with less structure. Both have their role in the workplace; however, it may be a good option for Eco-Insulate UK to look at adopting a formal pay structure that offers pay progression as part of designing their reward and recognition programme.</w:t>
      </w:r>
    </w:p>
    <w:p w14:paraId="63DA9DB1" w14:textId="77777777" w:rsidR="000F74AF" w:rsidRPr="00E446B9" w:rsidRDefault="000F74AF" w:rsidP="000F74AF">
      <w:pPr>
        <w:pStyle w:val="Nornal"/>
        <w:spacing w:after="0" w:line="240" w:lineRule="auto"/>
        <w:rPr>
          <w:rFonts w:ascii="Trebuchet MS" w:hAnsi="Trebuchet MS"/>
          <w:color w:val="000000"/>
        </w:rPr>
      </w:pPr>
    </w:p>
    <w:p w14:paraId="54E07DF8" w14:textId="77777777" w:rsidR="000F74AF" w:rsidRPr="00A31E2B" w:rsidRDefault="000F74AF" w:rsidP="000F74AF">
      <w:pPr>
        <w:pStyle w:val="Nornal"/>
        <w:numPr>
          <w:ilvl w:val="0"/>
          <w:numId w:val="1"/>
        </w:numPr>
        <w:spacing w:after="0" w:line="240" w:lineRule="auto"/>
        <w:rPr>
          <w:rFonts w:ascii="Trebuchet MS" w:hAnsi="Trebuchet MS"/>
          <w:color w:val="000000"/>
        </w:rPr>
      </w:pPr>
      <w:r w:rsidRPr="00E446B9">
        <w:rPr>
          <w:rFonts w:ascii="Trebuchet MS" w:hAnsi="Trebuchet MS"/>
          <w:color w:val="000000" w:themeColor="text1"/>
        </w:rPr>
        <w:lastRenderedPageBreak/>
        <w:t>Explain how contingent rewards can impact individual, team and organisational performance. (AC 2.2)</w:t>
      </w:r>
    </w:p>
    <w:p w14:paraId="434D77CC" w14:textId="77777777" w:rsidR="000F74AF" w:rsidRDefault="000F74AF" w:rsidP="000F74AF">
      <w:pPr>
        <w:pStyle w:val="Nornal"/>
        <w:spacing w:after="0" w:line="240" w:lineRule="auto"/>
        <w:rPr>
          <w:rFonts w:ascii="Trebuchet MS" w:hAnsi="Trebuchet MS"/>
          <w:color w:val="000000" w:themeColor="text1"/>
        </w:rPr>
      </w:pPr>
    </w:p>
    <w:p w14:paraId="0DF9ABBF"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Contingent rewards can be defined as a motivation-based system, rewarding those that meet specific goals or outcomes </w:t>
      </w:r>
      <w:r w:rsidRPr="00A31E2B">
        <w:rPr>
          <w:rFonts w:ascii="Trebuchet MS" w:hAnsi="Trebuchet MS"/>
          <w:color w:val="000000"/>
        </w:rPr>
        <w:t>(Smith, 2017)</w:t>
      </w:r>
      <w:r>
        <w:rPr>
          <w:rFonts w:ascii="Trebuchet MS" w:hAnsi="Trebuchet MS"/>
          <w:color w:val="000000"/>
        </w:rPr>
        <w:t>. Some examples of contingent rewards are performance-related pay and tenure/service-related pay.</w:t>
      </w:r>
    </w:p>
    <w:p w14:paraId="3E3E81AC" w14:textId="77777777" w:rsidR="000F74AF" w:rsidRDefault="000F74AF" w:rsidP="000F74AF">
      <w:pPr>
        <w:pStyle w:val="Nornal"/>
        <w:spacing w:after="0" w:line="240" w:lineRule="auto"/>
        <w:rPr>
          <w:rFonts w:ascii="Trebuchet MS" w:hAnsi="Trebuchet MS"/>
          <w:color w:val="000000"/>
        </w:rPr>
      </w:pPr>
    </w:p>
    <w:p w14:paraId="7F0181AA"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Starting with performance-related pay, which is usually a reward based around the achievement of key metrics such as sales targets. When looking at the impact this has on individual performance, employees are likely to feel more motivated when they can see a clear connection between the effort they put in and the reward they receive. However, the pressure and stress caused by the key metrics can sometimes lead to burnout, having an adverse effect individual, and in some cases, team performance </w:t>
      </w:r>
      <w:r w:rsidRPr="00C861A7">
        <w:rPr>
          <w:rFonts w:ascii="Trebuchet MS" w:hAnsi="Trebuchet MS"/>
          <w:color w:val="000000"/>
        </w:rPr>
        <w:t>(Mohammed, 2024)</w:t>
      </w:r>
      <w:r>
        <w:rPr>
          <w:rFonts w:ascii="Trebuchet MS" w:hAnsi="Trebuchet MS"/>
          <w:color w:val="000000"/>
        </w:rPr>
        <w:t xml:space="preserve">. </w:t>
      </w:r>
    </w:p>
    <w:p w14:paraId="77D86352" w14:textId="77777777" w:rsidR="000F74AF" w:rsidRDefault="000F74AF" w:rsidP="000F74AF">
      <w:pPr>
        <w:pStyle w:val="Nornal"/>
        <w:spacing w:after="0" w:line="240" w:lineRule="auto"/>
        <w:rPr>
          <w:rFonts w:ascii="Trebuchet MS" w:hAnsi="Trebuchet MS"/>
          <w:color w:val="000000"/>
        </w:rPr>
      </w:pPr>
    </w:p>
    <w:p w14:paraId="436737B3"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Despite this, performance-related pay can have a positive impact on team performance when it is team-based is that it helps share accountability and encourage collaboration </w:t>
      </w:r>
      <w:r w:rsidRPr="00E22F32">
        <w:rPr>
          <w:rFonts w:ascii="Trebuchet MS" w:hAnsi="Trebuchet MS"/>
          <w:color w:val="000000"/>
        </w:rPr>
        <w:t>(Armstrong, 2016)</w:t>
      </w:r>
      <w:r>
        <w:rPr>
          <w:rFonts w:ascii="Trebuchet MS" w:hAnsi="Trebuchet MS"/>
          <w:color w:val="000000"/>
        </w:rPr>
        <w:t xml:space="preserve">. It is important for Eco- Insulate UK to remember that if they choose to implement this type of team-based contingent reward, that if there are unequal perceptions of effort within the team, it can lead to conflict and disengagement that ultimately impacts </w:t>
      </w:r>
      <w:proofErr w:type="gramStart"/>
      <w:r>
        <w:rPr>
          <w:rFonts w:ascii="Trebuchet MS" w:hAnsi="Trebuchet MS"/>
          <w:color w:val="000000"/>
        </w:rPr>
        <w:t>performance as a whole</w:t>
      </w:r>
      <w:proofErr w:type="gramEnd"/>
      <w:r>
        <w:rPr>
          <w:rFonts w:ascii="Trebuchet MS" w:hAnsi="Trebuchet MS"/>
          <w:color w:val="000000"/>
        </w:rPr>
        <w:t xml:space="preserve"> </w:t>
      </w:r>
      <w:r w:rsidRPr="006B1F03">
        <w:rPr>
          <w:rFonts w:ascii="Trebuchet MS" w:hAnsi="Trebuchet MS"/>
          <w:color w:val="000000"/>
        </w:rPr>
        <w:t>(</w:t>
      </w:r>
      <w:proofErr w:type="spellStart"/>
      <w:r w:rsidRPr="006B1F03">
        <w:rPr>
          <w:rFonts w:ascii="Trebuchet MS" w:hAnsi="Trebuchet MS"/>
          <w:color w:val="000000"/>
        </w:rPr>
        <w:t>Dessler</w:t>
      </w:r>
      <w:proofErr w:type="spellEnd"/>
      <w:r w:rsidRPr="006B1F03">
        <w:rPr>
          <w:rFonts w:ascii="Trebuchet MS" w:hAnsi="Trebuchet MS"/>
          <w:color w:val="000000"/>
        </w:rPr>
        <w:t>, 2021)</w:t>
      </w:r>
      <w:r>
        <w:rPr>
          <w:rFonts w:ascii="Trebuchet MS" w:hAnsi="Trebuchet MS"/>
          <w:color w:val="000000"/>
        </w:rPr>
        <w:t>.</w:t>
      </w:r>
    </w:p>
    <w:p w14:paraId="69D0B20E" w14:textId="77777777" w:rsidR="000F74AF" w:rsidRDefault="000F74AF" w:rsidP="000F74AF">
      <w:pPr>
        <w:pStyle w:val="Nornal"/>
        <w:spacing w:after="0" w:line="240" w:lineRule="auto"/>
        <w:rPr>
          <w:rFonts w:ascii="Trebuchet MS" w:hAnsi="Trebuchet MS"/>
          <w:color w:val="000000"/>
        </w:rPr>
      </w:pPr>
    </w:p>
    <w:p w14:paraId="064BAFBC" w14:textId="77777777" w:rsidR="000F74AF" w:rsidRDefault="000F74AF" w:rsidP="000F74AF">
      <w:pPr>
        <w:pStyle w:val="Nornal"/>
        <w:spacing w:after="0" w:line="240" w:lineRule="auto"/>
        <w:rPr>
          <w:rFonts w:ascii="Trebuchet MS" w:hAnsi="Trebuchet MS"/>
          <w:color w:val="000000"/>
        </w:rPr>
      </w:pPr>
    </w:p>
    <w:p w14:paraId="20A18150"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When looking at organisational performance, </w:t>
      </w:r>
      <w:proofErr w:type="gramStart"/>
      <w:r>
        <w:rPr>
          <w:rFonts w:ascii="Trebuchet MS" w:hAnsi="Trebuchet MS"/>
          <w:color w:val="000000"/>
        </w:rPr>
        <w:t>it can be seen that performance</w:t>
      </w:r>
      <w:proofErr w:type="gramEnd"/>
      <w:r>
        <w:rPr>
          <w:rFonts w:ascii="Trebuchet MS" w:hAnsi="Trebuchet MS"/>
          <w:color w:val="000000"/>
        </w:rPr>
        <w:t xml:space="preserve"> related pay can boost the achievement of organisational objectives, by motivating employees, in turn, increasing productivity and driving organisational success. However, an overemphasis on financial rewards can </w:t>
      </w:r>
      <w:proofErr w:type="gramStart"/>
      <w:r>
        <w:rPr>
          <w:rFonts w:ascii="Trebuchet MS" w:hAnsi="Trebuchet MS"/>
          <w:color w:val="000000"/>
        </w:rPr>
        <w:t>actually have</w:t>
      </w:r>
      <w:proofErr w:type="gramEnd"/>
      <w:r>
        <w:rPr>
          <w:rFonts w:ascii="Trebuchet MS" w:hAnsi="Trebuchet MS"/>
          <w:color w:val="000000"/>
        </w:rPr>
        <w:t xml:space="preserve"> the opposite effect as it becomes expected and can undermine intrinsic rewards that may be given as it can be seen that extrinsic rewards are not always linked to great performance </w:t>
      </w:r>
      <w:r w:rsidRPr="00056DFB">
        <w:rPr>
          <w:rFonts w:ascii="Trebuchet MS" w:hAnsi="Trebuchet MS"/>
          <w:color w:val="000000" w:themeColor="text1"/>
        </w:rPr>
        <w:t>(Nickerson, 2023</w:t>
      </w:r>
      <w:r>
        <w:rPr>
          <w:rFonts w:ascii="Trebuchet MS" w:hAnsi="Trebuchet MS"/>
          <w:color w:val="000000" w:themeColor="text1"/>
        </w:rPr>
        <w:t>).</w:t>
      </w:r>
    </w:p>
    <w:p w14:paraId="6EEA8E83" w14:textId="77777777" w:rsidR="000F74AF" w:rsidRDefault="000F74AF" w:rsidP="000F74AF">
      <w:pPr>
        <w:pStyle w:val="Nornal"/>
        <w:spacing w:after="0" w:line="240" w:lineRule="auto"/>
        <w:rPr>
          <w:rFonts w:ascii="Trebuchet MS" w:hAnsi="Trebuchet MS"/>
          <w:color w:val="000000"/>
        </w:rPr>
      </w:pPr>
    </w:p>
    <w:p w14:paraId="376A1720"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Secondly, tenure/service-related pay is normally rewarding an employee for their loyalty and long service period with the company. For individuals, this can encourage retention within an organisation as they feel valued for the long-term commitment that they have shown which is likely to boost their job satisfaction </w:t>
      </w:r>
      <w:r w:rsidRPr="00FD16AE">
        <w:rPr>
          <w:rFonts w:ascii="Trebuchet MS" w:hAnsi="Trebuchet MS"/>
          <w:color w:val="000000"/>
        </w:rPr>
        <w:t>(Armstrong and Taylor, 2020)</w:t>
      </w:r>
      <w:r>
        <w:rPr>
          <w:rFonts w:ascii="Trebuchet MS" w:hAnsi="Trebuchet MS"/>
          <w:color w:val="000000"/>
        </w:rPr>
        <w:t xml:space="preserve">. However, if this is the only type of contingent reward utilised, it may mean employees feel demotivated if they perform well yet are not rewarded beyond less productive colleagues with the same length of service </w:t>
      </w:r>
      <w:r w:rsidRPr="00CD7E40">
        <w:rPr>
          <w:rFonts w:ascii="Trebuchet MS" w:hAnsi="Trebuchet MS"/>
          <w:color w:val="000000"/>
        </w:rPr>
        <w:t>(</w:t>
      </w:r>
      <w:proofErr w:type="spellStart"/>
      <w:r w:rsidRPr="00CD7E40">
        <w:rPr>
          <w:rFonts w:ascii="Trebuchet MS" w:hAnsi="Trebuchet MS"/>
          <w:color w:val="000000"/>
        </w:rPr>
        <w:t>Dessler</w:t>
      </w:r>
      <w:proofErr w:type="spellEnd"/>
      <w:r w:rsidRPr="00CD7E40">
        <w:rPr>
          <w:rFonts w:ascii="Trebuchet MS" w:hAnsi="Trebuchet MS"/>
          <w:color w:val="000000"/>
        </w:rPr>
        <w:t>, 2021)</w:t>
      </w:r>
      <w:r>
        <w:rPr>
          <w:rFonts w:ascii="Trebuchet MS" w:hAnsi="Trebuchet MS"/>
          <w:color w:val="000000"/>
        </w:rPr>
        <w:t>.</w:t>
      </w:r>
    </w:p>
    <w:p w14:paraId="7C05F0E0" w14:textId="77777777" w:rsidR="000F74AF" w:rsidRDefault="000F74AF" w:rsidP="000F74AF">
      <w:pPr>
        <w:pStyle w:val="Nornal"/>
        <w:spacing w:after="0" w:line="240" w:lineRule="auto"/>
        <w:rPr>
          <w:rFonts w:ascii="Trebuchet MS" w:hAnsi="Trebuchet MS"/>
          <w:color w:val="000000"/>
        </w:rPr>
      </w:pPr>
    </w:p>
    <w:p w14:paraId="0AF6C1CE"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For the team, rewarding long-serving employees can encourage knowledge sharing helping to develop stable, </w:t>
      </w:r>
      <w:proofErr w:type="gramStart"/>
      <w:r>
        <w:rPr>
          <w:rFonts w:ascii="Trebuchet MS" w:hAnsi="Trebuchet MS"/>
          <w:color w:val="000000"/>
        </w:rPr>
        <w:t>experienced</w:t>
      </w:r>
      <w:proofErr w:type="gramEnd"/>
      <w:r>
        <w:rPr>
          <w:rFonts w:ascii="Trebuchet MS" w:hAnsi="Trebuchet MS"/>
          <w:color w:val="000000"/>
        </w:rPr>
        <w:t xml:space="preserve"> and cohesive teams withing the organisation</w:t>
      </w:r>
      <w:r w:rsidRPr="00B52792">
        <w:rPr>
          <w:rFonts w:cstheme="minorBidi"/>
          <w:szCs w:val="24"/>
        </w:rPr>
        <w:t xml:space="preserve"> </w:t>
      </w:r>
      <w:r w:rsidRPr="00B52792">
        <w:rPr>
          <w:rFonts w:ascii="Trebuchet MS" w:hAnsi="Trebuchet MS"/>
          <w:color w:val="000000"/>
        </w:rPr>
        <w:t>(Bauer, 2024)</w:t>
      </w:r>
      <w:r>
        <w:rPr>
          <w:rFonts w:ascii="Trebuchet MS" w:hAnsi="Trebuchet MS"/>
          <w:color w:val="000000"/>
        </w:rPr>
        <w:t xml:space="preserve">. The longer an employee has been in the company, the more likely they are to know the nature of the business and their role, which can also mean more mentorship takes place. Despite this, there is always the issue that long-serving employees may be more resistant to change or struggle to adapt to new practices, which can negatively hinder team performance </w:t>
      </w:r>
      <w:r w:rsidRPr="00264D16">
        <w:rPr>
          <w:rFonts w:ascii="Trebuchet MS" w:hAnsi="Trebuchet MS"/>
          <w:color w:val="000000"/>
        </w:rPr>
        <w:t>(</w:t>
      </w:r>
      <w:proofErr w:type="spellStart"/>
      <w:r w:rsidRPr="00264D16">
        <w:rPr>
          <w:rFonts w:ascii="Trebuchet MS" w:hAnsi="Trebuchet MS"/>
          <w:color w:val="000000"/>
        </w:rPr>
        <w:t>ObservationSpider</w:t>
      </w:r>
      <w:proofErr w:type="spellEnd"/>
      <w:r w:rsidRPr="00264D16">
        <w:rPr>
          <w:rFonts w:ascii="Trebuchet MS" w:hAnsi="Trebuchet MS"/>
          <w:color w:val="000000"/>
        </w:rPr>
        <w:t>, 2024)</w:t>
      </w:r>
      <w:r>
        <w:rPr>
          <w:rFonts w:ascii="Trebuchet MS" w:hAnsi="Trebuchet MS"/>
          <w:color w:val="000000"/>
        </w:rPr>
        <w:t>.</w:t>
      </w:r>
    </w:p>
    <w:p w14:paraId="3775BC0D" w14:textId="77777777" w:rsidR="000F74AF" w:rsidRDefault="000F74AF" w:rsidP="000F74AF">
      <w:pPr>
        <w:pStyle w:val="Nornal"/>
        <w:spacing w:after="0" w:line="240" w:lineRule="auto"/>
        <w:rPr>
          <w:rFonts w:ascii="Trebuchet MS" w:hAnsi="Trebuchet MS"/>
          <w:color w:val="000000"/>
        </w:rPr>
      </w:pPr>
    </w:p>
    <w:p w14:paraId="3ABC0BC0"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Naturally, service-related pay will also ensure the organisation retains experienced and valued employees, helping to lower turnover costs and contributing to a stable organisational culture </w:t>
      </w:r>
      <w:r w:rsidRPr="00CE72A3">
        <w:rPr>
          <w:rFonts w:ascii="Trebuchet MS" w:hAnsi="Trebuchet MS"/>
          <w:color w:val="000000"/>
        </w:rPr>
        <w:t>(Armstrong and Taylor, 2020).</w:t>
      </w:r>
      <w:r>
        <w:rPr>
          <w:rFonts w:ascii="Trebuchet MS" w:hAnsi="Trebuchet MS"/>
          <w:color w:val="000000"/>
        </w:rPr>
        <w:t xml:space="preserve"> When employees have job security, they are more likely to perform well, boosting overall organisational performance (Lucky et al, 2013). On the contrary, placing a heavy emphasis on length of service may leave new and younger employees feeling undervalued which could divide the workforce, negatively impacting organisational performance</w:t>
      </w:r>
      <w:r w:rsidRPr="000A00B1">
        <w:rPr>
          <w:rFonts w:cstheme="minorBidi"/>
          <w:szCs w:val="24"/>
        </w:rPr>
        <w:t xml:space="preserve"> </w:t>
      </w:r>
      <w:r w:rsidRPr="000A00B1">
        <w:rPr>
          <w:rFonts w:ascii="Trebuchet MS" w:hAnsi="Trebuchet MS"/>
          <w:color w:val="000000"/>
        </w:rPr>
        <w:t>(Gonzales, 2024)</w:t>
      </w:r>
      <w:r>
        <w:rPr>
          <w:rFonts w:ascii="Trebuchet MS" w:hAnsi="Trebuchet MS"/>
          <w:color w:val="000000"/>
        </w:rPr>
        <w:t>.</w:t>
      </w:r>
    </w:p>
    <w:p w14:paraId="5B1B9419" w14:textId="77777777" w:rsidR="000F74AF" w:rsidRPr="00E446B9" w:rsidRDefault="000F74AF" w:rsidP="000F74AF">
      <w:pPr>
        <w:pStyle w:val="Nornal"/>
        <w:spacing w:after="0" w:line="240" w:lineRule="auto"/>
        <w:ind w:left="720"/>
        <w:rPr>
          <w:rFonts w:ascii="Trebuchet MS" w:hAnsi="Trebuchet MS"/>
          <w:color w:val="000000"/>
        </w:rPr>
      </w:pPr>
    </w:p>
    <w:p w14:paraId="4C0D6AA2" w14:textId="77777777" w:rsidR="000F74AF" w:rsidRDefault="000F74AF" w:rsidP="000F74AF">
      <w:pPr>
        <w:pStyle w:val="Nornal"/>
        <w:numPr>
          <w:ilvl w:val="0"/>
          <w:numId w:val="1"/>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39C0A3BE" w14:textId="77777777" w:rsidR="000F74AF" w:rsidRDefault="000F74AF" w:rsidP="000F74AF">
      <w:pPr>
        <w:pStyle w:val="Nornal"/>
        <w:spacing w:after="0" w:line="240" w:lineRule="auto"/>
        <w:rPr>
          <w:rFonts w:ascii="Trebuchet MS" w:hAnsi="Trebuchet MS"/>
          <w:color w:val="000000"/>
        </w:rPr>
      </w:pPr>
    </w:p>
    <w:p w14:paraId="2E56702A"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There are multiple different types of benefit an organisation can offer, including sick pay, health care, share ownership and profit sharing. Each of these benefits can help reap a range of merits for both the organisation and its employees. </w:t>
      </w:r>
    </w:p>
    <w:p w14:paraId="4519C151" w14:textId="77777777" w:rsidR="000F74AF" w:rsidRDefault="000F74AF" w:rsidP="000F74AF">
      <w:pPr>
        <w:pStyle w:val="Nornal"/>
        <w:spacing w:after="0" w:line="240" w:lineRule="auto"/>
        <w:rPr>
          <w:rFonts w:ascii="Trebuchet MS" w:hAnsi="Trebuchet MS"/>
          <w:color w:val="000000"/>
        </w:rPr>
      </w:pPr>
    </w:p>
    <w:p w14:paraId="081A13E6" w14:textId="77777777" w:rsidR="000F74AF" w:rsidRPr="00E446B9" w:rsidRDefault="000F74AF" w:rsidP="000F74AF">
      <w:pPr>
        <w:pStyle w:val="Nornal"/>
        <w:spacing w:after="0" w:line="240" w:lineRule="auto"/>
        <w:rPr>
          <w:rFonts w:ascii="Trebuchet MS" w:hAnsi="Trebuchet MS"/>
          <w:color w:val="000000"/>
        </w:rPr>
      </w:pPr>
      <w:r>
        <w:rPr>
          <w:rFonts w:ascii="Trebuchet MS" w:hAnsi="Trebuchet MS"/>
          <w:color w:val="000000"/>
        </w:rPr>
        <w:t>Compensating employees for periods they are off work due to sickness will mean that employees do not have to rely on statutory sick pay but instead will have a set duration of renumerated ‘sickness days’ that can be used when an employee is not fit enough to be in work. This allows the employee to have increased financial stability, ensuring a steady income when they are unwell, in turn, reducing presenteeism within the workplace as less employees will feel a need to work when they are unwell</w:t>
      </w:r>
      <w:r w:rsidRPr="00196277">
        <w:rPr>
          <w:rFonts w:cstheme="minorBidi"/>
          <w:szCs w:val="24"/>
        </w:rPr>
        <w:t xml:space="preserve"> </w:t>
      </w:r>
      <w:r w:rsidRPr="00196277">
        <w:rPr>
          <w:rFonts w:ascii="Trebuchet MS" w:hAnsi="Trebuchet MS"/>
          <w:color w:val="000000"/>
        </w:rPr>
        <w:t>(</w:t>
      </w:r>
      <w:proofErr w:type="spellStart"/>
      <w:r w:rsidRPr="00196277">
        <w:rPr>
          <w:rFonts w:ascii="Trebuchet MS" w:hAnsi="Trebuchet MS"/>
          <w:color w:val="000000"/>
        </w:rPr>
        <w:t>Stolk</w:t>
      </w:r>
      <w:proofErr w:type="spellEnd"/>
      <w:r w:rsidRPr="00196277">
        <w:rPr>
          <w:rFonts w:ascii="Trebuchet MS" w:hAnsi="Trebuchet MS"/>
          <w:color w:val="000000"/>
        </w:rPr>
        <w:t xml:space="preserve"> &amp; Whitmore, 2020)</w:t>
      </w:r>
      <w:r>
        <w:rPr>
          <w:rFonts w:ascii="Trebuchet MS" w:hAnsi="Trebuchet MS"/>
          <w:color w:val="000000"/>
        </w:rPr>
        <w:t xml:space="preserve">. This then helps minimize the risk of spreading illnesses around the organisation which could reduce productivity widely if multiple employees are off at the same time. </w:t>
      </w:r>
    </w:p>
    <w:p w14:paraId="6B7A1F5E" w14:textId="77777777" w:rsidR="000F74AF" w:rsidRDefault="000F74AF" w:rsidP="000F74AF">
      <w:pPr>
        <w:rPr>
          <w:rFonts w:ascii="Trebuchet MS" w:hAnsi="Trebuchet MS"/>
          <w:color w:val="000000"/>
        </w:rPr>
      </w:pPr>
    </w:p>
    <w:p w14:paraId="4712378F" w14:textId="77777777" w:rsidR="000F74AF" w:rsidRDefault="000F74AF" w:rsidP="000F74AF">
      <w:pPr>
        <w:rPr>
          <w:rFonts w:ascii="Trebuchet MS" w:hAnsi="Trebuchet MS"/>
          <w:color w:val="000000"/>
        </w:rPr>
      </w:pPr>
      <w:r>
        <w:rPr>
          <w:rFonts w:ascii="Trebuchet MS" w:hAnsi="Trebuchet MS"/>
          <w:color w:val="000000"/>
        </w:rPr>
        <w:t xml:space="preserve">As well as this, by offering sickness pay, it also improves employee loyalty to the organisation as it shows the employee that the organisation care about them and actively encourage them to take responsibility over their health without the fear of losing any income </w:t>
      </w:r>
      <w:r w:rsidRPr="00844795">
        <w:rPr>
          <w:rFonts w:ascii="Trebuchet MS" w:hAnsi="Trebuchet MS"/>
          <w:color w:val="000000"/>
        </w:rPr>
        <w:t>(</w:t>
      </w:r>
      <w:proofErr w:type="spellStart"/>
      <w:r w:rsidRPr="00844795">
        <w:rPr>
          <w:rFonts w:ascii="Trebuchet MS" w:hAnsi="Trebuchet MS"/>
          <w:color w:val="000000"/>
        </w:rPr>
        <w:t>Nadin</w:t>
      </w:r>
      <w:proofErr w:type="spellEnd"/>
      <w:r w:rsidRPr="00844795">
        <w:rPr>
          <w:rFonts w:ascii="Trebuchet MS" w:hAnsi="Trebuchet MS"/>
          <w:color w:val="000000"/>
        </w:rPr>
        <w:t xml:space="preserve"> et al., 2024)</w:t>
      </w:r>
      <w:r>
        <w:rPr>
          <w:rFonts w:ascii="Trebuchet MS" w:hAnsi="Trebuchet MS"/>
          <w:color w:val="000000"/>
        </w:rPr>
        <w:t>. This may be a good place for Eco-Insulate to start when creating their benefit package as it can be relatively quick and easy to implement.</w:t>
      </w:r>
    </w:p>
    <w:p w14:paraId="20EA3DB2" w14:textId="77777777" w:rsidR="000F74AF" w:rsidRDefault="000F74AF" w:rsidP="000F74AF">
      <w:pPr>
        <w:rPr>
          <w:rFonts w:ascii="Trebuchet MS" w:hAnsi="Trebuchet MS"/>
          <w:color w:val="000000"/>
        </w:rPr>
      </w:pPr>
    </w:p>
    <w:p w14:paraId="554D99D9" w14:textId="77777777" w:rsidR="000F74AF" w:rsidRDefault="000F74AF" w:rsidP="000F74AF">
      <w:pPr>
        <w:rPr>
          <w:rFonts w:ascii="Trebuchet MS" w:hAnsi="Trebuchet MS"/>
          <w:color w:val="000000"/>
        </w:rPr>
      </w:pPr>
      <w:r>
        <w:rPr>
          <w:rFonts w:ascii="Trebuchet MS" w:hAnsi="Trebuchet MS"/>
          <w:color w:val="000000"/>
        </w:rPr>
        <w:t xml:space="preserve">Alongside this, organisations can also offer health care benefits such as an EAP service. An EAP provides employees </w:t>
      </w:r>
      <w:r w:rsidRPr="00D137D6">
        <w:rPr>
          <w:rFonts w:ascii="Trebuchet MS" w:hAnsi="Trebuchet MS"/>
          <w:color w:val="000000"/>
        </w:rPr>
        <w:t>with support and practical advice on issues that might be impacting their wellbeing and performance</w:t>
      </w:r>
      <w:r>
        <w:rPr>
          <w:rFonts w:ascii="Trebuchet MS" w:hAnsi="Trebuchet MS"/>
          <w:color w:val="000000"/>
        </w:rPr>
        <w:t xml:space="preserve"> both in work and outside</w:t>
      </w:r>
      <w:r w:rsidRPr="00D137D6">
        <w:rPr>
          <w:rFonts w:ascii="Trebuchet MS" w:hAnsi="Trebuchet MS"/>
          <w:color w:val="000000"/>
        </w:rPr>
        <w:t>.</w:t>
      </w:r>
      <w:r>
        <w:rPr>
          <w:rFonts w:ascii="Trebuchet MS" w:hAnsi="Trebuchet MS"/>
          <w:color w:val="000000"/>
        </w:rPr>
        <w:t xml:space="preserve"> </w:t>
      </w:r>
      <w:r w:rsidRPr="00D137D6">
        <w:rPr>
          <w:rFonts w:ascii="Trebuchet MS" w:hAnsi="Trebuchet MS"/>
          <w:color w:val="000000"/>
        </w:rPr>
        <w:t>(BUPA, 2024)</w:t>
      </w:r>
      <w:r>
        <w:rPr>
          <w:rFonts w:ascii="Trebuchet MS" w:hAnsi="Trebuchet MS"/>
          <w:color w:val="000000"/>
        </w:rPr>
        <w:t xml:space="preserve">. Ultimately, EAPs help support employees so that they are more likely to be engaged and able to perform to the best of their ability at their role, reducing any room for absenteeism due to issues like financial stress or grief </w:t>
      </w:r>
      <w:r w:rsidRPr="0064574B">
        <w:rPr>
          <w:rFonts w:ascii="Trebuchet MS" w:hAnsi="Trebuchet MS"/>
          <w:color w:val="000000"/>
        </w:rPr>
        <w:t>(Schooley, 2024)</w:t>
      </w:r>
      <w:r>
        <w:rPr>
          <w:rFonts w:ascii="Trebuchet MS" w:hAnsi="Trebuchet MS"/>
          <w:color w:val="000000"/>
        </w:rPr>
        <w:t xml:space="preserve">. This will also help attract new talent to the organisation when part of a comprehensive healthcare benefit package, as over half of candidates are more likely to choose a job role with these benefits </w:t>
      </w:r>
      <w:r w:rsidRPr="001616CC">
        <w:rPr>
          <w:rFonts w:ascii="Trebuchet MS" w:hAnsi="Trebuchet MS"/>
          <w:color w:val="000000"/>
        </w:rPr>
        <w:t>(ABI, 2024)</w:t>
      </w:r>
      <w:r>
        <w:rPr>
          <w:rFonts w:ascii="Trebuchet MS" w:hAnsi="Trebuchet MS"/>
          <w:color w:val="000000"/>
        </w:rPr>
        <w:t>.</w:t>
      </w:r>
    </w:p>
    <w:p w14:paraId="1D13FEEA" w14:textId="77777777" w:rsidR="000F74AF" w:rsidRDefault="000F74AF" w:rsidP="000F74AF">
      <w:pPr>
        <w:rPr>
          <w:rFonts w:ascii="Trebuchet MS" w:hAnsi="Trebuchet MS"/>
          <w:color w:val="000000"/>
        </w:rPr>
      </w:pPr>
    </w:p>
    <w:p w14:paraId="23270BC2" w14:textId="77777777" w:rsidR="000F74AF" w:rsidRDefault="000F74AF" w:rsidP="000F74AF">
      <w:pPr>
        <w:rPr>
          <w:rFonts w:ascii="Trebuchet MS" w:hAnsi="Trebuchet MS"/>
          <w:color w:val="000000"/>
        </w:rPr>
      </w:pPr>
      <w:r>
        <w:rPr>
          <w:rFonts w:ascii="Trebuchet MS" w:hAnsi="Trebuchet MS"/>
          <w:color w:val="000000"/>
        </w:rPr>
        <w:t xml:space="preserve">Other benefits such as share-ownership also have merits. Share-ownership allows employees to own a percentage of the company, this can not only increase organisational performance due to the employees being more motivated to ensure the success of the company due to owning a percentage of it </w:t>
      </w:r>
      <w:r w:rsidRPr="002F38B7">
        <w:rPr>
          <w:rFonts w:ascii="Trebuchet MS" w:hAnsi="Trebuchet MS"/>
          <w:color w:val="000000"/>
        </w:rPr>
        <w:t>(Institute of Directors, 2017)</w:t>
      </w:r>
      <w:r>
        <w:rPr>
          <w:rFonts w:ascii="Trebuchet MS" w:hAnsi="Trebuchet MS"/>
          <w:color w:val="000000"/>
        </w:rPr>
        <w:t xml:space="preserve">, this can help foster a positive workplace culture as employees are given a sense of belonging. As well as this, there are also some significant tax benefits for both employers and employees so can help save money for both parties meaning that there is more capital to spend on other benefits </w:t>
      </w:r>
      <w:r w:rsidRPr="002F38B7">
        <w:rPr>
          <w:rFonts w:ascii="Trebuchet MS" w:hAnsi="Trebuchet MS"/>
          <w:color w:val="000000"/>
        </w:rPr>
        <w:t>(Institute of Directors, 2017)</w:t>
      </w:r>
      <w:r>
        <w:rPr>
          <w:rFonts w:ascii="Trebuchet MS" w:hAnsi="Trebuchet MS"/>
          <w:color w:val="000000"/>
        </w:rPr>
        <w:t>. This may be less suitable for Eco-Insulate UK to offer its employees straight away as it is an SME not a large global company such as General Electric Aviation, who do offer this, but it could be considered for the future.</w:t>
      </w:r>
    </w:p>
    <w:p w14:paraId="2BFAE686" w14:textId="77777777" w:rsidR="000F74AF" w:rsidRDefault="000F74AF" w:rsidP="000F74AF">
      <w:pPr>
        <w:rPr>
          <w:rFonts w:ascii="Trebuchet MS" w:hAnsi="Trebuchet MS"/>
          <w:color w:val="000000"/>
        </w:rPr>
      </w:pPr>
    </w:p>
    <w:p w14:paraId="536A5C60" w14:textId="77777777" w:rsidR="000F74AF" w:rsidRPr="00844795" w:rsidRDefault="000F74AF" w:rsidP="000F74AF">
      <w:pPr>
        <w:rPr>
          <w:rFonts w:ascii="Trebuchet MS" w:hAnsi="Trebuchet MS"/>
          <w:color w:val="000000"/>
        </w:rPr>
      </w:pPr>
    </w:p>
    <w:p w14:paraId="3266A378" w14:textId="77777777" w:rsidR="000F74AF" w:rsidRDefault="000F74AF" w:rsidP="000F74AF">
      <w:pPr>
        <w:pStyle w:val="Nornal"/>
        <w:numPr>
          <w:ilvl w:val="0"/>
          <w:numId w:val="1"/>
        </w:numPr>
        <w:spacing w:after="0" w:line="240" w:lineRule="auto"/>
        <w:rPr>
          <w:rFonts w:ascii="Trebuchet MS" w:hAnsi="Trebuchet MS"/>
          <w:color w:val="000000"/>
        </w:rPr>
      </w:pPr>
      <w:r w:rsidRPr="00E446B9">
        <w:rPr>
          <w:rFonts w:ascii="Trebuchet MS" w:hAnsi="Trebuchet MS"/>
          <w:color w:val="000000"/>
        </w:rPr>
        <w:t>Explain the merits of different types of recognition schemes offered by organisations. (AC 2.4)</w:t>
      </w:r>
    </w:p>
    <w:p w14:paraId="269A0F35" w14:textId="77777777" w:rsidR="000F74AF" w:rsidRDefault="000F74AF" w:rsidP="000F74AF">
      <w:pPr>
        <w:pStyle w:val="Nornal"/>
        <w:spacing w:after="0" w:line="240" w:lineRule="auto"/>
        <w:rPr>
          <w:rFonts w:ascii="Trebuchet MS" w:hAnsi="Trebuchet MS"/>
          <w:color w:val="000000"/>
        </w:rPr>
      </w:pPr>
    </w:p>
    <w:p w14:paraId="7F462B35"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There are two main types of recognition, formal and informal. Formal is more structured, usually following a process or rules that must be abided by to achieve the reward. Informal is less structured and more spontaneous to emphasise a behaviour or action </w:t>
      </w:r>
      <w:r w:rsidRPr="00E22C94">
        <w:rPr>
          <w:rFonts w:ascii="Trebuchet MS" w:hAnsi="Trebuchet MS"/>
          <w:color w:val="000000"/>
        </w:rPr>
        <w:t>(</w:t>
      </w:r>
      <w:proofErr w:type="spellStart"/>
      <w:r w:rsidRPr="00E22C94">
        <w:rPr>
          <w:rFonts w:ascii="Trebuchet MS" w:hAnsi="Trebuchet MS"/>
          <w:color w:val="000000"/>
        </w:rPr>
        <w:t>Altrum</w:t>
      </w:r>
      <w:proofErr w:type="spellEnd"/>
      <w:r w:rsidRPr="00E22C94">
        <w:rPr>
          <w:rFonts w:ascii="Trebuchet MS" w:hAnsi="Trebuchet MS"/>
          <w:color w:val="000000"/>
        </w:rPr>
        <w:t>, 2024)</w:t>
      </w:r>
      <w:r>
        <w:rPr>
          <w:rFonts w:ascii="Trebuchet MS" w:hAnsi="Trebuchet MS"/>
          <w:color w:val="000000"/>
        </w:rPr>
        <w:t>.</w:t>
      </w:r>
    </w:p>
    <w:p w14:paraId="41F490FB" w14:textId="77777777" w:rsidR="000F74AF" w:rsidRDefault="000F74AF" w:rsidP="000F74AF">
      <w:pPr>
        <w:pStyle w:val="Nornal"/>
        <w:spacing w:after="0" w:line="240" w:lineRule="auto"/>
        <w:rPr>
          <w:rFonts w:ascii="Trebuchet MS" w:hAnsi="Trebuchet MS"/>
          <w:color w:val="000000"/>
        </w:rPr>
      </w:pPr>
    </w:p>
    <w:p w14:paraId="5E6AC945"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Recognition can be given in many forms, however some of the most popular include cash rewards, day-to-day </w:t>
      </w:r>
      <w:proofErr w:type="gramStart"/>
      <w:r>
        <w:rPr>
          <w:rFonts w:ascii="Trebuchet MS" w:hAnsi="Trebuchet MS"/>
          <w:color w:val="000000"/>
        </w:rPr>
        <w:t>recognition</w:t>
      </w:r>
      <w:proofErr w:type="gramEnd"/>
      <w:r>
        <w:rPr>
          <w:rFonts w:ascii="Trebuchet MS" w:hAnsi="Trebuchet MS"/>
          <w:color w:val="000000"/>
        </w:rPr>
        <w:t xml:space="preserve"> and non-cash recognition. Cash rewards may vary in </w:t>
      </w:r>
      <w:r>
        <w:rPr>
          <w:rFonts w:ascii="Trebuchet MS" w:hAnsi="Trebuchet MS"/>
          <w:color w:val="000000"/>
        </w:rPr>
        <w:lastRenderedPageBreak/>
        <w:t xml:space="preserve">amount, usually from £50 - £500 can be given to employees who exceed performance targets or to recognise any other achievements, at Eco- Insulate UK, this may be hitting a production target. The merits of this type of recognition are the immediate motivation it can create amongst employees as they can see performance is tied to a tangible financial benefit </w:t>
      </w:r>
      <w:r w:rsidRPr="008C2D46">
        <w:rPr>
          <w:rFonts w:ascii="Trebuchet MS" w:hAnsi="Trebuchet MS"/>
          <w:color w:val="000000"/>
        </w:rPr>
        <w:t>(</w:t>
      </w:r>
      <w:proofErr w:type="spellStart"/>
      <w:r w:rsidRPr="008C2D46">
        <w:rPr>
          <w:rFonts w:ascii="Trebuchet MS" w:hAnsi="Trebuchet MS"/>
          <w:color w:val="000000"/>
        </w:rPr>
        <w:t>Arkes</w:t>
      </w:r>
      <w:proofErr w:type="spellEnd"/>
      <w:r w:rsidRPr="008C2D46">
        <w:rPr>
          <w:rFonts w:ascii="Trebuchet MS" w:hAnsi="Trebuchet MS"/>
          <w:color w:val="000000"/>
        </w:rPr>
        <w:t xml:space="preserve"> et al., 2022)</w:t>
      </w:r>
      <w:r>
        <w:rPr>
          <w:rFonts w:ascii="Trebuchet MS" w:hAnsi="Trebuchet MS"/>
          <w:color w:val="000000"/>
        </w:rPr>
        <w:t xml:space="preserve">. </w:t>
      </w:r>
    </w:p>
    <w:p w14:paraId="41B83EF9" w14:textId="77777777" w:rsidR="000F74AF" w:rsidRDefault="000F74AF" w:rsidP="000F74AF">
      <w:pPr>
        <w:pStyle w:val="Nornal"/>
        <w:spacing w:after="0" w:line="240" w:lineRule="auto"/>
        <w:rPr>
          <w:rFonts w:ascii="Trebuchet MS" w:hAnsi="Trebuchet MS"/>
          <w:color w:val="000000"/>
        </w:rPr>
      </w:pPr>
    </w:p>
    <w:p w14:paraId="5454A74E"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On the other hand, there are also non-cash rewards which are again given to recognise achievements or behaviours. This may include tickets to a concert, a gift </w:t>
      </w:r>
      <w:proofErr w:type="gramStart"/>
      <w:r>
        <w:rPr>
          <w:rFonts w:ascii="Trebuchet MS" w:hAnsi="Trebuchet MS"/>
          <w:color w:val="000000"/>
        </w:rPr>
        <w:t>hamper</w:t>
      </w:r>
      <w:proofErr w:type="gramEnd"/>
      <w:r>
        <w:rPr>
          <w:rFonts w:ascii="Trebuchet MS" w:hAnsi="Trebuchet MS"/>
          <w:color w:val="000000"/>
        </w:rPr>
        <w:t xml:space="preserve"> or vouchers for a shop. This can often be seen as more personable that just a cash sum and can be tweaked each time to suit the specific employee being rewarded. For example, an employee who doesn’t go to concerts may prefer a voucher to go shopping with (</w:t>
      </w:r>
      <w:r w:rsidRPr="001971D9">
        <w:rPr>
          <w:rFonts w:ascii="Trebuchet MS" w:hAnsi="Trebuchet MS"/>
          <w:color w:val="000000"/>
        </w:rPr>
        <w:t xml:space="preserve">Armstrong </w:t>
      </w:r>
      <w:r>
        <w:rPr>
          <w:rFonts w:ascii="Trebuchet MS" w:hAnsi="Trebuchet MS"/>
          <w:color w:val="000000"/>
        </w:rPr>
        <w:t>&amp;</w:t>
      </w:r>
      <w:r w:rsidRPr="001971D9">
        <w:rPr>
          <w:rFonts w:ascii="Trebuchet MS" w:hAnsi="Trebuchet MS"/>
          <w:color w:val="000000"/>
        </w:rPr>
        <w:t xml:space="preserve"> Taylor</w:t>
      </w:r>
      <w:r>
        <w:rPr>
          <w:rFonts w:ascii="Trebuchet MS" w:hAnsi="Trebuchet MS"/>
          <w:color w:val="000000"/>
        </w:rPr>
        <w:t xml:space="preserve">, </w:t>
      </w:r>
      <w:r w:rsidRPr="001971D9">
        <w:rPr>
          <w:rFonts w:ascii="Trebuchet MS" w:hAnsi="Trebuchet MS"/>
          <w:color w:val="000000"/>
        </w:rPr>
        <w:t>2020</w:t>
      </w:r>
      <w:r>
        <w:rPr>
          <w:rFonts w:ascii="Trebuchet MS" w:hAnsi="Trebuchet MS"/>
          <w:color w:val="000000"/>
        </w:rPr>
        <w:t xml:space="preserve">). This is likely to have more memorability than a cash reward, so is often worth the time involved with finding a suitable reward for each person </w:t>
      </w:r>
      <w:r w:rsidRPr="00B83E6B">
        <w:rPr>
          <w:rFonts w:ascii="Trebuchet MS" w:hAnsi="Trebuchet MS"/>
          <w:color w:val="000000"/>
        </w:rPr>
        <w:t>(Silverman, 2004)</w:t>
      </w:r>
      <w:r>
        <w:rPr>
          <w:rFonts w:ascii="Trebuchet MS" w:hAnsi="Trebuchet MS"/>
          <w:color w:val="000000"/>
        </w:rPr>
        <w:t>.</w:t>
      </w:r>
    </w:p>
    <w:p w14:paraId="4EA334CD" w14:textId="77777777" w:rsidR="000F74AF" w:rsidRDefault="000F74AF" w:rsidP="000F74AF">
      <w:pPr>
        <w:pStyle w:val="Nornal"/>
        <w:spacing w:after="0" w:line="240" w:lineRule="auto"/>
        <w:rPr>
          <w:rFonts w:ascii="Trebuchet MS" w:hAnsi="Trebuchet MS"/>
          <w:color w:val="000000"/>
        </w:rPr>
      </w:pPr>
    </w:p>
    <w:p w14:paraId="662D71AA" w14:textId="77777777" w:rsidR="000F74AF" w:rsidRPr="00E446B9" w:rsidRDefault="000F74AF" w:rsidP="000F74AF">
      <w:pPr>
        <w:pStyle w:val="Nornal"/>
        <w:spacing w:after="0" w:line="240" w:lineRule="auto"/>
        <w:rPr>
          <w:rFonts w:ascii="Trebuchet MS" w:hAnsi="Trebuchet MS"/>
          <w:color w:val="000000"/>
        </w:rPr>
      </w:pPr>
      <w:r>
        <w:rPr>
          <w:rFonts w:ascii="Trebuchet MS" w:hAnsi="Trebuchet MS"/>
          <w:color w:val="000000"/>
        </w:rPr>
        <w:t xml:space="preserve">Lastly, day-to-day recognition refers to frequent and ongoing recognition that rewards behaviours or actions that support the organisation’s values. This celebration of efforts helps to boost team morale and performance. </w:t>
      </w:r>
      <w:proofErr w:type="gramStart"/>
      <w:r>
        <w:rPr>
          <w:rFonts w:ascii="Trebuchet MS" w:hAnsi="Trebuchet MS"/>
          <w:color w:val="000000"/>
        </w:rPr>
        <w:t>As well as,</w:t>
      </w:r>
      <w:proofErr w:type="gramEnd"/>
      <w:r>
        <w:rPr>
          <w:rFonts w:ascii="Trebuchet MS" w:hAnsi="Trebuchet MS"/>
          <w:color w:val="000000"/>
        </w:rPr>
        <w:t xml:space="preserve"> directly improve workplace culture as employees feel recognised for their hard work and efforts </w:t>
      </w:r>
      <w:r w:rsidRPr="00834C15">
        <w:rPr>
          <w:rFonts w:ascii="Trebuchet MS" w:hAnsi="Trebuchet MS"/>
          <w:color w:val="000000"/>
        </w:rPr>
        <w:t>(Institute of Directors, 2023)</w:t>
      </w:r>
      <w:r>
        <w:rPr>
          <w:rFonts w:ascii="Trebuchet MS" w:hAnsi="Trebuchet MS"/>
          <w:color w:val="000000"/>
        </w:rPr>
        <w:t xml:space="preserve">. For Eco-Insulate UK, this is a low cost and easy method to implement instantly to help breed gratification in the </w:t>
      </w:r>
      <w:proofErr w:type="gramStart"/>
      <w:r>
        <w:rPr>
          <w:rFonts w:ascii="Trebuchet MS" w:hAnsi="Trebuchet MS"/>
          <w:color w:val="000000"/>
        </w:rPr>
        <w:t>workplace</w:t>
      </w:r>
      <w:proofErr w:type="gramEnd"/>
    </w:p>
    <w:p w14:paraId="786E74C0" w14:textId="77777777" w:rsidR="000F74AF" w:rsidRPr="00E446B9" w:rsidRDefault="000F74AF" w:rsidP="000F74AF">
      <w:pPr>
        <w:rPr>
          <w:rFonts w:ascii="Trebuchet MS" w:hAnsi="Trebuchet MS"/>
          <w:color w:val="000000"/>
        </w:rPr>
      </w:pPr>
    </w:p>
    <w:p w14:paraId="4081DC77" w14:textId="77777777" w:rsidR="000F74AF" w:rsidRDefault="000F74AF" w:rsidP="000F74AF">
      <w:pPr>
        <w:pStyle w:val="Nornal"/>
        <w:numPr>
          <w:ilvl w:val="0"/>
          <w:numId w:val="1"/>
        </w:numPr>
        <w:spacing w:after="0" w:line="240" w:lineRule="auto"/>
        <w:rPr>
          <w:rFonts w:ascii="Trebuchet MS" w:hAnsi="Trebuchet MS"/>
          <w:color w:val="000000" w:themeColor="text1"/>
        </w:rPr>
      </w:pPr>
      <w:r w:rsidRPr="00E446B9">
        <w:rPr>
          <w:rFonts w:ascii="Trebuchet MS" w:hAnsi="Trebuchet MS"/>
          <w:color w:val="000000" w:themeColor="text1"/>
        </w:rPr>
        <w:t xml:space="preserve">Assess the business context of the reward environment. </w:t>
      </w:r>
      <w:r w:rsidRPr="00736543">
        <w:rPr>
          <w:rFonts w:ascii="Trebuchet MS" w:hAnsi="Trebuchet MS"/>
          <w:color w:val="000000" w:themeColor="text1"/>
          <w:highlight w:val="yellow"/>
        </w:rPr>
        <w:t>(AC 3.1)</w:t>
      </w:r>
    </w:p>
    <w:p w14:paraId="50F39EAA" w14:textId="77777777" w:rsidR="000F74AF" w:rsidRDefault="000F74AF" w:rsidP="000F74AF">
      <w:pPr>
        <w:pStyle w:val="Nornal"/>
        <w:spacing w:after="0" w:line="240" w:lineRule="auto"/>
        <w:ind w:left="720"/>
        <w:rPr>
          <w:rFonts w:ascii="Trebuchet MS" w:hAnsi="Trebuchet MS"/>
          <w:color w:val="000000" w:themeColor="text1"/>
        </w:rPr>
      </w:pPr>
    </w:p>
    <w:p w14:paraId="2D1ACD01"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The reward environment within an organisation can be impacted in a myriad of internal and external factors. External factors such as the economic outlook can directly impact an organisation’s ability to supply and offer a competitive reward package. When the economy is growing, organisations will likely be able to offer enhanced benefits and salaries to attract and retain employees. </w:t>
      </w:r>
    </w:p>
    <w:p w14:paraId="783772C1" w14:textId="77777777" w:rsidR="000F74AF" w:rsidRDefault="000F74AF" w:rsidP="000F74AF">
      <w:pPr>
        <w:pStyle w:val="Nornal"/>
        <w:spacing w:after="0" w:line="240" w:lineRule="auto"/>
        <w:rPr>
          <w:rFonts w:ascii="Trebuchet MS" w:hAnsi="Trebuchet MS"/>
          <w:color w:val="000000" w:themeColor="text1"/>
        </w:rPr>
      </w:pPr>
    </w:p>
    <w:p w14:paraId="023A5CB0"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However, when the economy is shrinking, it means that organisations have less ability to offer competitive benefits and reward packages </w:t>
      </w:r>
      <w:r w:rsidRPr="00E7562A">
        <w:rPr>
          <w:rFonts w:ascii="Trebuchet MS" w:hAnsi="Trebuchet MS"/>
          <w:color w:val="000000" w:themeColor="text1"/>
        </w:rPr>
        <w:t>(BBC, 2024)</w:t>
      </w:r>
      <w:r>
        <w:rPr>
          <w:rFonts w:ascii="Trebuchet MS" w:hAnsi="Trebuchet MS"/>
          <w:color w:val="000000" w:themeColor="text1"/>
        </w:rPr>
        <w:t xml:space="preserve">. In tight labour markets where there is low unemployment, an organisation is likely to face pressure to increase salaries and offer more benefits in industries where skilled labour shortages drive wage inflation </w:t>
      </w:r>
      <w:r w:rsidRPr="00D45063">
        <w:rPr>
          <w:rFonts w:ascii="Trebuchet MS" w:hAnsi="Trebuchet MS"/>
          <w:color w:val="000000" w:themeColor="text1"/>
        </w:rPr>
        <w:t>(CIPD, 2024)</w:t>
      </w:r>
      <w:r>
        <w:rPr>
          <w:rFonts w:ascii="Trebuchet MS" w:hAnsi="Trebuchet MS"/>
          <w:color w:val="000000" w:themeColor="text1"/>
        </w:rPr>
        <w:t xml:space="preserve">. As the UK is currently in a recession, this now </w:t>
      </w:r>
      <w:proofErr w:type="gramStart"/>
      <w:r>
        <w:rPr>
          <w:rFonts w:ascii="Trebuchet MS" w:hAnsi="Trebuchet MS"/>
          <w:color w:val="000000" w:themeColor="text1"/>
        </w:rPr>
        <w:t>means</w:t>
      </w:r>
      <w:proofErr w:type="gramEnd"/>
    </w:p>
    <w:p w14:paraId="1402881C" w14:textId="77777777" w:rsidR="000F74AF" w:rsidRDefault="000F74AF" w:rsidP="000F74AF">
      <w:pPr>
        <w:pStyle w:val="Nornal"/>
        <w:spacing w:after="0" w:line="240" w:lineRule="auto"/>
        <w:rPr>
          <w:rFonts w:ascii="Trebuchet MS" w:hAnsi="Trebuchet MS"/>
          <w:color w:val="000000" w:themeColor="text1"/>
        </w:rPr>
      </w:pPr>
    </w:p>
    <w:p w14:paraId="402C482E"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As well as this, industrial trends can also cause reward structures to vary depending on the nature of the work and the market expectations. For example, public sector organisations such as local councils, tend to place more emphasis on non-financial rewards such as pension benefits whereas, private sector organisations tend to focus more on financial based incentives such as performance incentives like bonuses </w:t>
      </w:r>
      <w:r w:rsidRPr="00660256">
        <w:rPr>
          <w:rFonts w:ascii="Trebuchet MS" w:hAnsi="Trebuchet MS"/>
          <w:color w:val="000000" w:themeColor="text1"/>
        </w:rPr>
        <w:t>(Cotton, 2024)</w:t>
      </w:r>
      <w:r>
        <w:rPr>
          <w:rFonts w:ascii="Trebuchet MS" w:hAnsi="Trebuchet MS"/>
          <w:color w:val="000000" w:themeColor="text1"/>
        </w:rPr>
        <w:t xml:space="preserve">. As trends can change, this can alter an employee’s view of whether the reward is fair and equitable. In turn, this will impact the organisations’ ability to attract and retain employees </w:t>
      </w:r>
      <w:r w:rsidRPr="00660256">
        <w:rPr>
          <w:rFonts w:ascii="Trebuchet MS" w:hAnsi="Trebuchet MS"/>
          <w:color w:val="000000" w:themeColor="text1"/>
        </w:rPr>
        <w:t>(Cotton, 2024)</w:t>
      </w:r>
      <w:r>
        <w:rPr>
          <w:rFonts w:ascii="Trebuchet MS" w:hAnsi="Trebuchet MS"/>
          <w:color w:val="000000" w:themeColor="text1"/>
        </w:rPr>
        <w:t>.</w:t>
      </w:r>
    </w:p>
    <w:p w14:paraId="7DD9EB6B" w14:textId="77777777" w:rsidR="000F74AF" w:rsidRDefault="000F74AF" w:rsidP="000F74AF">
      <w:pPr>
        <w:pStyle w:val="Nornal"/>
        <w:spacing w:after="0" w:line="240" w:lineRule="auto"/>
        <w:rPr>
          <w:rFonts w:ascii="Trebuchet MS" w:hAnsi="Trebuchet MS"/>
          <w:color w:val="000000" w:themeColor="text1"/>
        </w:rPr>
      </w:pPr>
    </w:p>
    <w:p w14:paraId="2C29587D"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Internal factors such as the psychological contract, which </w:t>
      </w:r>
      <w:r w:rsidRPr="00002D2F">
        <w:rPr>
          <w:rFonts w:ascii="Trebuchet MS" w:hAnsi="Trebuchet MS"/>
          <w:color w:val="000000" w:themeColor="text1"/>
        </w:rPr>
        <w:t xml:space="preserve">is </w:t>
      </w:r>
      <w:r>
        <w:rPr>
          <w:rFonts w:ascii="Trebuchet MS" w:hAnsi="Trebuchet MS"/>
          <w:color w:val="000000" w:themeColor="text1"/>
        </w:rPr>
        <w:t>in</w:t>
      </w:r>
      <w:r w:rsidRPr="00002D2F">
        <w:rPr>
          <w:rFonts w:ascii="Trebuchet MS" w:hAnsi="Trebuchet MS"/>
          <w:color w:val="000000" w:themeColor="text1"/>
        </w:rPr>
        <w:t>tangible</w:t>
      </w:r>
      <w:r>
        <w:rPr>
          <w:rFonts w:ascii="Trebuchet MS" w:hAnsi="Trebuchet MS"/>
          <w:color w:val="000000" w:themeColor="text1"/>
        </w:rPr>
        <w:t xml:space="preserve"> and </w:t>
      </w:r>
      <w:r w:rsidRPr="00002D2F">
        <w:rPr>
          <w:rFonts w:ascii="Trebuchet MS" w:hAnsi="Trebuchet MS"/>
          <w:color w:val="000000" w:themeColor="text1"/>
        </w:rPr>
        <w:t>built on the everyday actions and statements made by one party and how they are interpreted by the other</w:t>
      </w:r>
      <w:r>
        <w:rPr>
          <w:rFonts w:ascii="Trebuchet MS" w:hAnsi="Trebuchet MS"/>
          <w:color w:val="000000" w:themeColor="text1"/>
        </w:rPr>
        <w:t xml:space="preserve"> </w:t>
      </w:r>
      <w:r w:rsidRPr="00002D2F">
        <w:rPr>
          <w:rFonts w:ascii="Trebuchet MS" w:hAnsi="Trebuchet MS"/>
          <w:color w:val="000000" w:themeColor="text1"/>
        </w:rPr>
        <w:t>(Peters, 2024). </w:t>
      </w:r>
      <w:r>
        <w:rPr>
          <w:rFonts w:ascii="Trebuchet MS" w:hAnsi="Trebuchet MS"/>
          <w:color w:val="000000" w:themeColor="text1"/>
        </w:rPr>
        <w:t xml:space="preserve">In most cases, employees expect their reward to align with their contributions and efforts and when this occurs, it helps foster trust and commitment </w:t>
      </w:r>
      <w:r w:rsidRPr="00002D2F">
        <w:rPr>
          <w:rFonts w:ascii="Trebuchet MS" w:hAnsi="Trebuchet MS"/>
          <w:color w:val="000000" w:themeColor="text1"/>
        </w:rPr>
        <w:t>(Peters, 2024)</w:t>
      </w:r>
      <w:r>
        <w:rPr>
          <w:rFonts w:ascii="Trebuchet MS" w:hAnsi="Trebuchet MS"/>
          <w:color w:val="000000" w:themeColor="text1"/>
        </w:rPr>
        <w:t>.</w:t>
      </w:r>
      <w:r w:rsidRPr="00002D2F">
        <w:rPr>
          <w:rFonts w:ascii="Trebuchet MS" w:hAnsi="Trebuchet MS"/>
          <w:color w:val="000000" w:themeColor="text1"/>
        </w:rPr>
        <w:t> </w:t>
      </w:r>
      <w:r>
        <w:rPr>
          <w:rFonts w:ascii="Trebuchet MS" w:hAnsi="Trebuchet MS"/>
          <w:color w:val="000000" w:themeColor="text1"/>
        </w:rPr>
        <w:t xml:space="preserve">If this contract is broken, it can lead to disengagement, reduced moral and attrition, so it is important that an organisation doesn’t fail to deliver anything that is expected such as pay rises or bonuses </w:t>
      </w:r>
      <w:proofErr w:type="gramStart"/>
      <w:r>
        <w:rPr>
          <w:rFonts w:ascii="Trebuchet MS" w:hAnsi="Trebuchet MS"/>
          <w:color w:val="000000" w:themeColor="text1"/>
        </w:rPr>
        <w:t>in order to</w:t>
      </w:r>
      <w:proofErr w:type="gramEnd"/>
      <w:r>
        <w:rPr>
          <w:rFonts w:ascii="Trebuchet MS" w:hAnsi="Trebuchet MS"/>
          <w:color w:val="000000" w:themeColor="text1"/>
        </w:rPr>
        <w:t xml:space="preserve"> nurture and maintain the contract.</w:t>
      </w:r>
    </w:p>
    <w:p w14:paraId="49348D8C" w14:textId="77777777" w:rsidR="000F74AF" w:rsidRDefault="000F74AF" w:rsidP="000F74AF">
      <w:pPr>
        <w:pStyle w:val="Nornal"/>
        <w:spacing w:after="0" w:line="240" w:lineRule="auto"/>
        <w:rPr>
          <w:rFonts w:ascii="Trebuchet MS" w:hAnsi="Trebuchet MS"/>
          <w:color w:val="000000" w:themeColor="text1"/>
        </w:rPr>
      </w:pPr>
    </w:p>
    <w:p w14:paraId="00272169"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lastRenderedPageBreak/>
        <w:t xml:space="preserve">Similarly, competitiveness and internal equity also impacts reward as competition between organisations to recruit, attract and retain employees can mean there is increasing pressure to provide a comprehensive reward package.  Organisations may create pay structures using benchmarking to ensure roles and responsibilities are reflected equitably internally whilst mirroring a market standard </w:t>
      </w:r>
      <w:r w:rsidRPr="00C84EE8">
        <w:rPr>
          <w:rFonts w:ascii="Trebuchet MS" w:hAnsi="Trebuchet MS"/>
          <w:color w:val="000000" w:themeColor="text1"/>
        </w:rPr>
        <w:t>(Indeed, 2024)</w:t>
      </w:r>
      <w:r>
        <w:rPr>
          <w:rFonts w:ascii="Trebuchet MS" w:hAnsi="Trebuchet MS"/>
          <w:color w:val="000000" w:themeColor="text1"/>
        </w:rPr>
        <w:t>.</w:t>
      </w:r>
    </w:p>
    <w:p w14:paraId="78395BAF" w14:textId="77777777" w:rsidR="000F74AF" w:rsidRDefault="000F74AF" w:rsidP="000F74AF">
      <w:pPr>
        <w:pStyle w:val="Nornal"/>
        <w:spacing w:after="0" w:line="240" w:lineRule="auto"/>
        <w:rPr>
          <w:rFonts w:ascii="Trebuchet MS" w:hAnsi="Trebuchet MS"/>
          <w:color w:val="000000" w:themeColor="text1"/>
        </w:rPr>
      </w:pPr>
    </w:p>
    <w:p w14:paraId="4B7F3EAA"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If an organisation fails to balance this and employees feel undervalued, the reward structure loses its impact and </w:t>
      </w:r>
      <w:proofErr w:type="gramStart"/>
      <w:r>
        <w:rPr>
          <w:rFonts w:ascii="Trebuchet MS" w:hAnsi="Trebuchet MS"/>
          <w:color w:val="000000" w:themeColor="text1"/>
        </w:rPr>
        <w:t>actually de-</w:t>
      </w:r>
      <w:proofErr w:type="gramEnd"/>
      <w:r>
        <w:rPr>
          <w:rFonts w:ascii="Trebuchet MS" w:hAnsi="Trebuchet MS"/>
          <w:color w:val="000000" w:themeColor="text1"/>
        </w:rPr>
        <w:t>motivate staff causing an increase in turnover. It is important to ensure that employees are rewarded fairly (</w:t>
      </w:r>
      <w:proofErr w:type="spellStart"/>
      <w:r>
        <w:rPr>
          <w:rFonts w:ascii="Trebuchet MS" w:hAnsi="Trebuchet MS"/>
          <w:color w:val="000000" w:themeColor="text1"/>
        </w:rPr>
        <w:t>Dessler</w:t>
      </w:r>
      <w:proofErr w:type="spellEnd"/>
      <w:r>
        <w:rPr>
          <w:rFonts w:ascii="Trebuchet MS" w:hAnsi="Trebuchet MS"/>
          <w:color w:val="000000" w:themeColor="text1"/>
        </w:rPr>
        <w:t>, 2021).</w:t>
      </w:r>
    </w:p>
    <w:p w14:paraId="6B93CBCF" w14:textId="77777777" w:rsidR="000F74AF" w:rsidRDefault="000F74AF" w:rsidP="000F74AF">
      <w:pPr>
        <w:pStyle w:val="Nornal"/>
        <w:spacing w:after="0" w:line="240" w:lineRule="auto"/>
        <w:rPr>
          <w:rFonts w:ascii="Trebuchet MS" w:hAnsi="Trebuchet MS"/>
          <w:color w:val="000000" w:themeColor="text1"/>
        </w:rPr>
      </w:pPr>
    </w:p>
    <w:p w14:paraId="1FFEAC0D" w14:textId="77777777" w:rsidR="000F74AF" w:rsidRPr="00E446B9" w:rsidRDefault="000F74AF" w:rsidP="000F74AF">
      <w:pPr>
        <w:pStyle w:val="Nornal"/>
        <w:spacing w:after="0" w:line="240" w:lineRule="auto"/>
        <w:ind w:left="720"/>
        <w:rPr>
          <w:rFonts w:ascii="Trebuchet MS" w:hAnsi="Trebuchet MS"/>
          <w:color w:val="000000" w:themeColor="text1"/>
        </w:rPr>
      </w:pPr>
    </w:p>
    <w:p w14:paraId="081B3F20" w14:textId="77777777" w:rsidR="000F74AF" w:rsidRDefault="000F74AF" w:rsidP="000F74AF">
      <w:pPr>
        <w:pStyle w:val="Nornal"/>
        <w:numPr>
          <w:ilvl w:val="0"/>
          <w:numId w:val="1"/>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18515E48" w14:textId="77777777" w:rsidR="000F74AF" w:rsidRDefault="000F74AF" w:rsidP="000F74AF">
      <w:pPr>
        <w:pStyle w:val="Nornal"/>
        <w:spacing w:after="0" w:line="240" w:lineRule="auto"/>
        <w:rPr>
          <w:rFonts w:ascii="Trebuchet MS" w:hAnsi="Trebuchet MS"/>
          <w:color w:val="000000" w:themeColor="text1"/>
        </w:rPr>
      </w:pPr>
    </w:p>
    <w:p w14:paraId="049AB7B7"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Benchmarking involves</w:t>
      </w:r>
      <w:r w:rsidRPr="00EE0B42">
        <w:rPr>
          <w:color w:val="2A2A2A"/>
          <w:sz w:val="27"/>
          <w:szCs w:val="27"/>
        </w:rPr>
        <w:t xml:space="preserve"> </w:t>
      </w:r>
      <w:r w:rsidRPr="00EE0B42">
        <w:rPr>
          <w:rFonts w:ascii="Trebuchet MS" w:hAnsi="Trebuchet MS"/>
          <w:color w:val="000000" w:themeColor="text1"/>
        </w:rPr>
        <w:t xml:space="preserve">measuring your </w:t>
      </w:r>
      <w:r>
        <w:rPr>
          <w:rFonts w:ascii="Trebuchet MS" w:hAnsi="Trebuchet MS"/>
          <w:color w:val="000000" w:themeColor="text1"/>
        </w:rPr>
        <w:t>organisation’s</w:t>
      </w:r>
      <w:r w:rsidRPr="00EE0B42">
        <w:rPr>
          <w:rFonts w:ascii="Trebuchet MS" w:hAnsi="Trebuchet MS"/>
          <w:color w:val="000000" w:themeColor="text1"/>
        </w:rPr>
        <w:t xml:space="preserve"> quality, </w:t>
      </w:r>
      <w:proofErr w:type="gramStart"/>
      <w:r w:rsidRPr="00EE0B42">
        <w:rPr>
          <w:rFonts w:ascii="Trebuchet MS" w:hAnsi="Trebuchet MS"/>
          <w:color w:val="000000" w:themeColor="text1"/>
        </w:rPr>
        <w:t>performance</w:t>
      </w:r>
      <w:proofErr w:type="gramEnd"/>
      <w:r w:rsidRPr="00EE0B42">
        <w:rPr>
          <w:rFonts w:ascii="Trebuchet MS" w:hAnsi="Trebuchet MS"/>
          <w:color w:val="000000" w:themeColor="text1"/>
        </w:rPr>
        <w:t xml:space="preserve"> and growth by analy</w:t>
      </w:r>
      <w:r>
        <w:rPr>
          <w:rFonts w:ascii="Trebuchet MS" w:hAnsi="Trebuchet MS"/>
          <w:color w:val="000000" w:themeColor="text1"/>
        </w:rPr>
        <w:t>s</w:t>
      </w:r>
      <w:r w:rsidRPr="00EE0B42">
        <w:rPr>
          <w:rFonts w:ascii="Trebuchet MS" w:hAnsi="Trebuchet MS"/>
          <w:color w:val="000000" w:themeColor="text1"/>
        </w:rPr>
        <w:t>ing the processes and procedures of others</w:t>
      </w:r>
      <w:r>
        <w:rPr>
          <w:rFonts w:ascii="Trebuchet MS" w:hAnsi="Trebuchet MS"/>
          <w:color w:val="000000" w:themeColor="text1"/>
        </w:rPr>
        <w:t xml:space="preserve"> </w:t>
      </w:r>
      <w:r w:rsidRPr="00EE0B42">
        <w:rPr>
          <w:rFonts w:ascii="Trebuchet MS" w:hAnsi="Trebuchet MS"/>
          <w:color w:val="000000" w:themeColor="text1"/>
        </w:rPr>
        <w:t>(Fallon, 2023).</w:t>
      </w:r>
      <w:r>
        <w:rPr>
          <w:rFonts w:ascii="Trebuchet MS" w:hAnsi="Trebuchet MS"/>
          <w:color w:val="000000" w:themeColor="text1"/>
        </w:rPr>
        <w:t xml:space="preserve"> One method of gathering this data is reward and salary surveys. These surveys provide data on compensation packages and reward across the industry and is usually carried out by the consulting industry </w:t>
      </w:r>
      <w:r w:rsidRPr="007A481C">
        <w:rPr>
          <w:rFonts w:ascii="Trebuchet MS" w:hAnsi="Trebuchet MS"/>
          <w:color w:val="000000" w:themeColor="text1"/>
        </w:rPr>
        <w:t>(Cotton, 2024)</w:t>
      </w:r>
      <w:r>
        <w:rPr>
          <w:rFonts w:ascii="Trebuchet MS" w:hAnsi="Trebuchet MS"/>
          <w:color w:val="000000" w:themeColor="text1"/>
        </w:rPr>
        <w:t xml:space="preserve">. </w:t>
      </w:r>
      <w:proofErr w:type="spellStart"/>
      <w:r>
        <w:rPr>
          <w:rFonts w:ascii="Trebuchet MS" w:hAnsi="Trebuchet MS"/>
          <w:color w:val="000000" w:themeColor="text1"/>
        </w:rPr>
        <w:t>Organisation’s</w:t>
      </w:r>
      <w:proofErr w:type="spellEnd"/>
      <w:r>
        <w:rPr>
          <w:rFonts w:ascii="Trebuchet MS" w:hAnsi="Trebuchet MS"/>
          <w:color w:val="000000" w:themeColor="text1"/>
        </w:rPr>
        <w:t xml:space="preserve"> can then utilise this data to inform them of industry standard salaries, reward packages and total earnings that will aid them in setting an appropriate reward package that remains competitive </w:t>
      </w:r>
      <w:r w:rsidRPr="00173681">
        <w:rPr>
          <w:rFonts w:ascii="Trebuchet MS" w:hAnsi="Trebuchet MS"/>
          <w:color w:val="000000" w:themeColor="text1"/>
        </w:rPr>
        <w:t>(Armstrong, 2020).</w:t>
      </w:r>
    </w:p>
    <w:p w14:paraId="3E86ACDD" w14:textId="77777777" w:rsidR="000F74AF" w:rsidRDefault="000F74AF" w:rsidP="000F74AF">
      <w:pPr>
        <w:pStyle w:val="Nornal"/>
        <w:spacing w:after="0" w:line="240" w:lineRule="auto"/>
        <w:rPr>
          <w:rFonts w:ascii="Trebuchet MS" w:hAnsi="Trebuchet MS"/>
          <w:color w:val="000000" w:themeColor="text1"/>
        </w:rPr>
      </w:pPr>
    </w:p>
    <w:p w14:paraId="4FA27BC4"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This method provides relevant, up-to-date industry-specific insights for organisations to utilise. However, if this method is used to assess a highly specific/emerging role salary, the data may not be available or conclusive enough to </w:t>
      </w:r>
      <w:proofErr w:type="gramStart"/>
      <w:r>
        <w:rPr>
          <w:rFonts w:ascii="Trebuchet MS" w:hAnsi="Trebuchet MS"/>
          <w:color w:val="000000" w:themeColor="text1"/>
        </w:rPr>
        <w:t>make a decision</w:t>
      </w:r>
      <w:proofErr w:type="gramEnd"/>
      <w:r>
        <w:rPr>
          <w:rFonts w:ascii="Trebuchet MS" w:hAnsi="Trebuchet MS"/>
          <w:color w:val="000000" w:themeColor="text1"/>
        </w:rPr>
        <w:t xml:space="preserve"> on a suitable reward package. As well as this, the reliability of this data is dependent on sample size, the organisations used to gather the data and whether they use a standardised approach to their survey. If the sample size is small and there is no standardisation meaning respondents are not randomly chosen, this leaves room for self-selection bias to occur.</w:t>
      </w:r>
    </w:p>
    <w:p w14:paraId="2772F41C" w14:textId="77777777" w:rsidR="000F74AF" w:rsidRDefault="000F74AF" w:rsidP="000F74AF">
      <w:pPr>
        <w:pStyle w:val="Nornal"/>
        <w:spacing w:after="0" w:line="240" w:lineRule="auto"/>
        <w:rPr>
          <w:rFonts w:ascii="Trebuchet MS" w:hAnsi="Trebuchet MS"/>
          <w:color w:val="000000" w:themeColor="text1"/>
        </w:rPr>
      </w:pPr>
    </w:p>
    <w:p w14:paraId="000B8ADA" w14:textId="77777777" w:rsidR="000F74AF"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Another method of gathering benchmarking data includes looking at recruitment and vacancy data. This data can provide an insight into the current labour market and demand trends </w:t>
      </w:r>
      <w:r w:rsidRPr="00907F2D">
        <w:rPr>
          <w:rFonts w:ascii="Trebuchet MS" w:hAnsi="Trebuchet MS"/>
          <w:color w:val="000000" w:themeColor="text1"/>
        </w:rPr>
        <w:t>(Cotton, 2022)</w:t>
      </w:r>
      <w:r>
        <w:rPr>
          <w:rFonts w:ascii="Trebuchet MS" w:hAnsi="Trebuchet MS"/>
          <w:color w:val="000000" w:themeColor="text1"/>
        </w:rPr>
        <w:t>. Again, this data is usually very close to real-time information which is extremely useful for workforce planning and when it comes from reputable sources such as the CIPD ‘</w:t>
      </w:r>
      <w:r w:rsidRPr="00D77149">
        <w:rPr>
          <w:rFonts w:ascii="Trebuchet MS" w:hAnsi="Trebuchet MS"/>
          <w:color w:val="000000" w:themeColor="text1"/>
        </w:rPr>
        <w:t>Resourcing and talent planning report 2024</w:t>
      </w:r>
      <w:r>
        <w:rPr>
          <w:rFonts w:ascii="Trebuchet MS" w:hAnsi="Trebuchet MS"/>
          <w:color w:val="000000" w:themeColor="text1"/>
        </w:rPr>
        <w:t>’, it forms a crucial part of an organisations understanding around hiring trends and salaries, allowing them to competitively benchmark themselves against this (</w:t>
      </w:r>
      <w:r w:rsidRPr="00395206">
        <w:rPr>
          <w:rFonts w:ascii="Trebuchet MS" w:hAnsi="Trebuchet MS"/>
        </w:rPr>
        <w:t>Hogarth</w:t>
      </w:r>
      <w:r>
        <w:rPr>
          <w:rFonts w:ascii="Trebuchet MS" w:hAnsi="Trebuchet MS"/>
        </w:rPr>
        <w:t xml:space="preserve"> &amp; </w:t>
      </w:r>
      <w:r w:rsidRPr="00395206">
        <w:rPr>
          <w:rFonts w:ascii="Trebuchet MS" w:hAnsi="Trebuchet MS"/>
        </w:rPr>
        <w:t>McCartney</w:t>
      </w:r>
      <w:r>
        <w:rPr>
          <w:rFonts w:ascii="Trebuchet MS" w:hAnsi="Trebuchet MS"/>
        </w:rPr>
        <w:t xml:space="preserve">, </w:t>
      </w:r>
      <w:r w:rsidRPr="00395206">
        <w:rPr>
          <w:rFonts w:ascii="Trebuchet MS" w:hAnsi="Trebuchet MS"/>
        </w:rPr>
        <w:t>2024)</w:t>
      </w:r>
      <w:r>
        <w:rPr>
          <w:rFonts w:ascii="Trebuchet MS" w:hAnsi="Trebuchet MS"/>
          <w:color w:val="000000" w:themeColor="text1"/>
        </w:rPr>
        <w:t>. However, if not pulled from reliable sources and includes job advertisements that may be misleading, this can impact both the validity and reliability of the information, making it useless and/or incorrect</w:t>
      </w:r>
      <w:r w:rsidRPr="00D77149">
        <w:rPr>
          <w:rFonts w:cstheme="minorBidi"/>
          <w:szCs w:val="24"/>
        </w:rPr>
        <w:t xml:space="preserve"> </w:t>
      </w:r>
      <w:r w:rsidRPr="00D77149">
        <w:rPr>
          <w:rFonts w:ascii="Trebuchet MS" w:hAnsi="Trebuchet MS"/>
          <w:color w:val="000000" w:themeColor="text1"/>
        </w:rPr>
        <w:t>(Kelly, 2024)</w:t>
      </w:r>
      <w:r>
        <w:rPr>
          <w:rFonts w:ascii="Trebuchet MS" w:hAnsi="Trebuchet MS"/>
          <w:color w:val="000000" w:themeColor="text1"/>
        </w:rPr>
        <w:t xml:space="preserve">. </w:t>
      </w:r>
    </w:p>
    <w:p w14:paraId="55DA74E8" w14:textId="77777777" w:rsidR="000F74AF" w:rsidRDefault="000F74AF" w:rsidP="000F74AF">
      <w:pPr>
        <w:pStyle w:val="Nornal"/>
        <w:spacing w:after="0" w:line="240" w:lineRule="auto"/>
        <w:rPr>
          <w:rFonts w:ascii="Trebuchet MS" w:hAnsi="Trebuchet MS"/>
          <w:color w:val="000000" w:themeColor="text1"/>
        </w:rPr>
      </w:pPr>
    </w:p>
    <w:p w14:paraId="38C3CC76" w14:textId="77777777" w:rsidR="000F74AF" w:rsidRPr="00960EEB" w:rsidRDefault="000F74AF" w:rsidP="000F74AF">
      <w:pPr>
        <w:pStyle w:val="Nornal"/>
        <w:spacing w:after="0" w:line="240" w:lineRule="auto"/>
      </w:pPr>
      <w:r>
        <w:rPr>
          <w:rFonts w:ascii="Trebuchet MS" w:hAnsi="Trebuchet MS"/>
          <w:color w:val="000000" w:themeColor="text1"/>
        </w:rPr>
        <w:t xml:space="preserve">Finally, government surveys and statistics can also provide data around labour market trends, salaries, working hours and unemployment rates. This information can be captured through census or national survey (ONS, 2023), making the validity and reliability of the source </w:t>
      </w:r>
      <w:proofErr w:type="gramStart"/>
      <w:r>
        <w:rPr>
          <w:rFonts w:ascii="Trebuchet MS" w:hAnsi="Trebuchet MS"/>
          <w:color w:val="000000" w:themeColor="text1"/>
        </w:rPr>
        <w:t>pretty high</w:t>
      </w:r>
      <w:proofErr w:type="gramEnd"/>
      <w:r>
        <w:rPr>
          <w:rFonts w:ascii="Trebuchet MS" w:hAnsi="Trebuchet MS"/>
          <w:color w:val="000000" w:themeColor="text1"/>
        </w:rPr>
        <w:t xml:space="preserve"> due to high standardisation, regulation and region-wide collection process. However, the information is infrequent and due to the data collection pool being so vast the data collected can be broad, lacking the granularity often needed to produce accurate benchmarking data (ONS, 2023).</w:t>
      </w:r>
    </w:p>
    <w:p w14:paraId="4A87ACB9" w14:textId="77777777" w:rsidR="000F74AF" w:rsidRDefault="000F74AF" w:rsidP="000F74AF">
      <w:pPr>
        <w:pStyle w:val="Nornal"/>
        <w:spacing w:after="0" w:line="240" w:lineRule="auto"/>
        <w:rPr>
          <w:rFonts w:ascii="Trebuchet MS" w:hAnsi="Trebuchet MS"/>
          <w:color w:val="000000" w:themeColor="text1"/>
        </w:rPr>
      </w:pPr>
    </w:p>
    <w:p w14:paraId="51FA1796" w14:textId="77777777" w:rsidR="000F74AF" w:rsidRPr="00E446B9" w:rsidRDefault="000F74AF" w:rsidP="000F74AF">
      <w:pPr>
        <w:pStyle w:val="Nornal"/>
        <w:spacing w:after="0" w:line="240" w:lineRule="auto"/>
        <w:rPr>
          <w:rFonts w:ascii="Trebuchet MS" w:hAnsi="Trebuchet MS"/>
          <w:color w:val="000000" w:themeColor="text1"/>
        </w:rPr>
      </w:pPr>
      <w:r>
        <w:rPr>
          <w:rFonts w:ascii="Trebuchet MS" w:hAnsi="Trebuchet MS"/>
          <w:color w:val="000000" w:themeColor="text1"/>
        </w:rPr>
        <w:t xml:space="preserve"> An organisation such as Eco-Insulate UK may want to combine this method with another that offers more detailed data, such as recruitment and vacancy data to ensure that any benchmarking data produced is comprehensive and accurate to ensure that any decisions made based off this are well-informed and reliable </w:t>
      </w:r>
      <w:r w:rsidRPr="007A481C">
        <w:rPr>
          <w:rFonts w:ascii="Trebuchet MS" w:hAnsi="Trebuchet MS"/>
          <w:color w:val="000000" w:themeColor="text1"/>
        </w:rPr>
        <w:t>(Cotton, 2024)</w:t>
      </w:r>
      <w:r>
        <w:rPr>
          <w:rFonts w:ascii="Trebuchet MS" w:hAnsi="Trebuchet MS"/>
          <w:color w:val="000000" w:themeColor="text1"/>
        </w:rPr>
        <w:t>.</w:t>
      </w:r>
    </w:p>
    <w:p w14:paraId="0267C24B" w14:textId="77777777" w:rsidR="000F74AF" w:rsidRPr="00E446B9" w:rsidRDefault="000F74AF" w:rsidP="000F74AF">
      <w:pPr>
        <w:pStyle w:val="Nornal"/>
        <w:spacing w:after="0" w:line="240" w:lineRule="auto"/>
        <w:rPr>
          <w:rFonts w:ascii="Trebuchet MS" w:hAnsi="Trebuchet MS"/>
          <w:color w:val="000000" w:themeColor="text1"/>
        </w:rPr>
      </w:pPr>
    </w:p>
    <w:p w14:paraId="619560D4" w14:textId="77777777" w:rsidR="000F74AF" w:rsidRPr="0006109B" w:rsidRDefault="000F74AF" w:rsidP="000F74AF">
      <w:pPr>
        <w:pStyle w:val="Nornal"/>
        <w:numPr>
          <w:ilvl w:val="0"/>
          <w:numId w:val="1"/>
        </w:numPr>
        <w:spacing w:after="0" w:line="240" w:lineRule="auto"/>
        <w:rPr>
          <w:rFonts w:ascii="Trebuchet MS" w:hAnsi="Trebuchet MS"/>
          <w:color w:val="000000"/>
        </w:rPr>
      </w:pPr>
      <w:r w:rsidRPr="00E446B9">
        <w:rPr>
          <w:rFonts w:ascii="Trebuchet MS" w:hAnsi="Trebuchet MS"/>
          <w:color w:val="000000" w:themeColor="text1"/>
        </w:rPr>
        <w:lastRenderedPageBreak/>
        <w:t>Explain approaches to job evaluation. (AC 3.3)</w:t>
      </w:r>
    </w:p>
    <w:p w14:paraId="3AB09DF4" w14:textId="77777777" w:rsidR="000F74AF" w:rsidRDefault="000F74AF" w:rsidP="000F74AF">
      <w:pPr>
        <w:pStyle w:val="Nornal"/>
        <w:spacing w:after="0" w:line="240" w:lineRule="auto"/>
        <w:rPr>
          <w:rFonts w:ascii="Trebuchet MS" w:hAnsi="Trebuchet MS"/>
          <w:color w:val="000000"/>
        </w:rPr>
      </w:pPr>
    </w:p>
    <w:p w14:paraId="24A86A91"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Job evaluation can be defined </w:t>
      </w:r>
      <w:proofErr w:type="gramStart"/>
      <w:r>
        <w:rPr>
          <w:rFonts w:ascii="Trebuchet MS" w:hAnsi="Trebuchet MS"/>
          <w:color w:val="000000"/>
        </w:rPr>
        <w:t xml:space="preserve">as a </w:t>
      </w:r>
      <w:r w:rsidRPr="0006109B">
        <w:rPr>
          <w:rFonts w:ascii="Trebuchet MS" w:hAnsi="Trebuchet MS"/>
          <w:color w:val="000000"/>
        </w:rPr>
        <w:t>way to</w:t>
      </w:r>
      <w:proofErr w:type="gramEnd"/>
      <w:r w:rsidRPr="0006109B">
        <w:rPr>
          <w:rFonts w:ascii="Trebuchet MS" w:hAnsi="Trebuchet MS"/>
          <w:color w:val="000000"/>
        </w:rPr>
        <w:t xml:space="preserve"> work out the relative importance of different jobs in an organisation</w:t>
      </w:r>
      <w:r>
        <w:rPr>
          <w:rFonts w:ascii="Trebuchet MS" w:hAnsi="Trebuchet MS"/>
          <w:color w:val="000000"/>
        </w:rPr>
        <w:t xml:space="preserve"> </w:t>
      </w:r>
      <w:r w:rsidRPr="0006109B">
        <w:rPr>
          <w:rFonts w:ascii="Trebuchet MS" w:hAnsi="Trebuchet MS"/>
          <w:color w:val="000000"/>
        </w:rPr>
        <w:t>(ACAS, 2024)</w:t>
      </w:r>
      <w:r>
        <w:rPr>
          <w:rFonts w:ascii="Trebuchet MS" w:hAnsi="Trebuchet MS"/>
          <w:color w:val="000000"/>
        </w:rPr>
        <w:t xml:space="preserve">. There are multiple different approaches that can be taken for job evaluation such as formal, informal, </w:t>
      </w:r>
      <w:proofErr w:type="gramStart"/>
      <w:r>
        <w:rPr>
          <w:rFonts w:ascii="Trebuchet MS" w:hAnsi="Trebuchet MS"/>
          <w:color w:val="000000"/>
        </w:rPr>
        <w:t>analytical</w:t>
      </w:r>
      <w:proofErr w:type="gramEnd"/>
      <w:r>
        <w:rPr>
          <w:rFonts w:ascii="Trebuchet MS" w:hAnsi="Trebuchet MS"/>
          <w:color w:val="000000"/>
        </w:rPr>
        <w:t xml:space="preserve"> and non-analytical approaches.</w:t>
      </w:r>
    </w:p>
    <w:p w14:paraId="6C0CF6BE" w14:textId="77777777" w:rsidR="000F74AF" w:rsidRDefault="000F74AF" w:rsidP="000F74AF">
      <w:pPr>
        <w:pStyle w:val="Nornal"/>
        <w:spacing w:after="0" w:line="240" w:lineRule="auto"/>
        <w:rPr>
          <w:rFonts w:ascii="Trebuchet MS" w:hAnsi="Trebuchet MS"/>
          <w:color w:val="000000"/>
        </w:rPr>
      </w:pPr>
    </w:p>
    <w:p w14:paraId="4862CE75"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Formal approaches to job evaluation are process driven and systematic such as grading structures, which are used to determine a jobs value. This tends to be suited to larger organisations that have a large variety of roles that need to be evaluated. Whereas informal approaches tend to lack the structure involved in formal approaches, being more based around assumption without any systemic analysis such as reference to market rates during the recruitment process (Armstrong, 2020).</w:t>
      </w:r>
    </w:p>
    <w:p w14:paraId="11974CE0" w14:textId="77777777" w:rsidR="000F74AF" w:rsidRDefault="000F74AF" w:rsidP="000F74AF">
      <w:pPr>
        <w:pStyle w:val="Nornal"/>
        <w:spacing w:after="0" w:line="240" w:lineRule="auto"/>
        <w:rPr>
          <w:rFonts w:ascii="Trebuchet MS" w:hAnsi="Trebuchet MS"/>
          <w:color w:val="000000"/>
        </w:rPr>
      </w:pPr>
    </w:p>
    <w:p w14:paraId="746CF634"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Analytical approaches to job evaluation involve assessing a job based on the components of it such as the skills required or level of responsibility that comes with it. An example of this is the point-factor method where jobs are broken down into specific measurable factors where they are assigned a weight and score which helps calculate the total ‘value’ of the role (Armstrong, 2020). This approach is mostly utilised in larger, complex organisations where there are strict compliance requirements, such as public sector organisations </w:t>
      </w:r>
      <w:r w:rsidRPr="000830BC">
        <w:rPr>
          <w:rFonts w:ascii="Trebuchet MS" w:hAnsi="Trebuchet MS"/>
          <w:color w:val="000000"/>
        </w:rPr>
        <w:t>(Armstrong, 2020).</w:t>
      </w:r>
    </w:p>
    <w:p w14:paraId="132E1803" w14:textId="77777777" w:rsidR="000F74AF" w:rsidRDefault="000F74AF" w:rsidP="000F74AF">
      <w:pPr>
        <w:pStyle w:val="Nornal"/>
        <w:spacing w:after="0" w:line="240" w:lineRule="auto"/>
        <w:rPr>
          <w:rFonts w:ascii="Trebuchet MS" w:hAnsi="Trebuchet MS"/>
          <w:color w:val="000000"/>
        </w:rPr>
      </w:pPr>
    </w:p>
    <w:p w14:paraId="6A5BECF3" w14:textId="77777777" w:rsidR="000F74AF" w:rsidRPr="0006109B" w:rsidRDefault="000F74AF" w:rsidP="000F74AF">
      <w:pPr>
        <w:pStyle w:val="Nornal"/>
        <w:spacing w:after="0" w:line="240" w:lineRule="auto"/>
        <w:rPr>
          <w:rFonts w:ascii="Trebuchet MS" w:hAnsi="Trebuchet MS"/>
          <w:color w:val="000000"/>
        </w:rPr>
      </w:pPr>
      <w:r>
        <w:rPr>
          <w:rFonts w:ascii="Trebuchet MS" w:hAnsi="Trebuchet MS"/>
          <w:color w:val="000000"/>
        </w:rPr>
        <w:t xml:space="preserve">Non-analytical approaches tend to evaluate a </w:t>
      </w:r>
      <w:proofErr w:type="gramStart"/>
      <w:r>
        <w:rPr>
          <w:rFonts w:ascii="Trebuchet MS" w:hAnsi="Trebuchet MS"/>
          <w:color w:val="000000"/>
        </w:rPr>
        <w:t>job as a whole, rather</w:t>
      </w:r>
      <w:proofErr w:type="gramEnd"/>
      <w:r>
        <w:rPr>
          <w:rFonts w:ascii="Trebuchet MS" w:hAnsi="Trebuchet MS"/>
          <w:color w:val="000000"/>
        </w:rPr>
        <w:t xml:space="preserve"> than breaking it down into components such as job classification (Armstrong, 2020). Job classification involves grouping jobs into a specific grade based on general characteristics. Usually, this approach is used in smaller organisations where there are a smaller number of straightforward roles </w:t>
      </w:r>
      <w:r w:rsidRPr="000624A0">
        <w:rPr>
          <w:rFonts w:ascii="Trebuchet MS" w:hAnsi="Trebuchet MS"/>
          <w:color w:val="000000"/>
        </w:rPr>
        <w:t>(Torrington et al., 2020</w:t>
      </w:r>
      <w:r>
        <w:rPr>
          <w:rFonts w:ascii="Trebuchet MS" w:hAnsi="Trebuchet MS"/>
          <w:color w:val="000000"/>
        </w:rPr>
        <w:t>), so is likely to be more appropriate for Eco-Insulate UK to utilise.</w:t>
      </w:r>
    </w:p>
    <w:p w14:paraId="639E1984" w14:textId="77777777" w:rsidR="000F74AF" w:rsidRDefault="000F74AF" w:rsidP="000F74AF">
      <w:pPr>
        <w:pStyle w:val="Nornal"/>
        <w:spacing w:after="0" w:line="240" w:lineRule="auto"/>
        <w:rPr>
          <w:rFonts w:ascii="Trebuchet MS" w:hAnsi="Trebuchet MS"/>
          <w:color w:val="000000" w:themeColor="text1"/>
        </w:rPr>
      </w:pPr>
    </w:p>
    <w:p w14:paraId="4345C4BB" w14:textId="77777777" w:rsidR="000F74AF" w:rsidRPr="00E446B9" w:rsidRDefault="000F74AF" w:rsidP="000F74AF">
      <w:pPr>
        <w:pStyle w:val="Nornal"/>
        <w:spacing w:after="0" w:line="240" w:lineRule="auto"/>
        <w:rPr>
          <w:rFonts w:ascii="Trebuchet MS" w:hAnsi="Trebuchet MS"/>
          <w:color w:val="000000"/>
        </w:rPr>
      </w:pPr>
    </w:p>
    <w:p w14:paraId="6699035C" w14:textId="77777777" w:rsidR="000F74AF" w:rsidRPr="00E446B9" w:rsidRDefault="000F74AF" w:rsidP="000F74AF">
      <w:pPr>
        <w:pStyle w:val="Nornal"/>
        <w:spacing w:after="0" w:line="240" w:lineRule="auto"/>
        <w:ind w:left="360"/>
        <w:rPr>
          <w:rFonts w:ascii="Trebuchet MS" w:hAnsi="Trebuchet MS"/>
          <w:color w:val="000000"/>
        </w:rPr>
      </w:pPr>
    </w:p>
    <w:p w14:paraId="1722E0ED" w14:textId="77777777" w:rsidR="000F74AF" w:rsidRPr="00E446B9" w:rsidRDefault="000F74AF" w:rsidP="000F74AF">
      <w:pPr>
        <w:pStyle w:val="Nornal"/>
        <w:numPr>
          <w:ilvl w:val="0"/>
          <w:numId w:val="1"/>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301BAB48" w14:textId="77777777" w:rsidR="000F74AF" w:rsidRPr="00E446B9" w:rsidRDefault="000F74AF" w:rsidP="000F74AF">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3086B210" w14:textId="77777777" w:rsidR="000F74AF" w:rsidRPr="00E446B9" w:rsidRDefault="000F74AF" w:rsidP="000F74AF">
      <w:pPr>
        <w:pStyle w:val="Nornal"/>
        <w:spacing w:after="0" w:line="240" w:lineRule="auto"/>
        <w:rPr>
          <w:rFonts w:ascii="Trebuchet MS" w:hAnsi="Trebuchet MS" w:cstheme="minorHAnsi"/>
        </w:rPr>
      </w:pPr>
    </w:p>
    <w:p w14:paraId="3A69DF89"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Reward practices can be heavily impacted and influenced by legislative requirements. The Equality Act 2010 mandates that regardless of gender, anyone performance work of equal value is entitled to equal pay, </w:t>
      </w:r>
      <w:proofErr w:type="gramStart"/>
      <w:r>
        <w:rPr>
          <w:rFonts w:ascii="Trebuchet MS" w:hAnsi="Trebuchet MS"/>
          <w:color w:val="000000"/>
        </w:rPr>
        <w:t>bonuses</w:t>
      </w:r>
      <w:proofErr w:type="gramEnd"/>
      <w:r>
        <w:rPr>
          <w:rFonts w:ascii="Trebuchet MS" w:hAnsi="Trebuchet MS"/>
          <w:color w:val="000000"/>
        </w:rPr>
        <w:t xml:space="preserve"> and benefits and any other renumeration offered </w:t>
      </w:r>
      <w:r w:rsidRPr="00E838F3">
        <w:rPr>
          <w:rFonts w:ascii="Trebuchet MS" w:hAnsi="Trebuchet MS"/>
          <w:color w:val="000000"/>
        </w:rPr>
        <w:t>(EHRC, 2021)</w:t>
      </w:r>
      <w:r>
        <w:rPr>
          <w:rFonts w:ascii="Trebuchet MS" w:hAnsi="Trebuchet MS"/>
          <w:color w:val="000000"/>
        </w:rPr>
        <w:t xml:space="preserve">. </w:t>
      </w:r>
    </w:p>
    <w:p w14:paraId="0AB16ECD" w14:textId="77777777" w:rsidR="000F74AF" w:rsidRDefault="000F74AF" w:rsidP="000F74AF">
      <w:pPr>
        <w:pStyle w:val="Nornal"/>
        <w:spacing w:after="0" w:line="240" w:lineRule="auto"/>
        <w:rPr>
          <w:rFonts w:ascii="Trebuchet MS" w:hAnsi="Trebuchet MS"/>
          <w:color w:val="000000"/>
        </w:rPr>
      </w:pPr>
    </w:p>
    <w:p w14:paraId="53F474C1"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For an organisation such as Eco-Insulate UK, this means that they must regularly review any pay structures or renumeration given to employees to ensure compliance with this regulation. It is also crucial that some form of job evaluation is carried out, usually analytical, to ensure there is valid justification behind any pay differences.</w:t>
      </w:r>
    </w:p>
    <w:p w14:paraId="642FF87D" w14:textId="77777777" w:rsidR="000F74AF" w:rsidRDefault="000F74AF" w:rsidP="000F74AF">
      <w:pPr>
        <w:pStyle w:val="Nornal"/>
        <w:spacing w:after="0" w:line="240" w:lineRule="auto"/>
        <w:rPr>
          <w:rFonts w:ascii="Trebuchet MS" w:hAnsi="Trebuchet MS"/>
          <w:color w:val="000000"/>
        </w:rPr>
      </w:pPr>
    </w:p>
    <w:p w14:paraId="1F5CAE3A"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Following on from this, under this legislation, organisations with 250 or more employees must report their gender pay gap data annually </w:t>
      </w:r>
      <w:r w:rsidRPr="00BC6A55">
        <w:rPr>
          <w:rFonts w:ascii="Trebuchet MS" w:hAnsi="Trebuchet MS"/>
          <w:color w:val="000000"/>
        </w:rPr>
        <w:t>(GOV.UK, 2024)</w:t>
      </w:r>
      <w:r>
        <w:rPr>
          <w:rFonts w:ascii="Trebuchet MS" w:hAnsi="Trebuchet MS"/>
          <w:color w:val="000000"/>
        </w:rPr>
        <w:t xml:space="preserve">. The report must include the mean and median pay gap as well as any bonus gaps and the distribution of men and women across the different pay quartiles </w:t>
      </w:r>
      <w:r w:rsidRPr="00BC6A55">
        <w:rPr>
          <w:rFonts w:ascii="Trebuchet MS" w:hAnsi="Trebuchet MS"/>
          <w:color w:val="000000"/>
        </w:rPr>
        <w:t>(CIPD, 2024)</w:t>
      </w:r>
      <w:r>
        <w:rPr>
          <w:rFonts w:ascii="Trebuchet MS" w:hAnsi="Trebuchet MS"/>
          <w:color w:val="000000"/>
        </w:rPr>
        <w:t xml:space="preserve">. This may impact Eco-Insulate UK, although their employee headcount is not stated. The report must uploaded to the government portal and be published/accessible on the company website so </w:t>
      </w:r>
      <w:proofErr w:type="spellStart"/>
      <w:r>
        <w:rPr>
          <w:rFonts w:ascii="Trebuchet MS" w:hAnsi="Trebuchet MS"/>
          <w:color w:val="000000"/>
        </w:rPr>
        <w:t>it s</w:t>
      </w:r>
      <w:proofErr w:type="spellEnd"/>
      <w:r>
        <w:rPr>
          <w:rFonts w:ascii="Trebuchet MS" w:hAnsi="Trebuchet MS"/>
          <w:color w:val="000000"/>
        </w:rPr>
        <w:t xml:space="preserve"> accessible to the general public </w:t>
      </w:r>
      <w:r w:rsidRPr="00BC6A55">
        <w:rPr>
          <w:rFonts w:ascii="Trebuchet MS" w:hAnsi="Trebuchet MS"/>
          <w:color w:val="000000"/>
        </w:rPr>
        <w:t>(GOV.UK, 2024)</w:t>
      </w:r>
      <w:r>
        <w:rPr>
          <w:rFonts w:ascii="Trebuchet MS" w:hAnsi="Trebuchet MS"/>
          <w:color w:val="000000"/>
        </w:rPr>
        <w:t xml:space="preserve"> and the ultimate aim of this is to tackle the gap in pay between men and women that has </w:t>
      </w:r>
      <w:proofErr w:type="gramStart"/>
      <w:r>
        <w:rPr>
          <w:rFonts w:ascii="Trebuchet MS" w:hAnsi="Trebuchet MS"/>
          <w:color w:val="000000"/>
        </w:rPr>
        <w:t>arisen  over</w:t>
      </w:r>
      <w:proofErr w:type="gramEnd"/>
      <w:r>
        <w:rPr>
          <w:rFonts w:ascii="Trebuchet MS" w:hAnsi="Trebuchet MS"/>
          <w:color w:val="000000"/>
        </w:rPr>
        <w:t xml:space="preserve"> the years from labour market disadvantage and workplace disadvantage </w:t>
      </w:r>
      <w:r w:rsidRPr="00BC6A55">
        <w:rPr>
          <w:rFonts w:ascii="Trebuchet MS" w:hAnsi="Trebuchet MS"/>
          <w:color w:val="000000"/>
        </w:rPr>
        <w:t>(CIPD, 2024)</w:t>
      </w:r>
      <w:r>
        <w:rPr>
          <w:rFonts w:ascii="Trebuchet MS" w:hAnsi="Trebuchet MS"/>
          <w:color w:val="000000"/>
        </w:rPr>
        <w:t>..</w:t>
      </w:r>
    </w:p>
    <w:p w14:paraId="4194A03E" w14:textId="77777777" w:rsidR="000F74AF" w:rsidRDefault="000F74AF" w:rsidP="000F74AF">
      <w:pPr>
        <w:pStyle w:val="Nornal"/>
        <w:spacing w:after="0" w:line="240" w:lineRule="auto"/>
        <w:rPr>
          <w:rFonts w:ascii="Trebuchet MS" w:hAnsi="Trebuchet MS"/>
          <w:color w:val="000000"/>
        </w:rPr>
      </w:pPr>
    </w:p>
    <w:p w14:paraId="7DD434B3"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lastRenderedPageBreak/>
        <w:t xml:space="preserve">This means organisations must carefully analyse their reward system and structure to ensure compliance. As failure to comply with this legislation can result in cases being taken to employment tribunal, large financial penalties and reputational damage that would further impact an organisation’s ability to offer a competitive reward structure and retain employees </w:t>
      </w:r>
      <w:r w:rsidRPr="00BC6A55">
        <w:rPr>
          <w:rFonts w:ascii="Trebuchet MS" w:hAnsi="Trebuchet MS"/>
          <w:color w:val="000000"/>
        </w:rPr>
        <w:t>(CIPD, 2024)</w:t>
      </w:r>
      <w:r>
        <w:rPr>
          <w:rFonts w:ascii="Trebuchet MS" w:hAnsi="Trebuchet MS"/>
          <w:color w:val="000000"/>
        </w:rPr>
        <w:t>.</w:t>
      </w:r>
    </w:p>
    <w:p w14:paraId="50F6B07C" w14:textId="77777777" w:rsidR="000F74AF" w:rsidRDefault="000F74AF" w:rsidP="000F74AF">
      <w:pPr>
        <w:pStyle w:val="Nornal"/>
        <w:spacing w:after="0" w:line="240" w:lineRule="auto"/>
        <w:rPr>
          <w:rFonts w:ascii="Trebuchet MS" w:hAnsi="Trebuchet MS"/>
          <w:color w:val="000000"/>
        </w:rPr>
      </w:pPr>
    </w:p>
    <w:p w14:paraId="22DD6FD2" w14:textId="77777777" w:rsidR="000F74AF" w:rsidRDefault="000F74AF" w:rsidP="000F74AF">
      <w:pPr>
        <w:pStyle w:val="Nornal"/>
        <w:spacing w:after="0" w:line="240" w:lineRule="auto"/>
        <w:rPr>
          <w:rFonts w:ascii="Trebuchet MS" w:hAnsi="Trebuchet MS"/>
          <w:color w:val="000000"/>
        </w:rPr>
      </w:pPr>
      <w:r>
        <w:rPr>
          <w:rFonts w:ascii="Trebuchet MS" w:hAnsi="Trebuchet MS"/>
          <w:color w:val="000000"/>
        </w:rPr>
        <w:t xml:space="preserve">Linking closely to this, the National Minimum Wage Act 1998 and National Living Wage mean that there is a set minimum hourly rate that must be paid to an employee dependant on their age and employment types, such as apprenticeships </w:t>
      </w:r>
      <w:r w:rsidRPr="00E838F3">
        <w:rPr>
          <w:rFonts w:ascii="Trebuchet MS" w:hAnsi="Trebuchet MS"/>
          <w:color w:val="000000"/>
        </w:rPr>
        <w:t>(GOV.UK, 2024)</w:t>
      </w:r>
      <w:r>
        <w:rPr>
          <w:rFonts w:ascii="Trebuchet MS" w:hAnsi="Trebuchet MS"/>
          <w:color w:val="000000"/>
        </w:rPr>
        <w:t xml:space="preserve">. This rate is updated annually every April to ensure employees are renumerated equitably for their work whilst </w:t>
      </w:r>
      <w:proofErr w:type="gramStart"/>
      <w:r>
        <w:rPr>
          <w:rFonts w:ascii="Trebuchet MS" w:hAnsi="Trebuchet MS"/>
          <w:color w:val="000000"/>
        </w:rPr>
        <w:t>taking into account</w:t>
      </w:r>
      <w:proofErr w:type="gramEnd"/>
      <w:r>
        <w:rPr>
          <w:rFonts w:ascii="Trebuchet MS" w:hAnsi="Trebuchet MS"/>
          <w:color w:val="000000"/>
        </w:rPr>
        <w:t xml:space="preserve"> any deductions like income tax and national insurance </w:t>
      </w:r>
      <w:r w:rsidRPr="00E838F3">
        <w:rPr>
          <w:rFonts w:ascii="Trebuchet MS" w:hAnsi="Trebuchet MS"/>
          <w:color w:val="000000"/>
        </w:rPr>
        <w:t>(GOV.UK, 2024)</w:t>
      </w:r>
      <w:r>
        <w:rPr>
          <w:rFonts w:ascii="Trebuchet MS" w:hAnsi="Trebuchet MS"/>
          <w:color w:val="000000"/>
        </w:rPr>
        <w:t xml:space="preserve">. Organisations must ensure they comply with this to avoid any kind of financial penalty such as fines or forced back-payments to under paid staff </w:t>
      </w:r>
      <w:r w:rsidRPr="00C30C90">
        <w:rPr>
          <w:rFonts w:ascii="Trebuchet MS" w:hAnsi="Trebuchet MS"/>
          <w:color w:val="000000"/>
        </w:rPr>
        <w:t>(CIPD, 2023)</w:t>
      </w:r>
      <w:r>
        <w:rPr>
          <w:rFonts w:ascii="Trebuchet MS" w:hAnsi="Trebuchet MS"/>
          <w:color w:val="000000"/>
        </w:rPr>
        <w:t>.</w:t>
      </w:r>
    </w:p>
    <w:p w14:paraId="24179EE9" w14:textId="77777777" w:rsidR="000F74AF" w:rsidRDefault="000F74AF" w:rsidP="000F74AF">
      <w:pPr>
        <w:pStyle w:val="Nornal"/>
        <w:spacing w:after="0" w:line="240" w:lineRule="auto"/>
        <w:rPr>
          <w:rFonts w:ascii="Trebuchet MS" w:hAnsi="Trebuchet MS"/>
          <w:color w:val="000000"/>
        </w:rPr>
      </w:pPr>
    </w:p>
    <w:p w14:paraId="39381F65" w14:textId="77777777" w:rsidR="000F74AF" w:rsidRPr="00E446B9" w:rsidRDefault="000F74AF" w:rsidP="000F74AF">
      <w:pPr>
        <w:pStyle w:val="Nornal"/>
        <w:spacing w:after="0" w:line="240" w:lineRule="auto"/>
        <w:rPr>
          <w:rFonts w:ascii="Trebuchet MS" w:hAnsi="Trebuchet MS"/>
          <w:color w:val="000000"/>
        </w:rPr>
      </w:pPr>
      <w:r>
        <w:rPr>
          <w:rFonts w:ascii="Trebuchet MS" w:hAnsi="Trebuchet MS"/>
          <w:color w:val="000000"/>
        </w:rPr>
        <w:t xml:space="preserve">Overall, </w:t>
      </w:r>
      <w:proofErr w:type="gramStart"/>
      <w:r>
        <w:rPr>
          <w:rFonts w:ascii="Trebuchet MS" w:hAnsi="Trebuchet MS"/>
          <w:color w:val="000000"/>
        </w:rPr>
        <w:t>it is clear that reward</w:t>
      </w:r>
      <w:proofErr w:type="gramEnd"/>
      <w:r>
        <w:rPr>
          <w:rFonts w:ascii="Trebuchet MS" w:hAnsi="Trebuchet MS"/>
          <w:color w:val="000000"/>
        </w:rPr>
        <w:t xml:space="preserve"> structures are directly impacted by legislation and require regular review, sometimes involving an increase in the amount spent on reward, to ensure compliance. The legislation protects both the employer and employee as well as ensuring fairness and transparency within the reward structure and system.</w:t>
      </w:r>
    </w:p>
    <w:p w14:paraId="3F5E6E81" w14:textId="77777777" w:rsidR="000F74AF" w:rsidRDefault="000F74AF"/>
    <w:p w14:paraId="025D9BE4" w14:textId="77777777" w:rsidR="000F74AF" w:rsidRDefault="000F74AF"/>
    <w:p w14:paraId="0A96AB4F" w14:textId="77777777" w:rsidR="000F74AF" w:rsidRDefault="000F74AF"/>
    <w:p w14:paraId="1280A9AC"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Works Cited:</w:t>
      </w:r>
    </w:p>
    <w:p w14:paraId="6CF9DAD6"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ABI (2024) </w:t>
      </w:r>
      <w:r w:rsidRPr="00367107">
        <w:rPr>
          <w:rFonts w:ascii="Times New Roman" w:eastAsia="Times New Roman" w:hAnsi="Times New Roman" w:cs="Times New Roman"/>
          <w:i/>
          <w:iCs/>
          <w:szCs w:val="22"/>
          <w:lang w:eastAsia="en-GB"/>
        </w:rPr>
        <w:t>Access to health insurance through work increasingly important to employees: ABI</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Association of British Insurers</w:t>
      </w:r>
      <w:r w:rsidRPr="00367107">
        <w:rPr>
          <w:rFonts w:ascii="Times New Roman" w:eastAsia="Times New Roman" w:hAnsi="Times New Roman" w:cs="Times New Roman"/>
          <w:szCs w:val="22"/>
          <w:lang w:eastAsia="en-GB"/>
        </w:rPr>
        <w:t xml:space="preserve">. Available at: https://www.abi.org.uk/news/news-articles/2023/6/access-to-health-insurance-through-work-increasingly-important-to-employees/ (Accessed: 29 December 2024). </w:t>
      </w:r>
    </w:p>
    <w:p w14:paraId="484D3C27"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ACAS (2024) </w:t>
      </w:r>
      <w:r w:rsidRPr="00367107">
        <w:rPr>
          <w:rFonts w:ascii="Times New Roman" w:eastAsia="Times New Roman" w:hAnsi="Times New Roman" w:cs="Times New Roman"/>
          <w:i/>
          <w:iCs/>
          <w:szCs w:val="22"/>
          <w:lang w:eastAsia="en-GB"/>
        </w:rPr>
        <w:t>Job evaluation: Considerations and risks advice booklet</w:t>
      </w:r>
      <w:r w:rsidRPr="00367107">
        <w:rPr>
          <w:rFonts w:ascii="Times New Roman" w:eastAsia="Times New Roman" w:hAnsi="Times New Roman" w:cs="Times New Roman"/>
          <w:szCs w:val="22"/>
          <w:lang w:eastAsia="en-GB"/>
        </w:rPr>
        <w:t xml:space="preserve">, </w:t>
      </w:r>
      <w:proofErr w:type="spellStart"/>
      <w:r w:rsidRPr="00367107">
        <w:rPr>
          <w:rFonts w:ascii="Times New Roman" w:eastAsia="Times New Roman" w:hAnsi="Times New Roman" w:cs="Times New Roman"/>
          <w:i/>
          <w:iCs/>
          <w:szCs w:val="22"/>
          <w:lang w:eastAsia="en-GB"/>
        </w:rPr>
        <w:t>Acas</w:t>
      </w:r>
      <w:proofErr w:type="spellEnd"/>
      <w:r w:rsidRPr="00367107">
        <w:rPr>
          <w:rFonts w:ascii="Times New Roman" w:eastAsia="Times New Roman" w:hAnsi="Times New Roman" w:cs="Times New Roman"/>
          <w:szCs w:val="22"/>
          <w:lang w:eastAsia="en-GB"/>
        </w:rPr>
        <w:t xml:space="preserve">. Available at: https://www.acas.org.uk/job-evaluation-considerations-and-risks-advice-booklet (Accessed: 06 January 2025). </w:t>
      </w:r>
    </w:p>
    <w:p w14:paraId="56097A1C"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proofErr w:type="spellStart"/>
      <w:r w:rsidRPr="00367107">
        <w:rPr>
          <w:rFonts w:ascii="Times New Roman" w:eastAsia="Times New Roman" w:hAnsi="Times New Roman" w:cs="Times New Roman"/>
          <w:szCs w:val="22"/>
          <w:lang w:eastAsia="en-GB"/>
        </w:rPr>
        <w:t>Altrum</w:t>
      </w:r>
      <w:proofErr w:type="spellEnd"/>
      <w:r w:rsidRPr="00367107">
        <w:rPr>
          <w:rFonts w:ascii="Times New Roman" w:eastAsia="Times New Roman" w:hAnsi="Times New Roman" w:cs="Times New Roman"/>
          <w:szCs w:val="22"/>
          <w:lang w:eastAsia="en-GB"/>
        </w:rPr>
        <w:t xml:space="preserve"> (2024) </w:t>
      </w:r>
      <w:r w:rsidRPr="00367107">
        <w:rPr>
          <w:rFonts w:ascii="Times New Roman" w:eastAsia="Times New Roman" w:hAnsi="Times New Roman" w:cs="Times New Roman"/>
          <w:i/>
          <w:iCs/>
          <w:szCs w:val="22"/>
          <w:lang w:eastAsia="en-GB"/>
        </w:rPr>
        <w:t xml:space="preserve">Formal or informal recognition: What approach should you </w:t>
      </w:r>
      <w:proofErr w:type="gramStart"/>
      <w:r w:rsidRPr="00367107">
        <w:rPr>
          <w:rFonts w:ascii="Times New Roman" w:eastAsia="Times New Roman" w:hAnsi="Times New Roman" w:cs="Times New Roman"/>
          <w:i/>
          <w:iCs/>
          <w:szCs w:val="22"/>
          <w:lang w:eastAsia="en-GB"/>
        </w:rPr>
        <w:t>adopt?</w:t>
      </w:r>
      <w:r w:rsidRPr="00367107">
        <w:rPr>
          <w:rFonts w:ascii="Times New Roman" w:eastAsia="Times New Roman" w:hAnsi="Times New Roman" w:cs="Times New Roman"/>
          <w:szCs w:val="22"/>
          <w:lang w:eastAsia="en-GB"/>
        </w:rPr>
        <w:t>,</w:t>
      </w:r>
      <w:proofErr w:type="gramEnd"/>
      <w:r w:rsidRPr="00367107">
        <w:rPr>
          <w:rFonts w:ascii="Times New Roman" w:eastAsia="Times New Roman" w:hAnsi="Times New Roman" w:cs="Times New Roman"/>
          <w:szCs w:val="22"/>
          <w:lang w:eastAsia="en-GB"/>
        </w:rPr>
        <w:t xml:space="preserve"> </w:t>
      </w:r>
      <w:proofErr w:type="spellStart"/>
      <w:r w:rsidRPr="00367107">
        <w:rPr>
          <w:rFonts w:ascii="Times New Roman" w:eastAsia="Times New Roman" w:hAnsi="Times New Roman" w:cs="Times New Roman"/>
          <w:i/>
          <w:iCs/>
          <w:szCs w:val="22"/>
          <w:lang w:eastAsia="en-GB"/>
        </w:rPr>
        <w:t>Altrum</w:t>
      </w:r>
      <w:proofErr w:type="spellEnd"/>
      <w:r w:rsidRPr="00367107">
        <w:rPr>
          <w:rFonts w:ascii="Times New Roman" w:eastAsia="Times New Roman" w:hAnsi="Times New Roman" w:cs="Times New Roman"/>
          <w:szCs w:val="22"/>
          <w:lang w:eastAsia="en-GB"/>
        </w:rPr>
        <w:t xml:space="preserve">. Available at: https://www.altrum.com/resources/recognition/formal-or-informal-recognition/ (Accessed: 30 December 2024). </w:t>
      </w:r>
    </w:p>
    <w:p w14:paraId="449E6B20"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proofErr w:type="spellStart"/>
      <w:r w:rsidRPr="00367107">
        <w:rPr>
          <w:rFonts w:ascii="Times New Roman" w:eastAsia="Times New Roman" w:hAnsi="Times New Roman" w:cs="Times New Roman"/>
          <w:szCs w:val="22"/>
          <w:lang w:eastAsia="en-GB"/>
        </w:rPr>
        <w:t>Arkes</w:t>
      </w:r>
      <w:proofErr w:type="spellEnd"/>
      <w:r w:rsidRPr="00367107">
        <w:rPr>
          <w:rFonts w:ascii="Times New Roman" w:eastAsia="Times New Roman" w:hAnsi="Times New Roman" w:cs="Times New Roman"/>
          <w:szCs w:val="22"/>
          <w:lang w:eastAsia="en-GB"/>
        </w:rPr>
        <w:t xml:space="preserve">, H. </w:t>
      </w:r>
      <w:r w:rsidRPr="00367107">
        <w:rPr>
          <w:rFonts w:ascii="Times New Roman" w:eastAsia="Times New Roman" w:hAnsi="Times New Roman" w:cs="Times New Roman"/>
          <w:i/>
          <w:iCs/>
          <w:szCs w:val="22"/>
          <w:lang w:eastAsia="en-GB"/>
        </w:rPr>
        <w:t>et al.</w:t>
      </w:r>
      <w:r w:rsidRPr="00367107">
        <w:rPr>
          <w:rFonts w:ascii="Times New Roman" w:eastAsia="Times New Roman" w:hAnsi="Times New Roman" w:cs="Times New Roman"/>
          <w:szCs w:val="22"/>
          <w:lang w:eastAsia="en-GB"/>
        </w:rPr>
        <w:t xml:space="preserve"> (2022) </w:t>
      </w:r>
      <w:r w:rsidRPr="00367107">
        <w:rPr>
          <w:rFonts w:ascii="Times New Roman" w:eastAsia="Times New Roman" w:hAnsi="Times New Roman" w:cs="Times New Roman"/>
          <w:i/>
          <w:iCs/>
          <w:szCs w:val="22"/>
          <w:lang w:eastAsia="en-GB"/>
        </w:rPr>
        <w:t>When and why tangible rewards can motivate greater effort than cash rewards: An analysis of four attribute differences</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Accounting, Organizations and Society</w:t>
      </w:r>
      <w:r w:rsidRPr="00367107">
        <w:rPr>
          <w:rFonts w:ascii="Times New Roman" w:eastAsia="Times New Roman" w:hAnsi="Times New Roman" w:cs="Times New Roman"/>
          <w:szCs w:val="22"/>
          <w:lang w:eastAsia="en-GB"/>
        </w:rPr>
        <w:t xml:space="preserve">. Available at: https://www.sciencedirect.com/science/article/abs/pii/S0361368222000563 (Accessed: 30 December 2024). </w:t>
      </w:r>
    </w:p>
    <w:p w14:paraId="0C807422"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Armstrong, M. (2020). </w:t>
      </w:r>
      <w:r w:rsidRPr="00367107">
        <w:rPr>
          <w:rFonts w:ascii="Times New Roman" w:eastAsia="Times New Roman" w:hAnsi="Times New Roman" w:cs="Times New Roman"/>
          <w:i/>
          <w:iCs/>
          <w:szCs w:val="22"/>
          <w:lang w:eastAsia="en-GB"/>
        </w:rPr>
        <w:t>Armstrong's Handbook of Reward Management Practice</w:t>
      </w:r>
      <w:r w:rsidRPr="00367107">
        <w:rPr>
          <w:rFonts w:ascii="Times New Roman" w:eastAsia="Times New Roman" w:hAnsi="Times New Roman" w:cs="Times New Roman"/>
          <w:szCs w:val="22"/>
          <w:lang w:eastAsia="en-GB"/>
        </w:rPr>
        <w:t>. 6th ed. London: Kogan Page.</w:t>
      </w:r>
    </w:p>
    <w:p w14:paraId="36F3F719"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lang w:val="da-DK"/>
        </w:rPr>
        <w:t xml:space="preserve">Antoni, C.H. et al. </w:t>
      </w:r>
      <w:r w:rsidRPr="00367107">
        <w:rPr>
          <w:rFonts w:ascii="Times New Roman" w:hAnsi="Times New Roman" w:cs="Times New Roman"/>
          <w:szCs w:val="22"/>
        </w:rPr>
        <w:t xml:space="preserve">(2017) “Reward Management: Linking Employee Motivation and Organizational </w:t>
      </w:r>
    </w:p>
    <w:p w14:paraId="485B3D25" w14:textId="77777777" w:rsidR="000F74AF" w:rsidRPr="00367107" w:rsidRDefault="000F74AF" w:rsidP="000F74AF">
      <w:pPr>
        <w:spacing w:line="240" w:lineRule="auto"/>
        <w:ind w:left="720"/>
        <w:rPr>
          <w:rFonts w:ascii="Times New Roman" w:hAnsi="Times New Roman" w:cs="Times New Roman"/>
          <w:szCs w:val="22"/>
        </w:rPr>
      </w:pPr>
      <w:r w:rsidRPr="00367107">
        <w:rPr>
          <w:rFonts w:ascii="Times New Roman" w:hAnsi="Times New Roman" w:cs="Times New Roman"/>
          <w:szCs w:val="22"/>
        </w:rPr>
        <w:t>Performance,” Journal of Personnel Psychology, 16(2), pp. 57–60. doi:10.1027/1866-5888/a000187.</w:t>
      </w:r>
    </w:p>
    <w:p w14:paraId="6F457DB8" w14:textId="77777777" w:rsidR="000F74AF" w:rsidRPr="00367107" w:rsidRDefault="000F74AF" w:rsidP="000F74AF">
      <w:pPr>
        <w:spacing w:line="240" w:lineRule="auto"/>
        <w:rPr>
          <w:rFonts w:ascii="Times New Roman" w:hAnsi="Times New Roman" w:cs="Times New Roman"/>
          <w:szCs w:val="22"/>
        </w:rPr>
      </w:pPr>
    </w:p>
    <w:p w14:paraId="57F4EE68" w14:textId="77777777" w:rsidR="000F74AF" w:rsidRPr="00367107" w:rsidRDefault="000F74AF" w:rsidP="000F74AF">
      <w:pPr>
        <w:spacing w:line="240" w:lineRule="auto"/>
        <w:rPr>
          <w:rFonts w:ascii="Times New Roman" w:hAnsi="Times New Roman" w:cs="Times New Roman"/>
          <w:szCs w:val="22"/>
        </w:rPr>
      </w:pPr>
    </w:p>
    <w:p w14:paraId="6A6B01A4"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Bauer, P. (2024) </w:t>
      </w:r>
      <w:r w:rsidRPr="00367107">
        <w:rPr>
          <w:rFonts w:ascii="Times New Roman" w:hAnsi="Times New Roman" w:cs="Times New Roman"/>
          <w:i/>
          <w:iCs/>
          <w:szCs w:val="22"/>
        </w:rPr>
        <w:t xml:space="preserve">Are you recognising your long-serving </w:t>
      </w:r>
      <w:proofErr w:type="gramStart"/>
      <w:r w:rsidRPr="00367107">
        <w:rPr>
          <w:rFonts w:ascii="Times New Roman" w:hAnsi="Times New Roman" w:cs="Times New Roman"/>
          <w:i/>
          <w:iCs/>
          <w:szCs w:val="22"/>
        </w:rPr>
        <w:t>employees?</w:t>
      </w:r>
      <w:r w:rsidRPr="00367107">
        <w:rPr>
          <w:rFonts w:ascii="Times New Roman" w:hAnsi="Times New Roman" w:cs="Times New Roman"/>
          <w:szCs w:val="22"/>
        </w:rPr>
        <w:t>,</w:t>
      </w:r>
      <w:proofErr w:type="gramEnd"/>
      <w:r w:rsidRPr="00367107">
        <w:rPr>
          <w:rFonts w:ascii="Times New Roman" w:hAnsi="Times New Roman" w:cs="Times New Roman"/>
          <w:szCs w:val="22"/>
        </w:rPr>
        <w:t xml:space="preserve"> </w:t>
      </w:r>
      <w:r w:rsidRPr="00367107">
        <w:rPr>
          <w:rFonts w:ascii="Times New Roman" w:hAnsi="Times New Roman" w:cs="Times New Roman"/>
          <w:i/>
          <w:iCs/>
          <w:szCs w:val="22"/>
        </w:rPr>
        <w:t>Cezanne HR</w:t>
      </w:r>
      <w:r w:rsidRPr="00367107">
        <w:rPr>
          <w:rFonts w:ascii="Times New Roman" w:hAnsi="Times New Roman" w:cs="Times New Roman"/>
          <w:szCs w:val="22"/>
        </w:rPr>
        <w:t xml:space="preserve">. Available at: </w:t>
      </w:r>
    </w:p>
    <w:p w14:paraId="262AE611" w14:textId="77777777" w:rsidR="000F74AF" w:rsidRPr="00367107" w:rsidRDefault="000F74AF" w:rsidP="000F74AF">
      <w:pPr>
        <w:spacing w:line="240" w:lineRule="auto"/>
        <w:ind w:left="567"/>
        <w:rPr>
          <w:rFonts w:ascii="Times New Roman" w:hAnsi="Times New Roman" w:cs="Times New Roman"/>
          <w:szCs w:val="22"/>
        </w:rPr>
      </w:pPr>
      <w:r w:rsidRPr="00367107">
        <w:rPr>
          <w:rFonts w:ascii="Times New Roman" w:hAnsi="Times New Roman" w:cs="Times New Roman"/>
          <w:szCs w:val="22"/>
        </w:rPr>
        <w:lastRenderedPageBreak/>
        <w:t xml:space="preserve">https://cezannehr.com/hr-blog/2021/10/hr-recognising-long-serving-employees/#:~:text=It%20creates%20an%20invaluable%20knowledge,effectively%20recognise%20long%2Dserving%20employees%E2%80%A6 (Accessed: 21 December 2024). </w:t>
      </w:r>
    </w:p>
    <w:p w14:paraId="56C8ECD2" w14:textId="77777777" w:rsidR="000F74AF" w:rsidRPr="00367107" w:rsidRDefault="000F74AF" w:rsidP="000F74AF">
      <w:pPr>
        <w:spacing w:line="240" w:lineRule="auto"/>
        <w:rPr>
          <w:rFonts w:ascii="Times New Roman" w:hAnsi="Times New Roman" w:cs="Times New Roman"/>
          <w:szCs w:val="22"/>
        </w:rPr>
      </w:pPr>
    </w:p>
    <w:p w14:paraId="75321B8A"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BBC (2024) </w:t>
      </w:r>
      <w:r w:rsidRPr="00367107">
        <w:rPr>
          <w:rFonts w:ascii="Times New Roman" w:eastAsia="Times New Roman" w:hAnsi="Times New Roman" w:cs="Times New Roman"/>
          <w:i/>
          <w:iCs/>
          <w:szCs w:val="22"/>
          <w:lang w:eastAsia="en-GB"/>
        </w:rPr>
        <w:t xml:space="preserve">What is a recession and how could one affect </w:t>
      </w:r>
      <w:proofErr w:type="gramStart"/>
      <w:r w:rsidRPr="00367107">
        <w:rPr>
          <w:rFonts w:ascii="Times New Roman" w:eastAsia="Times New Roman" w:hAnsi="Times New Roman" w:cs="Times New Roman"/>
          <w:i/>
          <w:iCs/>
          <w:szCs w:val="22"/>
          <w:lang w:eastAsia="en-GB"/>
        </w:rPr>
        <w:t>me?</w:t>
      </w:r>
      <w:r w:rsidRPr="00367107">
        <w:rPr>
          <w:rFonts w:ascii="Times New Roman" w:eastAsia="Times New Roman" w:hAnsi="Times New Roman" w:cs="Times New Roman"/>
          <w:szCs w:val="22"/>
          <w:lang w:eastAsia="en-GB"/>
        </w:rPr>
        <w:t>,</w:t>
      </w:r>
      <w:proofErr w:type="gramEnd"/>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BBC News</w:t>
      </w:r>
      <w:r w:rsidRPr="00367107">
        <w:rPr>
          <w:rFonts w:ascii="Times New Roman" w:eastAsia="Times New Roman" w:hAnsi="Times New Roman" w:cs="Times New Roman"/>
          <w:szCs w:val="22"/>
          <w:lang w:eastAsia="en-GB"/>
        </w:rPr>
        <w:t>. Available at: https://www.bbc.co.uk/news/business-52986863 (Accessed: 03 January 2025).</w:t>
      </w:r>
    </w:p>
    <w:p w14:paraId="1E576283"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BUPA (2024) </w:t>
      </w:r>
      <w:r w:rsidRPr="00367107">
        <w:rPr>
          <w:rFonts w:ascii="Times New Roman" w:eastAsia="Times New Roman" w:hAnsi="Times New Roman" w:cs="Times New Roman"/>
          <w:i/>
          <w:iCs/>
          <w:szCs w:val="22"/>
          <w:lang w:eastAsia="en-GB"/>
        </w:rPr>
        <w:t>Employee assistance programme | UK EAP Service Provider | BUPA UK</w:t>
      </w:r>
      <w:r w:rsidRPr="00367107">
        <w:rPr>
          <w:rFonts w:ascii="Times New Roman" w:eastAsia="Times New Roman" w:hAnsi="Times New Roman" w:cs="Times New Roman"/>
          <w:szCs w:val="22"/>
          <w:lang w:eastAsia="en-GB"/>
        </w:rPr>
        <w:t xml:space="preserve">. Available at: https://www.bupa.co.uk/business/health-wellbeing-services/employee-assistance-programme (Accessed: 29 December 2024). </w:t>
      </w:r>
    </w:p>
    <w:p w14:paraId="196B0C4A" w14:textId="77777777" w:rsidR="000F74AF" w:rsidRPr="00367107" w:rsidRDefault="000F74AF" w:rsidP="000F74AF">
      <w:pPr>
        <w:spacing w:line="240" w:lineRule="auto"/>
        <w:rPr>
          <w:rFonts w:ascii="Times New Roman" w:hAnsi="Times New Roman" w:cs="Times New Roman"/>
          <w:szCs w:val="22"/>
        </w:rPr>
      </w:pPr>
    </w:p>
    <w:p w14:paraId="3AC33E69"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CIPD (2024) </w:t>
      </w:r>
      <w:r w:rsidRPr="00367107">
        <w:rPr>
          <w:rFonts w:ascii="Times New Roman" w:hAnsi="Times New Roman" w:cs="Times New Roman"/>
          <w:i/>
          <w:iCs/>
          <w:szCs w:val="22"/>
        </w:rPr>
        <w:t>Pay structures and pay progression: Factsheets</w:t>
      </w:r>
      <w:r w:rsidRPr="00367107">
        <w:rPr>
          <w:rFonts w:ascii="Times New Roman" w:hAnsi="Times New Roman" w:cs="Times New Roman"/>
          <w:szCs w:val="22"/>
        </w:rPr>
        <w:t xml:space="preserve">, </w:t>
      </w:r>
      <w:r w:rsidRPr="00367107">
        <w:rPr>
          <w:rFonts w:ascii="Times New Roman" w:hAnsi="Times New Roman" w:cs="Times New Roman"/>
          <w:i/>
          <w:iCs/>
          <w:szCs w:val="22"/>
        </w:rPr>
        <w:t>CIPD</w:t>
      </w:r>
      <w:r w:rsidRPr="00367107">
        <w:rPr>
          <w:rFonts w:ascii="Times New Roman" w:hAnsi="Times New Roman" w:cs="Times New Roman"/>
          <w:szCs w:val="22"/>
        </w:rPr>
        <w:t xml:space="preserve">. Available at: </w:t>
      </w:r>
    </w:p>
    <w:p w14:paraId="6F3E1F94" w14:textId="77777777" w:rsidR="000F74AF" w:rsidRPr="00367107" w:rsidRDefault="000F74AF" w:rsidP="000F74AF">
      <w:pPr>
        <w:spacing w:line="240" w:lineRule="auto"/>
        <w:ind w:left="567"/>
        <w:rPr>
          <w:rFonts w:ascii="Times New Roman" w:hAnsi="Times New Roman" w:cs="Times New Roman"/>
          <w:szCs w:val="22"/>
        </w:rPr>
      </w:pPr>
      <w:r w:rsidRPr="00367107">
        <w:rPr>
          <w:rFonts w:ascii="Times New Roman" w:hAnsi="Times New Roman" w:cs="Times New Roman"/>
          <w:szCs w:val="22"/>
        </w:rPr>
        <w:t xml:space="preserve">https://www.cipd.org/uk/knowledge/factsheets/pay-structures-factsheet/#:~:text=A%20pay%20structure%20is%20a,implement%20reward%20strategies%20and%20policies. (Accessed: 19 December 2024). </w:t>
      </w:r>
    </w:p>
    <w:p w14:paraId="3D4E5E03"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CIPD (2023) </w:t>
      </w:r>
      <w:r w:rsidRPr="00367107">
        <w:rPr>
          <w:rFonts w:ascii="Times New Roman" w:eastAsia="Times New Roman" w:hAnsi="Times New Roman" w:cs="Times New Roman"/>
          <w:i/>
          <w:iCs/>
          <w:szCs w:val="22"/>
          <w:lang w:eastAsia="en-GB"/>
        </w:rPr>
        <w:t>Informing the UK’s national living wage for 2024</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CIPD</w:t>
      </w:r>
      <w:r w:rsidRPr="00367107">
        <w:rPr>
          <w:rFonts w:ascii="Times New Roman" w:eastAsia="Times New Roman" w:hAnsi="Times New Roman" w:cs="Times New Roman"/>
          <w:szCs w:val="22"/>
          <w:lang w:eastAsia="en-GB"/>
        </w:rPr>
        <w:t xml:space="preserve">. Available at: https://www.cipd.org/uk/about/public-policy/our-calls-for-action/informing-uk-national-living-wage-2024/ (Accessed: 06 January 2025). </w:t>
      </w:r>
    </w:p>
    <w:p w14:paraId="02796C7D"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CIPD (2024) </w:t>
      </w:r>
      <w:r w:rsidRPr="00367107">
        <w:rPr>
          <w:rFonts w:ascii="Times New Roman" w:eastAsia="Times New Roman" w:hAnsi="Times New Roman" w:cs="Times New Roman"/>
          <w:i/>
          <w:iCs/>
          <w:szCs w:val="22"/>
          <w:lang w:eastAsia="en-GB"/>
        </w:rPr>
        <w:t>Gender pay gap reporting: Understand what it is, if you need to report and why</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CIPD</w:t>
      </w:r>
      <w:r w:rsidRPr="00367107">
        <w:rPr>
          <w:rFonts w:ascii="Times New Roman" w:eastAsia="Times New Roman" w:hAnsi="Times New Roman" w:cs="Times New Roman"/>
          <w:szCs w:val="22"/>
          <w:lang w:eastAsia="en-GB"/>
        </w:rPr>
        <w:t xml:space="preserve">. Available at: https://www.cipd.org/uk/knowledge/guides/what-is-the-gender-pay-gap/ (Accessed: 06 January 2025). </w:t>
      </w:r>
    </w:p>
    <w:p w14:paraId="0743B142"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CIPD (2024) </w:t>
      </w:r>
      <w:r w:rsidRPr="00367107">
        <w:rPr>
          <w:rFonts w:ascii="Times New Roman" w:eastAsia="Times New Roman" w:hAnsi="Times New Roman" w:cs="Times New Roman"/>
          <w:i/>
          <w:iCs/>
          <w:szCs w:val="22"/>
          <w:lang w:eastAsia="en-GB"/>
        </w:rPr>
        <w:t>Labour market outlook</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CIPD</w:t>
      </w:r>
      <w:r w:rsidRPr="00367107">
        <w:rPr>
          <w:rFonts w:ascii="Times New Roman" w:eastAsia="Times New Roman" w:hAnsi="Times New Roman" w:cs="Times New Roman"/>
          <w:szCs w:val="22"/>
          <w:lang w:eastAsia="en-GB"/>
        </w:rPr>
        <w:t xml:space="preserve">. Available at: https://www.cipd.org/uk/knowledge/reports/labour-market-outlook/ (Accessed: 03 January 2025). </w:t>
      </w:r>
    </w:p>
    <w:p w14:paraId="4AF3ED25" w14:textId="77777777" w:rsidR="000F74AF" w:rsidRPr="00367107" w:rsidRDefault="000F74AF" w:rsidP="000F74AF">
      <w:pPr>
        <w:spacing w:line="240" w:lineRule="auto"/>
        <w:rPr>
          <w:rFonts w:ascii="Times New Roman" w:hAnsi="Times New Roman" w:cs="Times New Roman"/>
          <w:szCs w:val="22"/>
        </w:rPr>
      </w:pPr>
    </w:p>
    <w:p w14:paraId="0ADD8FCF" w14:textId="77777777" w:rsidR="000F74AF" w:rsidRPr="00367107" w:rsidRDefault="000F74AF" w:rsidP="000F74AF">
      <w:pPr>
        <w:spacing w:line="240" w:lineRule="auto"/>
        <w:rPr>
          <w:rFonts w:ascii="Times New Roman" w:hAnsi="Times New Roman" w:cs="Times New Roman"/>
          <w:i/>
          <w:iCs/>
          <w:szCs w:val="22"/>
        </w:rPr>
      </w:pPr>
      <w:r w:rsidRPr="00367107">
        <w:rPr>
          <w:rFonts w:ascii="Times New Roman" w:hAnsi="Times New Roman" w:cs="Times New Roman"/>
          <w:szCs w:val="22"/>
        </w:rPr>
        <w:t xml:space="preserve">Costello, R. (2023) </w:t>
      </w:r>
      <w:r w:rsidRPr="00367107">
        <w:rPr>
          <w:rFonts w:ascii="Times New Roman" w:hAnsi="Times New Roman" w:cs="Times New Roman"/>
          <w:i/>
          <w:iCs/>
          <w:szCs w:val="22"/>
        </w:rPr>
        <w:t>All about the money? how a pay freeze affects motivation</w:t>
      </w:r>
      <w:r w:rsidRPr="00367107">
        <w:rPr>
          <w:rFonts w:ascii="Times New Roman" w:hAnsi="Times New Roman" w:cs="Times New Roman"/>
          <w:szCs w:val="22"/>
        </w:rPr>
        <w:t xml:space="preserve">, </w:t>
      </w:r>
      <w:r w:rsidRPr="00367107">
        <w:rPr>
          <w:rFonts w:ascii="Times New Roman" w:hAnsi="Times New Roman" w:cs="Times New Roman"/>
          <w:i/>
          <w:iCs/>
          <w:szCs w:val="22"/>
        </w:rPr>
        <w:t xml:space="preserve">Welcome to the </w:t>
      </w:r>
    </w:p>
    <w:p w14:paraId="70E2A78D" w14:textId="77777777" w:rsidR="000F74AF" w:rsidRPr="00367107" w:rsidRDefault="000F74AF" w:rsidP="000F74AF">
      <w:pPr>
        <w:spacing w:line="240" w:lineRule="auto"/>
        <w:ind w:left="567"/>
        <w:rPr>
          <w:rFonts w:ascii="Times New Roman" w:hAnsi="Times New Roman" w:cs="Times New Roman"/>
          <w:szCs w:val="22"/>
        </w:rPr>
      </w:pPr>
      <w:r w:rsidRPr="00367107">
        <w:rPr>
          <w:rFonts w:ascii="Times New Roman" w:hAnsi="Times New Roman" w:cs="Times New Roman"/>
          <w:i/>
          <w:iCs/>
          <w:szCs w:val="22"/>
        </w:rPr>
        <w:t>Jungle-The guide to employment</w:t>
      </w:r>
      <w:r w:rsidRPr="00367107">
        <w:rPr>
          <w:rFonts w:ascii="Times New Roman" w:hAnsi="Times New Roman" w:cs="Times New Roman"/>
          <w:szCs w:val="22"/>
        </w:rPr>
        <w:t xml:space="preserve">. Available at: https://www.welcometothejungle.com/en/articles/pay-freeze-affect-on-motivation (Accessed: 19 December 2024). </w:t>
      </w:r>
    </w:p>
    <w:p w14:paraId="4242C4A2"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Cotton, C. (2024) </w:t>
      </w:r>
      <w:r w:rsidRPr="00367107">
        <w:rPr>
          <w:rFonts w:ascii="Times New Roman" w:eastAsia="Times New Roman" w:hAnsi="Times New Roman" w:cs="Times New Roman"/>
          <w:i/>
          <w:iCs/>
          <w:szCs w:val="22"/>
          <w:lang w:eastAsia="en-GB"/>
        </w:rPr>
        <w:t>Job Evaluation &amp; Market Pricing</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CIPD</w:t>
      </w:r>
      <w:r w:rsidRPr="00367107">
        <w:rPr>
          <w:rFonts w:ascii="Times New Roman" w:eastAsia="Times New Roman" w:hAnsi="Times New Roman" w:cs="Times New Roman"/>
          <w:szCs w:val="22"/>
          <w:lang w:eastAsia="en-GB"/>
        </w:rPr>
        <w:t xml:space="preserve">. Available at: https://www.cipd.org/uk/knowledge/factsheets/market-pricing-factsheet/ (Accessed: 06 January 2025). </w:t>
      </w:r>
    </w:p>
    <w:p w14:paraId="167E50CC"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Cotton, C. (2024) </w:t>
      </w:r>
      <w:r w:rsidRPr="00367107">
        <w:rPr>
          <w:rFonts w:ascii="Times New Roman" w:eastAsia="Times New Roman" w:hAnsi="Times New Roman" w:cs="Times New Roman"/>
          <w:i/>
          <w:iCs/>
          <w:szCs w:val="22"/>
          <w:lang w:eastAsia="en-GB"/>
        </w:rPr>
        <w:t>Reward: Factsheets</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CIPD</w:t>
      </w:r>
      <w:r w:rsidRPr="00367107">
        <w:rPr>
          <w:rFonts w:ascii="Times New Roman" w:eastAsia="Times New Roman" w:hAnsi="Times New Roman" w:cs="Times New Roman"/>
          <w:szCs w:val="22"/>
          <w:lang w:eastAsia="en-GB"/>
        </w:rPr>
        <w:t xml:space="preserve">. Available at: https://www.cipd.org/uk/knowledge/factsheets/reward-factsheet/ (Accessed: 03 January 2025). </w:t>
      </w:r>
    </w:p>
    <w:p w14:paraId="06EE62B4"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Cotton, C. (2024) </w:t>
      </w:r>
      <w:r w:rsidRPr="00367107">
        <w:rPr>
          <w:rFonts w:ascii="Times New Roman" w:hAnsi="Times New Roman" w:cs="Times New Roman"/>
          <w:i/>
          <w:iCs/>
          <w:szCs w:val="22"/>
        </w:rPr>
        <w:t>Strategic &amp; Total Reward: Factsheets</w:t>
      </w:r>
      <w:r w:rsidRPr="00367107">
        <w:rPr>
          <w:rFonts w:ascii="Times New Roman" w:hAnsi="Times New Roman" w:cs="Times New Roman"/>
          <w:szCs w:val="22"/>
        </w:rPr>
        <w:t xml:space="preserve">, </w:t>
      </w:r>
      <w:r w:rsidRPr="00367107">
        <w:rPr>
          <w:rFonts w:ascii="Times New Roman" w:hAnsi="Times New Roman" w:cs="Times New Roman"/>
          <w:i/>
          <w:iCs/>
          <w:szCs w:val="22"/>
        </w:rPr>
        <w:t>CIPD</w:t>
      </w:r>
      <w:r w:rsidRPr="00367107">
        <w:rPr>
          <w:rFonts w:ascii="Times New Roman" w:hAnsi="Times New Roman" w:cs="Times New Roman"/>
          <w:szCs w:val="22"/>
        </w:rPr>
        <w:t xml:space="preserve">. Available at: </w:t>
      </w:r>
    </w:p>
    <w:p w14:paraId="024D3689" w14:textId="77777777" w:rsidR="000F74AF" w:rsidRPr="00367107" w:rsidRDefault="000F74AF" w:rsidP="000F74AF">
      <w:pPr>
        <w:spacing w:line="240" w:lineRule="auto"/>
        <w:ind w:left="720"/>
        <w:rPr>
          <w:rFonts w:ascii="Times New Roman" w:hAnsi="Times New Roman" w:cs="Times New Roman"/>
          <w:szCs w:val="22"/>
        </w:rPr>
      </w:pPr>
      <w:r w:rsidRPr="00367107">
        <w:rPr>
          <w:rFonts w:ascii="Times New Roman" w:hAnsi="Times New Roman" w:cs="Times New Roman"/>
          <w:szCs w:val="22"/>
        </w:rPr>
        <w:t>https://www.cipd.org/uk/knowledge/factsheets/strategic-total-factsheet/#what (Accessed: 18 December 2024).</w:t>
      </w:r>
    </w:p>
    <w:p w14:paraId="6731E083" w14:textId="77777777" w:rsidR="000F74AF" w:rsidRPr="00367107" w:rsidRDefault="000F74AF" w:rsidP="000F74AF">
      <w:pPr>
        <w:spacing w:line="240" w:lineRule="auto"/>
        <w:rPr>
          <w:rFonts w:ascii="Times New Roman" w:hAnsi="Times New Roman" w:cs="Times New Roman"/>
          <w:szCs w:val="22"/>
        </w:rPr>
      </w:pPr>
    </w:p>
    <w:p w14:paraId="7F7EEB03"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Cotton, C., Gifford, J. and Young, J. (2022) Incentives and recognition: an evidence review. </w:t>
      </w:r>
    </w:p>
    <w:p w14:paraId="430AD8BC" w14:textId="77777777" w:rsidR="000F74AF" w:rsidRPr="00367107" w:rsidRDefault="000F74AF" w:rsidP="000F74AF">
      <w:pPr>
        <w:spacing w:line="240" w:lineRule="auto"/>
        <w:ind w:left="567"/>
        <w:rPr>
          <w:rFonts w:ascii="Times New Roman" w:hAnsi="Times New Roman" w:cs="Times New Roman"/>
          <w:szCs w:val="22"/>
        </w:rPr>
      </w:pPr>
      <w:r w:rsidRPr="00367107">
        <w:rPr>
          <w:rFonts w:ascii="Times New Roman" w:hAnsi="Times New Roman" w:cs="Times New Roman"/>
          <w:szCs w:val="22"/>
        </w:rPr>
        <w:t xml:space="preserve">Practice summary and recommendations. London: Chartered Institute of Personnel and Development. </w:t>
      </w:r>
    </w:p>
    <w:p w14:paraId="12298DE0"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Cotton, J. (2022) </w:t>
      </w:r>
      <w:r w:rsidRPr="00367107">
        <w:rPr>
          <w:rFonts w:ascii="Times New Roman" w:eastAsia="Times New Roman" w:hAnsi="Times New Roman" w:cs="Times New Roman"/>
          <w:i/>
          <w:iCs/>
          <w:szCs w:val="22"/>
          <w:lang w:eastAsia="en-GB"/>
        </w:rPr>
        <w:t xml:space="preserve">Hiring and workplace trends for 2023 - </w:t>
      </w:r>
      <w:proofErr w:type="spellStart"/>
      <w:r w:rsidRPr="00367107">
        <w:rPr>
          <w:rFonts w:ascii="Times New Roman" w:eastAsia="Times New Roman" w:hAnsi="Times New Roman" w:cs="Times New Roman"/>
          <w:i/>
          <w:iCs/>
          <w:szCs w:val="22"/>
          <w:lang w:eastAsia="en-GB"/>
        </w:rPr>
        <w:t>glassdoor</w:t>
      </w:r>
      <w:proofErr w:type="spellEnd"/>
      <w:r w:rsidRPr="00367107">
        <w:rPr>
          <w:rFonts w:ascii="Times New Roman" w:eastAsia="Times New Roman" w:hAnsi="Times New Roman" w:cs="Times New Roman"/>
          <w:i/>
          <w:iCs/>
          <w:szCs w:val="22"/>
          <w:lang w:eastAsia="en-GB"/>
        </w:rPr>
        <w:t xml:space="preserve"> blog</w:t>
      </w:r>
      <w:r w:rsidRPr="00367107">
        <w:rPr>
          <w:rFonts w:ascii="Times New Roman" w:eastAsia="Times New Roman" w:hAnsi="Times New Roman" w:cs="Times New Roman"/>
          <w:szCs w:val="22"/>
          <w:lang w:eastAsia="en-GB"/>
        </w:rPr>
        <w:t xml:space="preserve">. Available at: https://www.glassdoor.co.uk/blog/workplace-trends/ (Accessed: 06 January 2025). </w:t>
      </w:r>
    </w:p>
    <w:p w14:paraId="5F347B3A" w14:textId="77777777" w:rsidR="000F74AF" w:rsidRPr="00367107" w:rsidRDefault="000F74AF" w:rsidP="000F74AF">
      <w:pPr>
        <w:spacing w:line="240" w:lineRule="auto"/>
        <w:rPr>
          <w:rFonts w:ascii="Times New Roman" w:hAnsi="Times New Roman" w:cs="Times New Roman"/>
          <w:szCs w:val="22"/>
        </w:rPr>
      </w:pPr>
      <w:proofErr w:type="spellStart"/>
      <w:r w:rsidRPr="00367107">
        <w:rPr>
          <w:rFonts w:ascii="Times New Roman" w:hAnsi="Times New Roman" w:cs="Times New Roman"/>
          <w:szCs w:val="22"/>
        </w:rPr>
        <w:lastRenderedPageBreak/>
        <w:t>Dessler</w:t>
      </w:r>
      <w:proofErr w:type="spellEnd"/>
      <w:r w:rsidRPr="00367107">
        <w:rPr>
          <w:rFonts w:ascii="Times New Roman" w:hAnsi="Times New Roman" w:cs="Times New Roman"/>
          <w:szCs w:val="22"/>
        </w:rPr>
        <w:t xml:space="preserve">, G. (2021). </w:t>
      </w:r>
      <w:r w:rsidRPr="00367107">
        <w:rPr>
          <w:rFonts w:ascii="Times New Roman" w:hAnsi="Times New Roman" w:cs="Times New Roman"/>
          <w:i/>
          <w:iCs/>
          <w:szCs w:val="22"/>
        </w:rPr>
        <w:t>Human Resource Management</w:t>
      </w:r>
      <w:r w:rsidRPr="00367107">
        <w:rPr>
          <w:rFonts w:ascii="Times New Roman" w:hAnsi="Times New Roman" w:cs="Times New Roman"/>
          <w:szCs w:val="22"/>
        </w:rPr>
        <w:t>. 16th ed. London: Pearson Education.</w:t>
      </w:r>
    </w:p>
    <w:p w14:paraId="7B684A64" w14:textId="77777777" w:rsidR="000F74AF" w:rsidRPr="00367107" w:rsidRDefault="000F74AF" w:rsidP="000F74AF">
      <w:pPr>
        <w:spacing w:line="240" w:lineRule="auto"/>
        <w:rPr>
          <w:rFonts w:ascii="Times New Roman" w:hAnsi="Times New Roman" w:cs="Times New Roman"/>
          <w:szCs w:val="22"/>
        </w:rPr>
      </w:pPr>
    </w:p>
    <w:p w14:paraId="6AFAD4DD"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EHRC (2021) </w:t>
      </w:r>
      <w:r w:rsidRPr="00367107">
        <w:rPr>
          <w:rFonts w:ascii="Times New Roman" w:eastAsia="Times New Roman" w:hAnsi="Times New Roman" w:cs="Times New Roman"/>
          <w:i/>
          <w:iCs/>
          <w:szCs w:val="22"/>
          <w:lang w:eastAsia="en-GB"/>
        </w:rPr>
        <w:t>Equal pay | EHRC</w:t>
      </w:r>
      <w:r w:rsidRPr="00367107">
        <w:rPr>
          <w:rFonts w:ascii="Times New Roman" w:eastAsia="Times New Roman" w:hAnsi="Times New Roman" w:cs="Times New Roman"/>
          <w:szCs w:val="22"/>
          <w:lang w:eastAsia="en-GB"/>
        </w:rPr>
        <w:t xml:space="preserve">. Available at: https://www.equalityhumanrights.com/guidance/equal-pay (Accessed: 06 January 2025). </w:t>
      </w:r>
    </w:p>
    <w:p w14:paraId="33C509C3"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Fallon, N. (2023) </w:t>
      </w:r>
      <w:r w:rsidRPr="00367107">
        <w:rPr>
          <w:rFonts w:ascii="Times New Roman" w:eastAsia="Times New Roman" w:hAnsi="Times New Roman" w:cs="Times New Roman"/>
          <w:i/>
          <w:iCs/>
          <w:szCs w:val="22"/>
          <w:lang w:eastAsia="en-GB"/>
        </w:rPr>
        <w:t>What is benchmarking? uses and benefits in business</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Business News Daily</w:t>
      </w:r>
      <w:r w:rsidRPr="00367107">
        <w:rPr>
          <w:rFonts w:ascii="Times New Roman" w:eastAsia="Times New Roman" w:hAnsi="Times New Roman" w:cs="Times New Roman"/>
          <w:szCs w:val="22"/>
          <w:lang w:eastAsia="en-GB"/>
        </w:rPr>
        <w:t xml:space="preserve">. Available at: https://www.businessnewsdaily.com/15960-benchmarking-benefits-small-business.html (Accessed: 06 January 2025). </w:t>
      </w:r>
    </w:p>
    <w:p w14:paraId="291451D6"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GOV.UK (2024a) </w:t>
      </w:r>
      <w:r w:rsidRPr="00367107">
        <w:rPr>
          <w:rFonts w:ascii="Times New Roman" w:eastAsia="Times New Roman" w:hAnsi="Times New Roman" w:cs="Times New Roman"/>
          <w:i/>
          <w:iCs/>
          <w:szCs w:val="22"/>
          <w:lang w:eastAsia="en-GB"/>
        </w:rPr>
        <w:t>Gender pay gap reporting: Guidance for employers</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GOV.UK</w:t>
      </w:r>
      <w:r w:rsidRPr="00367107">
        <w:rPr>
          <w:rFonts w:ascii="Times New Roman" w:eastAsia="Times New Roman" w:hAnsi="Times New Roman" w:cs="Times New Roman"/>
          <w:szCs w:val="22"/>
          <w:lang w:eastAsia="en-GB"/>
        </w:rPr>
        <w:t xml:space="preserve">. Available at: https://www.gov.uk/government/publications/gender-pay-gap-reporting-guidance-for-employers (Accessed: 06 January 2025). </w:t>
      </w:r>
    </w:p>
    <w:p w14:paraId="0B9449F9"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GOV.UK (2024b) </w:t>
      </w:r>
      <w:r w:rsidRPr="00367107">
        <w:rPr>
          <w:rFonts w:ascii="Times New Roman" w:eastAsia="Times New Roman" w:hAnsi="Times New Roman" w:cs="Times New Roman"/>
          <w:i/>
          <w:iCs/>
          <w:szCs w:val="22"/>
          <w:lang w:eastAsia="en-GB"/>
        </w:rPr>
        <w:t>The National Minimum Wage and Living Wage</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GOV.UK</w:t>
      </w:r>
      <w:r w:rsidRPr="00367107">
        <w:rPr>
          <w:rFonts w:ascii="Times New Roman" w:eastAsia="Times New Roman" w:hAnsi="Times New Roman" w:cs="Times New Roman"/>
          <w:szCs w:val="22"/>
          <w:lang w:eastAsia="en-GB"/>
        </w:rPr>
        <w:t xml:space="preserve">. Available at: https://www.gov.uk/national-minimum-wage/employers-and-the-minimum-wage (Accessed: 06 January 2025). </w:t>
      </w:r>
    </w:p>
    <w:p w14:paraId="52E69705"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br w:type="page"/>
      </w:r>
    </w:p>
    <w:p w14:paraId="733C722E" w14:textId="77777777" w:rsidR="000F74AF" w:rsidRPr="00367107" w:rsidRDefault="000F74AF" w:rsidP="000F74AF">
      <w:pPr>
        <w:spacing w:line="240" w:lineRule="auto"/>
        <w:rPr>
          <w:rFonts w:ascii="Times New Roman" w:hAnsi="Times New Roman" w:cs="Times New Roman"/>
          <w:szCs w:val="22"/>
        </w:rPr>
      </w:pPr>
    </w:p>
    <w:p w14:paraId="70F546F8" w14:textId="77777777" w:rsidR="000F74AF" w:rsidRPr="00367107" w:rsidRDefault="000F74AF" w:rsidP="000F74AF">
      <w:pPr>
        <w:spacing w:line="240" w:lineRule="auto"/>
        <w:rPr>
          <w:rFonts w:ascii="Times New Roman" w:hAnsi="Times New Roman" w:cs="Times New Roman"/>
          <w:i/>
          <w:iCs/>
          <w:szCs w:val="22"/>
        </w:rPr>
      </w:pPr>
      <w:r w:rsidRPr="00367107">
        <w:rPr>
          <w:rFonts w:ascii="Times New Roman" w:hAnsi="Times New Roman" w:cs="Times New Roman"/>
          <w:szCs w:val="22"/>
        </w:rPr>
        <w:t xml:space="preserve">Gonzales, M. (2024) </w:t>
      </w:r>
      <w:r w:rsidRPr="00367107">
        <w:rPr>
          <w:rFonts w:ascii="Times New Roman" w:hAnsi="Times New Roman" w:cs="Times New Roman"/>
          <w:i/>
          <w:iCs/>
          <w:szCs w:val="22"/>
        </w:rPr>
        <w:t>The generational divide between older and younger employees</w:t>
      </w:r>
      <w:r w:rsidRPr="00367107">
        <w:rPr>
          <w:rFonts w:ascii="Times New Roman" w:hAnsi="Times New Roman" w:cs="Times New Roman"/>
          <w:szCs w:val="22"/>
        </w:rPr>
        <w:t xml:space="preserve">, </w:t>
      </w:r>
      <w:r w:rsidRPr="00367107">
        <w:rPr>
          <w:rFonts w:ascii="Times New Roman" w:hAnsi="Times New Roman" w:cs="Times New Roman"/>
          <w:i/>
          <w:iCs/>
          <w:szCs w:val="22"/>
        </w:rPr>
        <w:t xml:space="preserve">Welcome to </w:t>
      </w:r>
    </w:p>
    <w:p w14:paraId="0CB08677" w14:textId="77777777" w:rsidR="000F74AF" w:rsidRPr="00367107" w:rsidRDefault="000F74AF" w:rsidP="000F74AF">
      <w:pPr>
        <w:spacing w:line="240" w:lineRule="auto"/>
        <w:ind w:left="720"/>
        <w:rPr>
          <w:rFonts w:ascii="Times New Roman" w:hAnsi="Times New Roman" w:cs="Times New Roman"/>
          <w:szCs w:val="22"/>
        </w:rPr>
      </w:pPr>
      <w:r w:rsidRPr="00367107">
        <w:rPr>
          <w:rFonts w:ascii="Times New Roman" w:hAnsi="Times New Roman" w:cs="Times New Roman"/>
          <w:i/>
          <w:iCs/>
          <w:szCs w:val="22"/>
        </w:rPr>
        <w:t>SHRM</w:t>
      </w:r>
      <w:r w:rsidRPr="00367107">
        <w:rPr>
          <w:rFonts w:ascii="Times New Roman" w:hAnsi="Times New Roman" w:cs="Times New Roman"/>
          <w:szCs w:val="22"/>
        </w:rPr>
        <w:t xml:space="preserve">. Available at: https://www.shrm.org/mena/topics-tools/news/inclusion-diversity/generational-divide-older-younger-employees (Accessed: 21 December 2024). </w:t>
      </w:r>
    </w:p>
    <w:p w14:paraId="6B234C22" w14:textId="77777777" w:rsidR="000F74AF" w:rsidRPr="00367107" w:rsidRDefault="000F74AF" w:rsidP="000F74AF">
      <w:pPr>
        <w:spacing w:line="240" w:lineRule="auto"/>
        <w:rPr>
          <w:rFonts w:ascii="Times New Roman" w:hAnsi="Times New Roman" w:cs="Times New Roman"/>
          <w:szCs w:val="22"/>
        </w:rPr>
      </w:pPr>
    </w:p>
    <w:p w14:paraId="442CAA70"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Hogarth, A. and McCartney, C. (2024) Resourcing and talent planning report 2024. London: </w:t>
      </w:r>
    </w:p>
    <w:p w14:paraId="00936EB9" w14:textId="77777777" w:rsidR="000F74AF" w:rsidRPr="00367107" w:rsidRDefault="000F74AF" w:rsidP="000F74AF">
      <w:pPr>
        <w:spacing w:line="240" w:lineRule="auto"/>
        <w:ind w:left="720"/>
        <w:rPr>
          <w:rFonts w:ascii="Times New Roman" w:hAnsi="Times New Roman" w:cs="Times New Roman"/>
          <w:szCs w:val="22"/>
        </w:rPr>
      </w:pPr>
      <w:r w:rsidRPr="00367107">
        <w:rPr>
          <w:rFonts w:ascii="Times New Roman" w:hAnsi="Times New Roman" w:cs="Times New Roman"/>
          <w:szCs w:val="22"/>
        </w:rPr>
        <w:t>Chartered Institute of Personnel and Development.</w:t>
      </w:r>
    </w:p>
    <w:p w14:paraId="330B4F21" w14:textId="77777777" w:rsidR="000F74AF" w:rsidRPr="00367107" w:rsidRDefault="000F74AF" w:rsidP="000F74AF">
      <w:pPr>
        <w:spacing w:line="240" w:lineRule="auto"/>
        <w:rPr>
          <w:rFonts w:ascii="Times New Roman" w:hAnsi="Times New Roman" w:cs="Times New Roman"/>
          <w:szCs w:val="22"/>
        </w:rPr>
      </w:pPr>
    </w:p>
    <w:p w14:paraId="53E76700"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Indeed (2024) </w:t>
      </w:r>
      <w:r w:rsidRPr="00367107">
        <w:rPr>
          <w:rFonts w:ascii="Times New Roman" w:hAnsi="Times New Roman" w:cs="Times New Roman"/>
          <w:i/>
          <w:iCs/>
          <w:szCs w:val="22"/>
        </w:rPr>
        <w:t>What are intrinsic rewards and how to use them at work? | indeed.com UK</w:t>
      </w:r>
      <w:r w:rsidRPr="00367107">
        <w:rPr>
          <w:rFonts w:ascii="Times New Roman" w:hAnsi="Times New Roman" w:cs="Times New Roman"/>
          <w:szCs w:val="22"/>
        </w:rPr>
        <w:t xml:space="preserve">. </w:t>
      </w:r>
    </w:p>
    <w:p w14:paraId="6F675150" w14:textId="77777777" w:rsidR="000F74AF" w:rsidRPr="00367107" w:rsidRDefault="000F74AF" w:rsidP="000F74AF">
      <w:pPr>
        <w:spacing w:line="240" w:lineRule="auto"/>
        <w:ind w:left="567"/>
        <w:rPr>
          <w:rFonts w:ascii="Times New Roman" w:hAnsi="Times New Roman" w:cs="Times New Roman"/>
          <w:szCs w:val="22"/>
        </w:rPr>
      </w:pPr>
      <w:r w:rsidRPr="00367107">
        <w:rPr>
          <w:rFonts w:ascii="Times New Roman" w:hAnsi="Times New Roman" w:cs="Times New Roman"/>
          <w:szCs w:val="22"/>
        </w:rPr>
        <w:t xml:space="preserve">Available at: https://uk.indeed.com/career-advice/career-development/intrinsic-rewards (Accessed: 19 December 2024). </w:t>
      </w:r>
    </w:p>
    <w:p w14:paraId="69A75848" w14:textId="77777777" w:rsidR="000F74AF" w:rsidRPr="00367107" w:rsidRDefault="000F74AF" w:rsidP="000F74AF">
      <w:pPr>
        <w:spacing w:line="240" w:lineRule="auto"/>
        <w:rPr>
          <w:rFonts w:ascii="Times New Roman" w:hAnsi="Times New Roman" w:cs="Times New Roman"/>
          <w:szCs w:val="22"/>
        </w:rPr>
      </w:pPr>
    </w:p>
    <w:p w14:paraId="53F2A37D"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Indeed (2024) </w:t>
      </w:r>
      <w:r w:rsidRPr="00367107">
        <w:rPr>
          <w:rFonts w:ascii="Times New Roman" w:eastAsia="Times New Roman" w:hAnsi="Times New Roman" w:cs="Times New Roman"/>
          <w:i/>
          <w:iCs/>
          <w:szCs w:val="22"/>
          <w:lang w:eastAsia="en-GB"/>
        </w:rPr>
        <w:t>What is external competitiveness and how does it affect businesses? | indeed.com</w:t>
      </w:r>
      <w:r w:rsidRPr="00367107">
        <w:rPr>
          <w:rFonts w:ascii="Times New Roman" w:eastAsia="Times New Roman" w:hAnsi="Times New Roman" w:cs="Times New Roman"/>
          <w:szCs w:val="22"/>
          <w:lang w:eastAsia="en-GB"/>
        </w:rPr>
        <w:t xml:space="preserve">. Available at: https://www.indeed.com/career-advice/pay-salary/external-competitiveness (Accessed: 03 January 2025). </w:t>
      </w:r>
    </w:p>
    <w:p w14:paraId="1E76CA61"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Institute of Directors (2017) </w:t>
      </w:r>
      <w:r w:rsidRPr="00367107">
        <w:rPr>
          <w:rFonts w:ascii="Times New Roman" w:eastAsia="Times New Roman" w:hAnsi="Times New Roman" w:cs="Times New Roman"/>
          <w:i/>
          <w:iCs/>
          <w:szCs w:val="22"/>
          <w:lang w:eastAsia="en-GB"/>
        </w:rPr>
        <w:t>Five reasons why you should consider employee share ownership</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Institute of Directors</w:t>
      </w:r>
      <w:r w:rsidRPr="00367107">
        <w:rPr>
          <w:rFonts w:ascii="Times New Roman" w:eastAsia="Times New Roman" w:hAnsi="Times New Roman" w:cs="Times New Roman"/>
          <w:szCs w:val="22"/>
          <w:lang w:eastAsia="en-GB"/>
        </w:rPr>
        <w:t xml:space="preserve">. Available at: https://www.iod.com/resources/business-advice/five-reasons-why-you-should-consider-employee-share-ownership/ (Accessed: 29 December 2024). </w:t>
      </w:r>
    </w:p>
    <w:p w14:paraId="4E3EA828"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Institute of Directors (2023) </w:t>
      </w:r>
      <w:r w:rsidRPr="00367107">
        <w:rPr>
          <w:rFonts w:ascii="Times New Roman" w:eastAsia="Times New Roman" w:hAnsi="Times New Roman" w:cs="Times New Roman"/>
          <w:i/>
          <w:iCs/>
          <w:szCs w:val="22"/>
          <w:lang w:eastAsia="en-GB"/>
        </w:rPr>
        <w:t>Reward and recognition programme</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Institute of Directors</w:t>
      </w:r>
      <w:r w:rsidRPr="00367107">
        <w:rPr>
          <w:rFonts w:ascii="Times New Roman" w:eastAsia="Times New Roman" w:hAnsi="Times New Roman" w:cs="Times New Roman"/>
          <w:szCs w:val="22"/>
          <w:lang w:eastAsia="en-GB"/>
        </w:rPr>
        <w:t>. Available at: https://www.iod.com/resources/business-advice/reward-and-recognition-programme/ (Accessed: 30 December 2024).</w:t>
      </w:r>
    </w:p>
    <w:p w14:paraId="54C5D3DB"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Kelly, J. (2024) </w:t>
      </w:r>
      <w:r w:rsidRPr="00367107">
        <w:rPr>
          <w:rFonts w:ascii="Times New Roman" w:eastAsia="Times New Roman" w:hAnsi="Times New Roman" w:cs="Times New Roman"/>
          <w:i/>
          <w:iCs/>
          <w:szCs w:val="22"/>
          <w:lang w:eastAsia="en-GB"/>
        </w:rPr>
        <w:t>If you thought the job search was rigged against you, here’s why you’re not wrong</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Forbes</w:t>
      </w:r>
      <w:r w:rsidRPr="00367107">
        <w:rPr>
          <w:rFonts w:ascii="Times New Roman" w:eastAsia="Times New Roman" w:hAnsi="Times New Roman" w:cs="Times New Roman"/>
          <w:szCs w:val="22"/>
          <w:lang w:eastAsia="en-GB"/>
        </w:rPr>
        <w:t xml:space="preserve">. Available at: https://www.forbes.com/sites/jackkelly/2024/02/13/if-you-thought-the-job-search-was-rigged-against-you-heres-why-youre-not-wrong/ (Accessed: 06 January 2025). </w:t>
      </w:r>
    </w:p>
    <w:p w14:paraId="445D63C8" w14:textId="77777777" w:rsidR="000F74AF" w:rsidRPr="00367107" w:rsidRDefault="000F74AF" w:rsidP="000F74AF">
      <w:pPr>
        <w:spacing w:line="240" w:lineRule="auto"/>
        <w:rPr>
          <w:rFonts w:ascii="Times New Roman" w:hAnsi="Times New Roman" w:cs="Times New Roman"/>
          <w:szCs w:val="22"/>
        </w:rPr>
      </w:pPr>
    </w:p>
    <w:p w14:paraId="4DC9C6B9"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Lucky, </w:t>
      </w:r>
      <w:proofErr w:type="spellStart"/>
      <w:r w:rsidRPr="00367107">
        <w:rPr>
          <w:rFonts w:ascii="Times New Roman" w:hAnsi="Times New Roman" w:cs="Times New Roman"/>
          <w:szCs w:val="22"/>
        </w:rPr>
        <w:t>Esuh</w:t>
      </w:r>
      <w:proofErr w:type="spellEnd"/>
      <w:r w:rsidRPr="00367107">
        <w:rPr>
          <w:rFonts w:ascii="Times New Roman" w:hAnsi="Times New Roman" w:cs="Times New Roman"/>
          <w:szCs w:val="22"/>
        </w:rPr>
        <w:t xml:space="preserve"> &amp; </w:t>
      </w:r>
      <w:proofErr w:type="spellStart"/>
      <w:r w:rsidRPr="00367107">
        <w:rPr>
          <w:rFonts w:ascii="Times New Roman" w:hAnsi="Times New Roman" w:cs="Times New Roman"/>
          <w:szCs w:val="22"/>
        </w:rPr>
        <w:t>Minai</w:t>
      </w:r>
      <w:proofErr w:type="spellEnd"/>
      <w:r w:rsidRPr="00367107">
        <w:rPr>
          <w:rFonts w:ascii="Times New Roman" w:hAnsi="Times New Roman" w:cs="Times New Roman"/>
          <w:szCs w:val="22"/>
        </w:rPr>
        <w:t xml:space="preserve">, </w:t>
      </w:r>
      <w:proofErr w:type="spellStart"/>
      <w:r w:rsidRPr="00367107">
        <w:rPr>
          <w:rFonts w:ascii="Times New Roman" w:hAnsi="Times New Roman" w:cs="Times New Roman"/>
          <w:szCs w:val="22"/>
        </w:rPr>
        <w:t>Mohd</w:t>
      </w:r>
      <w:proofErr w:type="spellEnd"/>
      <w:r w:rsidRPr="00367107">
        <w:rPr>
          <w:rFonts w:ascii="Times New Roman" w:hAnsi="Times New Roman" w:cs="Times New Roman"/>
          <w:szCs w:val="22"/>
        </w:rPr>
        <w:t xml:space="preserve"> </w:t>
      </w:r>
      <w:proofErr w:type="spellStart"/>
      <w:r w:rsidRPr="00367107">
        <w:rPr>
          <w:rFonts w:ascii="Times New Roman" w:hAnsi="Times New Roman" w:cs="Times New Roman"/>
          <w:szCs w:val="22"/>
        </w:rPr>
        <w:t>Sobri</w:t>
      </w:r>
      <w:proofErr w:type="spellEnd"/>
      <w:r w:rsidRPr="00367107">
        <w:rPr>
          <w:rFonts w:ascii="Times New Roman" w:hAnsi="Times New Roman" w:cs="Times New Roman"/>
          <w:szCs w:val="22"/>
        </w:rPr>
        <w:t xml:space="preserve"> &amp; Rahman, Hamzah. (2013). Impact of Job Security on the </w:t>
      </w:r>
    </w:p>
    <w:p w14:paraId="50D98398" w14:textId="77777777" w:rsidR="000F74AF" w:rsidRPr="00367107" w:rsidRDefault="000F74AF" w:rsidP="000F74AF">
      <w:pPr>
        <w:spacing w:line="240" w:lineRule="auto"/>
        <w:ind w:left="720"/>
        <w:rPr>
          <w:rFonts w:ascii="Times New Roman" w:hAnsi="Times New Roman" w:cs="Times New Roman"/>
          <w:szCs w:val="22"/>
        </w:rPr>
      </w:pPr>
      <w:r w:rsidRPr="00367107">
        <w:rPr>
          <w:rFonts w:ascii="Times New Roman" w:hAnsi="Times New Roman" w:cs="Times New Roman"/>
          <w:szCs w:val="22"/>
        </w:rPr>
        <w:t xml:space="preserve">Organizational Performance in a </w:t>
      </w:r>
      <w:proofErr w:type="spellStart"/>
      <w:r w:rsidRPr="00367107">
        <w:rPr>
          <w:rFonts w:ascii="Times New Roman" w:hAnsi="Times New Roman" w:cs="Times New Roman"/>
          <w:szCs w:val="22"/>
        </w:rPr>
        <w:t>Multiethnic</w:t>
      </w:r>
      <w:proofErr w:type="spellEnd"/>
      <w:r w:rsidRPr="00367107">
        <w:rPr>
          <w:rFonts w:ascii="Times New Roman" w:hAnsi="Times New Roman" w:cs="Times New Roman"/>
          <w:szCs w:val="22"/>
        </w:rPr>
        <w:t xml:space="preserve"> Environment. Research Journal of Business Management. 7. 64-70. 10.3923/rjbm.2013.64.70.</w:t>
      </w:r>
    </w:p>
    <w:p w14:paraId="439A36A2" w14:textId="77777777" w:rsidR="000F74AF" w:rsidRPr="00367107" w:rsidRDefault="000F74AF" w:rsidP="000F74AF">
      <w:pPr>
        <w:spacing w:line="240" w:lineRule="auto"/>
        <w:rPr>
          <w:rFonts w:ascii="Times New Roman" w:hAnsi="Times New Roman" w:cs="Times New Roman"/>
          <w:szCs w:val="22"/>
        </w:rPr>
      </w:pPr>
    </w:p>
    <w:p w14:paraId="0E2ECB95"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Mohammed, S. (2024) </w:t>
      </w:r>
      <w:r w:rsidRPr="00367107">
        <w:rPr>
          <w:rFonts w:ascii="Times New Roman" w:hAnsi="Times New Roman" w:cs="Times New Roman"/>
          <w:i/>
          <w:iCs/>
          <w:szCs w:val="22"/>
        </w:rPr>
        <w:t xml:space="preserve">The Dark Side of </w:t>
      </w:r>
      <w:proofErr w:type="spellStart"/>
      <w:r w:rsidRPr="00367107">
        <w:rPr>
          <w:rFonts w:ascii="Times New Roman" w:hAnsi="Times New Roman" w:cs="Times New Roman"/>
          <w:i/>
          <w:iCs/>
          <w:szCs w:val="22"/>
        </w:rPr>
        <w:t>Kpis</w:t>
      </w:r>
      <w:proofErr w:type="spellEnd"/>
      <w:r w:rsidRPr="00367107">
        <w:rPr>
          <w:rFonts w:ascii="Times New Roman" w:hAnsi="Times New Roman" w:cs="Times New Roman"/>
          <w:i/>
          <w:iCs/>
          <w:szCs w:val="22"/>
        </w:rPr>
        <w:t>: Uncovering the limitations and Pitfalls</w:t>
      </w:r>
      <w:r w:rsidRPr="00367107">
        <w:rPr>
          <w:rFonts w:ascii="Times New Roman" w:hAnsi="Times New Roman" w:cs="Times New Roman"/>
          <w:szCs w:val="22"/>
        </w:rPr>
        <w:t xml:space="preserve">, </w:t>
      </w:r>
      <w:r w:rsidRPr="00367107">
        <w:rPr>
          <w:rFonts w:ascii="Times New Roman" w:hAnsi="Times New Roman" w:cs="Times New Roman"/>
          <w:i/>
          <w:iCs/>
          <w:szCs w:val="22"/>
        </w:rPr>
        <w:t>Medium</w:t>
      </w:r>
      <w:r w:rsidRPr="00367107">
        <w:rPr>
          <w:rFonts w:ascii="Times New Roman" w:hAnsi="Times New Roman" w:cs="Times New Roman"/>
          <w:szCs w:val="22"/>
        </w:rPr>
        <w:t xml:space="preserve">. </w:t>
      </w:r>
    </w:p>
    <w:p w14:paraId="3444C7BB" w14:textId="77777777" w:rsidR="000F74AF" w:rsidRPr="00367107" w:rsidRDefault="000F74AF" w:rsidP="000F74AF">
      <w:pPr>
        <w:spacing w:line="240" w:lineRule="auto"/>
        <w:ind w:left="567"/>
        <w:rPr>
          <w:rFonts w:ascii="Times New Roman" w:hAnsi="Times New Roman" w:cs="Times New Roman"/>
          <w:szCs w:val="22"/>
        </w:rPr>
      </w:pPr>
      <w:r w:rsidRPr="00367107">
        <w:rPr>
          <w:rFonts w:ascii="Times New Roman" w:hAnsi="Times New Roman" w:cs="Times New Roman"/>
          <w:szCs w:val="22"/>
        </w:rPr>
        <w:t xml:space="preserve">Available at: https://shahmm.medium.com/the-dark-side-of-kpis-uncovering-the-limitations-and-pitfalls-4139950e70ef (Accessed: 21 December 2024). </w:t>
      </w:r>
    </w:p>
    <w:p w14:paraId="4DAF180A" w14:textId="77777777" w:rsidR="000F74AF" w:rsidRPr="00367107" w:rsidRDefault="000F74AF" w:rsidP="000F74AF">
      <w:pPr>
        <w:spacing w:line="240" w:lineRule="auto"/>
        <w:rPr>
          <w:rFonts w:ascii="Times New Roman" w:hAnsi="Times New Roman" w:cs="Times New Roman"/>
          <w:szCs w:val="22"/>
        </w:rPr>
      </w:pPr>
    </w:p>
    <w:p w14:paraId="513A1FEF"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proofErr w:type="spellStart"/>
      <w:r w:rsidRPr="00367107">
        <w:rPr>
          <w:rFonts w:ascii="Times New Roman" w:eastAsia="Times New Roman" w:hAnsi="Times New Roman" w:cs="Times New Roman"/>
          <w:szCs w:val="22"/>
          <w:lang w:eastAsia="en-GB"/>
        </w:rPr>
        <w:t>Nadin</w:t>
      </w:r>
      <w:proofErr w:type="spellEnd"/>
      <w:r w:rsidRPr="00367107">
        <w:rPr>
          <w:rFonts w:ascii="Times New Roman" w:eastAsia="Times New Roman" w:hAnsi="Times New Roman" w:cs="Times New Roman"/>
          <w:szCs w:val="22"/>
          <w:lang w:eastAsia="en-GB"/>
        </w:rPr>
        <w:t xml:space="preserve">, G. </w:t>
      </w:r>
      <w:r w:rsidRPr="00367107">
        <w:rPr>
          <w:rFonts w:ascii="Times New Roman" w:eastAsia="Times New Roman" w:hAnsi="Times New Roman" w:cs="Times New Roman"/>
          <w:i/>
          <w:iCs/>
          <w:szCs w:val="22"/>
          <w:lang w:eastAsia="en-GB"/>
        </w:rPr>
        <w:t>et al.</w:t>
      </w:r>
      <w:r w:rsidRPr="00367107">
        <w:rPr>
          <w:rFonts w:ascii="Times New Roman" w:eastAsia="Times New Roman" w:hAnsi="Times New Roman" w:cs="Times New Roman"/>
          <w:szCs w:val="22"/>
          <w:lang w:eastAsia="en-GB"/>
        </w:rPr>
        <w:t xml:space="preserve"> (2024) </w:t>
      </w:r>
      <w:r w:rsidRPr="00367107">
        <w:rPr>
          <w:rFonts w:ascii="Times New Roman" w:eastAsia="Times New Roman" w:hAnsi="Times New Roman" w:cs="Times New Roman"/>
          <w:i/>
          <w:iCs/>
          <w:szCs w:val="22"/>
          <w:lang w:eastAsia="en-GB"/>
        </w:rPr>
        <w:t xml:space="preserve">Why are we still talking about sick </w:t>
      </w:r>
      <w:proofErr w:type="gramStart"/>
      <w:r w:rsidRPr="00367107">
        <w:rPr>
          <w:rFonts w:ascii="Times New Roman" w:eastAsia="Times New Roman" w:hAnsi="Times New Roman" w:cs="Times New Roman"/>
          <w:i/>
          <w:iCs/>
          <w:szCs w:val="22"/>
          <w:lang w:eastAsia="en-GB"/>
        </w:rPr>
        <w:t>pay?</w:t>
      </w:r>
      <w:r w:rsidRPr="00367107">
        <w:rPr>
          <w:rFonts w:ascii="Times New Roman" w:eastAsia="Times New Roman" w:hAnsi="Times New Roman" w:cs="Times New Roman"/>
          <w:szCs w:val="22"/>
          <w:lang w:eastAsia="en-GB"/>
        </w:rPr>
        <w:t>,</w:t>
      </w:r>
      <w:proofErr w:type="gramEnd"/>
      <w:r w:rsidRPr="00367107">
        <w:rPr>
          <w:rFonts w:ascii="Times New Roman" w:eastAsia="Times New Roman" w:hAnsi="Times New Roman" w:cs="Times New Roman"/>
          <w:szCs w:val="22"/>
          <w:lang w:eastAsia="en-GB"/>
        </w:rPr>
        <w:t xml:space="preserve"> </w:t>
      </w:r>
      <w:proofErr w:type="spellStart"/>
      <w:r w:rsidRPr="00367107">
        <w:rPr>
          <w:rFonts w:ascii="Times New Roman" w:eastAsia="Times New Roman" w:hAnsi="Times New Roman" w:cs="Times New Roman"/>
          <w:i/>
          <w:iCs/>
          <w:szCs w:val="22"/>
          <w:lang w:eastAsia="en-GB"/>
        </w:rPr>
        <w:t>HRZone</w:t>
      </w:r>
      <w:proofErr w:type="spellEnd"/>
      <w:r w:rsidRPr="00367107">
        <w:rPr>
          <w:rFonts w:ascii="Times New Roman" w:eastAsia="Times New Roman" w:hAnsi="Times New Roman" w:cs="Times New Roman"/>
          <w:szCs w:val="22"/>
          <w:lang w:eastAsia="en-GB"/>
        </w:rPr>
        <w:t xml:space="preserve">. Available at: https://hrzone.com/why-are-we-still-talking-about-sick-pay/ (Accessed: 29 December 2024). </w:t>
      </w:r>
    </w:p>
    <w:p w14:paraId="3DE7E7AB" w14:textId="77777777" w:rsidR="000F74AF" w:rsidRPr="00367107" w:rsidRDefault="000F74AF" w:rsidP="000F74AF">
      <w:pPr>
        <w:spacing w:line="240" w:lineRule="auto"/>
        <w:rPr>
          <w:rFonts w:ascii="Times New Roman" w:hAnsi="Times New Roman" w:cs="Times New Roman"/>
          <w:szCs w:val="22"/>
        </w:rPr>
      </w:pPr>
    </w:p>
    <w:p w14:paraId="04AF6EC8"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Nickerson, C. (2023) </w:t>
      </w:r>
      <w:r w:rsidRPr="00367107">
        <w:rPr>
          <w:rFonts w:ascii="Times New Roman" w:hAnsi="Times New Roman" w:cs="Times New Roman"/>
          <w:i/>
          <w:iCs/>
          <w:szCs w:val="22"/>
        </w:rPr>
        <w:t>Herzberg’s two-factor theory of motivation-hygiene</w:t>
      </w:r>
      <w:r w:rsidRPr="00367107">
        <w:rPr>
          <w:rFonts w:ascii="Times New Roman" w:hAnsi="Times New Roman" w:cs="Times New Roman"/>
          <w:szCs w:val="22"/>
        </w:rPr>
        <w:t xml:space="preserve">, </w:t>
      </w:r>
      <w:r w:rsidRPr="00367107">
        <w:rPr>
          <w:rFonts w:ascii="Times New Roman" w:hAnsi="Times New Roman" w:cs="Times New Roman"/>
          <w:i/>
          <w:iCs/>
          <w:szCs w:val="22"/>
        </w:rPr>
        <w:t>Simply Psychology</w:t>
      </w:r>
      <w:r w:rsidRPr="00367107">
        <w:rPr>
          <w:rFonts w:ascii="Times New Roman" w:hAnsi="Times New Roman" w:cs="Times New Roman"/>
          <w:szCs w:val="22"/>
        </w:rPr>
        <w:t xml:space="preserve">. </w:t>
      </w:r>
    </w:p>
    <w:p w14:paraId="59399219" w14:textId="77777777" w:rsidR="000F74AF" w:rsidRPr="00367107" w:rsidRDefault="000F74AF" w:rsidP="000F74AF">
      <w:pPr>
        <w:spacing w:line="240" w:lineRule="auto"/>
        <w:ind w:left="720"/>
        <w:rPr>
          <w:rFonts w:ascii="Times New Roman" w:hAnsi="Times New Roman" w:cs="Times New Roman"/>
          <w:szCs w:val="22"/>
        </w:rPr>
      </w:pPr>
      <w:r w:rsidRPr="00367107">
        <w:rPr>
          <w:rFonts w:ascii="Times New Roman" w:hAnsi="Times New Roman" w:cs="Times New Roman"/>
          <w:szCs w:val="22"/>
        </w:rPr>
        <w:t xml:space="preserve">Available at: https://www.simplypsychology.org/herzbergs-two-factor-theory.html#:~:text=These%20include%20intrinsic%20aspects%20such,personal%20growth%20and%20self%2Dfulfillment. (Accessed: 19 December 2024). </w:t>
      </w:r>
    </w:p>
    <w:p w14:paraId="10A69FB4" w14:textId="77777777" w:rsidR="000F74AF" w:rsidRPr="00367107" w:rsidRDefault="000F74AF" w:rsidP="000F74AF">
      <w:pPr>
        <w:spacing w:line="240" w:lineRule="auto"/>
        <w:rPr>
          <w:rFonts w:ascii="Times New Roman" w:hAnsi="Times New Roman" w:cs="Times New Roman"/>
          <w:szCs w:val="22"/>
        </w:rPr>
      </w:pPr>
    </w:p>
    <w:p w14:paraId="63496EF7" w14:textId="77777777" w:rsidR="000F74AF" w:rsidRPr="00367107" w:rsidRDefault="000F74AF" w:rsidP="000F74AF">
      <w:pPr>
        <w:spacing w:line="240" w:lineRule="auto"/>
        <w:rPr>
          <w:rFonts w:ascii="Times New Roman" w:hAnsi="Times New Roman" w:cs="Times New Roman"/>
          <w:i/>
          <w:iCs/>
          <w:szCs w:val="22"/>
        </w:rPr>
      </w:pPr>
      <w:proofErr w:type="spellStart"/>
      <w:r w:rsidRPr="00367107">
        <w:rPr>
          <w:rFonts w:ascii="Times New Roman" w:hAnsi="Times New Roman" w:cs="Times New Roman"/>
          <w:szCs w:val="22"/>
        </w:rPr>
        <w:t>ObservationSpider</w:t>
      </w:r>
      <w:proofErr w:type="spellEnd"/>
      <w:r w:rsidRPr="00367107">
        <w:rPr>
          <w:rFonts w:ascii="Times New Roman" w:hAnsi="Times New Roman" w:cs="Times New Roman"/>
          <w:szCs w:val="22"/>
        </w:rPr>
        <w:t xml:space="preserve"> (2024) </w:t>
      </w:r>
      <w:r w:rsidRPr="00367107">
        <w:rPr>
          <w:rFonts w:ascii="Times New Roman" w:hAnsi="Times New Roman" w:cs="Times New Roman"/>
          <w:i/>
          <w:iCs/>
          <w:szCs w:val="22"/>
        </w:rPr>
        <w:t xml:space="preserve">Tenure trap: Why long-term employees don’t always signify a </w:t>
      </w:r>
      <w:proofErr w:type="gramStart"/>
      <w:r w:rsidRPr="00367107">
        <w:rPr>
          <w:rFonts w:ascii="Times New Roman" w:hAnsi="Times New Roman" w:cs="Times New Roman"/>
          <w:i/>
          <w:iCs/>
          <w:szCs w:val="22"/>
        </w:rPr>
        <w:t>thriving</w:t>
      </w:r>
      <w:proofErr w:type="gramEnd"/>
      <w:r w:rsidRPr="00367107">
        <w:rPr>
          <w:rFonts w:ascii="Times New Roman" w:hAnsi="Times New Roman" w:cs="Times New Roman"/>
          <w:i/>
          <w:iCs/>
          <w:szCs w:val="22"/>
        </w:rPr>
        <w:t xml:space="preserve"> </w:t>
      </w:r>
    </w:p>
    <w:p w14:paraId="1332EAE0" w14:textId="77777777" w:rsidR="000F74AF" w:rsidRPr="00367107" w:rsidRDefault="000F74AF" w:rsidP="000F74AF">
      <w:pPr>
        <w:spacing w:line="240" w:lineRule="auto"/>
        <w:ind w:left="720"/>
        <w:rPr>
          <w:rFonts w:ascii="Times New Roman" w:hAnsi="Times New Roman" w:cs="Times New Roman"/>
          <w:szCs w:val="22"/>
        </w:rPr>
      </w:pPr>
      <w:r w:rsidRPr="00367107">
        <w:rPr>
          <w:rFonts w:ascii="Times New Roman" w:hAnsi="Times New Roman" w:cs="Times New Roman"/>
          <w:i/>
          <w:iCs/>
          <w:szCs w:val="22"/>
        </w:rPr>
        <w:t>workplace</w:t>
      </w:r>
      <w:r w:rsidRPr="00367107">
        <w:rPr>
          <w:rFonts w:ascii="Times New Roman" w:hAnsi="Times New Roman" w:cs="Times New Roman"/>
          <w:szCs w:val="22"/>
        </w:rPr>
        <w:t xml:space="preserve">, </w:t>
      </w:r>
      <w:r w:rsidRPr="00367107">
        <w:rPr>
          <w:rFonts w:ascii="Times New Roman" w:hAnsi="Times New Roman" w:cs="Times New Roman"/>
          <w:i/>
          <w:iCs/>
          <w:szCs w:val="22"/>
        </w:rPr>
        <w:t>Medium</w:t>
      </w:r>
      <w:r w:rsidRPr="00367107">
        <w:rPr>
          <w:rFonts w:ascii="Times New Roman" w:hAnsi="Times New Roman" w:cs="Times New Roman"/>
          <w:szCs w:val="22"/>
        </w:rPr>
        <w:t xml:space="preserve">. Available at: https://medium.com/@obspider/tenure-trap-why-long-term-employees-dont-always-signify-a-thriving-workplace-236bf382c086#:~:text=Employees%20who%20have%20worked%20for,technologies%2C%20harming%20the%20organization’s%20growth. (Accessed: 21 December 2024). </w:t>
      </w:r>
    </w:p>
    <w:p w14:paraId="2369517E" w14:textId="77777777" w:rsidR="000F74AF" w:rsidRPr="00367107" w:rsidRDefault="000F74AF" w:rsidP="000F74AF">
      <w:pPr>
        <w:spacing w:line="240" w:lineRule="auto"/>
        <w:rPr>
          <w:rFonts w:ascii="Times New Roman" w:hAnsi="Times New Roman" w:cs="Times New Roman"/>
          <w:szCs w:val="22"/>
        </w:rPr>
      </w:pPr>
    </w:p>
    <w:p w14:paraId="1A681881"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lastRenderedPageBreak/>
        <w:t xml:space="preserve">Purcell, J. (2019). </w:t>
      </w:r>
      <w:r w:rsidRPr="00367107">
        <w:rPr>
          <w:rFonts w:ascii="Times New Roman" w:hAnsi="Times New Roman" w:cs="Times New Roman"/>
          <w:i/>
          <w:iCs/>
          <w:szCs w:val="22"/>
        </w:rPr>
        <w:t>Reward Management: Evidence-Based Approaches to Employee Engagement</w:t>
      </w:r>
      <w:r w:rsidRPr="00367107">
        <w:rPr>
          <w:rFonts w:ascii="Times New Roman" w:hAnsi="Times New Roman" w:cs="Times New Roman"/>
          <w:szCs w:val="22"/>
        </w:rPr>
        <w:t xml:space="preserve">. </w:t>
      </w:r>
    </w:p>
    <w:p w14:paraId="2680DC84" w14:textId="77777777" w:rsidR="000F74AF" w:rsidRPr="00367107" w:rsidRDefault="000F74AF" w:rsidP="000F74AF">
      <w:pPr>
        <w:spacing w:line="240" w:lineRule="auto"/>
        <w:ind w:left="567"/>
        <w:rPr>
          <w:rFonts w:ascii="Times New Roman" w:hAnsi="Times New Roman" w:cs="Times New Roman"/>
          <w:szCs w:val="22"/>
        </w:rPr>
      </w:pPr>
      <w:r w:rsidRPr="00367107">
        <w:rPr>
          <w:rFonts w:ascii="Times New Roman" w:hAnsi="Times New Roman" w:cs="Times New Roman"/>
          <w:szCs w:val="22"/>
        </w:rPr>
        <w:t>Oxford: Oxford University Press.</w:t>
      </w:r>
    </w:p>
    <w:p w14:paraId="38986AA7" w14:textId="77777777" w:rsidR="000F74AF" w:rsidRPr="00367107" w:rsidRDefault="000F74AF" w:rsidP="000F74AF">
      <w:pPr>
        <w:spacing w:line="240" w:lineRule="auto"/>
        <w:rPr>
          <w:rFonts w:ascii="Times New Roman" w:hAnsi="Times New Roman" w:cs="Times New Roman"/>
          <w:szCs w:val="22"/>
        </w:rPr>
      </w:pPr>
    </w:p>
    <w:p w14:paraId="4A405312"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Peters, R. (2024) </w:t>
      </w:r>
      <w:r w:rsidRPr="00367107">
        <w:rPr>
          <w:rFonts w:ascii="Times New Roman" w:eastAsia="Times New Roman" w:hAnsi="Times New Roman" w:cs="Times New Roman"/>
          <w:i/>
          <w:iCs/>
          <w:szCs w:val="22"/>
          <w:lang w:eastAsia="en-GB"/>
        </w:rPr>
        <w:t>Psychological contract</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CIPD</w:t>
      </w:r>
      <w:r w:rsidRPr="00367107">
        <w:rPr>
          <w:rFonts w:ascii="Times New Roman" w:eastAsia="Times New Roman" w:hAnsi="Times New Roman" w:cs="Times New Roman"/>
          <w:szCs w:val="22"/>
          <w:lang w:eastAsia="en-GB"/>
        </w:rPr>
        <w:t xml:space="preserve">. Available at: https://www.cipd.org/uk/knowledge/factsheets/psychological-factsheet/ (Accessed: 03 January 2025). </w:t>
      </w:r>
    </w:p>
    <w:p w14:paraId="20BFC18B"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Schooley, S. (2024) </w:t>
      </w:r>
      <w:r w:rsidRPr="00367107">
        <w:rPr>
          <w:rFonts w:ascii="Times New Roman" w:eastAsia="Times New Roman" w:hAnsi="Times New Roman" w:cs="Times New Roman"/>
          <w:i/>
          <w:iCs/>
          <w:szCs w:val="22"/>
          <w:lang w:eastAsia="en-GB"/>
        </w:rPr>
        <w:t>The benefits of an employee assistance program (EAP)</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business.com</w:t>
      </w:r>
      <w:r w:rsidRPr="00367107">
        <w:rPr>
          <w:rFonts w:ascii="Times New Roman" w:eastAsia="Times New Roman" w:hAnsi="Times New Roman" w:cs="Times New Roman"/>
          <w:szCs w:val="22"/>
          <w:lang w:eastAsia="en-GB"/>
        </w:rPr>
        <w:t xml:space="preserve">. Available at: https://www.business.com/hr-software/eap-benefits/ (Accessed: 29 December 2024). </w:t>
      </w:r>
    </w:p>
    <w:p w14:paraId="7770A977"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r w:rsidRPr="00367107">
        <w:rPr>
          <w:rFonts w:ascii="Times New Roman" w:eastAsia="Times New Roman" w:hAnsi="Times New Roman" w:cs="Times New Roman"/>
          <w:szCs w:val="22"/>
          <w:lang w:eastAsia="en-GB"/>
        </w:rPr>
        <w:t xml:space="preserve">Silverman, M. (2004) </w:t>
      </w:r>
      <w:r w:rsidRPr="00367107">
        <w:rPr>
          <w:rFonts w:ascii="Times New Roman" w:eastAsia="Times New Roman" w:hAnsi="Times New Roman" w:cs="Times New Roman"/>
          <w:i/>
          <w:iCs/>
          <w:szCs w:val="22"/>
          <w:lang w:eastAsia="en-GB"/>
        </w:rPr>
        <w:t>Non-Financial Recognition. The Most Effective of Rewards?</w:t>
      </w:r>
      <w:r w:rsidRPr="00367107">
        <w:rPr>
          <w:rFonts w:ascii="Times New Roman" w:eastAsia="Times New Roman" w:hAnsi="Times New Roman" w:cs="Times New Roman"/>
          <w:szCs w:val="22"/>
          <w:lang w:eastAsia="en-GB"/>
        </w:rPr>
        <w:t xml:space="preserve"> Available at: https://www.employment-studies.co.uk/system/files/resources/files/mp4.pdf (Accessed: 30 December 2024). </w:t>
      </w:r>
    </w:p>
    <w:p w14:paraId="38222E5F" w14:textId="77777777" w:rsidR="000F74AF" w:rsidRPr="00367107" w:rsidRDefault="000F74AF" w:rsidP="000F74AF">
      <w:pPr>
        <w:spacing w:line="240" w:lineRule="auto"/>
        <w:rPr>
          <w:rFonts w:ascii="Times New Roman" w:hAnsi="Times New Roman" w:cs="Times New Roman"/>
          <w:szCs w:val="22"/>
        </w:rPr>
      </w:pPr>
    </w:p>
    <w:p w14:paraId="1259BAD2"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Smith, C. (2017) </w:t>
      </w:r>
      <w:r w:rsidRPr="00367107">
        <w:rPr>
          <w:rFonts w:ascii="Times New Roman" w:hAnsi="Times New Roman" w:cs="Times New Roman"/>
          <w:i/>
          <w:iCs/>
          <w:szCs w:val="22"/>
        </w:rPr>
        <w:t>The use of contingent rewards</w:t>
      </w:r>
      <w:r w:rsidRPr="00367107">
        <w:rPr>
          <w:rFonts w:ascii="Times New Roman" w:hAnsi="Times New Roman" w:cs="Times New Roman"/>
          <w:szCs w:val="22"/>
        </w:rPr>
        <w:t xml:space="preserve">, </w:t>
      </w:r>
      <w:r w:rsidRPr="00367107">
        <w:rPr>
          <w:rFonts w:ascii="Times New Roman" w:hAnsi="Times New Roman" w:cs="Times New Roman"/>
          <w:i/>
          <w:iCs/>
          <w:szCs w:val="22"/>
        </w:rPr>
        <w:t>Small Business - Chron.com</w:t>
      </w:r>
      <w:r w:rsidRPr="00367107">
        <w:rPr>
          <w:rFonts w:ascii="Times New Roman" w:hAnsi="Times New Roman" w:cs="Times New Roman"/>
          <w:szCs w:val="22"/>
        </w:rPr>
        <w:t xml:space="preserve">. Available at: </w:t>
      </w:r>
    </w:p>
    <w:p w14:paraId="1760C8A2" w14:textId="77777777" w:rsidR="000F74AF" w:rsidRPr="00367107" w:rsidRDefault="000F74AF" w:rsidP="000F74AF">
      <w:pPr>
        <w:spacing w:line="240" w:lineRule="auto"/>
        <w:ind w:left="567"/>
        <w:rPr>
          <w:rFonts w:ascii="Times New Roman" w:hAnsi="Times New Roman" w:cs="Times New Roman"/>
          <w:szCs w:val="22"/>
        </w:rPr>
      </w:pPr>
      <w:r w:rsidRPr="00367107">
        <w:rPr>
          <w:rFonts w:ascii="Times New Roman" w:hAnsi="Times New Roman" w:cs="Times New Roman"/>
          <w:szCs w:val="22"/>
        </w:rPr>
        <w:t xml:space="preserve">https://smallbusiness.chron.com/use-contingent-rewards-35216.html (Accessed: 21 December 2024). </w:t>
      </w:r>
    </w:p>
    <w:p w14:paraId="76FDA71F" w14:textId="77777777" w:rsidR="000F74AF" w:rsidRPr="00367107" w:rsidRDefault="000F74AF" w:rsidP="000F74AF">
      <w:pPr>
        <w:spacing w:line="240" w:lineRule="auto"/>
        <w:rPr>
          <w:rFonts w:ascii="Times New Roman" w:hAnsi="Times New Roman" w:cs="Times New Roman"/>
          <w:szCs w:val="22"/>
        </w:rPr>
      </w:pPr>
    </w:p>
    <w:p w14:paraId="7C0139E8" w14:textId="77777777" w:rsidR="000F74AF" w:rsidRPr="00367107" w:rsidRDefault="000F74AF" w:rsidP="000F74AF">
      <w:pPr>
        <w:spacing w:before="100" w:beforeAutospacing="1" w:after="100" w:afterAutospacing="1" w:line="240" w:lineRule="auto"/>
        <w:ind w:left="567" w:hanging="567"/>
        <w:rPr>
          <w:rFonts w:ascii="Times New Roman" w:eastAsia="Times New Roman" w:hAnsi="Times New Roman" w:cs="Times New Roman"/>
          <w:szCs w:val="22"/>
          <w:lang w:eastAsia="en-GB"/>
        </w:rPr>
      </w:pPr>
      <w:proofErr w:type="spellStart"/>
      <w:r w:rsidRPr="00367107">
        <w:rPr>
          <w:rFonts w:ascii="Times New Roman" w:eastAsia="Times New Roman" w:hAnsi="Times New Roman" w:cs="Times New Roman"/>
          <w:szCs w:val="22"/>
          <w:lang w:eastAsia="en-GB"/>
        </w:rPr>
        <w:t>Stolk</w:t>
      </w:r>
      <w:proofErr w:type="spellEnd"/>
      <w:r w:rsidRPr="00367107">
        <w:rPr>
          <w:rFonts w:ascii="Times New Roman" w:eastAsia="Times New Roman" w:hAnsi="Times New Roman" w:cs="Times New Roman"/>
          <w:szCs w:val="22"/>
          <w:lang w:eastAsia="en-GB"/>
        </w:rPr>
        <w:t xml:space="preserve">, C.V. and Whitmore, M. (2020) </w:t>
      </w:r>
      <w:r w:rsidRPr="00367107">
        <w:rPr>
          <w:rFonts w:ascii="Times New Roman" w:eastAsia="Times New Roman" w:hAnsi="Times New Roman" w:cs="Times New Roman"/>
          <w:i/>
          <w:iCs/>
          <w:szCs w:val="22"/>
          <w:lang w:eastAsia="en-GB"/>
        </w:rPr>
        <w:t>Managing the challenge of workforce presenteeism in the COVID-19 crisis</w:t>
      </w:r>
      <w:r w:rsidRPr="00367107">
        <w:rPr>
          <w:rFonts w:ascii="Times New Roman" w:eastAsia="Times New Roman" w:hAnsi="Times New Roman" w:cs="Times New Roman"/>
          <w:szCs w:val="22"/>
          <w:lang w:eastAsia="en-GB"/>
        </w:rPr>
        <w:t xml:space="preserve">, </w:t>
      </w:r>
      <w:r w:rsidRPr="00367107">
        <w:rPr>
          <w:rFonts w:ascii="Times New Roman" w:eastAsia="Times New Roman" w:hAnsi="Times New Roman" w:cs="Times New Roman"/>
          <w:i/>
          <w:iCs/>
          <w:szCs w:val="22"/>
          <w:lang w:eastAsia="en-GB"/>
        </w:rPr>
        <w:t>CIPD</w:t>
      </w:r>
      <w:r w:rsidRPr="00367107">
        <w:rPr>
          <w:rFonts w:ascii="Times New Roman" w:eastAsia="Times New Roman" w:hAnsi="Times New Roman" w:cs="Times New Roman"/>
          <w:szCs w:val="22"/>
          <w:lang w:eastAsia="en-GB"/>
        </w:rPr>
        <w:t xml:space="preserve">. Available at: https://www.cipd.org/uk/views-and-insights/thought-leadership/cipd-voice/managing-challenge-workforce-presenteeism-covid-19-crisis/ (Accessed: 29 December 2024). </w:t>
      </w:r>
    </w:p>
    <w:p w14:paraId="56177DD4" w14:textId="77777777" w:rsidR="000F74AF" w:rsidRPr="00367107" w:rsidRDefault="000F74AF" w:rsidP="000F74AF">
      <w:pPr>
        <w:spacing w:line="240" w:lineRule="auto"/>
        <w:rPr>
          <w:rFonts w:ascii="Times New Roman" w:hAnsi="Times New Roman" w:cs="Times New Roman"/>
          <w:szCs w:val="22"/>
        </w:rPr>
      </w:pPr>
    </w:p>
    <w:p w14:paraId="5E43144B"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Sutton, J. (2024) </w:t>
      </w:r>
      <w:r w:rsidRPr="00367107">
        <w:rPr>
          <w:rFonts w:ascii="Times New Roman" w:hAnsi="Times New Roman" w:cs="Times New Roman"/>
          <w:i/>
          <w:iCs/>
          <w:szCs w:val="22"/>
        </w:rPr>
        <w:t>Victor Vroom’s expectancy theory of motivation</w:t>
      </w:r>
      <w:r w:rsidRPr="00367107">
        <w:rPr>
          <w:rFonts w:ascii="Times New Roman" w:hAnsi="Times New Roman" w:cs="Times New Roman"/>
          <w:szCs w:val="22"/>
        </w:rPr>
        <w:t xml:space="preserve">, </w:t>
      </w:r>
      <w:r w:rsidRPr="00367107">
        <w:rPr>
          <w:rFonts w:ascii="Times New Roman" w:hAnsi="Times New Roman" w:cs="Times New Roman"/>
          <w:i/>
          <w:iCs/>
          <w:szCs w:val="22"/>
        </w:rPr>
        <w:t>PositivePsychology.com</w:t>
      </w:r>
      <w:r w:rsidRPr="00367107">
        <w:rPr>
          <w:rFonts w:ascii="Times New Roman" w:hAnsi="Times New Roman" w:cs="Times New Roman"/>
          <w:szCs w:val="22"/>
        </w:rPr>
        <w:t xml:space="preserve">. </w:t>
      </w:r>
    </w:p>
    <w:p w14:paraId="4E6E58C3" w14:textId="77777777" w:rsidR="000F74AF" w:rsidRPr="00367107" w:rsidRDefault="000F74AF" w:rsidP="000F74AF">
      <w:pPr>
        <w:spacing w:line="240" w:lineRule="auto"/>
        <w:ind w:left="720"/>
        <w:rPr>
          <w:rFonts w:ascii="Times New Roman" w:hAnsi="Times New Roman" w:cs="Times New Roman"/>
          <w:szCs w:val="22"/>
        </w:rPr>
      </w:pPr>
      <w:r w:rsidRPr="00367107">
        <w:rPr>
          <w:rFonts w:ascii="Times New Roman" w:hAnsi="Times New Roman" w:cs="Times New Roman"/>
          <w:szCs w:val="22"/>
        </w:rPr>
        <w:t xml:space="preserve">Available at: https://positivepsychology.com/expectancy-theory/#what-is-vrooms-expectancy-theory-of-motivation (Accessed: 19 December 2024). </w:t>
      </w:r>
    </w:p>
    <w:p w14:paraId="7A5010AB" w14:textId="77777777" w:rsidR="000F74AF" w:rsidRPr="00367107" w:rsidRDefault="000F74AF" w:rsidP="000F74AF">
      <w:pPr>
        <w:spacing w:line="240" w:lineRule="auto"/>
        <w:rPr>
          <w:rFonts w:ascii="Times New Roman" w:hAnsi="Times New Roman" w:cs="Times New Roman"/>
          <w:szCs w:val="22"/>
        </w:rPr>
      </w:pPr>
    </w:p>
    <w:p w14:paraId="6C9C7C89" w14:textId="77777777" w:rsidR="000F74AF" w:rsidRPr="00367107" w:rsidRDefault="000F74AF" w:rsidP="000F74AF">
      <w:pPr>
        <w:spacing w:line="240" w:lineRule="auto"/>
        <w:rPr>
          <w:rFonts w:ascii="Times New Roman" w:hAnsi="Times New Roman" w:cs="Times New Roman"/>
          <w:szCs w:val="22"/>
        </w:rPr>
      </w:pPr>
      <w:r w:rsidRPr="00367107">
        <w:rPr>
          <w:rFonts w:ascii="Times New Roman" w:hAnsi="Times New Roman" w:cs="Times New Roman"/>
          <w:szCs w:val="22"/>
        </w:rPr>
        <w:t xml:space="preserve">Torrington, D., Hall, L., Taylor, S., &amp; Atkinson, C. (2020). </w:t>
      </w:r>
      <w:r w:rsidRPr="00367107">
        <w:rPr>
          <w:rFonts w:ascii="Times New Roman" w:hAnsi="Times New Roman" w:cs="Times New Roman"/>
          <w:i/>
          <w:iCs/>
          <w:szCs w:val="22"/>
        </w:rPr>
        <w:t>Human Resource Management</w:t>
      </w:r>
      <w:r w:rsidRPr="00367107">
        <w:rPr>
          <w:rFonts w:ascii="Times New Roman" w:hAnsi="Times New Roman" w:cs="Times New Roman"/>
          <w:szCs w:val="22"/>
        </w:rPr>
        <w:t xml:space="preserve">. 11th ed. </w:t>
      </w:r>
    </w:p>
    <w:p w14:paraId="4A627CBE" w14:textId="77777777" w:rsidR="000F74AF" w:rsidRPr="00367107" w:rsidRDefault="000F74AF" w:rsidP="000F74AF">
      <w:pPr>
        <w:spacing w:line="240" w:lineRule="auto"/>
        <w:ind w:left="720"/>
        <w:rPr>
          <w:rFonts w:ascii="Times New Roman" w:hAnsi="Times New Roman" w:cs="Times New Roman"/>
          <w:szCs w:val="22"/>
        </w:rPr>
      </w:pPr>
      <w:r w:rsidRPr="00367107">
        <w:rPr>
          <w:rFonts w:ascii="Times New Roman" w:hAnsi="Times New Roman" w:cs="Times New Roman"/>
          <w:szCs w:val="22"/>
        </w:rPr>
        <w:t>Harlow: Pearson Education.</w:t>
      </w:r>
    </w:p>
    <w:p w14:paraId="39BA0CDF" w14:textId="7C486E40" w:rsidR="000F74AF" w:rsidRDefault="000F74AF"/>
    <w:sectPr w:rsidR="000F7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4AF"/>
    <w:rsid w:val="000F7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B9428E"/>
  <w15:chartTrackingRefBased/>
  <w15:docId w15:val="{235FE5D0-97DA-BA48-B01B-E3E469122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F74AF"/>
    <w:pPr>
      <w:spacing w:line="259" w:lineRule="auto"/>
    </w:pPr>
    <w:rPr>
      <w:rFonts w:ascii="Arial" w:hAnsi="Arial"/>
      <w:kern w:val="0"/>
      <w:sz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0F74AF"/>
    <w:pPr>
      <w:spacing w:after="160" w:line="264" w:lineRule="auto"/>
    </w:pPr>
    <w:rPr>
      <w:rFonts w:cs="Arial"/>
      <w:szCs w:val="22"/>
    </w:rPr>
  </w:style>
  <w:style w:type="character" w:customStyle="1" w:styleId="NornalChar">
    <w:name w:val="Nornal Char"/>
    <w:basedOn w:val="DefaultParagraphFont"/>
    <w:link w:val="Nornal"/>
    <w:rsid w:val="000F74AF"/>
    <w:rPr>
      <w:rFonts w:ascii="Arial" w:hAnsi="Arial" w:cs="Arial"/>
      <w:kern w:val="0"/>
      <w:sz w:val="22"/>
      <w:szCs w:val="22"/>
      <w14:ligatures w14:val="none"/>
    </w:rPr>
  </w:style>
  <w:style w:type="paragraph" w:customStyle="1" w:styleId="Listparag">
    <w:name w:val="List parag"/>
    <w:basedOn w:val="ListParagraph"/>
    <w:link w:val="ListparagChar"/>
    <w:qFormat/>
    <w:rsid w:val="000F74AF"/>
    <w:pPr>
      <w:spacing w:after="120" w:line="264" w:lineRule="auto"/>
      <w:ind w:left="0"/>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DefaultParagraphFont"/>
    <w:link w:val="Listparag"/>
    <w:rsid w:val="000F74AF"/>
    <w:rPr>
      <w:rFonts w:eastAsia="Times New Roman" w:cstheme="minorHAnsi"/>
      <w:color w:val="000000"/>
      <w:kern w:val="0"/>
      <w:sz w:val="22"/>
      <w:szCs w:val="22"/>
      <w:lang w:eastAsia="en-GB"/>
      <w14:ligatures w14:val="none"/>
    </w:rPr>
  </w:style>
  <w:style w:type="paragraph" w:styleId="ListParagraph">
    <w:name w:val="List Paragraph"/>
    <w:basedOn w:val="Normal"/>
    <w:uiPriority w:val="34"/>
    <w:qFormat/>
    <w:rsid w:val="000F74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5294</Words>
  <Characters>30182</Characters>
  <Application>Microsoft Office Word</Application>
  <DocSecurity>0</DocSecurity>
  <Lines>251</Lines>
  <Paragraphs>70</Paragraphs>
  <ScaleCrop>false</ScaleCrop>
  <Company/>
  <LinksUpToDate>false</LinksUpToDate>
  <CharactersWithSpaces>35406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MCCARTAN S. (974050)</dc:creator>
  <cp:keywords/>
  <dc:description/>
  <cp:lastModifiedBy>MCCARTAN S. (974050)</cp:lastModifiedBy>
  <cp:revision>1</cp:revision>
  <dcterms:created xsi:type="dcterms:W3CDTF">2025-01-13T10:32:00Z</dcterms:created>
  <dcterms:modified xsi:type="dcterms:W3CDTF">2025-01-13T10:33:00Z</dcterms:modified>
</cp:coreProperties>
</file>