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both"/>
        <w:rPr>
          <w:rFonts w:hint="eastAsia" w:ascii="Times New Roman" w:hAnsi="Times New Roman" w:cs="Times New Roman"/>
          <w:b/>
          <w:sz w:val="24"/>
          <w:szCs w:val="24"/>
          <w:lang w:val="en-US" w:eastAsia="zh-CN"/>
        </w:rPr>
      </w:pPr>
      <w:r>
        <w:drawing>
          <wp:inline distT="0" distB="0" distL="114300" distR="114300">
            <wp:extent cx="3095625" cy="771525"/>
            <wp:effectExtent l="0" t="0" r="9525" b="952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7"/>
                    <a:stretch>
                      <a:fillRect/>
                    </a:stretch>
                  </pic:blipFill>
                  <pic:spPr>
                    <a:xfrm>
                      <a:off x="0" y="0"/>
                      <a:ext cx="3095625" cy="771525"/>
                    </a:xfrm>
                    <a:prstGeom prst="rect">
                      <a:avLst/>
                    </a:prstGeom>
                    <a:noFill/>
                    <a:ln>
                      <a:noFill/>
                    </a:ln>
                  </pic:spPr>
                </pic:pic>
              </a:graphicData>
            </a:graphic>
          </wp:inline>
        </w:drawing>
      </w: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center"/>
        <w:rPr>
          <w:rFonts w:hint="eastAsia" w:ascii="Times New Roman" w:hAnsi="Times New Roman" w:cs="Times New Roman"/>
          <w:b/>
          <w:sz w:val="24"/>
          <w:szCs w:val="24"/>
          <w:lang w:val="en-US" w:eastAsia="zh-CN"/>
        </w:rPr>
      </w:pPr>
      <w:r>
        <w:rPr>
          <w:rFonts w:hint="eastAsia" w:ascii="Times New Roman" w:hAnsi="Times New Roman" w:cs="Times New Roman"/>
          <w:b/>
          <w:sz w:val="24"/>
          <w:szCs w:val="24"/>
          <w:lang w:val="en-US" w:eastAsia="zh-CN"/>
        </w:rPr>
        <w:t>TianChang Tan</w:t>
      </w:r>
    </w:p>
    <w:p>
      <w:pPr>
        <w:spacing w:line="480" w:lineRule="auto"/>
        <w:jc w:val="center"/>
        <w:rPr>
          <w:rFonts w:hint="eastAsia" w:ascii="Times New Roman" w:hAnsi="Times New Roman" w:cs="Times New Roman"/>
          <w:b/>
          <w:sz w:val="24"/>
          <w:szCs w:val="24"/>
          <w:lang w:val="en-US" w:eastAsia="zh-CN"/>
        </w:rPr>
      </w:pPr>
      <w:r>
        <w:rPr>
          <w:rFonts w:hint="eastAsia" w:ascii="Times New Roman" w:hAnsi="Times New Roman" w:cs="Times New Roman"/>
          <w:b/>
          <w:sz w:val="24"/>
          <w:szCs w:val="24"/>
          <w:lang w:val="en-US" w:eastAsia="zh-CN"/>
        </w:rPr>
        <w:t>2022.3.18</w:t>
      </w:r>
    </w:p>
    <w:p>
      <w:pPr>
        <w:keepNext w:val="0"/>
        <w:keepLines w:val="0"/>
        <w:widowControl/>
        <w:suppressLineNumbers w:val="0"/>
        <w:jc w:val="center"/>
        <w:rPr>
          <w:rFonts w:hint="default" w:ascii="Times New Roman" w:hAnsi="Times New Roman" w:cs="Times New Roman"/>
          <w:b/>
          <w:bCs/>
          <w:sz w:val="24"/>
          <w:szCs w:val="24"/>
          <w:u w:val="none"/>
        </w:rPr>
      </w:pPr>
      <w:r>
        <w:rPr>
          <w:rFonts w:ascii="Segoe UI" w:hAnsi="Segoe UI" w:eastAsia="Segoe UI" w:cs="Segoe UI"/>
          <w:i w:val="0"/>
          <w:iCs w:val="0"/>
          <w:caps w:val="0"/>
          <w:color w:val="000A0F"/>
          <w:spacing w:val="0"/>
          <w:kern w:val="0"/>
          <w:sz w:val="22"/>
          <w:szCs w:val="22"/>
          <w:u w:val="single"/>
          <w:lang w:val="en-US" w:eastAsia="zh-CN" w:bidi="ar"/>
        </w:rPr>
        <w:fldChar w:fldCharType="begin"/>
      </w:r>
      <w:r>
        <w:rPr>
          <w:rFonts w:ascii="Segoe UI" w:hAnsi="Segoe UI" w:eastAsia="Segoe UI" w:cs="Segoe UI"/>
          <w:i w:val="0"/>
          <w:iCs w:val="0"/>
          <w:caps w:val="0"/>
          <w:color w:val="000A0F"/>
          <w:spacing w:val="0"/>
          <w:kern w:val="0"/>
          <w:sz w:val="22"/>
          <w:szCs w:val="22"/>
          <w:u w:val="single"/>
          <w:lang w:val="en-US" w:eastAsia="zh-CN" w:bidi="ar"/>
        </w:rPr>
        <w:instrText xml:space="preserve"> HYPERLINK "https://moodle.uwtsd.ac.uk/course/view.php?id=8801" </w:instrText>
      </w:r>
      <w:r>
        <w:rPr>
          <w:rFonts w:ascii="Segoe UI" w:hAnsi="Segoe UI" w:eastAsia="Segoe UI" w:cs="Segoe UI"/>
          <w:i w:val="0"/>
          <w:iCs w:val="0"/>
          <w:caps w:val="0"/>
          <w:color w:val="000A0F"/>
          <w:spacing w:val="0"/>
          <w:kern w:val="0"/>
          <w:sz w:val="22"/>
          <w:szCs w:val="22"/>
          <w:u w:val="single"/>
          <w:lang w:val="en-US" w:eastAsia="zh-CN" w:bidi="ar"/>
        </w:rPr>
        <w:fldChar w:fldCharType="separate"/>
      </w:r>
      <w:r>
        <w:rPr>
          <w:rStyle w:val="16"/>
          <w:rFonts w:hint="default" w:ascii="Times New Roman" w:hAnsi="Times New Roman" w:cs="Times New Roman"/>
          <w:b/>
          <w:bCs/>
          <w:i w:val="0"/>
          <w:iCs w:val="0"/>
          <w:caps w:val="0"/>
          <w:color w:val="000A0F"/>
          <w:spacing w:val="0"/>
          <w:sz w:val="24"/>
          <w:szCs w:val="24"/>
          <w:u w:val="none"/>
        </w:rPr>
        <w:t>Strategic Marketing (BMBM6016)</w:t>
      </w:r>
      <w:bookmarkStart w:id="13" w:name="_GoBack"/>
      <w:bookmarkEnd w:id="13"/>
    </w:p>
    <w:p>
      <w:pPr>
        <w:keepNext w:val="0"/>
        <w:keepLines w:val="0"/>
        <w:widowControl/>
        <w:suppressLineNumbers w:val="0"/>
        <w:jc w:val="left"/>
      </w:pPr>
      <w:r>
        <w:rPr>
          <w:rFonts w:hint="default" w:ascii="Segoe UI" w:hAnsi="Segoe UI" w:eastAsia="Segoe UI" w:cs="Segoe UI"/>
          <w:i w:val="0"/>
          <w:iCs w:val="0"/>
          <w:caps w:val="0"/>
          <w:color w:val="000A0F"/>
          <w:spacing w:val="0"/>
          <w:kern w:val="0"/>
          <w:sz w:val="22"/>
          <w:szCs w:val="22"/>
          <w:u w:val="single"/>
          <w:lang w:val="en-US" w:eastAsia="zh-CN" w:bidi="ar"/>
        </w:rPr>
        <w:fldChar w:fldCharType="end"/>
      </w:r>
    </w:p>
    <w:p>
      <w:pPr>
        <w:spacing w:line="480" w:lineRule="auto"/>
        <w:jc w:val="center"/>
        <w:rPr>
          <w:rFonts w:hint="default"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hint="eastAsia" w:ascii="Times New Roman" w:hAnsi="Times New Roman" w:cs="Times New Roman"/>
          <w:b/>
          <w:sz w:val="24"/>
          <w:szCs w:val="24"/>
          <w:lang w:val="en-US" w:eastAsia="zh-CN"/>
        </w:rPr>
      </w:pPr>
    </w:p>
    <w:p>
      <w:pPr>
        <w:spacing w:line="480" w:lineRule="auto"/>
        <w:jc w:val="both"/>
        <w:rPr>
          <w:rFonts w:ascii="Times New Roman" w:hAnsi="Times New Roman" w:cs="Times New Roman"/>
          <w:b/>
          <w:sz w:val="24"/>
          <w:szCs w:val="24"/>
          <w:lang w:val="en-US"/>
        </w:rPr>
      </w:pPr>
    </w:p>
    <w:p>
      <w:pPr>
        <w:spacing w:line="480" w:lineRule="auto"/>
        <w:jc w:val="both"/>
        <w:rPr>
          <w:rFonts w:ascii="Times New Roman" w:hAnsi="Times New Roman" w:cs="Times New Roman"/>
          <w:b/>
          <w:sz w:val="24"/>
          <w:szCs w:val="24"/>
          <w:lang w:val="en-US"/>
        </w:rPr>
      </w:pPr>
    </w:p>
    <w:p>
      <w:pPr>
        <w:spacing w:line="48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Executive summary </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This report analyses the present and future external and internal environment of Marriott International by examining the impacts of the ongoing Covid-19 pandemic and the responses by the company. Five key frameworks are applied in this analysis including PESTEL analysis, Porter’s five forces analysis, SWOT analysis and VRIO framework analysis. Research findings from PESTEL analysis shows that Covid-19 has significantly impacted the economic and social environment facing the company resulting in reduced profitability and changes in customer lifestyle and habits. Competitive rivalry is also identified as a significant force facing the company because of lack of differentiation among competitors. A SWOT analysis indicates that substitutes and specifically the rise of Airbnb is a major threat for the company. Furthermore, VRIO analysis shows that technology has the potential to act as a source of sustained competitive advantage for the company. The report recommends that Marriott International need to accelerate its plan of adopting more Airbnb style accommodations. It also needs to increase investment in technologies that allows contactless services such as increased adoption of artificial intelligence. It should also formulate and implement a training program for its employees that allow them to ad</w:t>
      </w:r>
      <w:r>
        <w:rPr>
          <w:rFonts w:hint="eastAsia" w:ascii="Times New Roman" w:hAnsi="Times New Roman" w:cs="Times New Roman"/>
          <w:sz w:val="24"/>
          <w:szCs w:val="24"/>
          <w:lang w:val="en-US" w:eastAsia="zh-CN"/>
        </w:rPr>
        <w:t>a</w:t>
      </w:r>
      <w:r>
        <w:rPr>
          <w:rFonts w:ascii="Times New Roman" w:hAnsi="Times New Roman" w:cs="Times New Roman"/>
          <w:sz w:val="24"/>
          <w:szCs w:val="24"/>
          <w:lang w:val="en-US"/>
        </w:rPr>
        <w:t>pt to proposed changes and changes in consumer behavio</w:t>
      </w:r>
      <w:r>
        <w:rPr>
          <w:rFonts w:hint="eastAsia" w:ascii="Times New Roman" w:hAnsi="Times New Roman" w:cs="Times New Roman"/>
          <w:sz w:val="24"/>
          <w:szCs w:val="24"/>
          <w:lang w:val="en-US" w:eastAsia="zh-CN"/>
        </w:rPr>
        <w:t>u</w:t>
      </w:r>
      <w:r>
        <w:rPr>
          <w:rFonts w:ascii="Times New Roman" w:hAnsi="Times New Roman" w:cs="Times New Roman"/>
          <w:sz w:val="24"/>
          <w:szCs w:val="24"/>
          <w:lang w:val="en-US"/>
        </w:rPr>
        <w:t xml:space="preserve">r. </w:t>
      </w:r>
    </w:p>
    <w:p>
      <w:pPr>
        <w:spacing w:line="480" w:lineRule="auto"/>
        <w:jc w:val="both"/>
        <w:rPr>
          <w:rFonts w:ascii="Times New Roman" w:hAnsi="Times New Roman" w:cs="Times New Roman"/>
          <w:sz w:val="24"/>
          <w:szCs w:val="24"/>
          <w:lang w:val="en-US"/>
        </w:rPr>
      </w:pPr>
    </w:p>
    <w:p>
      <w:pPr>
        <w:spacing w:line="480" w:lineRule="auto"/>
        <w:jc w:val="both"/>
        <w:rPr>
          <w:rFonts w:ascii="Times New Roman" w:hAnsi="Times New Roman" w:cs="Times New Roman"/>
          <w:sz w:val="24"/>
          <w:szCs w:val="24"/>
          <w:lang w:val="en-US"/>
        </w:rPr>
      </w:pPr>
    </w:p>
    <w:p>
      <w:pPr>
        <w:spacing w:line="480" w:lineRule="auto"/>
        <w:jc w:val="both"/>
        <w:rPr>
          <w:rFonts w:ascii="Times New Roman" w:hAnsi="Times New Roman" w:cs="Times New Roman"/>
          <w:sz w:val="24"/>
          <w:szCs w:val="24"/>
          <w:lang w:val="en-US"/>
        </w:rPr>
      </w:pPr>
    </w:p>
    <w:p>
      <w:pPr>
        <w:spacing w:line="480" w:lineRule="auto"/>
        <w:jc w:val="both"/>
        <w:rPr>
          <w:rFonts w:ascii="Times New Roman" w:hAnsi="Times New Roman" w:cs="Times New Roman"/>
          <w:sz w:val="24"/>
          <w:szCs w:val="24"/>
          <w:lang w:val="en-US"/>
        </w:rPr>
      </w:pPr>
    </w:p>
    <w:p>
      <w:pPr>
        <w:spacing w:line="480" w:lineRule="auto"/>
        <w:jc w:val="both"/>
        <w:rPr>
          <w:rFonts w:ascii="Times New Roman" w:hAnsi="Times New Roman" w:cs="Times New Roman"/>
          <w:sz w:val="24"/>
          <w:szCs w:val="24"/>
          <w:lang w:val="en-US"/>
        </w:rPr>
      </w:pPr>
    </w:p>
    <w:p>
      <w:pPr>
        <w:spacing w:line="480" w:lineRule="auto"/>
        <w:jc w:val="both"/>
        <w:rPr>
          <w:rFonts w:ascii="Times New Roman" w:hAnsi="Times New Roman" w:cs="Times New Roman"/>
          <w:sz w:val="24"/>
          <w:szCs w:val="24"/>
          <w:lang w:val="en-US"/>
        </w:rPr>
      </w:pPr>
    </w:p>
    <w:sdt>
      <w:sdtPr>
        <w:rPr>
          <w:rFonts w:asciiTheme="minorHAnsi" w:hAnsiTheme="minorHAnsi" w:eastAsiaTheme="minorEastAsia" w:cstheme="minorBidi"/>
          <w:color w:val="auto"/>
          <w:sz w:val="22"/>
          <w:szCs w:val="22"/>
          <w:lang w:val="en-GB"/>
        </w:rPr>
        <w:id w:val="-248351320"/>
        <w:docPartObj>
          <w:docPartGallery w:val="Table of Contents"/>
          <w:docPartUnique/>
        </w:docPartObj>
      </w:sdtPr>
      <w:sdtEndPr>
        <w:rPr>
          <w:rFonts w:asciiTheme="minorHAnsi" w:hAnsiTheme="minorHAnsi" w:eastAsiaTheme="minorEastAsia" w:cstheme="minorBidi"/>
          <w:b/>
          <w:bCs/>
          <w:color w:val="auto"/>
          <w:sz w:val="22"/>
          <w:szCs w:val="22"/>
          <w:lang w:val="en-GB"/>
        </w:rPr>
      </w:sdtEndPr>
      <w:sdtContent>
        <w:p>
          <w:pPr>
            <w:pStyle w:val="25"/>
            <w:spacing w:line="480" w:lineRule="auto"/>
            <w:jc w:val="center"/>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pPr>
            <w:pStyle w:val="10"/>
            <w:rPr>
              <w:kern w:val="2"/>
              <w:sz w:val="21"/>
              <w:lang w:val="en-US" w:eastAsia="zh-CN"/>
            </w:rPr>
          </w:pPr>
          <w:r>
            <w:fldChar w:fldCharType="begin"/>
          </w:r>
          <w:r>
            <w:instrText xml:space="preserve"> TOC \o "1-3" \h \z \u </w:instrText>
          </w:r>
          <w:r>
            <w:fldChar w:fldCharType="separate"/>
          </w:r>
          <w:r>
            <w:fldChar w:fldCharType="begin"/>
          </w:r>
          <w:r>
            <w:instrText xml:space="preserve"> HYPERLINK \l "_Toc98456776" </w:instrText>
          </w:r>
          <w:r>
            <w:fldChar w:fldCharType="separate"/>
          </w:r>
          <w:r>
            <w:rPr>
              <w:rStyle w:val="16"/>
              <w:rFonts w:ascii="Times New Roman" w:hAnsi="Times New Roman" w:cs="Times New Roman"/>
              <w:b/>
              <w:lang w:val="en-US"/>
            </w:rPr>
            <w:t>1. Introduction</w:t>
          </w:r>
          <w:r>
            <w:tab/>
          </w:r>
          <w:r>
            <w:fldChar w:fldCharType="begin"/>
          </w:r>
          <w:r>
            <w:instrText xml:space="preserve"> PAGEREF _Toc98456776 \h </w:instrText>
          </w:r>
          <w:r>
            <w:fldChar w:fldCharType="separate"/>
          </w:r>
          <w:r>
            <w:t>4</w:t>
          </w:r>
          <w:r>
            <w:fldChar w:fldCharType="end"/>
          </w:r>
          <w:r>
            <w:fldChar w:fldCharType="end"/>
          </w:r>
        </w:p>
        <w:p>
          <w:pPr>
            <w:pStyle w:val="10"/>
            <w:rPr>
              <w:kern w:val="2"/>
              <w:sz w:val="21"/>
              <w:lang w:val="en-US" w:eastAsia="zh-CN"/>
            </w:rPr>
          </w:pPr>
          <w:r>
            <w:fldChar w:fldCharType="begin"/>
          </w:r>
          <w:r>
            <w:instrText xml:space="preserve"> HYPERLINK \l "_Toc98456777" </w:instrText>
          </w:r>
          <w:r>
            <w:fldChar w:fldCharType="separate"/>
          </w:r>
          <w:r>
            <w:rPr>
              <w:rStyle w:val="16"/>
              <w:rFonts w:ascii="Times New Roman" w:hAnsi="Times New Roman" w:cs="Times New Roman"/>
              <w:b/>
              <w:lang w:val="en-US"/>
            </w:rPr>
            <w:t>2. Macro and micro environment analysis</w:t>
          </w:r>
          <w:r>
            <w:tab/>
          </w:r>
          <w:r>
            <w:fldChar w:fldCharType="begin"/>
          </w:r>
          <w:r>
            <w:instrText xml:space="preserve"> PAGEREF _Toc98456777 \h </w:instrText>
          </w:r>
          <w:r>
            <w:fldChar w:fldCharType="separate"/>
          </w:r>
          <w:r>
            <w:t>5</w:t>
          </w:r>
          <w:r>
            <w:fldChar w:fldCharType="end"/>
          </w:r>
          <w:r>
            <w:fldChar w:fldCharType="end"/>
          </w:r>
        </w:p>
        <w:p>
          <w:pPr>
            <w:pStyle w:val="11"/>
            <w:tabs>
              <w:tab w:val="right" w:leader="dot" w:pos="9016"/>
            </w:tabs>
            <w:rPr>
              <w:kern w:val="2"/>
              <w:sz w:val="21"/>
              <w:lang w:val="en-US" w:eastAsia="zh-CN"/>
            </w:rPr>
          </w:pPr>
          <w:r>
            <w:fldChar w:fldCharType="begin"/>
          </w:r>
          <w:r>
            <w:instrText xml:space="preserve"> HYPERLINK \l "_Toc98456778" </w:instrText>
          </w:r>
          <w:r>
            <w:fldChar w:fldCharType="separate"/>
          </w:r>
          <w:r>
            <w:rPr>
              <w:rStyle w:val="16"/>
              <w:rFonts w:ascii="Times New Roman" w:hAnsi="Times New Roman" w:cs="Times New Roman"/>
              <w:b/>
              <w:lang w:val="en-US"/>
            </w:rPr>
            <w:t>2.1 PESTEL analysis</w:t>
          </w:r>
          <w:r>
            <w:tab/>
          </w:r>
          <w:r>
            <w:fldChar w:fldCharType="begin"/>
          </w:r>
          <w:r>
            <w:instrText xml:space="preserve"> PAGEREF _Toc98456778 \h </w:instrText>
          </w:r>
          <w:r>
            <w:fldChar w:fldCharType="separate"/>
          </w:r>
          <w:r>
            <w:t>5</w:t>
          </w:r>
          <w:r>
            <w:fldChar w:fldCharType="end"/>
          </w:r>
          <w:r>
            <w:fldChar w:fldCharType="end"/>
          </w:r>
        </w:p>
        <w:p>
          <w:pPr>
            <w:pStyle w:val="6"/>
            <w:rPr>
              <w:kern w:val="2"/>
              <w:sz w:val="21"/>
              <w:lang w:val="en-US" w:eastAsia="zh-CN"/>
            </w:rPr>
          </w:pPr>
          <w:r>
            <w:fldChar w:fldCharType="begin"/>
          </w:r>
          <w:r>
            <w:instrText xml:space="preserve"> HYPERLINK \l "_Toc98456779" </w:instrText>
          </w:r>
          <w:r>
            <w:fldChar w:fldCharType="separate"/>
          </w:r>
          <w:r>
            <w:rPr>
              <w:rStyle w:val="16"/>
              <w:rFonts w:ascii="Times New Roman" w:hAnsi="Times New Roman" w:cs="Times New Roman"/>
              <w:b/>
              <w:lang w:val="en-US"/>
            </w:rPr>
            <w:t>2.1.1 Economic environment</w:t>
          </w:r>
          <w:r>
            <w:tab/>
          </w:r>
          <w:r>
            <w:fldChar w:fldCharType="begin"/>
          </w:r>
          <w:r>
            <w:instrText xml:space="preserve"> PAGEREF _Toc98456779 \h </w:instrText>
          </w:r>
          <w:r>
            <w:fldChar w:fldCharType="separate"/>
          </w:r>
          <w:r>
            <w:t>5</w:t>
          </w:r>
          <w:r>
            <w:fldChar w:fldCharType="end"/>
          </w:r>
          <w:r>
            <w:fldChar w:fldCharType="end"/>
          </w:r>
        </w:p>
        <w:p>
          <w:pPr>
            <w:pStyle w:val="6"/>
            <w:rPr>
              <w:kern w:val="2"/>
              <w:sz w:val="21"/>
              <w:lang w:val="en-US" w:eastAsia="zh-CN"/>
            </w:rPr>
          </w:pPr>
          <w:r>
            <w:fldChar w:fldCharType="begin"/>
          </w:r>
          <w:r>
            <w:instrText xml:space="preserve"> HYPERLINK \l "_Toc98456780" </w:instrText>
          </w:r>
          <w:r>
            <w:fldChar w:fldCharType="separate"/>
          </w:r>
          <w:r>
            <w:rPr>
              <w:rStyle w:val="16"/>
              <w:rFonts w:ascii="Times New Roman" w:hAnsi="Times New Roman" w:cs="Times New Roman"/>
              <w:b/>
              <w:lang w:val="en-US"/>
            </w:rPr>
            <w:t>2.1.2 Social environment</w:t>
          </w:r>
          <w:r>
            <w:tab/>
          </w:r>
          <w:r>
            <w:fldChar w:fldCharType="begin"/>
          </w:r>
          <w:r>
            <w:instrText xml:space="preserve"> PAGEREF _Toc98456780 \h </w:instrText>
          </w:r>
          <w:r>
            <w:fldChar w:fldCharType="separate"/>
          </w:r>
          <w:r>
            <w:t>6</w:t>
          </w:r>
          <w:r>
            <w:fldChar w:fldCharType="end"/>
          </w:r>
          <w:r>
            <w:fldChar w:fldCharType="end"/>
          </w:r>
        </w:p>
        <w:p>
          <w:pPr>
            <w:pStyle w:val="11"/>
            <w:tabs>
              <w:tab w:val="right" w:leader="dot" w:pos="9016"/>
            </w:tabs>
            <w:rPr>
              <w:kern w:val="2"/>
              <w:sz w:val="21"/>
              <w:lang w:val="en-US" w:eastAsia="zh-CN"/>
            </w:rPr>
          </w:pPr>
          <w:r>
            <w:fldChar w:fldCharType="begin"/>
          </w:r>
          <w:r>
            <w:instrText xml:space="preserve"> HYPERLINK \l "_Toc98456781" </w:instrText>
          </w:r>
          <w:r>
            <w:fldChar w:fldCharType="separate"/>
          </w:r>
          <w:r>
            <w:rPr>
              <w:rStyle w:val="16"/>
              <w:rFonts w:ascii="Times New Roman" w:hAnsi="Times New Roman" w:cs="Times New Roman"/>
              <w:b/>
              <w:lang w:val="en-US"/>
            </w:rPr>
            <w:t>2.2 Porters five forces analysis</w:t>
          </w:r>
          <w:r>
            <w:tab/>
          </w:r>
          <w:r>
            <w:fldChar w:fldCharType="begin"/>
          </w:r>
          <w:r>
            <w:instrText xml:space="preserve"> PAGEREF _Toc98456781 \h </w:instrText>
          </w:r>
          <w:r>
            <w:fldChar w:fldCharType="separate"/>
          </w:r>
          <w:r>
            <w:t>7</w:t>
          </w:r>
          <w:r>
            <w:fldChar w:fldCharType="end"/>
          </w:r>
          <w:r>
            <w:fldChar w:fldCharType="end"/>
          </w:r>
        </w:p>
        <w:p>
          <w:pPr>
            <w:pStyle w:val="6"/>
            <w:rPr>
              <w:kern w:val="2"/>
              <w:sz w:val="21"/>
              <w:lang w:val="en-US" w:eastAsia="zh-CN"/>
            </w:rPr>
          </w:pPr>
          <w:r>
            <w:fldChar w:fldCharType="begin"/>
          </w:r>
          <w:r>
            <w:instrText xml:space="preserve"> HYPERLINK \l "_Toc98456782" </w:instrText>
          </w:r>
          <w:r>
            <w:fldChar w:fldCharType="separate"/>
          </w:r>
          <w:r>
            <w:rPr>
              <w:rStyle w:val="16"/>
              <w:rFonts w:ascii="Times New Roman" w:hAnsi="Times New Roman" w:cs="Times New Roman"/>
              <w:b/>
              <w:lang w:val="en-US"/>
            </w:rPr>
            <w:t>2.2.1 Competitive rivalry</w:t>
          </w:r>
          <w:r>
            <w:tab/>
          </w:r>
          <w:r>
            <w:fldChar w:fldCharType="begin"/>
          </w:r>
          <w:r>
            <w:instrText xml:space="preserve"> PAGEREF _Toc98456782 \h </w:instrText>
          </w:r>
          <w:r>
            <w:fldChar w:fldCharType="separate"/>
          </w:r>
          <w:r>
            <w:t>8</w:t>
          </w:r>
          <w:r>
            <w:fldChar w:fldCharType="end"/>
          </w:r>
          <w:r>
            <w:fldChar w:fldCharType="end"/>
          </w:r>
        </w:p>
        <w:p>
          <w:pPr>
            <w:pStyle w:val="11"/>
            <w:tabs>
              <w:tab w:val="right" w:leader="dot" w:pos="9016"/>
            </w:tabs>
            <w:rPr>
              <w:kern w:val="2"/>
              <w:sz w:val="21"/>
              <w:lang w:val="en-US" w:eastAsia="zh-CN"/>
            </w:rPr>
          </w:pPr>
          <w:r>
            <w:fldChar w:fldCharType="begin"/>
          </w:r>
          <w:r>
            <w:instrText xml:space="preserve"> HYPERLINK \l "_Toc98456783" </w:instrText>
          </w:r>
          <w:r>
            <w:fldChar w:fldCharType="separate"/>
          </w:r>
          <w:r>
            <w:rPr>
              <w:rStyle w:val="16"/>
              <w:rFonts w:ascii="Times New Roman" w:hAnsi="Times New Roman" w:cs="Times New Roman"/>
              <w:b/>
              <w:lang w:val="en-US"/>
            </w:rPr>
            <w:t>2.3 SWOT analysis</w:t>
          </w:r>
          <w:r>
            <w:tab/>
          </w:r>
          <w:r>
            <w:fldChar w:fldCharType="begin"/>
          </w:r>
          <w:r>
            <w:instrText xml:space="preserve"> PAGEREF _Toc98456783 \h </w:instrText>
          </w:r>
          <w:r>
            <w:fldChar w:fldCharType="separate"/>
          </w:r>
          <w:r>
            <w:t>8</w:t>
          </w:r>
          <w:r>
            <w:fldChar w:fldCharType="end"/>
          </w:r>
          <w:r>
            <w:fldChar w:fldCharType="end"/>
          </w:r>
        </w:p>
        <w:p>
          <w:pPr>
            <w:pStyle w:val="6"/>
            <w:rPr>
              <w:kern w:val="2"/>
              <w:sz w:val="21"/>
              <w:lang w:val="en-US" w:eastAsia="zh-CN"/>
            </w:rPr>
          </w:pPr>
          <w:r>
            <w:fldChar w:fldCharType="begin"/>
          </w:r>
          <w:r>
            <w:instrText xml:space="preserve"> HYPERLINK \l "_Toc98456784" </w:instrText>
          </w:r>
          <w:r>
            <w:fldChar w:fldCharType="separate"/>
          </w:r>
          <w:r>
            <w:rPr>
              <w:rStyle w:val="16"/>
              <w:rFonts w:ascii="Times New Roman" w:hAnsi="Times New Roman" w:cs="Times New Roman"/>
              <w:b/>
              <w:lang w:val="en-US"/>
            </w:rPr>
            <w:t>2.3.1 Threat</w:t>
          </w:r>
          <w:r>
            <w:tab/>
          </w:r>
          <w:r>
            <w:fldChar w:fldCharType="begin"/>
          </w:r>
          <w:r>
            <w:instrText xml:space="preserve"> PAGEREF _Toc98456784 \h </w:instrText>
          </w:r>
          <w:r>
            <w:fldChar w:fldCharType="separate"/>
          </w:r>
          <w:r>
            <w:t>9</w:t>
          </w:r>
          <w:r>
            <w:fldChar w:fldCharType="end"/>
          </w:r>
          <w:r>
            <w:fldChar w:fldCharType="end"/>
          </w:r>
        </w:p>
        <w:p>
          <w:pPr>
            <w:pStyle w:val="11"/>
            <w:tabs>
              <w:tab w:val="right" w:leader="dot" w:pos="9016"/>
            </w:tabs>
            <w:rPr>
              <w:kern w:val="2"/>
              <w:sz w:val="21"/>
              <w:lang w:val="en-US" w:eastAsia="zh-CN"/>
            </w:rPr>
          </w:pPr>
          <w:r>
            <w:fldChar w:fldCharType="begin"/>
          </w:r>
          <w:r>
            <w:instrText xml:space="preserve"> HYPERLINK \l "_Toc98456785" </w:instrText>
          </w:r>
          <w:r>
            <w:fldChar w:fldCharType="separate"/>
          </w:r>
          <w:r>
            <w:rPr>
              <w:rStyle w:val="16"/>
              <w:rFonts w:ascii="Times New Roman" w:hAnsi="Times New Roman" w:cs="Times New Roman"/>
              <w:b/>
              <w:lang w:val="en-US"/>
            </w:rPr>
            <w:t>2.4 VRIO analysis</w:t>
          </w:r>
          <w:r>
            <w:tab/>
          </w:r>
          <w:r>
            <w:fldChar w:fldCharType="begin"/>
          </w:r>
          <w:r>
            <w:instrText xml:space="preserve"> PAGEREF _Toc98456785 \h </w:instrText>
          </w:r>
          <w:r>
            <w:fldChar w:fldCharType="separate"/>
          </w:r>
          <w:r>
            <w:t>10</w:t>
          </w:r>
          <w:r>
            <w:fldChar w:fldCharType="end"/>
          </w:r>
          <w:r>
            <w:fldChar w:fldCharType="end"/>
          </w:r>
        </w:p>
        <w:p>
          <w:pPr>
            <w:pStyle w:val="10"/>
            <w:rPr>
              <w:kern w:val="2"/>
              <w:sz w:val="21"/>
              <w:lang w:val="en-US" w:eastAsia="zh-CN"/>
            </w:rPr>
          </w:pPr>
          <w:r>
            <w:fldChar w:fldCharType="begin"/>
          </w:r>
          <w:r>
            <w:instrText xml:space="preserve"> HYPERLINK \l "_Toc98456786" </w:instrText>
          </w:r>
          <w:r>
            <w:fldChar w:fldCharType="separate"/>
          </w:r>
          <w:r>
            <w:rPr>
              <w:rStyle w:val="16"/>
              <w:rFonts w:ascii="Times New Roman" w:hAnsi="Times New Roman" w:cs="Times New Roman"/>
              <w:b/>
              <w:lang w:val="en-US"/>
            </w:rPr>
            <w:t>3. Recommendations</w:t>
          </w:r>
          <w:r>
            <w:tab/>
          </w:r>
          <w:r>
            <w:fldChar w:fldCharType="begin"/>
          </w:r>
          <w:r>
            <w:instrText xml:space="preserve"> PAGEREF _Toc98456786 \h </w:instrText>
          </w:r>
          <w:r>
            <w:fldChar w:fldCharType="separate"/>
          </w:r>
          <w:r>
            <w:t>12</w:t>
          </w:r>
          <w:r>
            <w:fldChar w:fldCharType="end"/>
          </w:r>
          <w:r>
            <w:fldChar w:fldCharType="end"/>
          </w:r>
        </w:p>
        <w:p>
          <w:pPr>
            <w:pStyle w:val="10"/>
            <w:rPr>
              <w:kern w:val="2"/>
              <w:sz w:val="21"/>
              <w:lang w:val="en-US" w:eastAsia="zh-CN"/>
            </w:rPr>
          </w:pPr>
          <w:r>
            <w:fldChar w:fldCharType="begin"/>
          </w:r>
          <w:r>
            <w:instrText xml:space="preserve"> HYPERLINK \l "_Toc98456787" </w:instrText>
          </w:r>
          <w:r>
            <w:fldChar w:fldCharType="separate"/>
          </w:r>
          <w:r>
            <w:rPr>
              <w:rStyle w:val="16"/>
              <w:rFonts w:ascii="Times New Roman" w:hAnsi="Times New Roman" w:cs="Times New Roman"/>
              <w:b/>
              <w:lang w:val="en-US"/>
            </w:rPr>
            <w:t>4. Conclusion</w:t>
          </w:r>
          <w:r>
            <w:tab/>
          </w:r>
          <w:r>
            <w:fldChar w:fldCharType="begin"/>
          </w:r>
          <w:r>
            <w:instrText xml:space="preserve"> PAGEREF _Toc98456787 \h </w:instrText>
          </w:r>
          <w:r>
            <w:fldChar w:fldCharType="separate"/>
          </w:r>
          <w:r>
            <w:t>13</w:t>
          </w:r>
          <w:r>
            <w:fldChar w:fldCharType="end"/>
          </w:r>
          <w:r>
            <w:fldChar w:fldCharType="end"/>
          </w:r>
        </w:p>
        <w:p>
          <w:pPr>
            <w:pStyle w:val="10"/>
            <w:rPr>
              <w:kern w:val="2"/>
              <w:sz w:val="21"/>
              <w:lang w:val="en-US" w:eastAsia="zh-CN"/>
            </w:rPr>
          </w:pPr>
          <w:r>
            <w:fldChar w:fldCharType="begin"/>
          </w:r>
          <w:r>
            <w:instrText xml:space="preserve"> HYPERLINK \l "_Toc98456788" </w:instrText>
          </w:r>
          <w:r>
            <w:fldChar w:fldCharType="separate"/>
          </w:r>
          <w:r>
            <w:rPr>
              <w:rStyle w:val="16"/>
              <w:rFonts w:ascii="Times New Roman" w:hAnsi="Times New Roman" w:eastAsia="Times New Roman" w:cs="Times New Roman"/>
              <w:b/>
              <w:lang w:eastAsia="en-GB"/>
            </w:rPr>
            <w:t>References</w:t>
          </w:r>
          <w:r>
            <w:tab/>
          </w:r>
          <w:r>
            <w:fldChar w:fldCharType="begin"/>
          </w:r>
          <w:r>
            <w:instrText xml:space="preserve"> PAGEREF _Toc98456788 \h </w:instrText>
          </w:r>
          <w:r>
            <w:fldChar w:fldCharType="separate"/>
          </w:r>
          <w:r>
            <w:t>15</w:t>
          </w:r>
          <w:r>
            <w:fldChar w:fldCharType="end"/>
          </w:r>
          <w:r>
            <w:fldChar w:fldCharType="end"/>
          </w:r>
        </w:p>
        <w:p>
          <w:pPr>
            <w:rPr>
              <w:rFonts w:hint="eastAsia"/>
            </w:rPr>
          </w:pPr>
          <w:r>
            <w:rPr>
              <w:b/>
              <w:bCs/>
            </w:rPr>
            <w:fldChar w:fldCharType="end"/>
          </w:r>
        </w:p>
      </w:sdtContent>
    </w:sdt>
    <w:p>
      <w:pPr>
        <w:pStyle w:val="2"/>
        <w:spacing w:line="480" w:lineRule="auto"/>
        <w:jc w:val="both"/>
        <w:rPr>
          <w:rFonts w:ascii="Times New Roman" w:hAnsi="Times New Roman" w:cs="Times New Roman"/>
          <w:b/>
          <w:color w:val="auto"/>
          <w:sz w:val="24"/>
          <w:szCs w:val="24"/>
          <w:lang w:val="en-US"/>
        </w:rPr>
      </w:pPr>
      <w:r>
        <w:rPr>
          <w:rFonts w:ascii="Times New Roman" w:hAnsi="Times New Roman" w:cs="Times New Roman"/>
          <w:b/>
          <w:color w:val="auto"/>
          <w:sz w:val="24"/>
          <w:szCs w:val="24"/>
          <w:lang w:val="en-US"/>
        </w:rPr>
        <w:br w:type="column"/>
      </w:r>
      <w:bookmarkStart w:id="0" w:name="_Toc98456776"/>
      <w:r>
        <w:rPr>
          <w:rFonts w:ascii="Times New Roman" w:hAnsi="Times New Roman" w:cs="Times New Roman"/>
          <w:b/>
          <w:color w:val="auto"/>
          <w:sz w:val="24"/>
          <w:szCs w:val="24"/>
          <w:lang w:val="en-US"/>
        </w:rPr>
        <w:t>1. Introduction</w:t>
      </w:r>
      <w:bookmarkEnd w:id="0"/>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ongoing Covid-19 pandemic has resulted in massive disruptions across the world. Among the most significantly affected industry is the hospitality industry (Davahli et al., 2020). In response to this, the marketing manager at Marriott International has requested a market audit focusing on a critical analysis of the company’s current and future internal and external environment. Marriott International is an American multinational hospitality organisation founded in 1927. The company operates in more than 133 countries across the world and it is comprised of 30 brands (Marriott News Centre, 2022). These brands fall under three key quality categories that include luxury, premium and select. Through these brands, the company operates more than 7600 properties with more than 1.4 million rooms. About 55% of these properties are franchised, about 42% are managed through managed agreements, 2% are joint ventures and about 1% are owned by Marriott (Marriott International Annual Report, 2020).  </w:t>
      </w:r>
    </w:p>
    <w:p>
      <w:pPr>
        <w:spacing w:line="480" w:lineRule="auto"/>
        <w:jc w:val="both"/>
        <w:rPr>
          <w:rFonts w:ascii="Times New Roman" w:hAnsi="Times New Roman" w:cs="Times New Roman"/>
          <w:sz w:val="24"/>
          <w:szCs w:val="24"/>
          <w:lang w:val="en-US" w:eastAsia="zh-CN"/>
        </w:rPr>
      </w:pPr>
      <w:r>
        <w:rPr>
          <w:rFonts w:ascii="Times New Roman" w:hAnsi="Times New Roman" w:cs="Times New Roman"/>
          <w:sz w:val="24"/>
          <w:szCs w:val="24"/>
          <w:lang w:val="en-US"/>
        </w:rPr>
        <w:t>The Covid-19 pandemic began spreading widely in year 2020. The disease is mainly passed through physical contact with an infected person or when a person breath air contaminated with droplets or other airborne particles containing the virus (WHO, 2022). In response to the pandemic, many governments across the world implemented radical containment measures that restricted movement, physical interactions and that mandated strict hygiene measures.  According to Combs (2020), the hospitality industry faced massive business disruptions as a result of these containment measures. For example, the occupancy level at Marriott international was at the lowest level in April of 2020 at 12% (Marriott International Annual Report, 2020).</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Four main frameworks will be used to analyse the internal and the external environment for Marriott International. The first framework is a PESTEL analysis framework where the economic and social environments will be analysed. The second framework is a SWOT analysis where the weaknesses of the company will be analysed. Third framework is the Porter’s five forces analysis where competitive rivalry facing Marriott International is analysed. The fourth framework is a VRIO analysis where the company’s resources and capabilities are analysed. Using the findings from the analysis, the report offers three recommendations. The report ends with a conclusion that summarises key findings. </w:t>
      </w:r>
    </w:p>
    <w:p>
      <w:pPr>
        <w:pStyle w:val="2"/>
        <w:spacing w:line="480" w:lineRule="auto"/>
        <w:jc w:val="both"/>
        <w:rPr>
          <w:rFonts w:ascii="Times New Roman" w:hAnsi="Times New Roman" w:cs="Times New Roman"/>
          <w:b/>
          <w:color w:val="auto"/>
          <w:sz w:val="24"/>
          <w:szCs w:val="24"/>
          <w:lang w:val="en-US"/>
        </w:rPr>
      </w:pPr>
      <w:bookmarkStart w:id="1" w:name="_Toc98456777"/>
      <w:r>
        <w:rPr>
          <w:rFonts w:ascii="Times New Roman" w:hAnsi="Times New Roman" w:cs="Times New Roman"/>
          <w:b/>
          <w:color w:val="auto"/>
          <w:sz w:val="24"/>
          <w:szCs w:val="24"/>
          <w:lang w:val="en-US"/>
        </w:rPr>
        <w:t>2. Macro and micro environment analysis</w:t>
      </w:r>
      <w:bookmarkEnd w:id="1"/>
    </w:p>
    <w:p>
      <w:pPr>
        <w:pStyle w:val="3"/>
        <w:spacing w:line="480" w:lineRule="auto"/>
        <w:rPr>
          <w:rFonts w:ascii="Times New Roman" w:hAnsi="Times New Roman" w:cs="Times New Roman"/>
          <w:b/>
          <w:color w:val="auto"/>
          <w:sz w:val="24"/>
          <w:szCs w:val="24"/>
          <w:lang w:val="en-US"/>
        </w:rPr>
      </w:pPr>
      <w:bookmarkStart w:id="2" w:name="_Toc98456778"/>
      <w:r>
        <w:rPr>
          <w:rFonts w:ascii="Times New Roman" w:hAnsi="Times New Roman" w:cs="Times New Roman"/>
          <w:b/>
          <w:color w:val="auto"/>
          <w:sz w:val="24"/>
          <w:szCs w:val="24"/>
          <w:lang w:val="en-US"/>
        </w:rPr>
        <w:t>2.1 PESTEL analysis</w:t>
      </w:r>
      <w:bookmarkEnd w:id="2"/>
    </w:p>
    <w:p>
      <w:pPr>
        <w:spacing w:line="480" w:lineRule="auto"/>
        <w:jc w:val="both"/>
        <w:rPr>
          <w:rFonts w:ascii="Times New Roman" w:hAnsi="Times New Roman" w:cs="Times New Roman"/>
          <w:sz w:val="24"/>
          <w:szCs w:val="24"/>
          <w:lang w:val="en-US" w:eastAsia="zh-CN"/>
        </w:rPr>
      </w:pPr>
      <w:r>
        <w:rPr>
          <w:rFonts w:ascii="Times New Roman" w:hAnsi="Times New Roman" w:cs="Times New Roman"/>
          <w:sz w:val="24"/>
          <w:szCs w:val="24"/>
          <w:lang w:val="en-US"/>
        </w:rPr>
        <w:t>A PESTEL analysis framework is used for macro environment analysis. It identifies and analysis the political, economic, social, technological, environmental and legal environments facing an organisation (Yüksel, 2012). This framework is important because it can be used to identify key changes in the external environment that can have an effect on the organisation. Apart from identifying these factors, this framework also allows an organisation to either react to these changes or make proactive strategic measures to handle these changes (Blythe, 2010).</w:t>
      </w:r>
      <w:r>
        <w:rPr>
          <w:rFonts w:ascii="Times New Roman" w:hAnsi="Times New Roman" w:cs="Times New Roman"/>
          <w:sz w:val="24"/>
          <w:szCs w:val="24"/>
          <w:lang w:val="en-US" w:eastAsia="zh-CN"/>
        </w:rPr>
        <w:t xml:space="preserve"> </w:t>
      </w:r>
      <w:r>
        <w:rPr>
          <w:rFonts w:ascii="Times New Roman" w:hAnsi="Times New Roman" w:cs="Times New Roman"/>
          <w:sz w:val="24"/>
          <w:szCs w:val="24"/>
          <w:lang w:val="en-US"/>
        </w:rPr>
        <w:t xml:space="preserve">Considering the social and economic impact of the Covid-19 pandemic, this report focuses on the economic and social environment forces that impacts Marriott International. </w:t>
      </w:r>
    </w:p>
    <w:p>
      <w:pPr>
        <w:pStyle w:val="4"/>
        <w:spacing w:line="480" w:lineRule="auto"/>
        <w:rPr>
          <w:rFonts w:ascii="Times New Roman" w:hAnsi="Times New Roman" w:cs="Times New Roman"/>
          <w:b/>
          <w:color w:val="auto"/>
          <w:lang w:val="en-US"/>
        </w:rPr>
      </w:pPr>
      <w:bookmarkStart w:id="3" w:name="_Toc98456779"/>
      <w:r>
        <w:rPr>
          <w:rFonts w:ascii="Times New Roman" w:hAnsi="Times New Roman" w:cs="Times New Roman"/>
          <w:b/>
          <w:color w:val="auto"/>
          <w:lang w:val="en-US"/>
        </w:rPr>
        <w:t>2.1.1 Economic environment</w:t>
      </w:r>
      <w:bookmarkEnd w:id="3"/>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 wide range of factors in the economic environment has a significant impact on the hospitality industry and in particular Marriott International. For Marriott International, the biggest economic issue facing the company is poor economic growth facing many countries as a result of the ongoing Covid-19 pandemic. Poor economic growth is charcaterised by declining GDP which is a core indicator of the economic health of a country.  For example; EU real GDP declined by 6.1% in year 2020</w:t>
      </w:r>
      <w:r>
        <w:t xml:space="preserve"> </w:t>
      </w:r>
      <w:r>
        <w:rPr>
          <w:rFonts w:ascii="Times New Roman" w:hAnsi="Times New Roman" w:cs="Times New Roman"/>
          <w:sz w:val="24"/>
          <w:szCs w:val="24"/>
          <w:lang w:val="en-US"/>
        </w:rPr>
        <w:t>(Verwey, &amp; Monks, 2021). According to</w:t>
      </w:r>
      <w:r>
        <w:t xml:space="preserve"> </w:t>
      </w:r>
      <w:r>
        <w:rPr>
          <w:rFonts w:ascii="Times New Roman" w:hAnsi="Times New Roman" w:cs="Times New Roman"/>
          <w:sz w:val="24"/>
          <w:szCs w:val="24"/>
          <w:lang w:val="en-US"/>
        </w:rPr>
        <w:t>Oum, Kates, &amp; Wexler (2022), the median global GDP declined by almost 4% in year 2020. Economic declines as a result of the pandemic resulted in reducing purchasing power among the hospitality industry customers. This significantly reduced demand at Marriott International. According to Marriott International Annual Report (2020), the company witnessed low demand in year 2020. For example, in April of 2020 demand declined by 90% compared to the previous year. Although economic recovery is still ongoing, demand at the company is yet to reach the pre-2020 levels. Furthermore, as a result of the challenging economic environment, many organisations in the hospitality industry have witnessed reduced revenues and high losses. For example, Marriott</w:t>
      </w:r>
      <w:r>
        <w:rPr>
          <w:rFonts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w:t>
      </w:r>
      <w:r>
        <w:rPr>
          <w:rFonts w:ascii="Times New Roman" w:hAnsi="Times New Roman" w:cs="Times New Roman"/>
          <w:sz w:val="24"/>
          <w:szCs w:val="24"/>
          <w:lang w:val="en-US"/>
        </w:rPr>
        <w:t xml:space="preserve">revenue for year 2020 was $10.571 billion which was a sharp decline from $20.972 billion in 2019 (Marriott International Annual Report, 2020). Furthermore, poor demand is accompanied by an increase in operational costs at the company as it adopts a wide range of Covid-19 preventive measures such as health guidelines pertaining hygiene at its facilities. In response to the tough economic conditions, Marriott International adopted some measures according to Marriott International Annual Report (2020). For example, it has deferred renovations, eliminated a number of positions at the organisations by laying off workers and make other restructuring decisions all aimed at reducing costs. In future, the company hopes to stop these measures and resume normal operations once the risks associated with the pandemic reduces.  For example, the company states that it will continue assessing the impact of the pandemic and adapt its operations. </w:t>
      </w:r>
    </w:p>
    <w:p>
      <w:pPr>
        <w:pStyle w:val="4"/>
        <w:spacing w:line="480" w:lineRule="auto"/>
        <w:rPr>
          <w:rFonts w:ascii="Times New Roman" w:hAnsi="Times New Roman" w:cs="Times New Roman"/>
          <w:b/>
          <w:color w:val="auto"/>
          <w:lang w:val="en-US"/>
        </w:rPr>
      </w:pPr>
      <w:bookmarkStart w:id="4" w:name="_Toc98456780"/>
      <w:r>
        <w:rPr>
          <w:rFonts w:ascii="Times New Roman" w:hAnsi="Times New Roman" w:cs="Times New Roman"/>
          <w:b/>
          <w:color w:val="auto"/>
          <w:lang w:val="en-US"/>
        </w:rPr>
        <w:t>2.1.2 Social environment</w:t>
      </w:r>
      <w:bookmarkEnd w:id="4"/>
      <w:r>
        <w:rPr>
          <w:rFonts w:ascii="Times New Roman" w:hAnsi="Times New Roman" w:cs="Times New Roman"/>
          <w:b/>
          <w:color w:val="auto"/>
          <w:lang w:val="en-US"/>
        </w:rPr>
        <w:t xml:space="preserve"> </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Covid-19 pandemic ha</w:t>
      </w:r>
      <w:r>
        <w:rPr>
          <w:rFonts w:hint="eastAsia" w:ascii="Times New Roman" w:hAnsi="Times New Roman" w:cs="Times New Roman"/>
          <w:sz w:val="24"/>
          <w:szCs w:val="24"/>
          <w:lang w:val="en-US" w:eastAsia="zh-CN"/>
        </w:rPr>
        <w:t>s</w:t>
      </w:r>
      <w:r>
        <w:rPr>
          <w:rFonts w:ascii="Times New Roman" w:hAnsi="Times New Roman" w:cs="Times New Roman"/>
          <w:sz w:val="24"/>
          <w:szCs w:val="24"/>
          <w:lang w:val="en-US"/>
        </w:rPr>
        <w:t xml:space="preserve"> wide reaching social impacts that influences the hospitality industry. According to Amutha (2020), the pandemic has to a significant extent impacted social life across the world. The current social environment is charcaterised by drastic changes in consumer lifestyle and habits. For example, there is a decrease in demand for outdoors leisure activities (Shartaj, Suter, &amp; Warziniack, 2022)</w:t>
      </w:r>
      <w:r>
        <w:rPr>
          <w:rFonts w:hint="eastAsia" w:ascii="Times New Roman" w:hAnsi="Times New Roman" w:cs="Times New Roman"/>
          <w:sz w:val="24"/>
          <w:szCs w:val="24"/>
          <w:lang w:val="en-US" w:eastAsia="zh-CN"/>
        </w:rPr>
        <w:t xml:space="preserve"> as</w:t>
      </w:r>
      <w:r>
        <w:rPr>
          <w:rFonts w:ascii="Times New Roman" w:hAnsi="Times New Roman" w:cs="Times New Roman"/>
          <w:sz w:val="24"/>
          <w:szCs w:val="24"/>
          <w:lang w:val="en-US"/>
        </w:rPr>
        <w:t xml:space="preserve"> there is reduced reduced demand for social gatherings and increased hygiene consciousness. According to ONS (2020), following the Covid-19 pandemic, travel expenditure has declined by 59.1% with hotel expenditure declining by 88% and recreational expenditure declining by 17% in United Kingdom. This </w:t>
      </w:r>
      <w:r>
        <w:rPr>
          <w:rFonts w:hint="eastAsia" w:ascii="Times New Roman" w:hAnsi="Times New Roman" w:cs="Times New Roman"/>
          <w:sz w:val="24"/>
          <w:szCs w:val="24"/>
          <w:lang w:val="en-US" w:eastAsia="zh-CN"/>
        </w:rPr>
        <w:t>change in</w:t>
      </w:r>
      <w:r>
        <w:rPr>
          <w:rFonts w:ascii="Times New Roman" w:hAnsi="Times New Roman" w:cs="Times New Roman"/>
          <w:sz w:val="24"/>
          <w:szCs w:val="24"/>
          <w:lang w:val="en-US"/>
        </w:rPr>
        <w:t xml:space="preserve"> consumer lifestyle and habits </w:t>
      </w:r>
      <w:r>
        <w:rPr>
          <w:rFonts w:hint="eastAsia" w:ascii="Times New Roman" w:hAnsi="Times New Roman" w:cs="Times New Roman"/>
          <w:sz w:val="24"/>
          <w:szCs w:val="24"/>
          <w:lang w:val="en-US" w:eastAsia="zh-CN"/>
        </w:rPr>
        <w:t>is</w:t>
      </w:r>
      <w:r>
        <w:rPr>
          <w:rFonts w:ascii="Times New Roman" w:hAnsi="Times New Roman" w:cs="Times New Roman"/>
          <w:sz w:val="24"/>
          <w:szCs w:val="24"/>
          <w:lang w:val="en-US"/>
        </w:rPr>
        <w:t xml:space="preserve"> as a result of government containment measures against Covid-19 and fear of contracting the disease by many people in the society.</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lang w:val="en-US" w:eastAsia="zh-CN"/>
        </w:rPr>
        <w:t>I</w:t>
      </w:r>
      <w:r>
        <w:rPr>
          <w:rFonts w:hint="eastAsia" w:ascii="Times New Roman" w:hAnsi="Times New Roman" w:cs="Times New Roman"/>
          <w:sz w:val="24"/>
          <w:szCs w:val="24"/>
          <w:lang w:val="en-US" w:eastAsia="zh-CN"/>
        </w:rPr>
        <w:t>t</w:t>
      </w:r>
      <w:r>
        <w:rPr>
          <w:rFonts w:ascii="Times New Roman" w:hAnsi="Times New Roman" w:cs="Times New Roman"/>
          <w:sz w:val="24"/>
          <w:szCs w:val="24"/>
          <w:lang w:val="en-US"/>
        </w:rPr>
        <w:t xml:space="preserve"> impacted Marriott International in several ways. First, </w:t>
      </w:r>
      <w:r>
        <w:rPr>
          <w:rFonts w:hint="eastAsia" w:ascii="Times New Roman" w:hAnsi="Times New Roman" w:cs="Times New Roman"/>
          <w:sz w:val="24"/>
          <w:szCs w:val="24"/>
          <w:lang w:val="en-US" w:eastAsia="zh-CN"/>
        </w:rPr>
        <w:t>it has</w:t>
      </w:r>
      <w:r>
        <w:rPr>
          <w:rFonts w:ascii="Times New Roman" w:hAnsi="Times New Roman" w:cs="Times New Roman"/>
          <w:sz w:val="24"/>
          <w:szCs w:val="24"/>
          <w:lang w:val="en-US"/>
        </w:rPr>
        <w:t xml:space="preserve"> reduced demand for the company’s goods and services (Marriott International Annual Report, 2020). Second, </w:t>
      </w:r>
      <w:r>
        <w:rPr>
          <w:rFonts w:hint="eastAsia" w:ascii="Times New Roman" w:hAnsi="Times New Roman" w:cs="Times New Roman"/>
          <w:sz w:val="24"/>
          <w:szCs w:val="24"/>
          <w:lang w:val="en-US" w:eastAsia="zh-CN"/>
        </w:rPr>
        <w:t>it has</w:t>
      </w:r>
      <w:r>
        <w:rPr>
          <w:rFonts w:ascii="Times New Roman" w:hAnsi="Times New Roman" w:cs="Times New Roman"/>
          <w:sz w:val="24"/>
          <w:szCs w:val="24"/>
          <w:lang w:val="en-US"/>
        </w:rPr>
        <w:t xml:space="preserve"> forced the company to adapt new practices in order to accommodate</w:t>
      </w:r>
      <w:r>
        <w:rPr>
          <w:rFonts w:hint="eastAsia" w:ascii="Times New Roman" w:hAnsi="Times New Roman" w:cs="Times New Roman"/>
          <w:sz w:val="24"/>
          <w:szCs w:val="24"/>
          <w:lang w:val="en-US" w:eastAsia="zh-CN"/>
        </w:rPr>
        <w:t xml:space="preserve"> change in customer lifestyle and habit</w:t>
      </w:r>
      <w:r>
        <w:rPr>
          <w:rFonts w:ascii="Times New Roman" w:hAnsi="Times New Roman" w:cs="Times New Roman"/>
          <w:sz w:val="24"/>
          <w:szCs w:val="24"/>
          <w:lang w:val="en-US"/>
        </w:rPr>
        <w:t>. For example, the company has increased dependence on technology to ensure that it meets the customer’s demand. With increased aversion for physical contact among customers, Marriott International ha</w:t>
      </w:r>
      <w:r>
        <w:rPr>
          <w:rFonts w:hint="eastAsia" w:ascii="Times New Roman" w:hAnsi="Times New Roman" w:cs="Times New Roman"/>
          <w:sz w:val="24"/>
          <w:szCs w:val="24"/>
          <w:lang w:val="en-US" w:eastAsia="zh-CN"/>
        </w:rPr>
        <w:t>s</w:t>
      </w:r>
      <w:r>
        <w:rPr>
          <w:rFonts w:ascii="Times New Roman" w:hAnsi="Times New Roman" w:cs="Times New Roman"/>
          <w:sz w:val="24"/>
          <w:szCs w:val="24"/>
          <w:lang w:val="en-US"/>
        </w:rPr>
        <w:t xml:space="preserve"> invested in digital technologies that allow contactless customer service such as online booking and online payments (Fox, 2021). In response to increased hygiene consciousness the company has put up facilities such as automatic hand washing and temperature taking equipment.  Room service has also been upgraded to ensure adherence to health guidelines. </w:t>
      </w:r>
    </w:p>
    <w:p>
      <w:pPr>
        <w:pStyle w:val="3"/>
        <w:spacing w:line="480" w:lineRule="auto"/>
        <w:rPr>
          <w:rFonts w:ascii="Times New Roman" w:hAnsi="Times New Roman" w:cs="Times New Roman"/>
          <w:b/>
          <w:color w:val="auto"/>
          <w:sz w:val="24"/>
          <w:szCs w:val="24"/>
          <w:lang w:val="en-US"/>
        </w:rPr>
      </w:pPr>
      <w:bookmarkStart w:id="5" w:name="_Toc98456781"/>
      <w:r>
        <w:rPr>
          <w:rFonts w:ascii="Times New Roman" w:hAnsi="Times New Roman" w:cs="Times New Roman"/>
          <w:b/>
          <w:color w:val="auto"/>
          <w:sz w:val="24"/>
          <w:szCs w:val="24"/>
          <w:lang w:val="en-US"/>
        </w:rPr>
        <w:t>2.2 Porters five forces analysis</w:t>
      </w:r>
      <w:bookmarkEnd w:id="5"/>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According to Armstrong et al. (2014), Porter’s five forces analysis framework assesses and evaluates the competitive strength and position of a company. It achieves this by assessing the five key competitive forces that influences an industry including ease of market entry, customers bargaining power, supplier bargaining power, availability of substitutes and competitive rivalry. Porter’s five forces analysis is important because analysis of the forces influencing the industry allows an organisation to formulate strategies to improve its competitive strength and market position. This framework is also vital when formulating a marketing strategy for the organisation</w:t>
      </w:r>
      <w:r>
        <w:t xml:space="preserve"> </w:t>
      </w:r>
      <w:r>
        <w:rPr>
          <w:rFonts w:ascii="Times New Roman" w:hAnsi="Times New Roman" w:cs="Times New Roman"/>
          <w:sz w:val="24"/>
          <w:szCs w:val="24"/>
          <w:lang w:val="en-US"/>
        </w:rPr>
        <w:t xml:space="preserve">(Grundy, 2006). This report focuses on competitive rivalry in the hospitality industry and specifically Marriott International competitors. </w:t>
      </w:r>
    </w:p>
    <w:p>
      <w:pPr>
        <w:pStyle w:val="4"/>
        <w:spacing w:line="480" w:lineRule="auto"/>
        <w:rPr>
          <w:rFonts w:hint="eastAsia" w:ascii="Times New Roman" w:hAnsi="Times New Roman" w:cs="Times New Roman"/>
          <w:b/>
          <w:color w:val="auto"/>
          <w:lang w:val="en-US" w:eastAsia="zh-CN"/>
        </w:rPr>
      </w:pPr>
      <w:bookmarkStart w:id="6" w:name="_Toc98456782"/>
      <w:r>
        <w:rPr>
          <w:rFonts w:ascii="Times New Roman" w:hAnsi="Times New Roman" w:cs="Times New Roman"/>
          <w:b/>
          <w:color w:val="auto"/>
          <w:lang w:val="en-US"/>
        </w:rPr>
        <w:t>2.2.1 Competitive rivalry</w:t>
      </w:r>
      <w:bookmarkEnd w:id="6"/>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Jaya &amp; Yuliarmi (2019), competitive rivalry depends on the number and size of direct competitors in the industry. Where competitors are many and equally balances, the competition rivalry is more intense. The international hospitality industry is comprised of many players most of which are equally balanced hence the high competitive rivalry in the industry. For Marriott International, two of its key competitors include Hilton and Hyatt Hotels Corporation. A review of Marriott International competitors shows that they are equally balanced with the company hence the high competitive rivalry. They all operate a light business model where majority of the properties are franchises or are being managed by the company. They also have multiple brands allowing them to target a wide range of customer segments. This means that majority of Marriott business is not differentiated from its competitors. With the emerge of the Covid-19 pandemic, Marriott International and its multinational competitors have been equally affected. For example, financial analysis also shows that the company including its competitors have seen rapid decline in revenues and profits. Marriott, Hilton and Hyatt had a loss of $267 million (Marriott International Annual Report, 2020), $720 million (Hilton, 2021) and $703 million (Hyatt, 2021) respectively. New substitutes such as Airbnb properties have emerged intensifying competition against Marriott international (Yohn, 2020). In attempts to stay ahead of competitors and cope with emerging customer needs, the company is intensifying use of technology. For example, investment in customer service technologies that allows seamless and contactless communications, book in and book out have been adopted (Fox, 2021). These measures are also aimed at increasing customer confidence. </w:t>
      </w:r>
    </w:p>
    <w:p>
      <w:pPr>
        <w:pStyle w:val="3"/>
        <w:spacing w:line="480" w:lineRule="auto"/>
        <w:rPr>
          <w:rFonts w:ascii="Times New Roman" w:hAnsi="Times New Roman" w:cs="Times New Roman"/>
          <w:b/>
          <w:color w:val="auto"/>
          <w:sz w:val="24"/>
          <w:szCs w:val="24"/>
          <w:lang w:val="en-US"/>
        </w:rPr>
      </w:pPr>
      <w:bookmarkStart w:id="7" w:name="_Toc98456783"/>
      <w:r>
        <w:rPr>
          <w:rFonts w:ascii="Times New Roman" w:hAnsi="Times New Roman" w:cs="Times New Roman"/>
          <w:b/>
          <w:color w:val="auto"/>
          <w:sz w:val="24"/>
          <w:szCs w:val="24"/>
          <w:lang w:val="en-US"/>
        </w:rPr>
        <w:t>2.3 SWOT analysis</w:t>
      </w:r>
      <w:bookmarkEnd w:id="7"/>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SWOT analysis is a tool that assists in identifying an organisation’s strengths, weaknesses, opportunities and threats (Helms &amp; Nixon, 2010). The insight gained is applied in organisation’s strategic planning and it can be used to identify ways that an organisation can gain a competitive advantage in the market. This report focuses on the company’s threats. This is because the ongoing pandemic has revolutionised customer behaviour increasing threats from substitutes that are more aligned to the change. </w:t>
      </w:r>
    </w:p>
    <w:p>
      <w:pPr>
        <w:pStyle w:val="4"/>
        <w:spacing w:line="480" w:lineRule="auto"/>
        <w:rPr>
          <w:rFonts w:ascii="Times New Roman" w:hAnsi="Times New Roman" w:cs="Times New Roman"/>
          <w:b/>
          <w:color w:val="auto"/>
          <w:lang w:val="en-US"/>
        </w:rPr>
      </w:pPr>
      <w:bookmarkStart w:id="8" w:name="_Toc98456784"/>
      <w:r>
        <w:rPr>
          <w:rFonts w:ascii="Times New Roman" w:hAnsi="Times New Roman" w:cs="Times New Roman"/>
          <w:b/>
          <w:color w:val="auto"/>
          <w:lang w:val="en-US"/>
        </w:rPr>
        <w:t>2.3.1 Threat</w:t>
      </w:r>
      <w:bookmarkEnd w:id="8"/>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threat from substitutes and in particular Airbnb is very significant for Marriott International. Airbnb can be considered the largest hotel chain globally. There are more than 6 million rooms listed in Airbnb across more than 100,000 cities in the world (Airbnb, 2021).  Although the number of overnight stays in Airbnb declined from about 247 million in 2019 to 187 million in 2020, it still remains high compared to traditional hotels. Although this industry was also affected by the Covid-19 pandemic, it bounced back faster than traditional hotels. For example, bookings increased by more than 55% in 2021 compared to 2020 with more than 300 million bookings (Business of Apps, 2021). </w:t>
      </w:r>
    </w:p>
    <w:p>
      <w:pPr>
        <w:spacing w:line="480" w:lineRule="auto"/>
        <w:jc w:val="both"/>
        <w:rPr>
          <w:rFonts w:ascii="Times New Roman" w:hAnsi="Times New Roman" w:cs="Times New Roman"/>
          <w:sz w:val="24"/>
          <w:szCs w:val="24"/>
          <w:lang w:val="en-US"/>
        </w:rPr>
      </w:pPr>
      <w:r>
        <w:rPr>
          <w:lang w:val="en-US" w:eastAsia="zh-CN"/>
        </w:rPr>
        <w:drawing>
          <wp:inline distT="0" distB="0" distL="0" distR="0">
            <wp:extent cx="5010150" cy="3095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010150" cy="3095625"/>
                    </a:xfrm>
                    <a:prstGeom prst="rect">
                      <a:avLst/>
                    </a:prstGeom>
                  </pic:spPr>
                </pic:pic>
              </a:graphicData>
            </a:graphic>
          </wp:inline>
        </w:drawing>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Figure 1: Airbnb bookings 2016-2021</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Source: Business of Apps (2021).</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Airbnb are considered a threat to Marriott International because of their large size. Marriott International has about 1.4 million rooms concentrated in fewer locations compared to more than 6 million rooms offered by Airbnb in diverse locations. During the pandemic, more customers were interested in hospitality venues where they had more control of the environment (Yohn, 2020). Airbnb offers this control by allowing the consumers a greater choice of location, facilities and prices. As a result, Airbnb attracted more customers and recovered faster than more traditional hotels such as Marriott. Responding to this threat, Marriott is keen to advance its own Airbnb model facilities under the Marriott Homes &amp; Villa brand and now has more than 10,000 properties in 250 markets (Sheng, 2020). It has also launched a “Taking Care of You” program aimed at boosting customer service. </w:t>
      </w:r>
    </w:p>
    <w:p>
      <w:pPr>
        <w:pStyle w:val="3"/>
        <w:spacing w:line="480" w:lineRule="auto"/>
        <w:rPr>
          <w:rFonts w:ascii="Times New Roman" w:hAnsi="Times New Roman" w:cs="Times New Roman"/>
          <w:b/>
          <w:color w:val="auto"/>
          <w:sz w:val="24"/>
          <w:szCs w:val="24"/>
          <w:lang w:val="en-US"/>
        </w:rPr>
      </w:pPr>
      <w:bookmarkStart w:id="9" w:name="_Toc98456785"/>
      <w:r>
        <w:rPr>
          <w:rFonts w:ascii="Times New Roman" w:hAnsi="Times New Roman" w:cs="Times New Roman"/>
          <w:b/>
          <w:color w:val="auto"/>
          <w:sz w:val="24"/>
          <w:szCs w:val="24"/>
          <w:lang w:val="en-US"/>
        </w:rPr>
        <w:t>2.4 VRIO analysis</w:t>
      </w:r>
      <w:bookmarkEnd w:id="9"/>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According to Barney (2001), one of the key success factors for any organisation is having an edge over the competitors. A competitive advantage refers to attributes that allows an organisation to outperform its competitors. According to the resource based view, an organisation’s resources and capabilities can be a source of competitive advantage (Barney, 2001). VRIO framework states that for these resources and capabilities to offer a sustained competitive advantage, they need to be valuable, rare, inimitable and organized to capture value. A resource or a capability that is imitable with time only offers a temporally competitive advantage while a resource or capability that is valuable but not rare often only offers a competitive parity (Jurevicius, 2021).</w:t>
      </w:r>
    </w:p>
    <w:p>
      <w:pPr>
        <w:spacing w:line="480" w:lineRule="auto"/>
        <w:jc w:val="center"/>
        <w:rPr>
          <w:rFonts w:ascii="Times New Roman" w:hAnsi="Times New Roman" w:cs="Times New Roman"/>
          <w:sz w:val="24"/>
          <w:szCs w:val="24"/>
          <w:lang w:val="en-US"/>
        </w:rPr>
      </w:pPr>
      <w:r>
        <w:rPr>
          <w:lang w:val="en-US" w:eastAsia="zh-CN"/>
        </w:rPr>
        <w:drawing>
          <wp:inline distT="0" distB="0" distL="0" distR="0">
            <wp:extent cx="2261235" cy="408305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2267005" cy="4093944"/>
                    </a:xfrm>
                    <a:prstGeom prst="rect">
                      <a:avLst/>
                    </a:prstGeom>
                  </pic:spPr>
                </pic:pic>
              </a:graphicData>
            </a:graphic>
          </wp:inline>
        </w:drawing>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Figure 2: VRIO framework</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Source: Jurevicius (2021).</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One of the key capabilities that can offer Marriott International a sustained competitive advantage in the market is technology. According to Lin (2003), with the increased competition in business, sustained competitive advantage will be used by those business</w:t>
      </w:r>
      <w:r>
        <w:rPr>
          <w:rFonts w:hint="eastAsia" w:ascii="Times New Roman" w:hAnsi="Times New Roman" w:cs="Times New Roman"/>
          <w:sz w:val="24"/>
          <w:szCs w:val="24"/>
          <w:lang w:val="en-US" w:eastAsia="zh-CN"/>
        </w:rPr>
        <w:t>es</w:t>
      </w:r>
      <w:r>
        <w:rPr>
          <w:rFonts w:ascii="Times New Roman" w:hAnsi="Times New Roman" w:cs="Times New Roman"/>
          <w:sz w:val="24"/>
          <w:szCs w:val="24"/>
          <w:lang w:val="en-US"/>
        </w:rPr>
        <w:t xml:space="preserve"> that invest in technology innovations and application. Before the beginning of the </w:t>
      </w:r>
      <w:r>
        <w:rPr>
          <w:rFonts w:hint="eastAsia" w:ascii="Times New Roman" w:hAnsi="Times New Roman" w:cs="Times New Roman"/>
          <w:sz w:val="24"/>
          <w:szCs w:val="24"/>
          <w:lang w:val="en-US" w:eastAsia="zh-CN"/>
        </w:rPr>
        <w:t>C</w:t>
      </w:r>
      <w:r>
        <w:rPr>
          <w:rFonts w:ascii="Times New Roman" w:hAnsi="Times New Roman" w:cs="Times New Roman"/>
          <w:sz w:val="24"/>
          <w:szCs w:val="24"/>
          <w:lang w:val="en-US"/>
        </w:rPr>
        <w:t>ovid</w:t>
      </w:r>
      <w:r>
        <w:rPr>
          <w:rFonts w:hint="eastAsia" w:ascii="Times New Roman" w:hAnsi="Times New Roman" w:cs="Times New Roman"/>
          <w:sz w:val="24"/>
          <w:szCs w:val="24"/>
          <w:lang w:val="en-US" w:eastAsia="zh-CN"/>
        </w:rPr>
        <w:t xml:space="preserve">-19 </w:t>
      </w:r>
      <w:r>
        <w:rPr>
          <w:rFonts w:ascii="Times New Roman" w:hAnsi="Times New Roman" w:cs="Times New Roman"/>
          <w:sz w:val="24"/>
          <w:szCs w:val="24"/>
          <w:lang w:val="en-US"/>
        </w:rPr>
        <w:t xml:space="preserve">pandemic, Marriott International had begun investment in digital technology aimed at improving customer experience. For example, the company had introduced a Marriott Bonvoy app that allowed customers to search for hotels, do mobile check in and in some select hotels use mobile keys to access their rooms (Fox, 2021). The company had also normalised the use of Chatbots to ensure faster communication with their customers. </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Although the above technologies offer a competitive advantage before the pandemic, they became normal across all hospitality organisations during the pandemic. As a consequence, these technologies stopped being rare and thus could only offer a competitive parity to Marriott International during the pandemic. As a result, there is a need for further technological innovations at Marriott International for technology to offer the company a sustained competitive advantage. Currently, the company has begun testing its new contactless tech in its hotels. The new contactless technology offers mobile check in, mobile check out, mobile room key, mobile dining and mobile requests. It is achieved through the company’s upgraded Marriott Bonvoy app that allows real time messages and communication (Fox, 2021). Success of this technology will allow the company to recover faster from the adverse effects of the Covid-19 pandemic. According to Fox (2020), survey by Travel Technology Association shows that about 65% of travels will only feel safe if their accommodations uses the latest technology. Success of the new technology will allow the company to regain a sustained competitive advantage using technology. </w:t>
      </w:r>
    </w:p>
    <w:p>
      <w:pPr>
        <w:pStyle w:val="2"/>
        <w:spacing w:line="480" w:lineRule="auto"/>
        <w:rPr>
          <w:rFonts w:ascii="Times New Roman" w:hAnsi="Times New Roman" w:cs="Times New Roman"/>
          <w:b/>
          <w:color w:val="auto"/>
          <w:sz w:val="24"/>
          <w:szCs w:val="24"/>
          <w:lang w:val="en-US"/>
        </w:rPr>
      </w:pPr>
      <w:bookmarkStart w:id="10" w:name="_Toc98456786"/>
      <w:r>
        <w:rPr>
          <w:rFonts w:ascii="Times New Roman" w:hAnsi="Times New Roman" w:cs="Times New Roman"/>
          <w:b/>
          <w:color w:val="auto"/>
          <w:sz w:val="24"/>
          <w:szCs w:val="24"/>
          <w:lang w:val="en-US"/>
        </w:rPr>
        <w:t>3. Recommendations</w:t>
      </w:r>
      <w:bookmarkEnd w:id="10"/>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From the analysis of the company’s internal and external environment, there are three key recommendations for Marriott International. The first recommendation is that the company needs to accelerate its plan of adopting more Airbnb style accommodations. According to Yohn (2020), Airbnb accommodations are more popular among the customers because they give them more control over their environment. This can be implemented through further development of its Marriott Homes &amp; Villa that have already adopted the model. Increased adoption of this model will allow the company to attract more customers especially price sensitive customers searching for bargain prices or hygiene conscious customers requires more options when selecting accommodations.</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second recommendation is that the company should increase investment in technology to maximise on the use of technology to gain a sustainable competitive advantage in the market. The company should ensure that all its facilities offer an option for total contactless services. According to Fox (2020), this will make majority of the customers feel safe. The company should also invest in artificial intelligence technology that further allows more contactless services to the customers. </w:t>
      </w:r>
    </w:p>
    <w:p>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third recommendation is that the company needs to invest in employee training allowing them to meet the changing needs of the customers as well as deal with emerging market changes. </w:t>
      </w:r>
      <w:r>
        <w:rPr>
          <w:rFonts w:hint="eastAsia" w:ascii="Times New Roman" w:hAnsi="Times New Roman" w:cs="Times New Roman"/>
          <w:sz w:val="24"/>
          <w:szCs w:val="24"/>
          <w:lang w:val="en-US" w:eastAsia="zh-CN"/>
        </w:rPr>
        <w:t>B</w:t>
      </w:r>
      <w:r>
        <w:rPr>
          <w:rFonts w:ascii="Times New Roman" w:hAnsi="Times New Roman" w:cs="Times New Roman"/>
          <w:sz w:val="24"/>
          <w:szCs w:val="24"/>
          <w:lang w:val="en-US"/>
        </w:rPr>
        <w:t>ased</w:t>
      </w:r>
      <w:r>
        <w:rPr>
          <w:rFonts w:hint="eastAsia" w:ascii="Times New Roman" w:hAnsi="Times New Roman" w:cs="Times New Roman"/>
          <w:sz w:val="24"/>
          <w:szCs w:val="24"/>
          <w:lang w:val="en-US" w:eastAsia="zh-CN"/>
        </w:rPr>
        <w:t xml:space="preserve"> on above analysis, </w:t>
      </w:r>
      <w:r>
        <w:rPr>
          <w:rFonts w:ascii="Times New Roman" w:hAnsi="Times New Roman" w:cs="Times New Roman"/>
          <w:sz w:val="24"/>
          <w:szCs w:val="24"/>
          <w:lang w:val="en-US"/>
        </w:rPr>
        <w:t xml:space="preserve">the ongoing pandemic has resulted in major changes in the hospitality industry. These include changes in consumer </w:t>
      </w:r>
      <w:r>
        <w:rPr>
          <w:rFonts w:hint="eastAsia" w:ascii="Times New Roman" w:hAnsi="Times New Roman" w:cs="Times New Roman"/>
          <w:sz w:val="24"/>
          <w:szCs w:val="24"/>
          <w:lang w:val="en-US" w:eastAsia="zh-CN"/>
        </w:rPr>
        <w:t>behavious</w:t>
      </w:r>
      <w:r>
        <w:rPr>
          <w:rFonts w:ascii="Times New Roman" w:hAnsi="Times New Roman" w:cs="Times New Roman"/>
          <w:sz w:val="24"/>
          <w:szCs w:val="24"/>
          <w:lang w:val="en-US"/>
        </w:rPr>
        <w:t xml:space="preserve"> as well as increased adoption of technology. As a consequence, it is important for Marriott International to ensure that their employees are well trained to handle these changes. </w:t>
      </w:r>
    </w:p>
    <w:p>
      <w:pPr>
        <w:pStyle w:val="2"/>
        <w:spacing w:line="480" w:lineRule="auto"/>
        <w:rPr>
          <w:rFonts w:ascii="Times New Roman" w:hAnsi="Times New Roman" w:cs="Times New Roman"/>
          <w:b/>
          <w:color w:val="auto"/>
          <w:sz w:val="24"/>
          <w:szCs w:val="24"/>
          <w:lang w:val="en-US"/>
        </w:rPr>
      </w:pPr>
      <w:bookmarkStart w:id="11" w:name="_Toc98456787"/>
      <w:r>
        <w:rPr>
          <w:rFonts w:ascii="Times New Roman" w:hAnsi="Times New Roman" w:cs="Times New Roman"/>
          <w:b/>
          <w:color w:val="auto"/>
          <w:sz w:val="24"/>
          <w:szCs w:val="24"/>
          <w:lang w:val="en-US"/>
        </w:rPr>
        <w:t>4. Conclusion</w:t>
      </w:r>
      <w:bookmarkEnd w:id="11"/>
      <w:r>
        <w:rPr>
          <w:rFonts w:ascii="Times New Roman" w:hAnsi="Times New Roman" w:cs="Times New Roman"/>
          <w:b/>
          <w:color w:val="auto"/>
          <w:sz w:val="24"/>
          <w:szCs w:val="24"/>
          <w:lang w:val="en-US"/>
        </w:rPr>
        <w:t xml:space="preserve"> </w:t>
      </w:r>
    </w:p>
    <w:p>
      <w:pPr>
        <w:spacing w:line="480" w:lineRule="auto"/>
        <w:jc w:val="both"/>
        <w:rPr>
          <w:rFonts w:hint="eastAsia" w:ascii="Times New Roman" w:hAnsi="Times New Roman" w:cs="Times New Roman"/>
          <w:sz w:val="24"/>
          <w:szCs w:val="24"/>
          <w:lang w:val="en-US" w:eastAsia="zh-CN"/>
        </w:rPr>
      </w:pPr>
      <w:r>
        <w:rPr>
          <w:rFonts w:ascii="Times New Roman" w:hAnsi="Times New Roman" w:cs="Times New Roman"/>
          <w:sz w:val="24"/>
          <w:szCs w:val="24"/>
          <w:lang w:val="en-US"/>
        </w:rPr>
        <w:t>A review of the internal and external environment facing Marriott International indicates how the company’s operations and profitability has been affected by the ongoing Covid-19 pandemic. PESTEL analysis indicates that there have been changes in the economic and social environment. The pandemic has decreased economic growth reducing demand for the company’s products and services. The pandemic has also resulted in changes in customer lifestyle and habit forcing the company to make changes in its operations. Porter’s five forces analysis indicates that the company faces intense competitive rivalry while a SWOT analysis showcases the threat posed by Airbnb. Using a VRIO analysis, technology is seen as a potential source of competitive advantage for the company. To address these issues, the company is recommended to increase adoption of Airbnb format in its accommodations. It is also recommended to increase investment in technology and especially Artificial Intelligence (AI) technologies that supports contactless services. The company also needs to ensure that all their employees are adequately trained to handle recommended changes at the company as well as the changing consumer needs.</w:t>
      </w:r>
    </w:p>
    <w:p>
      <w:pPr>
        <w:pStyle w:val="2"/>
        <w:rPr>
          <w:rFonts w:ascii="Times New Roman" w:hAnsi="Times New Roman" w:eastAsia="Times New Roman" w:cs="Times New Roman"/>
          <w:b/>
          <w:color w:val="000000"/>
          <w:sz w:val="24"/>
          <w:szCs w:val="24"/>
          <w:lang w:eastAsia="en-GB"/>
        </w:rPr>
      </w:pPr>
      <w:r>
        <w:rPr>
          <w:rFonts w:ascii="Times New Roman" w:hAnsi="Times New Roman" w:eastAsia="Times New Roman" w:cs="Times New Roman"/>
          <w:b/>
          <w:color w:val="000000"/>
          <w:sz w:val="24"/>
          <w:szCs w:val="24"/>
          <w:lang w:eastAsia="en-GB"/>
        </w:rPr>
        <w:br w:type="column"/>
      </w:r>
      <w:bookmarkStart w:id="12" w:name="_Toc98456788"/>
      <w:r>
        <w:rPr>
          <w:rFonts w:ascii="Times New Roman" w:hAnsi="Times New Roman" w:eastAsia="Times New Roman" w:cs="Times New Roman"/>
          <w:b/>
          <w:color w:val="000000"/>
          <w:sz w:val="24"/>
          <w:szCs w:val="24"/>
          <w:lang w:eastAsia="en-GB"/>
        </w:rPr>
        <w:t>References</w:t>
      </w:r>
      <w:bookmarkEnd w:id="12"/>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Airbnb. (2021) </w:t>
      </w:r>
      <w:r>
        <w:rPr>
          <w:rFonts w:ascii="Times New Roman" w:hAnsi="Times New Roman" w:eastAsia="Times New Roman" w:cs="Times New Roman"/>
          <w:i/>
          <w:color w:val="000000"/>
          <w:sz w:val="24"/>
          <w:szCs w:val="24"/>
          <w:lang w:eastAsia="en-GB"/>
        </w:rPr>
        <w:t>About us</w:t>
      </w:r>
      <w:r>
        <w:rPr>
          <w:rFonts w:ascii="Times New Roman" w:hAnsi="Times New Roman" w:eastAsia="Times New Roman" w:cs="Times New Roman"/>
          <w:color w:val="000000"/>
          <w:sz w:val="24"/>
          <w:szCs w:val="24"/>
          <w:lang w:eastAsia="en-GB"/>
        </w:rPr>
        <w:t>. Available at https://news.airbnb.com/about-us/ (Accessed 15th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Amutha, D. (2020) ‘COVID-19 epidemic and its impact on economy and society’, </w:t>
      </w:r>
      <w:r>
        <w:rPr>
          <w:rFonts w:ascii="Times New Roman" w:hAnsi="Times New Roman" w:eastAsia="Times New Roman" w:cs="Times New Roman"/>
          <w:i/>
          <w:iCs/>
          <w:color w:val="000000"/>
          <w:sz w:val="24"/>
          <w:szCs w:val="24"/>
          <w:lang w:eastAsia="en-GB"/>
        </w:rPr>
        <w:t>SSRN Electronic Journal</w:t>
      </w:r>
      <w:r>
        <w:rPr>
          <w:rFonts w:ascii="Times New Roman" w:hAnsi="Times New Roman" w:eastAsia="Times New Roman" w:cs="Times New Roman"/>
          <w:color w:val="000000"/>
          <w:sz w:val="24"/>
          <w:szCs w:val="24"/>
          <w:lang w:eastAsia="en-GB"/>
        </w:rPr>
        <w:t xml:space="preserve">, </w:t>
      </w:r>
      <w:r>
        <w:rPr>
          <w:rFonts w:ascii="Times New Roman" w:hAnsi="Times New Roman" w:eastAsia="Times New Roman" w:cs="Times New Roman"/>
          <w:i/>
          <w:iCs/>
          <w:color w:val="000000"/>
          <w:sz w:val="24"/>
          <w:szCs w:val="24"/>
          <w:lang w:eastAsia="en-GB"/>
        </w:rPr>
        <w:t>10</w:t>
      </w:r>
      <w:r>
        <w:rPr>
          <w:rFonts w:ascii="Times New Roman" w:hAnsi="Times New Roman" w:eastAsia="Times New Roman" w:cs="Times New Roman"/>
          <w:color w:val="000000"/>
          <w:sz w:val="24"/>
          <w:szCs w:val="24"/>
          <w:lang w:eastAsia="en-GB"/>
        </w:rPr>
        <w:t xml:space="preserve">(4), pp, 21-31. </w:t>
      </w:r>
    </w:p>
    <w:p>
      <w:pPr>
        <w:shd w:val="clear" w:color="auto" w:fill="FFFFFF"/>
        <w:spacing w:line="480" w:lineRule="auto"/>
        <w:ind w:right="75"/>
        <w:rPr>
          <w:rFonts w:hint="eastAsia" w:ascii="Times New Roman" w:hAnsi="Times New Roman" w:cs="Times New Roman"/>
          <w:color w:val="000000"/>
          <w:sz w:val="24"/>
          <w:szCs w:val="24"/>
          <w:lang w:eastAsia="zh-CN"/>
        </w:rPr>
      </w:pPr>
      <w:r>
        <w:rPr>
          <w:rFonts w:ascii="Times New Roman" w:hAnsi="Times New Roman" w:eastAsia="Times New Roman" w:cs="Times New Roman"/>
          <w:color w:val="000000"/>
          <w:sz w:val="24"/>
          <w:szCs w:val="24"/>
          <w:lang w:eastAsia="en-GB"/>
        </w:rPr>
        <w:t xml:space="preserve">Armstrong, G., Adam, S., Denize, S., &amp; Kotler, P. (2014) </w:t>
      </w:r>
      <w:r>
        <w:rPr>
          <w:rFonts w:ascii="Times New Roman" w:hAnsi="Times New Roman" w:eastAsia="Times New Roman" w:cs="Times New Roman"/>
          <w:i/>
          <w:iCs/>
          <w:color w:val="000000"/>
          <w:sz w:val="24"/>
          <w:szCs w:val="24"/>
          <w:lang w:eastAsia="en-GB"/>
        </w:rPr>
        <w:t>Principles of marketing</w:t>
      </w:r>
      <w:r>
        <w:rPr>
          <w:rFonts w:ascii="Times New Roman" w:hAnsi="Times New Roman" w:eastAsia="Times New Roman" w:cs="Times New Roman"/>
          <w:color w:val="000000"/>
          <w:sz w:val="24"/>
          <w:szCs w:val="24"/>
          <w:lang w:eastAsia="en-GB"/>
        </w:rPr>
        <w:t xml:space="preserve">. </w:t>
      </w:r>
      <w:r>
        <w:rPr>
          <w:rFonts w:hint="eastAsia" w:ascii="Times New Roman" w:hAnsi="Times New Roman" w:cs="Times New Roman"/>
          <w:color w:val="000000"/>
          <w:sz w:val="24"/>
          <w:szCs w:val="24"/>
          <w:lang w:eastAsia="zh-CN"/>
        </w:rPr>
        <w:t xml:space="preserve">London: </w:t>
      </w:r>
      <w:r>
        <w:rPr>
          <w:rFonts w:ascii="Times New Roman" w:hAnsi="Times New Roman" w:eastAsia="Times New Roman" w:cs="Times New Roman"/>
          <w:color w:val="000000"/>
          <w:sz w:val="24"/>
          <w:szCs w:val="24"/>
          <w:lang w:eastAsia="en-GB"/>
        </w:rPr>
        <w:t>Pearson</w:t>
      </w:r>
      <w:r>
        <w:rPr>
          <w:rFonts w:hint="eastAsia" w:ascii="Times New Roman" w:hAnsi="Times New Roman" w:cs="Times New Roman"/>
          <w:color w:val="000000"/>
          <w:sz w:val="24"/>
          <w:szCs w:val="24"/>
          <w:lang w:eastAsia="zh-CN"/>
        </w:rPr>
        <w:t>.</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Barney, J. B. (2001) ‘Resource-based theories of competitive advantage: A ten-year retrospective on the resource-based view’, </w:t>
      </w:r>
      <w:r>
        <w:rPr>
          <w:rFonts w:ascii="Times New Roman" w:hAnsi="Times New Roman" w:eastAsia="Times New Roman" w:cs="Times New Roman"/>
          <w:i/>
          <w:iCs/>
          <w:color w:val="000000"/>
          <w:sz w:val="24"/>
          <w:szCs w:val="24"/>
          <w:lang w:eastAsia="en-GB"/>
        </w:rPr>
        <w:t>Journal of Management</w:t>
      </w:r>
      <w:r>
        <w:rPr>
          <w:rFonts w:ascii="Times New Roman" w:hAnsi="Times New Roman" w:eastAsia="Times New Roman" w:cs="Times New Roman"/>
          <w:color w:val="000000"/>
          <w:sz w:val="24"/>
          <w:szCs w:val="24"/>
          <w:lang w:eastAsia="en-GB"/>
        </w:rPr>
        <w:t xml:space="preserve">, </w:t>
      </w:r>
      <w:r>
        <w:rPr>
          <w:rFonts w:ascii="Times New Roman" w:hAnsi="Times New Roman" w:eastAsia="Times New Roman" w:cs="Times New Roman"/>
          <w:i/>
          <w:iCs/>
          <w:color w:val="000000"/>
          <w:sz w:val="24"/>
          <w:szCs w:val="24"/>
          <w:lang w:eastAsia="en-GB"/>
        </w:rPr>
        <w:t>27</w:t>
      </w:r>
      <w:r>
        <w:rPr>
          <w:rFonts w:ascii="Times New Roman" w:hAnsi="Times New Roman" w:eastAsia="Times New Roman" w:cs="Times New Roman"/>
          <w:color w:val="000000"/>
          <w:sz w:val="24"/>
          <w:szCs w:val="24"/>
          <w:lang w:eastAsia="en-GB"/>
        </w:rPr>
        <w:t>(6), pp</w:t>
      </w:r>
      <w:r>
        <w:rPr>
          <w:rFonts w:hint="eastAsia" w:ascii="Times New Roman" w:hAnsi="Times New Roman" w:cs="Times New Roman"/>
          <w:color w:val="000000"/>
          <w:sz w:val="24"/>
          <w:szCs w:val="24"/>
          <w:lang w:eastAsia="zh-CN"/>
        </w:rPr>
        <w:t>.</w:t>
      </w:r>
      <w:r>
        <w:rPr>
          <w:rFonts w:ascii="Times New Roman" w:hAnsi="Times New Roman" w:eastAsia="Times New Roman" w:cs="Times New Roman"/>
          <w:color w:val="000000"/>
          <w:sz w:val="24"/>
          <w:szCs w:val="24"/>
          <w:lang w:eastAsia="en-GB"/>
        </w:rPr>
        <w:t xml:space="preserve"> 643-650.</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Blythe, J. (2010) </w:t>
      </w:r>
      <w:r>
        <w:rPr>
          <w:rFonts w:ascii="Times New Roman" w:hAnsi="Times New Roman" w:eastAsia="Times New Roman" w:cs="Times New Roman"/>
          <w:i/>
          <w:iCs/>
          <w:color w:val="000000"/>
          <w:sz w:val="24"/>
          <w:szCs w:val="24"/>
          <w:lang w:eastAsia="en-GB"/>
        </w:rPr>
        <w:t>Marketing essentials</w:t>
      </w:r>
      <w:r>
        <w:rPr>
          <w:rFonts w:ascii="Times New Roman" w:hAnsi="Times New Roman" w:eastAsia="Times New Roman" w:cs="Times New Roman"/>
          <w:color w:val="000000"/>
          <w:sz w:val="24"/>
          <w:szCs w:val="24"/>
          <w:lang w:eastAsia="en-GB"/>
        </w:rPr>
        <w:t xml:space="preserve">. </w:t>
      </w:r>
      <w:r>
        <w:rPr>
          <w:rFonts w:hint="eastAsia" w:ascii="Times New Roman" w:hAnsi="Times New Roman" w:cs="Times New Roman"/>
          <w:color w:val="000000"/>
          <w:sz w:val="24"/>
          <w:szCs w:val="24"/>
          <w:lang w:eastAsia="zh-CN"/>
        </w:rPr>
        <w:t xml:space="preserve">London: </w:t>
      </w:r>
      <w:r>
        <w:rPr>
          <w:rFonts w:ascii="Times New Roman" w:hAnsi="Times New Roman" w:eastAsia="Times New Roman" w:cs="Times New Roman"/>
          <w:color w:val="000000"/>
          <w:sz w:val="24"/>
          <w:szCs w:val="24"/>
          <w:lang w:eastAsia="en-GB"/>
        </w:rPr>
        <w:t>Routledge.</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Business of Apps. (2021) </w:t>
      </w:r>
      <w:r>
        <w:rPr>
          <w:rFonts w:ascii="Times New Roman" w:hAnsi="Times New Roman" w:eastAsia="Times New Roman" w:cs="Times New Roman"/>
          <w:i/>
          <w:color w:val="000000"/>
          <w:sz w:val="24"/>
          <w:szCs w:val="24"/>
          <w:lang w:eastAsia="en-GB"/>
        </w:rPr>
        <w:t>Airbnb revenue and usage statistics (2021)</w:t>
      </w:r>
      <w:r>
        <w:rPr>
          <w:rFonts w:ascii="Times New Roman" w:hAnsi="Times New Roman" w:eastAsia="Times New Roman" w:cs="Times New Roman"/>
          <w:color w:val="000000"/>
          <w:sz w:val="24"/>
          <w:szCs w:val="24"/>
          <w:lang w:eastAsia="en-GB"/>
        </w:rPr>
        <w:t>. Available at https://www.businessofapps.com/data/airbnb-statistics/ (Accessed 15th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Combs, L. (2020) </w:t>
      </w:r>
      <w:r>
        <w:rPr>
          <w:rFonts w:ascii="Times New Roman" w:hAnsi="Times New Roman" w:eastAsia="Times New Roman" w:cs="Times New Roman"/>
          <w:i/>
          <w:color w:val="000000"/>
          <w:sz w:val="24"/>
          <w:szCs w:val="24"/>
          <w:lang w:eastAsia="en-GB"/>
        </w:rPr>
        <w:t>COVID-19 implications on the hospitality industry</w:t>
      </w:r>
      <w:r>
        <w:rPr>
          <w:rFonts w:ascii="Times New Roman" w:hAnsi="Times New Roman" w:eastAsia="Times New Roman" w:cs="Times New Roman"/>
          <w:color w:val="000000"/>
          <w:sz w:val="24"/>
          <w:szCs w:val="24"/>
          <w:lang w:eastAsia="en-GB"/>
        </w:rPr>
        <w:t>. Available at https://www.hlb.global/covid-19-implications-on-the-hospitality-industry/ (Accessed 1</w:t>
      </w:r>
      <w:r>
        <w:rPr>
          <w:rFonts w:hint="eastAsia" w:ascii="Times New Roman" w:hAnsi="Times New Roman" w:cs="Times New Roman"/>
          <w:color w:val="000000"/>
          <w:sz w:val="24"/>
          <w:szCs w:val="24"/>
          <w:lang w:eastAsia="zh-CN"/>
        </w:rPr>
        <w:t>3</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val="en-US"/>
        </w:rPr>
      </w:pPr>
      <w:r>
        <w:rPr>
          <w:rFonts w:ascii="Times New Roman" w:hAnsi="Times New Roman" w:eastAsia="Times New Roman" w:cs="Times New Roman"/>
          <w:color w:val="000000"/>
          <w:sz w:val="24"/>
          <w:szCs w:val="24"/>
          <w:lang w:val="en-US"/>
        </w:rPr>
        <w:t xml:space="preserve">Davahli, M. R., Karwowski, W., Sonmez, S., &amp; Apostolopoulos, Y. (2020) ‘The Hospitality Industry in the Face of the COVID-19 Pandemic: Current Topics and Research Methods’, </w:t>
      </w:r>
      <w:r>
        <w:rPr>
          <w:rFonts w:ascii="Times New Roman" w:hAnsi="Times New Roman" w:eastAsia="Times New Roman" w:cs="Times New Roman"/>
          <w:i/>
          <w:iCs/>
          <w:color w:val="000000"/>
          <w:sz w:val="24"/>
          <w:szCs w:val="24"/>
          <w:lang w:val="en-US"/>
        </w:rPr>
        <w:t>International Journal of Environmental Research and Public Health</w:t>
      </w:r>
      <w:r>
        <w:rPr>
          <w:rFonts w:ascii="Times New Roman" w:hAnsi="Times New Roman" w:eastAsia="Times New Roman" w:cs="Times New Roman"/>
          <w:color w:val="000000"/>
          <w:sz w:val="24"/>
          <w:szCs w:val="24"/>
          <w:lang w:val="en-US"/>
        </w:rPr>
        <w:t xml:space="preserve">, </w:t>
      </w:r>
      <w:r>
        <w:rPr>
          <w:rFonts w:ascii="Times New Roman" w:hAnsi="Times New Roman" w:eastAsia="Times New Roman" w:cs="Times New Roman"/>
          <w:i/>
          <w:iCs/>
          <w:color w:val="000000"/>
          <w:sz w:val="24"/>
          <w:szCs w:val="24"/>
          <w:lang w:val="en-US"/>
        </w:rPr>
        <w:t>17</w:t>
      </w:r>
      <w:r>
        <w:rPr>
          <w:rFonts w:ascii="Times New Roman" w:hAnsi="Times New Roman" w:eastAsia="Times New Roman" w:cs="Times New Roman"/>
          <w:color w:val="000000"/>
          <w:sz w:val="24"/>
          <w:szCs w:val="24"/>
          <w:lang w:val="en-US"/>
        </w:rPr>
        <w:t>(20), 7366. doi:10.3390/ijerph17207366</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Fox, J. T. (2020) </w:t>
      </w:r>
      <w:r>
        <w:rPr>
          <w:rFonts w:ascii="Times New Roman" w:hAnsi="Times New Roman" w:eastAsia="Times New Roman" w:cs="Times New Roman"/>
          <w:i/>
          <w:color w:val="000000"/>
          <w:sz w:val="24"/>
          <w:szCs w:val="24"/>
          <w:lang w:eastAsia="en-GB"/>
        </w:rPr>
        <w:t>New study looks at how technology can support travel recovery</w:t>
      </w:r>
      <w:r>
        <w:rPr>
          <w:rFonts w:ascii="Times New Roman" w:hAnsi="Times New Roman" w:eastAsia="Times New Roman" w:cs="Times New Roman"/>
          <w:color w:val="000000"/>
          <w:sz w:val="24"/>
          <w:szCs w:val="24"/>
          <w:lang w:eastAsia="en-GB"/>
        </w:rPr>
        <w:t>. Available at https://www.hotelmanagement.net/tech/amadeus-how-technology-can-support-travel-recovery (Accessed 1</w:t>
      </w:r>
      <w:r>
        <w:rPr>
          <w:rFonts w:hint="eastAsia" w:ascii="Times New Roman" w:hAnsi="Times New Roman" w:cs="Times New Roman"/>
          <w:color w:val="000000"/>
          <w:sz w:val="24"/>
          <w:szCs w:val="24"/>
          <w:lang w:eastAsia="zh-CN"/>
        </w:rPr>
        <w:t>3</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Fox, J. T. (2021) </w:t>
      </w:r>
      <w:r>
        <w:rPr>
          <w:rFonts w:ascii="Times New Roman" w:hAnsi="Times New Roman" w:eastAsia="Times New Roman" w:cs="Times New Roman"/>
          <w:i/>
          <w:color w:val="000000"/>
          <w:sz w:val="24"/>
          <w:szCs w:val="24"/>
          <w:lang w:eastAsia="en-GB"/>
        </w:rPr>
        <w:t>Marriott tests new contactless tech at hotels</w:t>
      </w:r>
      <w:r>
        <w:rPr>
          <w:rFonts w:ascii="Times New Roman" w:hAnsi="Times New Roman" w:eastAsia="Times New Roman" w:cs="Times New Roman"/>
          <w:color w:val="000000"/>
          <w:sz w:val="24"/>
          <w:szCs w:val="24"/>
          <w:lang w:eastAsia="en-GB"/>
        </w:rPr>
        <w:t>. Available at https://www.hotelmanagement.net/tech/marriott-tests-new-contactless-tech-at-hotels (Accessed 1</w:t>
      </w:r>
      <w:r>
        <w:rPr>
          <w:rFonts w:hint="eastAsia" w:ascii="Times New Roman" w:hAnsi="Times New Roman" w:cs="Times New Roman"/>
          <w:color w:val="000000"/>
          <w:sz w:val="24"/>
          <w:szCs w:val="24"/>
          <w:lang w:eastAsia="zh-CN"/>
        </w:rPr>
        <w:t>4</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Grundy, T. (2006) ‘Rethinking and reinventing Michael Porter's Five Forces model’, </w:t>
      </w:r>
      <w:r>
        <w:rPr>
          <w:rFonts w:ascii="Times New Roman" w:hAnsi="Times New Roman" w:eastAsia="Times New Roman" w:cs="Times New Roman"/>
          <w:i/>
          <w:iCs/>
          <w:color w:val="000000"/>
          <w:sz w:val="24"/>
          <w:szCs w:val="24"/>
          <w:lang w:eastAsia="en-GB"/>
        </w:rPr>
        <w:t>Strategic Change</w:t>
      </w:r>
      <w:r>
        <w:rPr>
          <w:rFonts w:ascii="Times New Roman" w:hAnsi="Times New Roman" w:eastAsia="Times New Roman" w:cs="Times New Roman"/>
          <w:color w:val="000000"/>
          <w:sz w:val="24"/>
          <w:szCs w:val="24"/>
          <w:lang w:eastAsia="en-GB"/>
        </w:rPr>
        <w:t xml:space="preserve">, </w:t>
      </w:r>
      <w:r>
        <w:rPr>
          <w:rFonts w:ascii="Times New Roman" w:hAnsi="Times New Roman" w:eastAsia="Times New Roman" w:cs="Times New Roman"/>
          <w:i/>
          <w:iCs/>
          <w:color w:val="000000"/>
          <w:sz w:val="24"/>
          <w:szCs w:val="24"/>
          <w:lang w:eastAsia="en-GB"/>
        </w:rPr>
        <w:t>15</w:t>
      </w:r>
      <w:r>
        <w:rPr>
          <w:rFonts w:ascii="Times New Roman" w:hAnsi="Times New Roman" w:eastAsia="Times New Roman" w:cs="Times New Roman"/>
          <w:color w:val="000000"/>
          <w:sz w:val="24"/>
          <w:szCs w:val="24"/>
          <w:lang w:eastAsia="en-GB"/>
        </w:rPr>
        <w:t>(5), pp, 213-229.</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Helms, M. M., &amp; Nixon, J. (2010) ‘Exploring SWOT analysis – where are we now?’ </w:t>
      </w:r>
      <w:r>
        <w:rPr>
          <w:rFonts w:ascii="Times New Roman" w:hAnsi="Times New Roman" w:eastAsia="Times New Roman" w:cs="Times New Roman"/>
          <w:i/>
          <w:iCs/>
          <w:color w:val="000000"/>
          <w:sz w:val="24"/>
          <w:szCs w:val="24"/>
          <w:lang w:eastAsia="en-GB"/>
        </w:rPr>
        <w:t>Journal of Strategy and Management</w:t>
      </w:r>
      <w:r>
        <w:rPr>
          <w:rFonts w:ascii="Times New Roman" w:hAnsi="Times New Roman" w:eastAsia="Times New Roman" w:cs="Times New Roman"/>
          <w:color w:val="000000"/>
          <w:sz w:val="24"/>
          <w:szCs w:val="24"/>
          <w:lang w:eastAsia="en-GB"/>
        </w:rPr>
        <w:t xml:space="preserve">, </w:t>
      </w:r>
      <w:r>
        <w:rPr>
          <w:rFonts w:ascii="Times New Roman" w:hAnsi="Times New Roman" w:eastAsia="Times New Roman" w:cs="Times New Roman"/>
          <w:i/>
          <w:iCs/>
          <w:color w:val="000000"/>
          <w:sz w:val="24"/>
          <w:szCs w:val="24"/>
          <w:lang w:eastAsia="en-GB"/>
        </w:rPr>
        <w:t>3</w:t>
      </w:r>
      <w:r>
        <w:rPr>
          <w:rFonts w:ascii="Times New Roman" w:hAnsi="Times New Roman" w:eastAsia="Times New Roman" w:cs="Times New Roman"/>
          <w:color w:val="000000"/>
          <w:sz w:val="24"/>
          <w:szCs w:val="24"/>
          <w:lang w:eastAsia="en-GB"/>
        </w:rPr>
        <w:t>(3), pp</w:t>
      </w:r>
      <w:r>
        <w:rPr>
          <w:rFonts w:hint="eastAsia" w:ascii="Times New Roman" w:hAnsi="Times New Roman" w:cs="Times New Roman"/>
          <w:color w:val="000000"/>
          <w:sz w:val="24"/>
          <w:szCs w:val="24"/>
          <w:lang w:eastAsia="zh-CN"/>
        </w:rPr>
        <w:t>.</w:t>
      </w:r>
      <w:r>
        <w:rPr>
          <w:rFonts w:ascii="Times New Roman" w:hAnsi="Times New Roman" w:eastAsia="Times New Roman" w:cs="Times New Roman"/>
          <w:color w:val="000000"/>
          <w:sz w:val="24"/>
          <w:szCs w:val="24"/>
          <w:lang w:eastAsia="en-GB"/>
        </w:rPr>
        <w:t xml:space="preserve"> 215-251.</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Hilton. (2021) </w:t>
      </w:r>
      <w:r>
        <w:rPr>
          <w:rFonts w:ascii="Times New Roman" w:hAnsi="Times New Roman" w:eastAsia="Times New Roman" w:cs="Times New Roman"/>
          <w:i/>
          <w:color w:val="000000"/>
          <w:sz w:val="24"/>
          <w:szCs w:val="24"/>
          <w:lang w:eastAsia="en-GB"/>
        </w:rPr>
        <w:t>Investor Relations</w:t>
      </w:r>
      <w:r>
        <w:rPr>
          <w:rFonts w:ascii="Times New Roman" w:hAnsi="Times New Roman" w:eastAsia="Times New Roman" w:cs="Times New Roman"/>
          <w:color w:val="000000"/>
          <w:sz w:val="24"/>
          <w:szCs w:val="24"/>
          <w:lang w:eastAsia="en-GB"/>
        </w:rPr>
        <w:t xml:space="preserve"> </w:t>
      </w:r>
      <w:r>
        <w:rPr>
          <w:rFonts w:ascii="Times New Roman" w:hAnsi="Times New Roman" w:eastAsia="Times New Roman" w:cs="Times New Roman"/>
          <w:i/>
          <w:color w:val="000000"/>
          <w:sz w:val="24"/>
          <w:szCs w:val="24"/>
          <w:lang w:eastAsia="en-GB"/>
        </w:rPr>
        <w:t>Hilton</w:t>
      </w:r>
      <w:r>
        <w:rPr>
          <w:rFonts w:ascii="Times New Roman" w:hAnsi="Times New Roman" w:eastAsia="Times New Roman" w:cs="Times New Roman"/>
          <w:color w:val="000000"/>
          <w:sz w:val="24"/>
          <w:szCs w:val="24"/>
          <w:lang w:eastAsia="en-GB"/>
        </w:rPr>
        <w:t>. Available at https://ir.hilton.com/ (Accessed 15</w:t>
      </w:r>
      <w:r>
        <w:rPr>
          <w:rFonts w:ascii="Times New Roman" w:hAnsi="Times New Roman" w:eastAsia="Times New Roman" w:cs="Times New Roman"/>
          <w:color w:val="000000"/>
          <w:sz w:val="24"/>
          <w:szCs w:val="24"/>
          <w:vertAlign w:val="superscript"/>
          <w:lang w:eastAsia="en-GB"/>
        </w:rPr>
        <w:t>th</w:t>
      </w:r>
      <w:r>
        <w:rPr>
          <w:rFonts w:ascii="Times New Roman" w:hAnsi="Times New Roman" w:eastAsia="Times New Roman" w:cs="Times New Roman"/>
          <w:color w:val="000000"/>
          <w:sz w:val="24"/>
          <w:szCs w:val="24"/>
          <w:lang w:eastAsia="en-GB"/>
        </w:rPr>
        <w:t xml:space="preserve">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Hyatt. (2021) </w:t>
      </w:r>
      <w:r>
        <w:rPr>
          <w:rFonts w:ascii="Times New Roman" w:hAnsi="Times New Roman" w:eastAsia="Times New Roman" w:cs="Times New Roman"/>
          <w:i/>
          <w:color w:val="000000"/>
          <w:sz w:val="24"/>
          <w:szCs w:val="24"/>
          <w:lang w:eastAsia="en-GB"/>
        </w:rPr>
        <w:t>Hyatt Hotels Corporation</w:t>
      </w:r>
      <w:r>
        <w:rPr>
          <w:rFonts w:ascii="Times New Roman" w:hAnsi="Times New Roman" w:eastAsia="Times New Roman" w:cs="Times New Roman"/>
          <w:color w:val="000000"/>
          <w:sz w:val="24"/>
          <w:szCs w:val="24"/>
          <w:lang w:eastAsia="en-GB"/>
        </w:rPr>
        <w:t>. Available at https://investors.hyatt.com/investor-relations/financial-reporting/annual-reports/default.aspx (Accessed 1</w:t>
      </w:r>
      <w:r>
        <w:rPr>
          <w:rFonts w:hint="eastAsia" w:ascii="Times New Roman" w:hAnsi="Times New Roman" w:cs="Times New Roman"/>
          <w:color w:val="000000"/>
          <w:sz w:val="24"/>
          <w:szCs w:val="24"/>
          <w:lang w:eastAsia="zh-CN"/>
        </w:rPr>
        <w:t>3</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Jaya, P., &amp; Yuliarmi, N. (2019) ‘Factors influencing competitiveness of small and medium industry of Bali: Porter’s Five Forces analysis’, </w:t>
      </w:r>
      <w:r>
        <w:rPr>
          <w:rFonts w:ascii="Times New Roman" w:hAnsi="Times New Roman" w:eastAsia="Times New Roman" w:cs="Times New Roman"/>
          <w:i/>
          <w:iCs/>
          <w:color w:val="000000"/>
          <w:sz w:val="24"/>
          <w:szCs w:val="24"/>
          <w:lang w:eastAsia="en-GB"/>
        </w:rPr>
        <w:t>Russian Journal of Agricultural and Socio-Economic Sciences</w:t>
      </w:r>
      <w:r>
        <w:rPr>
          <w:rFonts w:ascii="Times New Roman" w:hAnsi="Times New Roman" w:eastAsia="Times New Roman" w:cs="Times New Roman"/>
          <w:color w:val="000000"/>
          <w:sz w:val="24"/>
          <w:szCs w:val="24"/>
          <w:lang w:eastAsia="en-GB"/>
        </w:rPr>
        <w:t xml:space="preserve">, </w:t>
      </w:r>
      <w:r>
        <w:rPr>
          <w:rFonts w:ascii="Times New Roman" w:hAnsi="Times New Roman" w:eastAsia="Times New Roman" w:cs="Times New Roman"/>
          <w:i/>
          <w:iCs/>
          <w:color w:val="000000"/>
          <w:sz w:val="24"/>
          <w:szCs w:val="24"/>
          <w:lang w:eastAsia="en-GB"/>
        </w:rPr>
        <w:t>89</w:t>
      </w:r>
      <w:r>
        <w:rPr>
          <w:rFonts w:ascii="Times New Roman" w:hAnsi="Times New Roman" w:eastAsia="Times New Roman" w:cs="Times New Roman"/>
          <w:color w:val="000000"/>
          <w:sz w:val="24"/>
          <w:szCs w:val="24"/>
          <w:lang w:eastAsia="en-GB"/>
        </w:rPr>
        <w:t>(5), pp</w:t>
      </w:r>
      <w:r>
        <w:rPr>
          <w:rFonts w:hint="eastAsia" w:ascii="Times New Roman" w:hAnsi="Times New Roman" w:cs="Times New Roman"/>
          <w:color w:val="000000"/>
          <w:sz w:val="24"/>
          <w:szCs w:val="24"/>
          <w:lang w:eastAsia="zh-CN"/>
        </w:rPr>
        <w:t xml:space="preserve">. </w:t>
      </w:r>
      <w:r>
        <w:rPr>
          <w:rFonts w:ascii="Times New Roman" w:hAnsi="Times New Roman" w:eastAsia="Times New Roman" w:cs="Times New Roman"/>
          <w:color w:val="000000"/>
          <w:sz w:val="24"/>
          <w:szCs w:val="24"/>
          <w:lang w:eastAsia="en-GB"/>
        </w:rPr>
        <w:t>45-54.</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Jurevicius, 0. (2021) </w:t>
      </w:r>
      <w:r>
        <w:rPr>
          <w:rFonts w:ascii="Times New Roman" w:hAnsi="Times New Roman" w:eastAsia="Times New Roman" w:cs="Times New Roman"/>
          <w:i/>
          <w:color w:val="000000"/>
          <w:sz w:val="24"/>
          <w:szCs w:val="24"/>
          <w:lang w:eastAsia="en-GB"/>
        </w:rPr>
        <w:t>VRIO framework explained</w:t>
      </w:r>
      <w:r>
        <w:rPr>
          <w:rFonts w:ascii="Times New Roman" w:hAnsi="Times New Roman" w:eastAsia="Times New Roman" w:cs="Times New Roman"/>
          <w:color w:val="000000"/>
          <w:sz w:val="24"/>
          <w:szCs w:val="24"/>
          <w:lang w:eastAsia="en-GB"/>
        </w:rPr>
        <w:t>. Available at https://strategicmanagementinsight.com/tools/vrio/ (Accessed 1</w:t>
      </w:r>
      <w:r>
        <w:rPr>
          <w:rFonts w:hint="eastAsia" w:ascii="Times New Roman" w:hAnsi="Times New Roman" w:cs="Times New Roman"/>
          <w:color w:val="000000"/>
          <w:sz w:val="24"/>
          <w:szCs w:val="24"/>
          <w:lang w:eastAsia="zh-CN"/>
        </w:rPr>
        <w:t>0</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Lin, B. (2003) ‘Technology transfer as technological learning: A source of competitive advantage for firms with limited R&amp;D resources’, </w:t>
      </w:r>
      <w:r>
        <w:rPr>
          <w:rFonts w:ascii="Times New Roman" w:hAnsi="Times New Roman" w:eastAsia="Times New Roman" w:cs="Times New Roman"/>
          <w:i/>
          <w:iCs/>
          <w:color w:val="000000"/>
          <w:sz w:val="24"/>
          <w:szCs w:val="24"/>
          <w:lang w:eastAsia="en-GB"/>
        </w:rPr>
        <w:t>R and D Management</w:t>
      </w:r>
      <w:r>
        <w:rPr>
          <w:rFonts w:ascii="Times New Roman" w:hAnsi="Times New Roman" w:eastAsia="Times New Roman" w:cs="Times New Roman"/>
          <w:color w:val="000000"/>
          <w:sz w:val="24"/>
          <w:szCs w:val="24"/>
          <w:lang w:eastAsia="en-GB"/>
        </w:rPr>
        <w:t xml:space="preserve">, </w:t>
      </w:r>
      <w:r>
        <w:rPr>
          <w:rFonts w:ascii="Times New Roman" w:hAnsi="Times New Roman" w:eastAsia="Times New Roman" w:cs="Times New Roman"/>
          <w:i/>
          <w:iCs/>
          <w:color w:val="000000"/>
          <w:sz w:val="24"/>
          <w:szCs w:val="24"/>
          <w:lang w:eastAsia="en-GB"/>
        </w:rPr>
        <w:t>33</w:t>
      </w:r>
      <w:r>
        <w:rPr>
          <w:rFonts w:ascii="Times New Roman" w:hAnsi="Times New Roman" w:eastAsia="Times New Roman" w:cs="Times New Roman"/>
          <w:color w:val="000000"/>
          <w:sz w:val="24"/>
          <w:szCs w:val="24"/>
          <w:lang w:eastAsia="en-GB"/>
        </w:rPr>
        <w:t>(3), pp</w:t>
      </w:r>
      <w:r>
        <w:rPr>
          <w:rFonts w:hint="eastAsia" w:ascii="Times New Roman" w:hAnsi="Times New Roman" w:cs="Times New Roman"/>
          <w:color w:val="000000"/>
          <w:sz w:val="24"/>
          <w:szCs w:val="24"/>
          <w:lang w:eastAsia="zh-CN"/>
        </w:rPr>
        <w:t>.</w:t>
      </w:r>
      <w:r>
        <w:rPr>
          <w:rFonts w:ascii="Times New Roman" w:hAnsi="Times New Roman" w:eastAsia="Times New Roman" w:cs="Times New Roman"/>
          <w:color w:val="000000"/>
          <w:sz w:val="24"/>
          <w:szCs w:val="24"/>
          <w:lang w:eastAsia="en-GB"/>
        </w:rPr>
        <w:t xml:space="preserve"> 327-341.</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Marriott International Annual Report. (2020) </w:t>
      </w:r>
      <w:r>
        <w:rPr>
          <w:rFonts w:ascii="Times New Roman" w:hAnsi="Times New Roman" w:eastAsia="Times New Roman" w:cs="Times New Roman"/>
          <w:i/>
          <w:color w:val="000000"/>
          <w:sz w:val="24"/>
          <w:szCs w:val="24"/>
          <w:lang w:eastAsia="en-GB"/>
        </w:rPr>
        <w:t>Marriott International Annual Report</w:t>
      </w:r>
      <w:r>
        <w:rPr>
          <w:rFonts w:ascii="Times New Roman" w:hAnsi="Times New Roman" w:eastAsia="Times New Roman" w:cs="Times New Roman"/>
          <w:color w:val="000000"/>
          <w:sz w:val="24"/>
          <w:szCs w:val="24"/>
          <w:lang w:eastAsia="en-GB"/>
        </w:rPr>
        <w:t>. Available at https://marriott.gcs-web.com/static-files/c5e1faef-f1e5-40e3-bd70-5efbbb929a7f (Accessed 1</w:t>
      </w:r>
      <w:r>
        <w:rPr>
          <w:rFonts w:hint="eastAsia" w:ascii="Times New Roman" w:hAnsi="Times New Roman" w:cs="Times New Roman"/>
          <w:color w:val="000000"/>
          <w:sz w:val="24"/>
          <w:szCs w:val="24"/>
          <w:lang w:eastAsia="zh-CN"/>
        </w:rPr>
        <w:t>4</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Marriott News Centre. (2022) </w:t>
      </w:r>
      <w:r>
        <w:rPr>
          <w:rFonts w:ascii="Times New Roman" w:hAnsi="Times New Roman" w:eastAsia="Times New Roman" w:cs="Times New Roman"/>
          <w:i/>
          <w:color w:val="000000"/>
          <w:sz w:val="24"/>
          <w:szCs w:val="24"/>
          <w:lang w:eastAsia="en-GB"/>
        </w:rPr>
        <w:t>Marriott International reports fourth quarter 2020 results</w:t>
      </w:r>
      <w:r>
        <w:rPr>
          <w:rFonts w:ascii="Times New Roman" w:hAnsi="Times New Roman" w:eastAsia="Times New Roman" w:cs="Times New Roman"/>
          <w:color w:val="000000"/>
          <w:sz w:val="24"/>
          <w:szCs w:val="24"/>
          <w:lang w:eastAsia="en-GB"/>
        </w:rPr>
        <w:t>. Available at https://news.marriott.com/news/2021/02/18/marriott-international-reports-fourth-quarter-2020-results (Accessed 15th March 2022).</w:t>
      </w:r>
    </w:p>
    <w:p>
      <w:pPr>
        <w:spacing w:line="480" w:lineRule="auto"/>
        <w:jc w:val="both"/>
        <w:rPr>
          <w:rFonts w:ascii="Times New Roman" w:hAnsi="Times New Roman" w:eastAsia="宋体" w:cs="Times New Roman"/>
          <w:sz w:val="24"/>
          <w:szCs w:val="24"/>
        </w:rPr>
      </w:pPr>
      <w:r>
        <w:rPr>
          <w:rFonts w:ascii="Times New Roman" w:hAnsi="Times New Roman" w:eastAsia="宋体" w:cs="Times New Roman"/>
          <w:sz w:val="24"/>
          <w:szCs w:val="24"/>
        </w:rPr>
        <w:t xml:space="preserve">ONS (2020) </w:t>
      </w:r>
      <w:r>
        <w:rPr>
          <w:rFonts w:ascii="Times New Roman" w:hAnsi="Times New Roman" w:eastAsia="宋体" w:cs="Times New Roman"/>
          <w:i/>
          <w:sz w:val="24"/>
          <w:szCs w:val="24"/>
        </w:rPr>
        <w:t>Coronavirus and the Impact on UK households and businesses: 2020</w:t>
      </w:r>
      <w:r>
        <w:rPr>
          <w:rFonts w:ascii="Times New Roman" w:hAnsi="Times New Roman" w:eastAsia="宋体" w:cs="Times New Roman"/>
          <w:sz w:val="24"/>
          <w:szCs w:val="24"/>
        </w:rPr>
        <w:t>. Available at: https://www.ons.gov.uk/economy/nationalaccounts/uksectoraccounts/articles/coronavirusandtheimpactonukhouseholdsandbusinesses/2020 (Accessed 1</w:t>
      </w:r>
      <w:r>
        <w:rPr>
          <w:rFonts w:hint="eastAsia" w:ascii="Times New Roman" w:hAnsi="Times New Roman" w:eastAsia="宋体" w:cs="Times New Roman"/>
          <w:sz w:val="24"/>
          <w:szCs w:val="24"/>
          <w:lang w:eastAsia="zh-CN"/>
        </w:rPr>
        <w:t>6</w:t>
      </w:r>
      <w:r>
        <w:rPr>
          <w:rFonts w:ascii="Times New Roman" w:hAnsi="Times New Roman" w:eastAsia="宋体" w:cs="Times New Roman"/>
          <w:sz w:val="24"/>
          <w:szCs w:val="24"/>
          <w:vertAlign w:val="superscript"/>
        </w:rPr>
        <w:t>th</w:t>
      </w:r>
      <w:r>
        <w:rPr>
          <w:rFonts w:ascii="Times New Roman" w:hAnsi="Times New Roman" w:eastAsia="宋体" w:cs="Times New Roman"/>
          <w:sz w:val="24"/>
          <w:szCs w:val="24"/>
        </w:rPr>
        <w:t xml:space="preserve"> March 2022). .</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Oum, S., Kates, J., &amp; Wexler, A. (2022) </w:t>
      </w:r>
      <w:r>
        <w:rPr>
          <w:rFonts w:ascii="Times New Roman" w:hAnsi="Times New Roman" w:eastAsia="Times New Roman" w:cs="Times New Roman"/>
          <w:i/>
          <w:color w:val="000000"/>
          <w:sz w:val="24"/>
          <w:szCs w:val="24"/>
          <w:lang w:eastAsia="en-GB"/>
        </w:rPr>
        <w:t>Economic impact of COVID-19 on PEPFAR countries</w:t>
      </w:r>
      <w:r>
        <w:rPr>
          <w:rFonts w:ascii="Times New Roman" w:hAnsi="Times New Roman" w:eastAsia="Times New Roman" w:cs="Times New Roman"/>
          <w:color w:val="000000"/>
          <w:sz w:val="24"/>
          <w:szCs w:val="24"/>
          <w:lang w:eastAsia="en-GB"/>
        </w:rPr>
        <w:t>. Available at https://www.kff.org/global-health-policy/issue-brief/economic-impact-of-covid-19-on-pepfar-countries/ (Accessed 1</w:t>
      </w:r>
      <w:r>
        <w:rPr>
          <w:rFonts w:hint="eastAsia" w:ascii="Times New Roman" w:hAnsi="Times New Roman" w:cs="Times New Roman"/>
          <w:color w:val="000000"/>
          <w:sz w:val="24"/>
          <w:szCs w:val="24"/>
          <w:lang w:eastAsia="zh-CN"/>
        </w:rPr>
        <w:t>2</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Shartaj, M., Suter, J. F., &amp; Warziniack, T. (2022) ‘Summer crowds: An analysis of USFS campground reservations during the COVID-19 pandemic’, </w:t>
      </w:r>
      <w:r>
        <w:rPr>
          <w:rFonts w:ascii="Times New Roman" w:hAnsi="Times New Roman" w:eastAsia="Times New Roman" w:cs="Times New Roman"/>
          <w:i/>
          <w:iCs/>
          <w:color w:val="000000"/>
          <w:sz w:val="24"/>
          <w:szCs w:val="24"/>
          <w:lang w:eastAsia="en-GB"/>
        </w:rPr>
        <w:t>PLOS ONE</w:t>
      </w:r>
      <w:r>
        <w:rPr>
          <w:rFonts w:ascii="Times New Roman" w:hAnsi="Times New Roman" w:eastAsia="Times New Roman" w:cs="Times New Roman"/>
          <w:color w:val="000000"/>
          <w:sz w:val="24"/>
          <w:szCs w:val="24"/>
          <w:lang w:eastAsia="en-GB"/>
        </w:rPr>
        <w:t xml:space="preserve">, </w:t>
      </w:r>
      <w:r>
        <w:rPr>
          <w:rFonts w:ascii="Times New Roman" w:hAnsi="Times New Roman" w:eastAsia="Times New Roman" w:cs="Times New Roman"/>
          <w:i/>
          <w:iCs/>
          <w:color w:val="000000"/>
          <w:sz w:val="24"/>
          <w:szCs w:val="24"/>
          <w:lang w:eastAsia="en-GB"/>
        </w:rPr>
        <w:t>17</w:t>
      </w:r>
      <w:r>
        <w:rPr>
          <w:rFonts w:ascii="Times New Roman" w:hAnsi="Times New Roman" w:eastAsia="Times New Roman" w:cs="Times New Roman"/>
          <w:color w:val="000000"/>
          <w:sz w:val="24"/>
          <w:szCs w:val="24"/>
          <w:lang w:eastAsia="en-GB"/>
        </w:rPr>
        <w:t>(1), pp</w:t>
      </w:r>
      <w:r>
        <w:rPr>
          <w:rFonts w:hint="eastAsia" w:ascii="Times New Roman" w:hAnsi="Times New Roman" w:cs="Times New Roman"/>
          <w:color w:val="000000"/>
          <w:sz w:val="24"/>
          <w:szCs w:val="24"/>
          <w:lang w:eastAsia="zh-CN"/>
        </w:rPr>
        <w:t>.</w:t>
      </w:r>
      <w:r>
        <w:rPr>
          <w:rFonts w:ascii="Times New Roman" w:hAnsi="Times New Roman" w:eastAsia="Times New Roman" w:cs="Times New Roman"/>
          <w:color w:val="000000"/>
          <w:sz w:val="24"/>
          <w:szCs w:val="24"/>
          <w:lang w:eastAsia="en-GB"/>
        </w:rPr>
        <w:t xml:space="preserve"> e0261833.</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Sheng, E. R. (2020) </w:t>
      </w:r>
      <w:r>
        <w:rPr>
          <w:rFonts w:ascii="Times New Roman" w:hAnsi="Times New Roman" w:eastAsia="Times New Roman" w:cs="Times New Roman"/>
          <w:i/>
          <w:color w:val="000000"/>
          <w:sz w:val="24"/>
          <w:szCs w:val="24"/>
          <w:lang w:eastAsia="en-GB"/>
        </w:rPr>
        <w:t>Marriott built its own 'Airbnb' before coronavirus crashed business travel. Did it help?</w:t>
      </w:r>
      <w:r>
        <w:rPr>
          <w:rFonts w:ascii="Times New Roman" w:hAnsi="Times New Roman" w:eastAsia="Times New Roman" w:cs="Times New Roman"/>
          <w:color w:val="000000"/>
          <w:sz w:val="24"/>
          <w:szCs w:val="24"/>
          <w:lang w:eastAsia="en-GB"/>
        </w:rPr>
        <w:t xml:space="preserve"> Available at https://www.cnbc.com/2020/09/13/marriott-built-its-airbnb-before-coronavirus-crash-did-it-help.html (Accessed 1</w:t>
      </w:r>
      <w:r>
        <w:rPr>
          <w:rFonts w:hint="eastAsia" w:ascii="Times New Roman" w:hAnsi="Times New Roman" w:cs="Times New Roman"/>
          <w:color w:val="000000"/>
          <w:sz w:val="24"/>
          <w:szCs w:val="24"/>
          <w:lang w:eastAsia="zh-CN"/>
        </w:rPr>
        <w:t>3</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Verwey,, M., &amp; Monks, A. (2021) </w:t>
      </w:r>
      <w:r>
        <w:rPr>
          <w:rFonts w:ascii="Times New Roman" w:hAnsi="Times New Roman" w:eastAsia="Times New Roman" w:cs="Times New Roman"/>
          <w:i/>
          <w:color w:val="000000"/>
          <w:sz w:val="24"/>
          <w:szCs w:val="24"/>
          <w:lang w:eastAsia="en-GB"/>
        </w:rPr>
        <w:t>The EU economy after COVID-19: Implications for economic governance</w:t>
      </w:r>
      <w:r>
        <w:rPr>
          <w:rFonts w:ascii="Times New Roman" w:hAnsi="Times New Roman" w:eastAsia="Times New Roman" w:cs="Times New Roman"/>
          <w:color w:val="000000"/>
          <w:sz w:val="24"/>
          <w:szCs w:val="24"/>
          <w:lang w:eastAsia="en-GB"/>
        </w:rPr>
        <w:t>. Available at https://voxeu.org/article/eu-economy-after-covid-19-implications-economic-governance (Accessed 1</w:t>
      </w:r>
      <w:r>
        <w:rPr>
          <w:rFonts w:hint="eastAsia" w:ascii="Times New Roman" w:hAnsi="Times New Roman" w:cs="Times New Roman"/>
          <w:color w:val="000000"/>
          <w:sz w:val="24"/>
          <w:szCs w:val="24"/>
          <w:lang w:eastAsia="zh-CN"/>
        </w:rPr>
        <w:t>7</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WHO. (2022) </w:t>
      </w:r>
      <w:r>
        <w:rPr>
          <w:rFonts w:ascii="Times New Roman" w:hAnsi="Times New Roman" w:eastAsia="Times New Roman" w:cs="Times New Roman"/>
          <w:i/>
          <w:color w:val="000000"/>
          <w:sz w:val="24"/>
          <w:szCs w:val="24"/>
          <w:lang w:eastAsia="en-GB"/>
        </w:rPr>
        <w:t xml:space="preserve">Coronavirus disease (COVID-19): How is it transmitted? </w:t>
      </w:r>
      <w:r>
        <w:rPr>
          <w:rFonts w:ascii="Times New Roman" w:hAnsi="Times New Roman" w:eastAsia="Times New Roman" w:cs="Times New Roman"/>
          <w:color w:val="000000"/>
          <w:sz w:val="24"/>
          <w:szCs w:val="24"/>
          <w:lang w:eastAsia="en-GB"/>
        </w:rPr>
        <w:t>Available at https://www.who.int/news-room/questions-and-answers/item/coronavirus-disease-covid-19-how-is-it-transmitted (Accessed 1</w:t>
      </w:r>
      <w:r>
        <w:rPr>
          <w:rFonts w:hint="eastAsia" w:ascii="Times New Roman" w:hAnsi="Times New Roman" w:cs="Times New Roman"/>
          <w:color w:val="000000"/>
          <w:sz w:val="24"/>
          <w:szCs w:val="24"/>
          <w:lang w:eastAsia="zh-CN"/>
        </w:rPr>
        <w:t>3</w:t>
      </w:r>
      <w:r>
        <w:rPr>
          <w:rFonts w:ascii="Times New Roman" w:hAnsi="Times New Roman" w:eastAsia="Times New Roman" w:cs="Times New Roman"/>
          <w:color w:val="000000"/>
          <w:sz w:val="24"/>
          <w:szCs w:val="24"/>
          <w:lang w:eastAsia="en-GB"/>
        </w:rPr>
        <w:t>th March 2022).</w:t>
      </w:r>
    </w:p>
    <w:p>
      <w:pPr>
        <w:shd w:val="clear" w:color="auto" w:fill="FFFFFF"/>
        <w:spacing w:line="480" w:lineRule="auto"/>
        <w:ind w:right="75"/>
        <w:rPr>
          <w:rFonts w:ascii="Times New Roman" w:hAnsi="Times New Roman" w:eastAsia="Times New Roman" w:cs="Times New Roman"/>
          <w:color w:val="000000"/>
          <w:sz w:val="24"/>
          <w:szCs w:val="24"/>
          <w:lang w:eastAsia="en-GB"/>
        </w:rPr>
      </w:pPr>
      <w:r>
        <w:rPr>
          <w:rFonts w:ascii="Times New Roman" w:hAnsi="Times New Roman" w:eastAsia="Times New Roman" w:cs="Times New Roman"/>
          <w:color w:val="000000"/>
          <w:sz w:val="24"/>
          <w:szCs w:val="24"/>
          <w:lang w:eastAsia="en-GB"/>
        </w:rPr>
        <w:t xml:space="preserve">Yohn, D. L. (2020) </w:t>
      </w:r>
      <w:r>
        <w:rPr>
          <w:rFonts w:ascii="Times New Roman" w:hAnsi="Times New Roman" w:eastAsia="Times New Roman" w:cs="Times New Roman"/>
          <w:i/>
          <w:color w:val="000000"/>
          <w:sz w:val="24"/>
          <w:szCs w:val="24"/>
          <w:lang w:eastAsia="en-GB"/>
        </w:rPr>
        <w:t>How Airbnb Survived The Pandemic—And How You Can Too</w:t>
      </w:r>
      <w:r>
        <w:rPr>
          <w:rFonts w:ascii="Times New Roman" w:hAnsi="Times New Roman" w:eastAsia="Times New Roman" w:cs="Times New Roman"/>
          <w:color w:val="000000"/>
          <w:sz w:val="24"/>
          <w:szCs w:val="24"/>
          <w:lang w:eastAsia="en-GB"/>
        </w:rPr>
        <w:t>. Available at https://www.forbes.com/sites/deniselyohn/2020/11/10/how-airbnb-survived-the-pandemic--and-how-you-can-too/?sh=75ef5c709384 (Accessed 15th March 2022).</w:t>
      </w:r>
    </w:p>
    <w:p>
      <w:pPr>
        <w:spacing w:line="480" w:lineRule="auto"/>
        <w:jc w:val="both"/>
        <w:rPr>
          <w:rFonts w:hint="eastAsia" w:ascii="Times New Roman" w:hAnsi="Times New Roman" w:eastAsia="宋体" w:cs="Times New Roman"/>
          <w:sz w:val="24"/>
          <w:szCs w:val="24"/>
          <w:lang w:eastAsia="zh-CN"/>
        </w:rPr>
      </w:pPr>
      <w:r>
        <w:rPr>
          <w:rFonts w:ascii="Times New Roman" w:hAnsi="Times New Roman" w:eastAsia="宋体" w:cs="Times New Roman"/>
          <w:sz w:val="24"/>
          <w:szCs w:val="24"/>
        </w:rPr>
        <w:t xml:space="preserve">Yüksel, I. (2012) 'Developing a multi-criteria decision making model for PESTEL analysis.' </w:t>
      </w:r>
      <w:r>
        <w:rPr>
          <w:rFonts w:ascii="Times New Roman" w:hAnsi="Times New Roman" w:eastAsia="宋体" w:cs="Times New Roman"/>
          <w:i/>
          <w:iCs/>
          <w:sz w:val="24"/>
          <w:szCs w:val="24"/>
        </w:rPr>
        <w:t>International Journal of Business and Management</w:t>
      </w:r>
      <w:r>
        <w:rPr>
          <w:rFonts w:ascii="Times New Roman" w:hAnsi="Times New Roman" w:eastAsia="宋体" w:cs="Times New Roman"/>
          <w:sz w:val="24"/>
          <w:szCs w:val="24"/>
        </w:rPr>
        <w:t xml:space="preserve">, </w:t>
      </w:r>
      <w:r>
        <w:rPr>
          <w:rFonts w:ascii="Times New Roman" w:hAnsi="Times New Roman" w:eastAsia="宋体" w:cs="Times New Roman"/>
          <w:i/>
          <w:iCs/>
          <w:sz w:val="24"/>
          <w:szCs w:val="24"/>
        </w:rPr>
        <w:t>7</w:t>
      </w:r>
      <w:r>
        <w:rPr>
          <w:rFonts w:ascii="Times New Roman" w:hAnsi="Times New Roman" w:eastAsia="宋体" w:cs="Times New Roman"/>
          <w:sz w:val="24"/>
          <w:szCs w:val="24"/>
        </w:rPr>
        <w:t>(24), pp. 52.</w:t>
      </w:r>
    </w:p>
    <w:sectPr>
      <w:footerReference r:id="rId5" w:type="default"/>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31338381"/>
      <w:docPartObj>
        <w:docPartGallery w:val="AutoText"/>
      </w:docPartObj>
    </w:sdtPr>
    <w:sdtContent>
      <w:p>
        <w:pPr>
          <w:pStyle w:val="8"/>
          <w:jc w:val="center"/>
        </w:pPr>
        <w:r>
          <w:fldChar w:fldCharType="begin"/>
        </w:r>
        <w:r>
          <w:instrText xml:space="preserve">PAGE   \* MERGEFORMAT</w:instrText>
        </w:r>
        <w:r>
          <w:fldChar w:fldCharType="separate"/>
        </w:r>
        <w:r>
          <w:rPr>
            <w:lang w:val="zh-CN" w:eastAsia="zh-CN"/>
          </w:rPr>
          <w:t>1</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5A52"/>
    <w:rsid w:val="00003BC0"/>
    <w:rsid w:val="00016143"/>
    <w:rsid w:val="00023D29"/>
    <w:rsid w:val="00025D07"/>
    <w:rsid w:val="00041DA6"/>
    <w:rsid w:val="00072067"/>
    <w:rsid w:val="00082D6D"/>
    <w:rsid w:val="000935F8"/>
    <w:rsid w:val="00094C32"/>
    <w:rsid w:val="000C4CFC"/>
    <w:rsid w:val="000E4BF6"/>
    <w:rsid w:val="000E5C63"/>
    <w:rsid w:val="00102BE7"/>
    <w:rsid w:val="001179B5"/>
    <w:rsid w:val="00122DB8"/>
    <w:rsid w:val="001262ED"/>
    <w:rsid w:val="001548D9"/>
    <w:rsid w:val="00185A42"/>
    <w:rsid w:val="0018643C"/>
    <w:rsid w:val="001A5B8A"/>
    <w:rsid w:val="001A6312"/>
    <w:rsid w:val="001C0570"/>
    <w:rsid w:val="001D043E"/>
    <w:rsid w:val="001E060F"/>
    <w:rsid w:val="001F0BB2"/>
    <w:rsid w:val="001F3229"/>
    <w:rsid w:val="0026044E"/>
    <w:rsid w:val="00261889"/>
    <w:rsid w:val="00270C7A"/>
    <w:rsid w:val="0028185E"/>
    <w:rsid w:val="0029255F"/>
    <w:rsid w:val="002D28AE"/>
    <w:rsid w:val="002D6E9C"/>
    <w:rsid w:val="002F6F49"/>
    <w:rsid w:val="0031181D"/>
    <w:rsid w:val="003207D1"/>
    <w:rsid w:val="003624C1"/>
    <w:rsid w:val="00366445"/>
    <w:rsid w:val="00372A03"/>
    <w:rsid w:val="00372D60"/>
    <w:rsid w:val="003A7BEE"/>
    <w:rsid w:val="003B4DEA"/>
    <w:rsid w:val="003C10E5"/>
    <w:rsid w:val="003D002F"/>
    <w:rsid w:val="003E26E9"/>
    <w:rsid w:val="003F4B00"/>
    <w:rsid w:val="004115F1"/>
    <w:rsid w:val="00424CE9"/>
    <w:rsid w:val="004407F4"/>
    <w:rsid w:val="0044674E"/>
    <w:rsid w:val="00450DC1"/>
    <w:rsid w:val="00454460"/>
    <w:rsid w:val="00460830"/>
    <w:rsid w:val="00470441"/>
    <w:rsid w:val="004766F8"/>
    <w:rsid w:val="00480C08"/>
    <w:rsid w:val="00491680"/>
    <w:rsid w:val="004A36E3"/>
    <w:rsid w:val="004B22D9"/>
    <w:rsid w:val="004C1798"/>
    <w:rsid w:val="004C1976"/>
    <w:rsid w:val="004C4BD4"/>
    <w:rsid w:val="004D114D"/>
    <w:rsid w:val="004D2E41"/>
    <w:rsid w:val="004E6B14"/>
    <w:rsid w:val="004E7525"/>
    <w:rsid w:val="00506EBB"/>
    <w:rsid w:val="00507347"/>
    <w:rsid w:val="005172DE"/>
    <w:rsid w:val="00530617"/>
    <w:rsid w:val="005319B2"/>
    <w:rsid w:val="00535DE9"/>
    <w:rsid w:val="005959CD"/>
    <w:rsid w:val="0059762B"/>
    <w:rsid w:val="005B634F"/>
    <w:rsid w:val="005E0C65"/>
    <w:rsid w:val="005E52AE"/>
    <w:rsid w:val="005E58F7"/>
    <w:rsid w:val="005E7496"/>
    <w:rsid w:val="005F0097"/>
    <w:rsid w:val="005F5BA7"/>
    <w:rsid w:val="005F68B3"/>
    <w:rsid w:val="0061349E"/>
    <w:rsid w:val="00614742"/>
    <w:rsid w:val="00625A22"/>
    <w:rsid w:val="006430C7"/>
    <w:rsid w:val="00667146"/>
    <w:rsid w:val="00673BB3"/>
    <w:rsid w:val="006772BC"/>
    <w:rsid w:val="0068702D"/>
    <w:rsid w:val="006A0F69"/>
    <w:rsid w:val="006C5140"/>
    <w:rsid w:val="006D78B7"/>
    <w:rsid w:val="006E1465"/>
    <w:rsid w:val="006E2704"/>
    <w:rsid w:val="006F6740"/>
    <w:rsid w:val="00712D91"/>
    <w:rsid w:val="00717186"/>
    <w:rsid w:val="00734F75"/>
    <w:rsid w:val="00737841"/>
    <w:rsid w:val="00744715"/>
    <w:rsid w:val="0075631B"/>
    <w:rsid w:val="00780A3B"/>
    <w:rsid w:val="007A5527"/>
    <w:rsid w:val="007A5A52"/>
    <w:rsid w:val="007B247B"/>
    <w:rsid w:val="007B3213"/>
    <w:rsid w:val="007C7C09"/>
    <w:rsid w:val="007D0659"/>
    <w:rsid w:val="007E1661"/>
    <w:rsid w:val="007F0FD9"/>
    <w:rsid w:val="0080798E"/>
    <w:rsid w:val="00807999"/>
    <w:rsid w:val="008079C7"/>
    <w:rsid w:val="00813F1D"/>
    <w:rsid w:val="00824374"/>
    <w:rsid w:val="0082657E"/>
    <w:rsid w:val="0083624A"/>
    <w:rsid w:val="00836922"/>
    <w:rsid w:val="0087376E"/>
    <w:rsid w:val="00886300"/>
    <w:rsid w:val="008B42AB"/>
    <w:rsid w:val="008E741A"/>
    <w:rsid w:val="00913D02"/>
    <w:rsid w:val="00933A3A"/>
    <w:rsid w:val="009947B2"/>
    <w:rsid w:val="00997CB9"/>
    <w:rsid w:val="009C7AD1"/>
    <w:rsid w:val="009E3DAD"/>
    <w:rsid w:val="009E49EC"/>
    <w:rsid w:val="00A04423"/>
    <w:rsid w:val="00A22250"/>
    <w:rsid w:val="00A22CE2"/>
    <w:rsid w:val="00A255FC"/>
    <w:rsid w:val="00A35DEB"/>
    <w:rsid w:val="00A40553"/>
    <w:rsid w:val="00A41DEB"/>
    <w:rsid w:val="00A44885"/>
    <w:rsid w:val="00A51173"/>
    <w:rsid w:val="00A54AE2"/>
    <w:rsid w:val="00A81F92"/>
    <w:rsid w:val="00A913BE"/>
    <w:rsid w:val="00AA2A26"/>
    <w:rsid w:val="00AA2B18"/>
    <w:rsid w:val="00AB181A"/>
    <w:rsid w:val="00AD7597"/>
    <w:rsid w:val="00AE751A"/>
    <w:rsid w:val="00AF1C7B"/>
    <w:rsid w:val="00AF2480"/>
    <w:rsid w:val="00AF537B"/>
    <w:rsid w:val="00B033B7"/>
    <w:rsid w:val="00B063EA"/>
    <w:rsid w:val="00B27307"/>
    <w:rsid w:val="00B31409"/>
    <w:rsid w:val="00B62AAE"/>
    <w:rsid w:val="00B759FB"/>
    <w:rsid w:val="00BA2E47"/>
    <w:rsid w:val="00BB1188"/>
    <w:rsid w:val="00BD754C"/>
    <w:rsid w:val="00BF3AB3"/>
    <w:rsid w:val="00C169AF"/>
    <w:rsid w:val="00C73BBB"/>
    <w:rsid w:val="00C900AE"/>
    <w:rsid w:val="00C94092"/>
    <w:rsid w:val="00CA07A7"/>
    <w:rsid w:val="00CB75B9"/>
    <w:rsid w:val="00CD4AB6"/>
    <w:rsid w:val="00CF509D"/>
    <w:rsid w:val="00D00060"/>
    <w:rsid w:val="00D126F9"/>
    <w:rsid w:val="00D16563"/>
    <w:rsid w:val="00D22F26"/>
    <w:rsid w:val="00D51D31"/>
    <w:rsid w:val="00D53A0B"/>
    <w:rsid w:val="00D66607"/>
    <w:rsid w:val="00D95021"/>
    <w:rsid w:val="00D976C1"/>
    <w:rsid w:val="00DB3A8F"/>
    <w:rsid w:val="00DD12B4"/>
    <w:rsid w:val="00DD455E"/>
    <w:rsid w:val="00DD7803"/>
    <w:rsid w:val="00DE554F"/>
    <w:rsid w:val="00DE5AD2"/>
    <w:rsid w:val="00E23970"/>
    <w:rsid w:val="00E36FD4"/>
    <w:rsid w:val="00E43DF4"/>
    <w:rsid w:val="00E83081"/>
    <w:rsid w:val="00E85864"/>
    <w:rsid w:val="00EA05A5"/>
    <w:rsid w:val="00EB5450"/>
    <w:rsid w:val="00ED3D6B"/>
    <w:rsid w:val="00EE3704"/>
    <w:rsid w:val="00EE383B"/>
    <w:rsid w:val="00EF053F"/>
    <w:rsid w:val="00EF2B57"/>
    <w:rsid w:val="00EF37F1"/>
    <w:rsid w:val="00EF608D"/>
    <w:rsid w:val="00F00C21"/>
    <w:rsid w:val="00F02FB7"/>
    <w:rsid w:val="00F26D32"/>
    <w:rsid w:val="00F4071C"/>
    <w:rsid w:val="00F451CE"/>
    <w:rsid w:val="00F53EF6"/>
    <w:rsid w:val="00F54784"/>
    <w:rsid w:val="00F56FF3"/>
    <w:rsid w:val="00F6616A"/>
    <w:rsid w:val="00F758DC"/>
    <w:rsid w:val="00F8646C"/>
    <w:rsid w:val="00F956F7"/>
    <w:rsid w:val="00FA7229"/>
    <w:rsid w:val="00FE4DC0"/>
    <w:rsid w:val="00FE5F3F"/>
    <w:rsid w:val="00FE7365"/>
    <w:rsid w:val="00FF6A59"/>
    <w:rsid w:val="76C774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US" w:bidi="ar-SA"/>
    </w:rPr>
  </w:style>
  <w:style w:type="paragraph" w:styleId="2">
    <w:name w:val="heading 1"/>
    <w:basedOn w:val="1"/>
    <w:next w:val="1"/>
    <w:link w:val="24"/>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6"/>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27"/>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5">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5">
    <w:name w:val="annotation text"/>
    <w:basedOn w:val="1"/>
    <w:link w:val="21"/>
    <w:semiHidden/>
    <w:unhideWhenUsed/>
    <w:qFormat/>
    <w:uiPriority w:val="99"/>
  </w:style>
  <w:style w:type="paragraph" w:styleId="6">
    <w:name w:val="toc 3"/>
    <w:basedOn w:val="1"/>
    <w:next w:val="1"/>
    <w:unhideWhenUsed/>
    <w:uiPriority w:val="39"/>
    <w:pPr>
      <w:tabs>
        <w:tab w:val="right" w:leader="dot" w:pos="9016"/>
      </w:tabs>
      <w:spacing w:after="100" w:line="480" w:lineRule="auto"/>
      <w:ind w:left="442"/>
    </w:pPr>
  </w:style>
  <w:style w:type="paragraph" w:styleId="7">
    <w:name w:val="Balloon Text"/>
    <w:basedOn w:val="1"/>
    <w:link w:val="23"/>
    <w:semiHidden/>
    <w:unhideWhenUsed/>
    <w:qFormat/>
    <w:uiPriority w:val="99"/>
    <w:pPr>
      <w:spacing w:after="0" w:line="240" w:lineRule="auto"/>
    </w:pPr>
    <w:rPr>
      <w:sz w:val="18"/>
      <w:szCs w:val="18"/>
    </w:rPr>
  </w:style>
  <w:style w:type="paragraph" w:styleId="8">
    <w:name w:val="footer"/>
    <w:basedOn w:val="1"/>
    <w:link w:val="20"/>
    <w:unhideWhenUsed/>
    <w:qFormat/>
    <w:uiPriority w:val="99"/>
    <w:pPr>
      <w:tabs>
        <w:tab w:val="center" w:pos="4513"/>
        <w:tab w:val="right" w:pos="9026"/>
      </w:tabs>
      <w:spacing w:after="0" w:line="240" w:lineRule="auto"/>
    </w:pPr>
  </w:style>
  <w:style w:type="paragraph" w:styleId="9">
    <w:name w:val="header"/>
    <w:basedOn w:val="1"/>
    <w:link w:val="19"/>
    <w:unhideWhenUsed/>
    <w:uiPriority w:val="99"/>
    <w:pPr>
      <w:tabs>
        <w:tab w:val="center" w:pos="4513"/>
        <w:tab w:val="right" w:pos="9026"/>
      </w:tabs>
      <w:spacing w:after="0" w:line="240" w:lineRule="auto"/>
    </w:pPr>
  </w:style>
  <w:style w:type="paragraph" w:styleId="10">
    <w:name w:val="toc 1"/>
    <w:basedOn w:val="1"/>
    <w:next w:val="1"/>
    <w:unhideWhenUsed/>
    <w:qFormat/>
    <w:uiPriority w:val="39"/>
    <w:pPr>
      <w:tabs>
        <w:tab w:val="right" w:leader="dot" w:pos="9016"/>
      </w:tabs>
      <w:spacing w:after="100" w:line="360" w:lineRule="auto"/>
    </w:pPr>
  </w:style>
  <w:style w:type="paragraph" w:styleId="11">
    <w:name w:val="toc 2"/>
    <w:basedOn w:val="1"/>
    <w:next w:val="1"/>
    <w:unhideWhenUsed/>
    <w:qFormat/>
    <w:uiPriority w:val="39"/>
    <w:pPr>
      <w:spacing w:after="100"/>
      <w:ind w:left="220"/>
    </w:pPr>
  </w:style>
  <w:style w:type="paragraph" w:styleId="12">
    <w:name w:val="annotation subject"/>
    <w:basedOn w:val="5"/>
    <w:next w:val="5"/>
    <w:link w:val="22"/>
    <w:semiHidden/>
    <w:unhideWhenUsed/>
    <w:qFormat/>
    <w:uiPriority w:val="99"/>
    <w:rPr>
      <w:b/>
      <w:bCs/>
    </w:rPr>
  </w:style>
  <w:style w:type="table" w:styleId="14">
    <w:name w:val="Table Grid"/>
    <w:basedOn w:val="13"/>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16">
    <w:name w:val="Hyperlink"/>
    <w:basedOn w:val="15"/>
    <w:unhideWhenUsed/>
    <w:uiPriority w:val="99"/>
    <w:rPr>
      <w:color w:val="0563C1" w:themeColor="hyperlink"/>
      <w:u w:val="single"/>
      <w14:textFill>
        <w14:solidFill>
          <w14:schemeClr w14:val="hlink"/>
        </w14:solidFill>
      </w14:textFill>
    </w:rPr>
  </w:style>
  <w:style w:type="character" w:styleId="17">
    <w:name w:val="annotation reference"/>
    <w:basedOn w:val="15"/>
    <w:semiHidden/>
    <w:unhideWhenUsed/>
    <w:qFormat/>
    <w:uiPriority w:val="99"/>
    <w:rPr>
      <w:sz w:val="21"/>
      <w:szCs w:val="21"/>
    </w:rPr>
  </w:style>
  <w:style w:type="paragraph" w:styleId="18">
    <w:name w:val="List Paragraph"/>
    <w:basedOn w:val="1"/>
    <w:qFormat/>
    <w:uiPriority w:val="34"/>
    <w:pPr>
      <w:ind w:left="720"/>
      <w:contextualSpacing/>
    </w:pPr>
  </w:style>
  <w:style w:type="character" w:customStyle="1" w:styleId="19">
    <w:name w:val="页眉 Char"/>
    <w:basedOn w:val="15"/>
    <w:link w:val="9"/>
    <w:qFormat/>
    <w:uiPriority w:val="99"/>
  </w:style>
  <w:style w:type="character" w:customStyle="1" w:styleId="20">
    <w:name w:val="页脚 Char"/>
    <w:basedOn w:val="15"/>
    <w:link w:val="8"/>
    <w:qFormat/>
    <w:uiPriority w:val="99"/>
  </w:style>
  <w:style w:type="character" w:customStyle="1" w:styleId="21">
    <w:name w:val="批注文字 Char"/>
    <w:basedOn w:val="15"/>
    <w:link w:val="5"/>
    <w:semiHidden/>
    <w:uiPriority w:val="99"/>
  </w:style>
  <w:style w:type="character" w:customStyle="1" w:styleId="22">
    <w:name w:val="批注主题 Char"/>
    <w:basedOn w:val="21"/>
    <w:link w:val="12"/>
    <w:semiHidden/>
    <w:qFormat/>
    <w:uiPriority w:val="99"/>
    <w:rPr>
      <w:b/>
      <w:bCs/>
    </w:rPr>
  </w:style>
  <w:style w:type="character" w:customStyle="1" w:styleId="23">
    <w:name w:val="批注框文本 Char"/>
    <w:basedOn w:val="15"/>
    <w:link w:val="7"/>
    <w:semiHidden/>
    <w:uiPriority w:val="99"/>
    <w:rPr>
      <w:sz w:val="18"/>
      <w:szCs w:val="18"/>
    </w:rPr>
  </w:style>
  <w:style w:type="character" w:customStyle="1" w:styleId="24">
    <w:name w:val="标题 1 Char"/>
    <w:basedOn w:val="15"/>
    <w:link w:val="2"/>
    <w:qFormat/>
    <w:uiPriority w:val="9"/>
    <w:rPr>
      <w:rFonts w:asciiTheme="majorHAnsi" w:hAnsiTheme="majorHAnsi" w:eastAsiaTheme="majorEastAsia" w:cstheme="majorBidi"/>
      <w:color w:val="2E75B6" w:themeColor="accent1" w:themeShade="BF"/>
      <w:sz w:val="32"/>
      <w:szCs w:val="32"/>
    </w:rPr>
  </w:style>
  <w:style w:type="paragraph" w:customStyle="1" w:styleId="25">
    <w:name w:val="TOC Heading"/>
    <w:basedOn w:val="2"/>
    <w:next w:val="1"/>
    <w:unhideWhenUsed/>
    <w:qFormat/>
    <w:uiPriority w:val="39"/>
    <w:pPr>
      <w:outlineLvl w:val="9"/>
    </w:pPr>
    <w:rPr>
      <w:lang w:val="en-US"/>
    </w:rPr>
  </w:style>
  <w:style w:type="character" w:customStyle="1" w:styleId="26">
    <w:name w:val="标题 2 Char"/>
    <w:basedOn w:val="15"/>
    <w:link w:val="3"/>
    <w:qFormat/>
    <w:uiPriority w:val="9"/>
    <w:rPr>
      <w:rFonts w:asciiTheme="majorHAnsi" w:hAnsiTheme="majorHAnsi" w:eastAsiaTheme="majorEastAsia" w:cstheme="majorBidi"/>
      <w:color w:val="2E75B6" w:themeColor="accent1" w:themeShade="BF"/>
      <w:sz w:val="26"/>
      <w:szCs w:val="26"/>
    </w:rPr>
  </w:style>
  <w:style w:type="character" w:customStyle="1" w:styleId="27">
    <w:name w:val="标题 3 Char"/>
    <w:basedOn w:val="15"/>
    <w:link w:val="4"/>
    <w:qFormat/>
    <w:uiPriority w:val="9"/>
    <w:rPr>
      <w:rFonts w:asciiTheme="majorHAnsi" w:hAnsiTheme="majorHAnsi" w:eastAsiaTheme="majorEastAsia" w:cstheme="majorBidi"/>
      <w:color w:val="1F4E79" w:themeColor="accent1" w:themeShade="80"/>
      <w:sz w:val="24"/>
      <w:szCs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E404B0C-5713-46F3-BAB3-819F67A47A6C}">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3801</Words>
  <Characters>21667</Characters>
  <Lines>180</Lines>
  <Paragraphs>50</Paragraphs>
  <TotalTime>108</TotalTime>
  <ScaleCrop>false</ScaleCrop>
  <LinksUpToDate>false</LinksUpToDate>
  <CharactersWithSpaces>25418</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2022-03-17T14:09:00Z</dcterms:created>
  <dc:creator>ttc</dc:creator>
  <cp:lastModifiedBy>驳壳枪</cp:lastModifiedBy>
  <dcterms:modified xsi:type="dcterms:W3CDTF">2022-03-18T12:01:05Z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52B686C5D68741F9BA541233FD4B74DC</vt:lpwstr>
  </property>
</Properties>
</file>