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FA51D7" w14:textId="77777777" w:rsidR="00F1242C" w:rsidRDefault="00982066" w:rsidP="008B6458">
      <w:pPr>
        <w:pStyle w:val="Title"/>
        <w:jc w:val="center"/>
        <w:rPr>
          <w:u w:val="single"/>
        </w:rPr>
      </w:pPr>
      <w:r w:rsidRPr="000C4700">
        <w:rPr>
          <w:u w:val="single"/>
        </w:rPr>
        <w:t>International Financial Management</w:t>
      </w:r>
      <w:r w:rsidR="00CA630C">
        <w:rPr>
          <w:u w:val="single"/>
        </w:rPr>
        <w:t xml:space="preserve"> </w:t>
      </w:r>
    </w:p>
    <w:p w14:paraId="027ACA76" w14:textId="1A004240" w:rsidR="00982066" w:rsidRDefault="00CA630C" w:rsidP="008B6458">
      <w:pPr>
        <w:pStyle w:val="Title"/>
        <w:jc w:val="center"/>
        <w:rPr>
          <w:u w:val="single"/>
        </w:rPr>
      </w:pPr>
      <w:r>
        <w:rPr>
          <w:u w:val="single"/>
        </w:rPr>
        <w:t>ASSESSMENT 1</w:t>
      </w:r>
    </w:p>
    <w:p w14:paraId="721E54A7" w14:textId="442F9BEF" w:rsidR="00CA630C" w:rsidRDefault="00CA630C" w:rsidP="00CA630C"/>
    <w:p w14:paraId="4773BBB3" w14:textId="77777777" w:rsidR="00CA630C" w:rsidRDefault="00CA630C" w:rsidP="00CA630C">
      <w:pPr>
        <w:rPr>
          <w:b/>
          <w:bCs/>
          <w:sz w:val="28"/>
          <w:szCs w:val="28"/>
        </w:rPr>
      </w:pPr>
      <w:r>
        <w:rPr>
          <w:b/>
          <w:bCs/>
          <w:sz w:val="28"/>
          <w:szCs w:val="28"/>
        </w:rPr>
        <w:t xml:space="preserve">                            </w:t>
      </w:r>
    </w:p>
    <w:p w14:paraId="061F801E" w14:textId="544AEA64" w:rsidR="00CA630C" w:rsidRDefault="00CA630C" w:rsidP="00CA630C">
      <w:pPr>
        <w:rPr>
          <w:b/>
          <w:bCs/>
          <w:sz w:val="28"/>
          <w:szCs w:val="28"/>
        </w:rPr>
      </w:pPr>
      <w:r>
        <w:rPr>
          <w:b/>
          <w:bCs/>
          <w:sz w:val="28"/>
          <w:szCs w:val="28"/>
        </w:rPr>
        <w:t xml:space="preserve">                                   </w:t>
      </w:r>
      <w:r w:rsidR="0015274A">
        <w:rPr>
          <w:b/>
          <w:bCs/>
          <w:sz w:val="28"/>
          <w:szCs w:val="28"/>
        </w:rPr>
        <w:t xml:space="preserve">        </w:t>
      </w:r>
      <w:r w:rsidR="00F1242C">
        <w:rPr>
          <w:b/>
          <w:bCs/>
          <w:sz w:val="28"/>
          <w:szCs w:val="28"/>
        </w:rPr>
        <w:t xml:space="preserve">                                                                  </w:t>
      </w:r>
      <w:r>
        <w:rPr>
          <w:b/>
          <w:bCs/>
          <w:sz w:val="28"/>
          <w:szCs w:val="28"/>
        </w:rPr>
        <w:t xml:space="preserve"> NAME:           </w:t>
      </w:r>
      <w:proofErr w:type="spellStart"/>
      <w:r>
        <w:rPr>
          <w:b/>
          <w:bCs/>
          <w:sz w:val="28"/>
          <w:szCs w:val="28"/>
        </w:rPr>
        <w:t>Vasile</w:t>
      </w:r>
      <w:proofErr w:type="spellEnd"/>
      <w:r>
        <w:rPr>
          <w:b/>
          <w:bCs/>
          <w:sz w:val="28"/>
          <w:szCs w:val="28"/>
        </w:rPr>
        <w:t xml:space="preserve"> Murgu</w:t>
      </w:r>
    </w:p>
    <w:p w14:paraId="7EBB045E" w14:textId="7DC5209D" w:rsidR="00CA630C" w:rsidRDefault="00CA630C" w:rsidP="00CA630C">
      <w:pPr>
        <w:rPr>
          <w:b/>
          <w:bCs/>
          <w:sz w:val="28"/>
          <w:szCs w:val="28"/>
        </w:rPr>
      </w:pPr>
      <w:r>
        <w:rPr>
          <w:b/>
          <w:bCs/>
          <w:sz w:val="28"/>
          <w:szCs w:val="28"/>
        </w:rPr>
        <w:t xml:space="preserve">                           </w:t>
      </w:r>
      <w:r w:rsidR="00F1242C">
        <w:rPr>
          <w:b/>
          <w:bCs/>
          <w:sz w:val="28"/>
          <w:szCs w:val="28"/>
        </w:rPr>
        <w:t xml:space="preserve">                                                                  </w:t>
      </w:r>
      <w:r>
        <w:rPr>
          <w:b/>
          <w:bCs/>
          <w:sz w:val="28"/>
          <w:szCs w:val="28"/>
        </w:rPr>
        <w:t xml:space="preserve"> Student Number:</w:t>
      </w:r>
      <w:r w:rsidR="0015274A">
        <w:rPr>
          <w:b/>
          <w:bCs/>
          <w:sz w:val="28"/>
          <w:szCs w:val="28"/>
        </w:rPr>
        <w:t xml:space="preserve">           2019287</w:t>
      </w:r>
    </w:p>
    <w:p w14:paraId="5AF7D871" w14:textId="1C0BA8B7" w:rsidR="0015274A" w:rsidRDefault="0015274A" w:rsidP="00CA630C">
      <w:pPr>
        <w:rPr>
          <w:b/>
          <w:bCs/>
          <w:sz w:val="28"/>
          <w:szCs w:val="28"/>
        </w:rPr>
      </w:pPr>
      <w:r>
        <w:rPr>
          <w:b/>
          <w:bCs/>
          <w:sz w:val="28"/>
          <w:szCs w:val="28"/>
        </w:rPr>
        <w:t xml:space="preserve">                              </w:t>
      </w:r>
      <w:r w:rsidR="00F1242C">
        <w:rPr>
          <w:b/>
          <w:bCs/>
          <w:sz w:val="28"/>
          <w:szCs w:val="28"/>
        </w:rPr>
        <w:t xml:space="preserve">                                                                  </w:t>
      </w:r>
      <w:r>
        <w:rPr>
          <w:b/>
          <w:bCs/>
          <w:sz w:val="28"/>
          <w:szCs w:val="28"/>
        </w:rPr>
        <w:t xml:space="preserve"> Module CODE:           LCBB6002</w:t>
      </w:r>
    </w:p>
    <w:p w14:paraId="64A543AC" w14:textId="17B2D8F2" w:rsidR="0015274A" w:rsidRPr="0015274A" w:rsidRDefault="0015274A" w:rsidP="00CA630C">
      <w:pPr>
        <w:rPr>
          <w:b/>
          <w:bCs/>
          <w:sz w:val="28"/>
          <w:szCs w:val="28"/>
        </w:rPr>
      </w:pPr>
      <w:r>
        <w:rPr>
          <w:b/>
          <w:bCs/>
          <w:sz w:val="28"/>
          <w:szCs w:val="28"/>
        </w:rPr>
        <w:t xml:space="preserve">                           </w:t>
      </w:r>
      <w:r w:rsidR="00F1242C">
        <w:rPr>
          <w:b/>
          <w:bCs/>
          <w:sz w:val="28"/>
          <w:szCs w:val="28"/>
        </w:rPr>
        <w:t xml:space="preserve">                                                                  </w:t>
      </w:r>
      <w:r>
        <w:rPr>
          <w:b/>
          <w:bCs/>
          <w:sz w:val="28"/>
          <w:szCs w:val="28"/>
        </w:rPr>
        <w:t>Module Lecturer:           Dr Konstantina Mari</w:t>
      </w:r>
    </w:p>
    <w:p w14:paraId="51F088FD" w14:textId="77777777" w:rsidR="00CA630C" w:rsidRPr="00CA630C" w:rsidRDefault="00CA630C" w:rsidP="00CA630C"/>
    <w:p w14:paraId="3BB5D4FA" w14:textId="7A231F32" w:rsidR="00434095" w:rsidRDefault="00434095" w:rsidP="00742042">
      <w:pPr>
        <w:jc w:val="both"/>
        <w:rPr>
          <w:rFonts w:eastAsiaTheme="majorEastAsia" w:cstheme="majorBidi"/>
          <w:b/>
          <w:sz w:val="28"/>
          <w:szCs w:val="32"/>
        </w:rPr>
      </w:pPr>
      <w:r>
        <w:br w:type="page"/>
      </w:r>
    </w:p>
    <w:sdt>
      <w:sdtPr>
        <w:rPr>
          <w:rFonts w:ascii="Times New Roman" w:eastAsiaTheme="minorHAnsi" w:hAnsi="Times New Roman" w:cstheme="minorBidi"/>
          <w:color w:val="auto"/>
          <w:sz w:val="24"/>
          <w:szCs w:val="22"/>
        </w:rPr>
        <w:id w:val="-9760446"/>
        <w:docPartObj>
          <w:docPartGallery w:val="Table of Contents"/>
          <w:docPartUnique/>
        </w:docPartObj>
      </w:sdtPr>
      <w:sdtEndPr>
        <w:rPr>
          <w:b/>
          <w:bCs/>
          <w:noProof/>
        </w:rPr>
      </w:sdtEndPr>
      <w:sdtContent>
        <w:p w14:paraId="49B858EF" w14:textId="77777777" w:rsidR="00AB4621" w:rsidRPr="00AB4621" w:rsidRDefault="00AB4621" w:rsidP="00742042">
          <w:pPr>
            <w:pStyle w:val="TOCHeading"/>
            <w:spacing w:line="360" w:lineRule="auto"/>
            <w:jc w:val="both"/>
            <w:rPr>
              <w:rStyle w:val="Heading1Char"/>
              <w:color w:val="auto"/>
            </w:rPr>
          </w:pPr>
          <w:r w:rsidRPr="00AB4621">
            <w:rPr>
              <w:rStyle w:val="Heading1Char"/>
              <w:color w:val="auto"/>
            </w:rPr>
            <w:t>Table of Contents</w:t>
          </w:r>
        </w:p>
        <w:p w14:paraId="403898B3" w14:textId="77777777" w:rsidR="003820A3" w:rsidRDefault="00AB4621">
          <w:pPr>
            <w:pStyle w:val="TOC1"/>
            <w:tabs>
              <w:tab w:val="right" w:leader="dot" w:pos="9350"/>
            </w:tabs>
            <w:rPr>
              <w:rFonts w:asciiTheme="minorHAnsi" w:eastAsiaTheme="minorEastAsia" w:hAnsiTheme="minorHAnsi"/>
              <w:noProof/>
              <w:sz w:val="22"/>
              <w:lang w:val="en-IN" w:eastAsia="en-IN"/>
            </w:rPr>
          </w:pPr>
          <w:r>
            <w:rPr>
              <w:b/>
              <w:bCs/>
              <w:noProof/>
            </w:rPr>
            <w:fldChar w:fldCharType="begin"/>
          </w:r>
          <w:r>
            <w:rPr>
              <w:b/>
              <w:bCs/>
              <w:noProof/>
            </w:rPr>
            <w:instrText xml:space="preserve"> TOC \o "1-3" \h \z \u </w:instrText>
          </w:r>
          <w:r>
            <w:rPr>
              <w:b/>
              <w:bCs/>
              <w:noProof/>
            </w:rPr>
            <w:fldChar w:fldCharType="separate"/>
          </w:r>
          <w:hyperlink w:anchor="_Toc130204642" w:history="1">
            <w:r w:rsidR="003820A3" w:rsidRPr="00DD0F1B">
              <w:rPr>
                <w:rStyle w:val="Hyperlink"/>
                <w:noProof/>
              </w:rPr>
              <w:t>Introduction</w:t>
            </w:r>
            <w:r w:rsidR="003820A3">
              <w:rPr>
                <w:noProof/>
                <w:webHidden/>
              </w:rPr>
              <w:tab/>
            </w:r>
            <w:r w:rsidR="003820A3">
              <w:rPr>
                <w:noProof/>
                <w:webHidden/>
              </w:rPr>
              <w:fldChar w:fldCharType="begin"/>
            </w:r>
            <w:r w:rsidR="003820A3">
              <w:rPr>
                <w:noProof/>
                <w:webHidden/>
              </w:rPr>
              <w:instrText xml:space="preserve"> PAGEREF _Toc130204642 \h </w:instrText>
            </w:r>
            <w:r w:rsidR="003820A3">
              <w:rPr>
                <w:noProof/>
                <w:webHidden/>
              </w:rPr>
            </w:r>
            <w:r w:rsidR="003820A3">
              <w:rPr>
                <w:noProof/>
                <w:webHidden/>
              </w:rPr>
              <w:fldChar w:fldCharType="separate"/>
            </w:r>
            <w:r w:rsidR="003820A3">
              <w:rPr>
                <w:noProof/>
                <w:webHidden/>
              </w:rPr>
              <w:t>3</w:t>
            </w:r>
            <w:r w:rsidR="003820A3">
              <w:rPr>
                <w:noProof/>
                <w:webHidden/>
              </w:rPr>
              <w:fldChar w:fldCharType="end"/>
            </w:r>
          </w:hyperlink>
        </w:p>
        <w:p w14:paraId="5646D6A1" w14:textId="77777777" w:rsidR="003820A3" w:rsidRDefault="00000000">
          <w:pPr>
            <w:pStyle w:val="TOC1"/>
            <w:tabs>
              <w:tab w:val="right" w:leader="dot" w:pos="9350"/>
            </w:tabs>
            <w:rPr>
              <w:rFonts w:asciiTheme="minorHAnsi" w:eastAsiaTheme="minorEastAsia" w:hAnsiTheme="minorHAnsi"/>
              <w:noProof/>
              <w:sz w:val="22"/>
              <w:lang w:val="en-IN" w:eastAsia="en-IN"/>
            </w:rPr>
          </w:pPr>
          <w:hyperlink w:anchor="_Toc130204643" w:history="1">
            <w:r w:rsidR="003820A3" w:rsidRPr="00DD0F1B">
              <w:rPr>
                <w:rStyle w:val="Hyperlink"/>
                <w:noProof/>
              </w:rPr>
              <w:t>Meaning and Importance of IFM</w:t>
            </w:r>
            <w:r w:rsidR="003820A3">
              <w:rPr>
                <w:noProof/>
                <w:webHidden/>
              </w:rPr>
              <w:tab/>
            </w:r>
            <w:r w:rsidR="003820A3">
              <w:rPr>
                <w:noProof/>
                <w:webHidden/>
              </w:rPr>
              <w:fldChar w:fldCharType="begin"/>
            </w:r>
            <w:r w:rsidR="003820A3">
              <w:rPr>
                <w:noProof/>
                <w:webHidden/>
              </w:rPr>
              <w:instrText xml:space="preserve"> PAGEREF _Toc130204643 \h </w:instrText>
            </w:r>
            <w:r w:rsidR="003820A3">
              <w:rPr>
                <w:noProof/>
                <w:webHidden/>
              </w:rPr>
            </w:r>
            <w:r w:rsidR="003820A3">
              <w:rPr>
                <w:noProof/>
                <w:webHidden/>
              </w:rPr>
              <w:fldChar w:fldCharType="separate"/>
            </w:r>
            <w:r w:rsidR="003820A3">
              <w:rPr>
                <w:noProof/>
                <w:webHidden/>
              </w:rPr>
              <w:t>3</w:t>
            </w:r>
            <w:r w:rsidR="003820A3">
              <w:rPr>
                <w:noProof/>
                <w:webHidden/>
              </w:rPr>
              <w:fldChar w:fldCharType="end"/>
            </w:r>
          </w:hyperlink>
        </w:p>
        <w:p w14:paraId="76A4C2E4" w14:textId="77777777" w:rsidR="003820A3" w:rsidRDefault="00000000">
          <w:pPr>
            <w:pStyle w:val="TOC1"/>
            <w:tabs>
              <w:tab w:val="right" w:leader="dot" w:pos="9350"/>
            </w:tabs>
            <w:rPr>
              <w:rFonts w:asciiTheme="minorHAnsi" w:eastAsiaTheme="minorEastAsia" w:hAnsiTheme="minorHAnsi"/>
              <w:noProof/>
              <w:sz w:val="22"/>
              <w:lang w:val="en-IN" w:eastAsia="en-IN"/>
            </w:rPr>
          </w:pPr>
          <w:hyperlink w:anchor="_Toc130204644" w:history="1">
            <w:r w:rsidR="003820A3" w:rsidRPr="00DD0F1B">
              <w:rPr>
                <w:rStyle w:val="Hyperlink"/>
                <w:noProof/>
              </w:rPr>
              <w:t>Importance of IFM to BP Plc</w:t>
            </w:r>
            <w:r w:rsidR="003820A3">
              <w:rPr>
                <w:noProof/>
                <w:webHidden/>
              </w:rPr>
              <w:tab/>
            </w:r>
            <w:r w:rsidR="003820A3">
              <w:rPr>
                <w:noProof/>
                <w:webHidden/>
              </w:rPr>
              <w:fldChar w:fldCharType="begin"/>
            </w:r>
            <w:r w:rsidR="003820A3">
              <w:rPr>
                <w:noProof/>
                <w:webHidden/>
              </w:rPr>
              <w:instrText xml:space="preserve"> PAGEREF _Toc130204644 \h </w:instrText>
            </w:r>
            <w:r w:rsidR="003820A3">
              <w:rPr>
                <w:noProof/>
                <w:webHidden/>
              </w:rPr>
            </w:r>
            <w:r w:rsidR="003820A3">
              <w:rPr>
                <w:noProof/>
                <w:webHidden/>
              </w:rPr>
              <w:fldChar w:fldCharType="separate"/>
            </w:r>
            <w:r w:rsidR="003820A3">
              <w:rPr>
                <w:noProof/>
                <w:webHidden/>
              </w:rPr>
              <w:t>4</w:t>
            </w:r>
            <w:r w:rsidR="003820A3">
              <w:rPr>
                <w:noProof/>
                <w:webHidden/>
              </w:rPr>
              <w:fldChar w:fldCharType="end"/>
            </w:r>
          </w:hyperlink>
        </w:p>
        <w:p w14:paraId="29D58DF4" w14:textId="77777777" w:rsidR="003820A3" w:rsidRDefault="00000000">
          <w:pPr>
            <w:pStyle w:val="TOC1"/>
            <w:tabs>
              <w:tab w:val="right" w:leader="dot" w:pos="9350"/>
            </w:tabs>
            <w:rPr>
              <w:rFonts w:asciiTheme="minorHAnsi" w:eastAsiaTheme="minorEastAsia" w:hAnsiTheme="minorHAnsi"/>
              <w:noProof/>
              <w:sz w:val="22"/>
              <w:lang w:val="en-IN" w:eastAsia="en-IN"/>
            </w:rPr>
          </w:pPr>
          <w:hyperlink w:anchor="_Toc130204645" w:history="1">
            <w:r w:rsidR="003820A3" w:rsidRPr="00DD0F1B">
              <w:rPr>
                <w:rStyle w:val="Hyperlink"/>
                <w:noProof/>
              </w:rPr>
              <w:t>Challenges of the international financial market faced by BP Plc-</w:t>
            </w:r>
            <w:r w:rsidR="003820A3">
              <w:rPr>
                <w:noProof/>
                <w:webHidden/>
              </w:rPr>
              <w:tab/>
            </w:r>
            <w:r w:rsidR="003820A3">
              <w:rPr>
                <w:noProof/>
                <w:webHidden/>
              </w:rPr>
              <w:fldChar w:fldCharType="begin"/>
            </w:r>
            <w:r w:rsidR="003820A3">
              <w:rPr>
                <w:noProof/>
                <w:webHidden/>
              </w:rPr>
              <w:instrText xml:space="preserve"> PAGEREF _Toc130204645 \h </w:instrText>
            </w:r>
            <w:r w:rsidR="003820A3">
              <w:rPr>
                <w:noProof/>
                <w:webHidden/>
              </w:rPr>
            </w:r>
            <w:r w:rsidR="003820A3">
              <w:rPr>
                <w:noProof/>
                <w:webHidden/>
              </w:rPr>
              <w:fldChar w:fldCharType="separate"/>
            </w:r>
            <w:r w:rsidR="003820A3">
              <w:rPr>
                <w:noProof/>
                <w:webHidden/>
              </w:rPr>
              <w:t>4</w:t>
            </w:r>
            <w:r w:rsidR="003820A3">
              <w:rPr>
                <w:noProof/>
                <w:webHidden/>
              </w:rPr>
              <w:fldChar w:fldCharType="end"/>
            </w:r>
          </w:hyperlink>
        </w:p>
        <w:p w14:paraId="00B39D7D" w14:textId="77777777" w:rsidR="003820A3" w:rsidRDefault="00000000">
          <w:pPr>
            <w:pStyle w:val="TOC1"/>
            <w:tabs>
              <w:tab w:val="right" w:leader="dot" w:pos="9350"/>
            </w:tabs>
            <w:rPr>
              <w:rFonts w:asciiTheme="minorHAnsi" w:eastAsiaTheme="minorEastAsia" w:hAnsiTheme="minorHAnsi"/>
              <w:noProof/>
              <w:sz w:val="22"/>
              <w:lang w:val="en-IN" w:eastAsia="en-IN"/>
            </w:rPr>
          </w:pPr>
          <w:hyperlink w:anchor="_Toc130204646" w:history="1">
            <w:r w:rsidR="003820A3" w:rsidRPr="00DD0F1B">
              <w:rPr>
                <w:rStyle w:val="Hyperlink"/>
                <w:noProof/>
              </w:rPr>
              <w:t>IFM Theories-</w:t>
            </w:r>
            <w:r w:rsidR="003820A3">
              <w:rPr>
                <w:noProof/>
                <w:webHidden/>
              </w:rPr>
              <w:tab/>
            </w:r>
            <w:r w:rsidR="003820A3">
              <w:rPr>
                <w:noProof/>
                <w:webHidden/>
              </w:rPr>
              <w:fldChar w:fldCharType="begin"/>
            </w:r>
            <w:r w:rsidR="003820A3">
              <w:rPr>
                <w:noProof/>
                <w:webHidden/>
              </w:rPr>
              <w:instrText xml:space="preserve"> PAGEREF _Toc130204646 \h </w:instrText>
            </w:r>
            <w:r w:rsidR="003820A3">
              <w:rPr>
                <w:noProof/>
                <w:webHidden/>
              </w:rPr>
            </w:r>
            <w:r w:rsidR="003820A3">
              <w:rPr>
                <w:noProof/>
                <w:webHidden/>
              </w:rPr>
              <w:fldChar w:fldCharType="separate"/>
            </w:r>
            <w:r w:rsidR="003820A3">
              <w:rPr>
                <w:noProof/>
                <w:webHidden/>
              </w:rPr>
              <w:t>5</w:t>
            </w:r>
            <w:r w:rsidR="003820A3">
              <w:rPr>
                <w:noProof/>
                <w:webHidden/>
              </w:rPr>
              <w:fldChar w:fldCharType="end"/>
            </w:r>
          </w:hyperlink>
        </w:p>
        <w:p w14:paraId="05AD81B5" w14:textId="77777777" w:rsidR="003820A3" w:rsidRDefault="00000000">
          <w:pPr>
            <w:pStyle w:val="TOC1"/>
            <w:tabs>
              <w:tab w:val="right" w:leader="dot" w:pos="9350"/>
            </w:tabs>
            <w:rPr>
              <w:rFonts w:asciiTheme="minorHAnsi" w:eastAsiaTheme="minorEastAsia" w:hAnsiTheme="minorHAnsi"/>
              <w:noProof/>
              <w:sz w:val="22"/>
              <w:lang w:val="en-IN" w:eastAsia="en-IN"/>
            </w:rPr>
          </w:pPr>
          <w:hyperlink w:anchor="_Toc130204647" w:history="1">
            <w:r w:rsidR="003820A3" w:rsidRPr="00DD0F1B">
              <w:rPr>
                <w:rStyle w:val="Hyperlink"/>
                <w:noProof/>
              </w:rPr>
              <w:t>BP Plc.’s Dividend Distribution Policy</w:t>
            </w:r>
            <w:r w:rsidR="003820A3">
              <w:rPr>
                <w:noProof/>
                <w:webHidden/>
              </w:rPr>
              <w:tab/>
            </w:r>
            <w:r w:rsidR="003820A3">
              <w:rPr>
                <w:noProof/>
                <w:webHidden/>
              </w:rPr>
              <w:fldChar w:fldCharType="begin"/>
            </w:r>
            <w:r w:rsidR="003820A3">
              <w:rPr>
                <w:noProof/>
                <w:webHidden/>
              </w:rPr>
              <w:instrText xml:space="preserve"> PAGEREF _Toc130204647 \h </w:instrText>
            </w:r>
            <w:r w:rsidR="003820A3">
              <w:rPr>
                <w:noProof/>
                <w:webHidden/>
              </w:rPr>
            </w:r>
            <w:r w:rsidR="003820A3">
              <w:rPr>
                <w:noProof/>
                <w:webHidden/>
              </w:rPr>
              <w:fldChar w:fldCharType="separate"/>
            </w:r>
            <w:r w:rsidR="003820A3">
              <w:rPr>
                <w:noProof/>
                <w:webHidden/>
              </w:rPr>
              <w:t>6</w:t>
            </w:r>
            <w:r w:rsidR="003820A3">
              <w:rPr>
                <w:noProof/>
                <w:webHidden/>
              </w:rPr>
              <w:fldChar w:fldCharType="end"/>
            </w:r>
          </w:hyperlink>
        </w:p>
        <w:p w14:paraId="6C55A032" w14:textId="77777777" w:rsidR="003820A3" w:rsidRDefault="00000000">
          <w:pPr>
            <w:pStyle w:val="TOC1"/>
            <w:tabs>
              <w:tab w:val="right" w:leader="dot" w:pos="9350"/>
            </w:tabs>
            <w:rPr>
              <w:rFonts w:asciiTheme="minorHAnsi" w:eastAsiaTheme="minorEastAsia" w:hAnsiTheme="minorHAnsi"/>
              <w:noProof/>
              <w:sz w:val="22"/>
              <w:lang w:val="en-IN" w:eastAsia="en-IN"/>
            </w:rPr>
          </w:pPr>
          <w:hyperlink w:anchor="_Toc130204648" w:history="1">
            <w:r w:rsidR="003820A3" w:rsidRPr="00DD0F1B">
              <w:rPr>
                <w:rStyle w:val="Hyperlink"/>
                <w:noProof/>
              </w:rPr>
              <w:t>The Efficient Market Hypothesis theory in BP Plc-</w:t>
            </w:r>
            <w:r w:rsidR="003820A3">
              <w:rPr>
                <w:noProof/>
                <w:webHidden/>
              </w:rPr>
              <w:tab/>
            </w:r>
            <w:r w:rsidR="003820A3">
              <w:rPr>
                <w:noProof/>
                <w:webHidden/>
              </w:rPr>
              <w:fldChar w:fldCharType="begin"/>
            </w:r>
            <w:r w:rsidR="003820A3">
              <w:rPr>
                <w:noProof/>
                <w:webHidden/>
              </w:rPr>
              <w:instrText xml:space="preserve"> PAGEREF _Toc130204648 \h </w:instrText>
            </w:r>
            <w:r w:rsidR="003820A3">
              <w:rPr>
                <w:noProof/>
                <w:webHidden/>
              </w:rPr>
            </w:r>
            <w:r w:rsidR="003820A3">
              <w:rPr>
                <w:noProof/>
                <w:webHidden/>
              </w:rPr>
              <w:fldChar w:fldCharType="separate"/>
            </w:r>
            <w:r w:rsidR="003820A3">
              <w:rPr>
                <w:noProof/>
                <w:webHidden/>
              </w:rPr>
              <w:t>7</w:t>
            </w:r>
            <w:r w:rsidR="003820A3">
              <w:rPr>
                <w:noProof/>
                <w:webHidden/>
              </w:rPr>
              <w:fldChar w:fldCharType="end"/>
            </w:r>
          </w:hyperlink>
        </w:p>
        <w:p w14:paraId="2BEF8048" w14:textId="77777777" w:rsidR="003820A3" w:rsidRDefault="00000000">
          <w:pPr>
            <w:pStyle w:val="TOC1"/>
            <w:tabs>
              <w:tab w:val="right" w:leader="dot" w:pos="9350"/>
            </w:tabs>
            <w:rPr>
              <w:rFonts w:asciiTheme="minorHAnsi" w:eastAsiaTheme="minorEastAsia" w:hAnsiTheme="minorHAnsi"/>
              <w:noProof/>
              <w:sz w:val="22"/>
              <w:lang w:val="en-IN" w:eastAsia="en-IN"/>
            </w:rPr>
          </w:pPr>
          <w:hyperlink w:anchor="_Toc130204649" w:history="1">
            <w:r w:rsidR="003820A3" w:rsidRPr="00DD0F1B">
              <w:rPr>
                <w:rStyle w:val="Hyperlink"/>
                <w:noProof/>
              </w:rPr>
              <w:t>BP Plc Methods of Appraising Projects:</w:t>
            </w:r>
            <w:r w:rsidR="003820A3">
              <w:rPr>
                <w:noProof/>
                <w:webHidden/>
              </w:rPr>
              <w:tab/>
            </w:r>
            <w:r w:rsidR="003820A3">
              <w:rPr>
                <w:noProof/>
                <w:webHidden/>
              </w:rPr>
              <w:fldChar w:fldCharType="begin"/>
            </w:r>
            <w:r w:rsidR="003820A3">
              <w:rPr>
                <w:noProof/>
                <w:webHidden/>
              </w:rPr>
              <w:instrText xml:space="preserve"> PAGEREF _Toc130204649 \h </w:instrText>
            </w:r>
            <w:r w:rsidR="003820A3">
              <w:rPr>
                <w:noProof/>
                <w:webHidden/>
              </w:rPr>
            </w:r>
            <w:r w:rsidR="003820A3">
              <w:rPr>
                <w:noProof/>
                <w:webHidden/>
              </w:rPr>
              <w:fldChar w:fldCharType="separate"/>
            </w:r>
            <w:r w:rsidR="003820A3">
              <w:rPr>
                <w:noProof/>
                <w:webHidden/>
              </w:rPr>
              <w:t>7</w:t>
            </w:r>
            <w:r w:rsidR="003820A3">
              <w:rPr>
                <w:noProof/>
                <w:webHidden/>
              </w:rPr>
              <w:fldChar w:fldCharType="end"/>
            </w:r>
          </w:hyperlink>
        </w:p>
        <w:p w14:paraId="1E1903C7" w14:textId="77777777" w:rsidR="003820A3" w:rsidRDefault="00000000">
          <w:pPr>
            <w:pStyle w:val="TOC1"/>
            <w:tabs>
              <w:tab w:val="right" w:leader="dot" w:pos="9350"/>
            </w:tabs>
            <w:rPr>
              <w:rFonts w:asciiTheme="minorHAnsi" w:eastAsiaTheme="minorEastAsia" w:hAnsiTheme="minorHAnsi"/>
              <w:noProof/>
              <w:sz w:val="22"/>
              <w:lang w:val="en-IN" w:eastAsia="en-IN"/>
            </w:rPr>
          </w:pPr>
          <w:hyperlink w:anchor="_Toc130204650" w:history="1">
            <w:r w:rsidR="003820A3" w:rsidRPr="00DD0F1B">
              <w:rPr>
                <w:rStyle w:val="Hyperlink"/>
                <w:noProof/>
              </w:rPr>
              <w:t>Empirical evidence supports the effectiveness</w:t>
            </w:r>
            <w:r w:rsidR="003820A3">
              <w:rPr>
                <w:noProof/>
                <w:webHidden/>
              </w:rPr>
              <w:tab/>
            </w:r>
            <w:r w:rsidR="003820A3">
              <w:rPr>
                <w:noProof/>
                <w:webHidden/>
              </w:rPr>
              <w:fldChar w:fldCharType="begin"/>
            </w:r>
            <w:r w:rsidR="003820A3">
              <w:rPr>
                <w:noProof/>
                <w:webHidden/>
              </w:rPr>
              <w:instrText xml:space="preserve"> PAGEREF _Toc130204650 \h </w:instrText>
            </w:r>
            <w:r w:rsidR="003820A3">
              <w:rPr>
                <w:noProof/>
                <w:webHidden/>
              </w:rPr>
            </w:r>
            <w:r w:rsidR="003820A3">
              <w:rPr>
                <w:noProof/>
                <w:webHidden/>
              </w:rPr>
              <w:fldChar w:fldCharType="separate"/>
            </w:r>
            <w:r w:rsidR="003820A3">
              <w:rPr>
                <w:noProof/>
                <w:webHidden/>
              </w:rPr>
              <w:t>8</w:t>
            </w:r>
            <w:r w:rsidR="003820A3">
              <w:rPr>
                <w:noProof/>
                <w:webHidden/>
              </w:rPr>
              <w:fldChar w:fldCharType="end"/>
            </w:r>
          </w:hyperlink>
        </w:p>
        <w:p w14:paraId="40B2B6EB" w14:textId="77777777" w:rsidR="003820A3" w:rsidRDefault="00000000">
          <w:pPr>
            <w:pStyle w:val="TOC1"/>
            <w:tabs>
              <w:tab w:val="right" w:leader="dot" w:pos="9350"/>
            </w:tabs>
            <w:rPr>
              <w:rFonts w:asciiTheme="minorHAnsi" w:eastAsiaTheme="minorEastAsia" w:hAnsiTheme="minorHAnsi"/>
              <w:noProof/>
              <w:sz w:val="22"/>
              <w:lang w:val="en-IN" w:eastAsia="en-IN"/>
            </w:rPr>
          </w:pPr>
          <w:hyperlink w:anchor="_Toc130204651" w:history="1">
            <w:r w:rsidR="003820A3" w:rsidRPr="00DD0F1B">
              <w:rPr>
                <w:rStyle w:val="Hyperlink"/>
                <w:noProof/>
              </w:rPr>
              <w:t>Conclusion</w:t>
            </w:r>
            <w:r w:rsidR="003820A3">
              <w:rPr>
                <w:noProof/>
                <w:webHidden/>
              </w:rPr>
              <w:tab/>
            </w:r>
            <w:r w:rsidR="003820A3">
              <w:rPr>
                <w:noProof/>
                <w:webHidden/>
              </w:rPr>
              <w:fldChar w:fldCharType="begin"/>
            </w:r>
            <w:r w:rsidR="003820A3">
              <w:rPr>
                <w:noProof/>
                <w:webHidden/>
              </w:rPr>
              <w:instrText xml:space="preserve"> PAGEREF _Toc130204651 \h </w:instrText>
            </w:r>
            <w:r w:rsidR="003820A3">
              <w:rPr>
                <w:noProof/>
                <w:webHidden/>
              </w:rPr>
            </w:r>
            <w:r w:rsidR="003820A3">
              <w:rPr>
                <w:noProof/>
                <w:webHidden/>
              </w:rPr>
              <w:fldChar w:fldCharType="separate"/>
            </w:r>
            <w:r w:rsidR="003820A3">
              <w:rPr>
                <w:noProof/>
                <w:webHidden/>
              </w:rPr>
              <w:t>8</w:t>
            </w:r>
            <w:r w:rsidR="003820A3">
              <w:rPr>
                <w:noProof/>
                <w:webHidden/>
              </w:rPr>
              <w:fldChar w:fldCharType="end"/>
            </w:r>
          </w:hyperlink>
        </w:p>
        <w:p w14:paraId="2320361B" w14:textId="77777777" w:rsidR="003820A3" w:rsidRDefault="00000000">
          <w:pPr>
            <w:pStyle w:val="TOC1"/>
            <w:tabs>
              <w:tab w:val="right" w:leader="dot" w:pos="9350"/>
            </w:tabs>
            <w:rPr>
              <w:rFonts w:asciiTheme="minorHAnsi" w:eastAsiaTheme="minorEastAsia" w:hAnsiTheme="minorHAnsi"/>
              <w:noProof/>
              <w:sz w:val="22"/>
              <w:lang w:val="en-IN" w:eastAsia="en-IN"/>
            </w:rPr>
          </w:pPr>
          <w:hyperlink w:anchor="_Toc130204652" w:history="1">
            <w:r w:rsidR="003820A3" w:rsidRPr="00DD0F1B">
              <w:rPr>
                <w:rStyle w:val="Hyperlink"/>
                <w:noProof/>
              </w:rPr>
              <w:t>Refrences</w:t>
            </w:r>
            <w:r w:rsidR="003820A3">
              <w:rPr>
                <w:noProof/>
                <w:webHidden/>
              </w:rPr>
              <w:tab/>
            </w:r>
            <w:r w:rsidR="003820A3">
              <w:rPr>
                <w:noProof/>
                <w:webHidden/>
              </w:rPr>
              <w:fldChar w:fldCharType="begin"/>
            </w:r>
            <w:r w:rsidR="003820A3">
              <w:rPr>
                <w:noProof/>
                <w:webHidden/>
              </w:rPr>
              <w:instrText xml:space="preserve"> PAGEREF _Toc130204652 \h </w:instrText>
            </w:r>
            <w:r w:rsidR="003820A3">
              <w:rPr>
                <w:noProof/>
                <w:webHidden/>
              </w:rPr>
            </w:r>
            <w:r w:rsidR="003820A3">
              <w:rPr>
                <w:noProof/>
                <w:webHidden/>
              </w:rPr>
              <w:fldChar w:fldCharType="separate"/>
            </w:r>
            <w:r w:rsidR="003820A3">
              <w:rPr>
                <w:noProof/>
                <w:webHidden/>
              </w:rPr>
              <w:t>9</w:t>
            </w:r>
            <w:r w:rsidR="003820A3">
              <w:rPr>
                <w:noProof/>
                <w:webHidden/>
              </w:rPr>
              <w:fldChar w:fldCharType="end"/>
            </w:r>
          </w:hyperlink>
        </w:p>
        <w:p w14:paraId="25C87065" w14:textId="77777777" w:rsidR="00AB4621" w:rsidRDefault="00AB4621" w:rsidP="00742042">
          <w:pPr>
            <w:jc w:val="both"/>
          </w:pPr>
          <w:r>
            <w:rPr>
              <w:b/>
              <w:bCs/>
              <w:noProof/>
            </w:rPr>
            <w:fldChar w:fldCharType="end"/>
          </w:r>
        </w:p>
      </w:sdtContent>
    </w:sdt>
    <w:p w14:paraId="158C8A37" w14:textId="77777777" w:rsidR="00AB4621" w:rsidRDefault="00AB4621" w:rsidP="00742042">
      <w:pPr>
        <w:jc w:val="both"/>
        <w:rPr>
          <w:rFonts w:eastAsiaTheme="majorEastAsia" w:cstheme="majorBidi"/>
          <w:b/>
          <w:sz w:val="28"/>
          <w:szCs w:val="32"/>
        </w:rPr>
      </w:pPr>
      <w:r>
        <w:br w:type="page"/>
      </w:r>
    </w:p>
    <w:p w14:paraId="4B9F2A4F" w14:textId="77777777" w:rsidR="00FF03A9" w:rsidRDefault="00105FEF" w:rsidP="00742042">
      <w:pPr>
        <w:pStyle w:val="Heading1"/>
        <w:jc w:val="both"/>
      </w:pPr>
      <w:bookmarkStart w:id="0" w:name="_Toc130204642"/>
      <w:r>
        <w:t>Introduction</w:t>
      </w:r>
      <w:bookmarkEnd w:id="0"/>
    </w:p>
    <w:p w14:paraId="3426F9BB" w14:textId="77777777" w:rsidR="00F81B96" w:rsidRDefault="004451EB" w:rsidP="00742042">
      <w:pPr>
        <w:jc w:val="both"/>
      </w:pPr>
      <w:r w:rsidRPr="004451EB">
        <w:t>This essay critically</w:t>
      </w:r>
      <w:r w:rsidR="00CE7CDE">
        <w:t xml:space="preserve"> </w:t>
      </w:r>
      <w:r w:rsidR="00CE7CDE" w:rsidRPr="004451EB">
        <w:t>evaluates</w:t>
      </w:r>
      <w:r w:rsidRPr="004451EB">
        <w:t xml:space="preserve"> and</w:t>
      </w:r>
      <w:r w:rsidR="00CE7CDE">
        <w:t xml:space="preserve"> </w:t>
      </w:r>
      <w:r w:rsidR="00CE7CDE" w:rsidRPr="004451EB">
        <w:t>analyses</w:t>
      </w:r>
      <w:r w:rsidRPr="004451EB">
        <w:t xml:space="preserve"> the importance of international financial management for BP </w:t>
      </w:r>
      <w:r w:rsidR="00CE7CDE">
        <w:t>Plc, a multinational corporation</w:t>
      </w:r>
      <w:r w:rsidRPr="004451EB">
        <w:t xml:space="preserve"> operating in the energy industry. The discussion explores the challenges the company may be experiencing in different international financial markets and is supported by relevant internation</w:t>
      </w:r>
      <w:r w:rsidR="009A18B5">
        <w:t xml:space="preserve">al finance management theories. </w:t>
      </w:r>
      <w:r w:rsidRPr="004451EB">
        <w:t>The essay also examines BP's dividend distribution policy, evaluates the efficient market hypothesis theory in the context of its operations, an</w:t>
      </w:r>
      <w:r w:rsidR="00991550">
        <w:t>d analyses the company's techniques</w:t>
      </w:r>
      <w:r w:rsidRPr="004451EB">
        <w:t xml:space="preserve"> of appraising projects. Empirical evidence is provided to support the claims made throughout the essay. </w:t>
      </w:r>
    </w:p>
    <w:p w14:paraId="56475D63" w14:textId="77777777" w:rsidR="004451EB" w:rsidRDefault="00F81B96" w:rsidP="00742042">
      <w:pPr>
        <w:pStyle w:val="Heading1"/>
        <w:jc w:val="both"/>
      </w:pPr>
      <w:bookmarkStart w:id="1" w:name="_Toc130204643"/>
      <w:r>
        <w:t>Meaning and Importance of IFM</w:t>
      </w:r>
      <w:bookmarkEnd w:id="1"/>
    </w:p>
    <w:p w14:paraId="0AD692BC" w14:textId="77777777" w:rsidR="00F81B96" w:rsidRDefault="00A31FB4" w:rsidP="00742042">
      <w:pPr>
        <w:jc w:val="both"/>
      </w:pPr>
      <w:r>
        <w:t xml:space="preserve">It </w:t>
      </w:r>
      <w:r w:rsidR="00F81B96">
        <w:t>is the management of financial operations and decisions in a multinational corporation operating in a global economy. It involves managing financial risks, maximizing shareholder value, and ensuring that the company's objectives</w:t>
      </w:r>
      <w:r w:rsidR="002E7A30">
        <w:t xml:space="preserve"> of financial</w:t>
      </w:r>
      <w:r w:rsidR="00F81B96">
        <w:t xml:space="preserve"> align wit</w:t>
      </w:r>
      <w:r w:rsidR="00954DCE">
        <w:t xml:space="preserve">h its overall business strategy (Madura 2020). </w:t>
      </w:r>
      <w:r w:rsidR="00F81B96">
        <w:t>The import</w:t>
      </w:r>
      <w:r w:rsidR="0040515C">
        <w:t xml:space="preserve">ance of international financial management </w:t>
      </w:r>
      <w:r w:rsidR="00F81B96">
        <w:t>can be summarized as follows:</w:t>
      </w:r>
    </w:p>
    <w:p w14:paraId="64C7DBC2" w14:textId="77777777" w:rsidR="00F81B96" w:rsidRDefault="00F81B96" w:rsidP="00E63B20">
      <w:pPr>
        <w:jc w:val="both"/>
      </w:pPr>
      <w:r w:rsidRPr="00E63B20">
        <w:rPr>
          <w:b/>
        </w:rPr>
        <w:t>Access to capital:</w:t>
      </w:r>
      <w:r>
        <w:t xml:space="preserve"> </w:t>
      </w:r>
      <w:r w:rsidR="007427FA">
        <w:t xml:space="preserve">It </w:t>
      </w:r>
      <w:r>
        <w:t xml:space="preserve">helps </w:t>
      </w:r>
      <w:r w:rsidR="00F2251F">
        <w:t xml:space="preserve">business </w:t>
      </w:r>
      <w:r>
        <w:t xml:space="preserve">access capital from </w:t>
      </w:r>
      <w:r w:rsidR="00107C3B">
        <w:t xml:space="preserve">various </w:t>
      </w:r>
      <w:r>
        <w:t xml:space="preserve">markets, which is essential for financing their </w:t>
      </w:r>
      <w:r w:rsidR="00173F86">
        <w:t>growth and operations.</w:t>
      </w:r>
    </w:p>
    <w:p w14:paraId="62469AC9" w14:textId="77777777" w:rsidR="00F81B96" w:rsidRDefault="00F81B96" w:rsidP="00E63B20">
      <w:pPr>
        <w:jc w:val="both"/>
      </w:pPr>
      <w:r w:rsidRPr="00E63B20">
        <w:rPr>
          <w:b/>
        </w:rPr>
        <w:t>Exchange rate management:</w:t>
      </w:r>
      <w:r>
        <w:t xml:space="preserve"> Companies operating in multiple countries face </w:t>
      </w:r>
      <w:r w:rsidR="00155E75">
        <w:t xml:space="preserve">various types of </w:t>
      </w:r>
      <w:r>
        <w:t xml:space="preserve">risks associated </w:t>
      </w:r>
      <w:r w:rsidR="00166C40">
        <w:t>with fluctuating exchange rates (</w:t>
      </w:r>
      <w:proofErr w:type="spellStart"/>
      <w:r w:rsidR="00166C40">
        <w:t>Mosteanu</w:t>
      </w:r>
      <w:proofErr w:type="spellEnd"/>
      <w:r w:rsidR="00166C40">
        <w:t xml:space="preserve"> and </w:t>
      </w:r>
      <w:proofErr w:type="spellStart"/>
      <w:r w:rsidR="00166C40">
        <w:t>Faccia</w:t>
      </w:r>
      <w:proofErr w:type="spellEnd"/>
      <w:r w:rsidR="00166C40">
        <w:t xml:space="preserve"> 2020). </w:t>
      </w:r>
      <w:r w:rsidR="00455B80">
        <w:t>This facilitates in managing these certain risks and minimizes</w:t>
      </w:r>
      <w:r>
        <w:t xml:space="preserve"> the </w:t>
      </w:r>
      <w:r w:rsidR="00953E7C">
        <w:t xml:space="preserve">bad </w:t>
      </w:r>
      <w:r>
        <w:t>impact on their financial performance.</w:t>
      </w:r>
    </w:p>
    <w:p w14:paraId="49ACEDC8" w14:textId="77777777" w:rsidR="00F81B96" w:rsidRDefault="00F81B96" w:rsidP="00E63B20">
      <w:pPr>
        <w:jc w:val="both"/>
      </w:pPr>
      <w:r w:rsidRPr="00E63B20">
        <w:rPr>
          <w:b/>
        </w:rPr>
        <w:t>Managing cross-border transactions:</w:t>
      </w:r>
      <w:r>
        <w:t xml:space="preserve"> </w:t>
      </w:r>
      <w:r w:rsidR="009D4C8B">
        <w:t xml:space="preserve">It would </w:t>
      </w:r>
      <w:r w:rsidR="001120E3">
        <w:t>help</w:t>
      </w:r>
      <w:r>
        <w:t xml:space="preserve"> </w:t>
      </w:r>
      <w:r w:rsidR="00F233C2">
        <w:t xml:space="preserve">the </w:t>
      </w:r>
      <w:r w:rsidR="00930A56">
        <w:t xml:space="preserve">firm </w:t>
      </w:r>
      <w:r w:rsidR="00CC7510">
        <w:t xml:space="preserve">to manage </w:t>
      </w:r>
      <w:r w:rsidR="0018323F">
        <w:t>the</w:t>
      </w:r>
      <w:r>
        <w:t xml:space="preserve"> complexities of cross-border transactions, including requirements</w:t>
      </w:r>
      <w:r w:rsidR="0018323F">
        <w:t xml:space="preserve"> of regulatory</w:t>
      </w:r>
      <w:r>
        <w:t xml:space="preserve"> and tax implications.</w:t>
      </w:r>
    </w:p>
    <w:p w14:paraId="0A2AE68E" w14:textId="77777777" w:rsidR="00F81B96" w:rsidRDefault="00F81B96" w:rsidP="00E63B20">
      <w:pPr>
        <w:jc w:val="both"/>
      </w:pPr>
      <w:r w:rsidRPr="00E63B20">
        <w:rPr>
          <w:b/>
        </w:rPr>
        <w:t xml:space="preserve">Strategic </w:t>
      </w:r>
      <w:r w:rsidR="003A4768" w:rsidRPr="00E63B20">
        <w:rPr>
          <w:b/>
        </w:rPr>
        <w:t>decision-making</w:t>
      </w:r>
      <w:r w:rsidRPr="00E63B20">
        <w:rPr>
          <w:b/>
        </w:rPr>
        <w:t>:</w:t>
      </w:r>
      <w:r>
        <w:t xml:space="preserve"> </w:t>
      </w:r>
      <w:r w:rsidR="007E542D">
        <w:t xml:space="preserve">It </w:t>
      </w:r>
      <w:r>
        <w:t xml:space="preserve">provides </w:t>
      </w:r>
      <w:r w:rsidR="003A4768">
        <w:t xml:space="preserve">information of </w:t>
      </w:r>
      <w:r>
        <w:t>financial</w:t>
      </w:r>
      <w:r w:rsidR="00455B80">
        <w:t>s</w:t>
      </w:r>
      <w:r>
        <w:t xml:space="preserve"> that </w:t>
      </w:r>
      <w:r w:rsidR="00623EEF">
        <w:t xml:space="preserve">will </w:t>
      </w:r>
      <w:r w:rsidR="0048008D">
        <w:t>help in the</w:t>
      </w:r>
      <w:r>
        <w:t xml:space="preserve"> </w:t>
      </w:r>
      <w:r w:rsidR="0025176E">
        <w:t>company’s</w:t>
      </w:r>
      <w:r>
        <w:t xml:space="preserve"> strategic decisions</w:t>
      </w:r>
      <w:r w:rsidR="00197CDF">
        <w:t xml:space="preserve"> making process</w:t>
      </w:r>
      <w:r>
        <w:t xml:space="preserve"> about where to invest </w:t>
      </w:r>
      <w:r w:rsidR="0025176E">
        <w:t>its</w:t>
      </w:r>
      <w:r>
        <w:t xml:space="preserve"> resources and how to allocate capital across different business units and geographies.</w:t>
      </w:r>
    </w:p>
    <w:p w14:paraId="2ADB8158" w14:textId="77777777" w:rsidR="00F97D9D" w:rsidRDefault="00F81B96" w:rsidP="00E63B20">
      <w:pPr>
        <w:jc w:val="both"/>
      </w:pPr>
      <w:r w:rsidRPr="00E63B20">
        <w:rPr>
          <w:b/>
        </w:rPr>
        <w:t>Corporate governance:</w:t>
      </w:r>
      <w:r>
        <w:t xml:space="preserve"> Effective practices</w:t>
      </w:r>
      <w:r w:rsidR="00D20D6E">
        <w:t xml:space="preserve"> of IFM help </w:t>
      </w:r>
      <w:r w:rsidR="00533502">
        <w:t>ensure</w:t>
      </w:r>
      <w:r w:rsidR="00D20D6E">
        <w:t xml:space="preserve"> the </w:t>
      </w:r>
      <w:r>
        <w:t xml:space="preserve">companies are transparent and accountable in their financial reporting, which is essential for maintaining the trust of investors and other </w:t>
      </w:r>
      <w:r w:rsidR="00FC7451">
        <w:t>investors (BP 2022).</w:t>
      </w:r>
    </w:p>
    <w:p w14:paraId="41FDE9CE" w14:textId="77777777" w:rsidR="00FB3D98" w:rsidRDefault="00F81B96" w:rsidP="00E63B20">
      <w:pPr>
        <w:jc w:val="both"/>
      </w:pPr>
      <w:r w:rsidRPr="00E63B20">
        <w:rPr>
          <w:b/>
        </w:rPr>
        <w:t>Maximizing shareholder value:</w:t>
      </w:r>
      <w:r>
        <w:t xml:space="preserve"> Ultimately, </w:t>
      </w:r>
      <w:r w:rsidR="007405E3">
        <w:t xml:space="preserve">it would aid in maximizing </w:t>
      </w:r>
      <w:r w:rsidR="003B7423">
        <w:t xml:space="preserve">the </w:t>
      </w:r>
      <w:r>
        <w:t>shareholder value</w:t>
      </w:r>
      <w:r w:rsidR="001A5216">
        <w:t xml:space="preserve"> of </w:t>
      </w:r>
      <w:r w:rsidR="003B7423">
        <w:t xml:space="preserve">a </w:t>
      </w:r>
      <w:r w:rsidR="001A5216">
        <w:t>company</w:t>
      </w:r>
      <w:r>
        <w:t xml:space="preserve"> by ensuring that financial decisions are aligned with the company's overall</w:t>
      </w:r>
      <w:r w:rsidR="008D6C4C">
        <w:t xml:space="preserve"> objectives </w:t>
      </w:r>
      <w:r w:rsidR="001C6BDF">
        <w:t xml:space="preserve">and </w:t>
      </w:r>
      <w:r w:rsidR="00D11BA1">
        <w:t>strategy</w:t>
      </w:r>
      <w:r w:rsidR="000639D3">
        <w:t xml:space="preserve"> (Madura 2020).</w:t>
      </w:r>
    </w:p>
    <w:p w14:paraId="44FF5FB3" w14:textId="77777777" w:rsidR="00C1299F" w:rsidRDefault="008B6458" w:rsidP="00742042">
      <w:pPr>
        <w:pStyle w:val="Heading1"/>
        <w:jc w:val="both"/>
      </w:pPr>
      <w:bookmarkStart w:id="2" w:name="_Toc130204644"/>
      <w:r>
        <w:t xml:space="preserve">Importance </w:t>
      </w:r>
      <w:r w:rsidR="00925D9E">
        <w:t xml:space="preserve">of IFM </w:t>
      </w:r>
      <w:r>
        <w:t>to</w:t>
      </w:r>
      <w:r w:rsidR="00C1299F">
        <w:t xml:space="preserve"> BP Plc</w:t>
      </w:r>
      <w:bookmarkEnd w:id="2"/>
      <w:r w:rsidR="00C1299F">
        <w:t xml:space="preserve"> </w:t>
      </w:r>
    </w:p>
    <w:p w14:paraId="14072408" w14:textId="77777777" w:rsidR="004E7C52" w:rsidRDefault="004E7C52" w:rsidP="00E63B20">
      <w:pPr>
        <w:jc w:val="both"/>
      </w:pPr>
      <w:r w:rsidRPr="00E63B20">
        <w:rPr>
          <w:b/>
        </w:rPr>
        <w:t>Risk Management:</w:t>
      </w:r>
      <w:r>
        <w:t xml:space="preserve"> BP PLC operates i</w:t>
      </w:r>
      <w:r w:rsidR="00D132CB">
        <w:t xml:space="preserve">ts operation in </w:t>
      </w:r>
      <w:r>
        <w:t xml:space="preserve">multiple countries and is exposed to various financial </w:t>
      </w:r>
      <w:r w:rsidR="00E82FD7">
        <w:t>uncertainties</w:t>
      </w:r>
      <w:r w:rsidR="005C246D">
        <w:t xml:space="preserve"> and </w:t>
      </w:r>
      <w:r>
        <w:t xml:space="preserve">risks, such as exchange rate fluctuations and geopolitical risks. Effective IFM </w:t>
      </w:r>
      <w:r w:rsidR="00A7672D">
        <w:t>helps</w:t>
      </w:r>
      <w:r w:rsidR="002C467F">
        <w:t xml:space="preserve"> </w:t>
      </w:r>
      <w:r w:rsidR="006B081C">
        <w:t xml:space="preserve">the company </w:t>
      </w:r>
      <w:r w:rsidR="00657A4B">
        <w:t xml:space="preserve">manages different kind of </w:t>
      </w:r>
      <w:r>
        <w:t>risks, ensuring its financial stability and sustainability.</w:t>
      </w:r>
    </w:p>
    <w:p w14:paraId="70FDFDC0" w14:textId="77777777" w:rsidR="004E7C52" w:rsidRDefault="004E7C52" w:rsidP="00E63B20">
      <w:pPr>
        <w:jc w:val="both"/>
      </w:pPr>
      <w:r w:rsidRPr="00E63B20">
        <w:rPr>
          <w:b/>
        </w:rPr>
        <w:t>Capital Allocation:</w:t>
      </w:r>
      <w:r>
        <w:t xml:space="preserve"> </w:t>
      </w:r>
      <w:r w:rsidR="00A35731">
        <w:t xml:space="preserve">This will facilitate </w:t>
      </w:r>
      <w:r>
        <w:t xml:space="preserve">BP PLC </w:t>
      </w:r>
      <w:r w:rsidR="00A33369">
        <w:t>to allocate</w:t>
      </w:r>
      <w:r>
        <w:t xml:space="preserve"> capit</w:t>
      </w:r>
      <w:r w:rsidR="00C85B78">
        <w:t>al efficiently across its international</w:t>
      </w:r>
      <w:r>
        <w:t xml:space="preserve"> operations. For example, </w:t>
      </w:r>
      <w:r w:rsidR="00744590">
        <w:t xml:space="preserve">it </w:t>
      </w:r>
      <w:r>
        <w:t>can use its financial resources to invest in renewable energy projects in emerging markets, which aligns with its long-term strategy of red</w:t>
      </w:r>
      <w:r w:rsidR="00E155EE">
        <w:t xml:space="preserve">ucing carbon emissions (BP 2022). </w:t>
      </w:r>
    </w:p>
    <w:p w14:paraId="5AFCAD74" w14:textId="77777777" w:rsidR="004E7C52" w:rsidRDefault="004E7C52" w:rsidP="00E63B20">
      <w:pPr>
        <w:jc w:val="both"/>
      </w:pPr>
      <w:r w:rsidRPr="00E63B20">
        <w:rPr>
          <w:b/>
        </w:rPr>
        <w:t>Investor Confidence:</w:t>
      </w:r>
      <w:r>
        <w:t xml:space="preserve"> IFM plays a crucial role in building and maintaining investor confidence in BP PLC. The company's</w:t>
      </w:r>
      <w:r w:rsidR="00F9498C">
        <w:t xml:space="preserve"> transparent financial report</w:t>
      </w:r>
      <w:r>
        <w:t xml:space="preserve"> and effective risk management practices demonstrate its commitment to good corporate governance, which is essential for att</w:t>
      </w:r>
      <w:r w:rsidR="00FD5594">
        <w:t>racting and retaining investors (BP 2022).</w:t>
      </w:r>
    </w:p>
    <w:p w14:paraId="2A971AFA" w14:textId="77777777" w:rsidR="004E7C52" w:rsidRDefault="004E7C52" w:rsidP="00E63B20">
      <w:pPr>
        <w:jc w:val="both"/>
      </w:pPr>
      <w:r w:rsidRPr="00E63B20">
        <w:rPr>
          <w:b/>
        </w:rPr>
        <w:t>Dividend Policy:</w:t>
      </w:r>
      <w:r w:rsidR="00926C0D">
        <w:t xml:space="preserve"> IFM would help</w:t>
      </w:r>
      <w:r>
        <w:t xml:space="preserve"> BP PLC </w:t>
      </w:r>
      <w:r w:rsidR="004B318F">
        <w:t xml:space="preserve">evaluate </w:t>
      </w:r>
      <w:r>
        <w:t xml:space="preserve">an appropriate policy </w:t>
      </w:r>
      <w:r w:rsidR="007F2D08">
        <w:t xml:space="preserve">of dividend </w:t>
      </w:r>
      <w:r>
        <w:t>that balances the needs of shareholders and the company's long-term growth objectives. For example, in 2020, BP PLC announced a new dividend policy, which included a commitment to increase shareholder returns and invest in low-carbon energy.</w:t>
      </w:r>
    </w:p>
    <w:p w14:paraId="01F2A883" w14:textId="77777777" w:rsidR="00C1299F" w:rsidRDefault="004E7C52" w:rsidP="00E63B20">
      <w:pPr>
        <w:jc w:val="both"/>
      </w:pPr>
      <w:r w:rsidRPr="00E63B20">
        <w:rPr>
          <w:b/>
        </w:rPr>
        <w:t>Project Appraisal:</w:t>
      </w:r>
      <w:r>
        <w:t xml:space="preserve"> IFM enables BP PLC to evaluate and appraise potential investment </w:t>
      </w:r>
      <w:r w:rsidR="002C79E9">
        <w:t xml:space="preserve">ventures and </w:t>
      </w:r>
      <w:r w:rsidR="00B6375D">
        <w:t>projects in different markets (</w:t>
      </w:r>
      <w:proofErr w:type="spellStart"/>
      <w:r w:rsidR="00393764" w:rsidRPr="00CF09B2">
        <w:rPr>
          <w:rFonts w:cs="Times New Roman"/>
          <w:szCs w:val="24"/>
          <w:shd w:val="clear" w:color="auto" w:fill="FFFFFF"/>
        </w:rPr>
        <w:t>Mosteanu</w:t>
      </w:r>
      <w:proofErr w:type="spellEnd"/>
      <w:r w:rsidR="00393764">
        <w:rPr>
          <w:rFonts w:cs="Times New Roman"/>
          <w:szCs w:val="24"/>
          <w:shd w:val="clear" w:color="auto" w:fill="FFFFFF"/>
        </w:rPr>
        <w:t xml:space="preserve"> and </w:t>
      </w:r>
      <w:proofErr w:type="spellStart"/>
      <w:r w:rsidR="00393764">
        <w:rPr>
          <w:rFonts w:cs="Times New Roman"/>
          <w:szCs w:val="24"/>
          <w:shd w:val="clear" w:color="auto" w:fill="FFFFFF"/>
        </w:rPr>
        <w:t>Faccia</w:t>
      </w:r>
      <w:proofErr w:type="spellEnd"/>
      <w:r w:rsidR="00393764">
        <w:rPr>
          <w:rFonts w:cs="Times New Roman"/>
          <w:szCs w:val="24"/>
          <w:shd w:val="clear" w:color="auto" w:fill="FFFFFF"/>
        </w:rPr>
        <w:t xml:space="preserve"> 2020</w:t>
      </w:r>
      <w:r w:rsidR="00B6375D">
        <w:t xml:space="preserve">). </w:t>
      </w:r>
      <w:r>
        <w:t>The company's robust project appraisal process helps ensure that it invests in projects that align with its strategic objectives and deliver positive financial returns.</w:t>
      </w:r>
    </w:p>
    <w:p w14:paraId="55376C33" w14:textId="77777777" w:rsidR="001B092D" w:rsidRPr="00F7048C" w:rsidRDefault="00FD263E" w:rsidP="00F7048C">
      <w:pPr>
        <w:pStyle w:val="Heading1"/>
      </w:pPr>
      <w:bookmarkStart w:id="3" w:name="_Toc130204645"/>
      <w:r>
        <w:t xml:space="preserve">Challenges of </w:t>
      </w:r>
      <w:r w:rsidR="00467AE6">
        <w:t xml:space="preserve">the </w:t>
      </w:r>
      <w:r>
        <w:t>international financial market</w:t>
      </w:r>
      <w:r w:rsidR="00F7048C">
        <w:t xml:space="preserve"> faced by BP Plc-</w:t>
      </w:r>
      <w:bookmarkEnd w:id="3"/>
    </w:p>
    <w:p w14:paraId="4A3ECCBA" w14:textId="77777777" w:rsidR="009B45BD" w:rsidRDefault="003B2053" w:rsidP="00F7048C">
      <w:pPr>
        <w:jc w:val="both"/>
      </w:pPr>
      <w:r w:rsidRPr="00F7048C">
        <w:rPr>
          <w:b/>
        </w:rPr>
        <w:t>Capital assessment:</w:t>
      </w:r>
      <w:r>
        <w:t xml:space="preserve"> </w:t>
      </w:r>
      <w:r w:rsidR="009B45BD">
        <w:t xml:space="preserve">BP </w:t>
      </w:r>
      <w:r w:rsidR="00F7048C">
        <w:t>Plc</w:t>
      </w:r>
      <w:r w:rsidR="009B45BD">
        <w:t xml:space="preserve"> must compete with other corporations for access to capital in global financial markets. </w:t>
      </w:r>
      <w:r w:rsidR="00E85743">
        <w:t xml:space="preserve">It </w:t>
      </w:r>
      <w:r w:rsidR="009B45BD">
        <w:t xml:space="preserve">must ensure that it maintains a good credit rating and financial </w:t>
      </w:r>
      <w:r w:rsidR="00766B22">
        <w:t>goodwill</w:t>
      </w:r>
      <w:r w:rsidR="009B45BD">
        <w:t xml:space="preserve"> to access the capit</w:t>
      </w:r>
      <w:r w:rsidR="00B9255F">
        <w:t>al it needs for its operations (</w:t>
      </w:r>
      <w:proofErr w:type="spellStart"/>
      <w:r w:rsidR="00B9255F">
        <w:t>Mosteanu</w:t>
      </w:r>
      <w:proofErr w:type="spellEnd"/>
      <w:r w:rsidR="00B9255F">
        <w:t xml:space="preserve"> and </w:t>
      </w:r>
      <w:proofErr w:type="spellStart"/>
      <w:r w:rsidR="00B9255F">
        <w:t>Faccia</w:t>
      </w:r>
      <w:proofErr w:type="spellEnd"/>
      <w:r w:rsidR="00B9255F">
        <w:t xml:space="preserve"> 2020). </w:t>
      </w:r>
      <w:r w:rsidR="00476C43">
        <w:t xml:space="preserve">During </w:t>
      </w:r>
      <w:r w:rsidR="00AC257F">
        <w:t xml:space="preserve">the financial </w:t>
      </w:r>
      <w:r w:rsidR="007A50BE">
        <w:t xml:space="preserve">year </w:t>
      </w:r>
      <w:r w:rsidR="00FE0000">
        <w:t>2020, BP enterprises</w:t>
      </w:r>
      <w:r w:rsidR="009B45BD">
        <w:t xml:space="preserve"> raised $12 billion in debt, issuing bonds with maturi</w:t>
      </w:r>
      <w:r w:rsidR="00AD61B8">
        <w:t xml:space="preserve">ties ranging from 5 to 40 years which has been a great challenge. </w:t>
      </w:r>
    </w:p>
    <w:p w14:paraId="6640D123" w14:textId="77777777" w:rsidR="009B45BD" w:rsidRDefault="009B45BD" w:rsidP="00F7048C">
      <w:pPr>
        <w:jc w:val="both"/>
      </w:pPr>
      <w:r w:rsidRPr="00F7048C">
        <w:rPr>
          <w:b/>
        </w:rPr>
        <w:t xml:space="preserve">Volatility in </w:t>
      </w:r>
      <w:r w:rsidR="002844DD" w:rsidRPr="00F7048C">
        <w:rPr>
          <w:b/>
        </w:rPr>
        <w:t>the market of financial</w:t>
      </w:r>
      <w:r>
        <w:t>: BP plc is exposed to volatility in global financial markets, which can i</w:t>
      </w:r>
      <w:r w:rsidR="006B3521">
        <w:t xml:space="preserve">mpact its financial operations of the firm. </w:t>
      </w:r>
      <w:r>
        <w:t>Market volatility can impact the</w:t>
      </w:r>
      <w:r w:rsidR="00A83856">
        <w:t xml:space="preserve"> price of shares </w:t>
      </w:r>
      <w:r>
        <w:t xml:space="preserve">and the value of </w:t>
      </w:r>
      <w:r w:rsidR="004C61E6">
        <w:t>their</w:t>
      </w:r>
      <w:r w:rsidR="001A1D34">
        <w:t xml:space="preserve"> investments (Madura 2020). </w:t>
      </w:r>
      <w:r w:rsidR="003D3A30">
        <w:t xml:space="preserve"> I</w:t>
      </w:r>
      <w:r>
        <w:t>n March 2020</w:t>
      </w:r>
      <w:r w:rsidR="00AA640B">
        <w:t xml:space="preserve"> </w:t>
      </w:r>
      <w:r w:rsidR="00D31330">
        <w:t>Company’s</w:t>
      </w:r>
      <w:r w:rsidR="002D50D3">
        <w:t xml:space="preserve"> </w:t>
      </w:r>
      <w:r>
        <w:t>stock price declined sharply due to the COVID-19 pandemic and the</w:t>
      </w:r>
      <w:r w:rsidR="006C1195">
        <w:t>re was a</w:t>
      </w:r>
      <w:r>
        <w:t xml:space="preserve"> drop in oil prices.</w:t>
      </w:r>
    </w:p>
    <w:p w14:paraId="5FA41630" w14:textId="77777777" w:rsidR="009B45BD" w:rsidRDefault="007074F1" w:rsidP="00F7048C">
      <w:pPr>
        <w:jc w:val="both"/>
      </w:pPr>
      <w:r w:rsidRPr="00F7048C">
        <w:rPr>
          <w:b/>
        </w:rPr>
        <w:t>R</w:t>
      </w:r>
      <w:r w:rsidR="009B45BD" w:rsidRPr="00F7048C">
        <w:rPr>
          <w:b/>
        </w:rPr>
        <w:t>isks</w:t>
      </w:r>
      <w:r w:rsidRPr="00F7048C">
        <w:rPr>
          <w:b/>
        </w:rPr>
        <w:t xml:space="preserve"> of Geopolitical</w:t>
      </w:r>
      <w:r w:rsidR="009B45BD" w:rsidRPr="00F7048C">
        <w:rPr>
          <w:b/>
        </w:rPr>
        <w:t>:</w:t>
      </w:r>
      <w:r w:rsidR="009B45BD">
        <w:t xml:space="preserve"> </w:t>
      </w:r>
      <w:r w:rsidR="00760534">
        <w:t xml:space="preserve">The BP Company </w:t>
      </w:r>
      <w:r w:rsidR="009B45BD">
        <w:t xml:space="preserve">operates in </w:t>
      </w:r>
      <w:r w:rsidR="00B75DD6">
        <w:t xml:space="preserve">different areas and </w:t>
      </w:r>
      <w:r w:rsidR="009B45BD">
        <w:t>countries with different geopolitical risks</w:t>
      </w:r>
      <w:r w:rsidR="00285AA1">
        <w:t xml:space="preserve"> or </w:t>
      </w:r>
      <w:r w:rsidR="00A0594B">
        <w:t>uncertainty</w:t>
      </w:r>
      <w:r w:rsidR="009B45BD">
        <w:t xml:space="preserve">, including political instability, sanctions, and trade disputes. </w:t>
      </w:r>
      <w:r w:rsidR="0069356D">
        <w:t xml:space="preserve"> T</w:t>
      </w:r>
      <w:r w:rsidR="009B45BD" w:rsidRPr="00672462">
        <w:t xml:space="preserve">he </w:t>
      </w:r>
      <w:r w:rsidR="009B45BD" w:rsidRPr="00A0594B">
        <w:t xml:space="preserve">US government imposed sanctions on Russia, impacting BP plc's joint venture </w:t>
      </w:r>
      <w:r w:rsidR="009B45BD">
        <w:t>w</w:t>
      </w:r>
      <w:r w:rsidR="00547F48">
        <w:t xml:space="preserve">ith Russian oil company Rosneft, in 2018. </w:t>
      </w:r>
    </w:p>
    <w:p w14:paraId="34F40D8C" w14:textId="77777777" w:rsidR="008431DE" w:rsidRDefault="009B45BD" w:rsidP="00F7048C">
      <w:pPr>
        <w:jc w:val="both"/>
      </w:pPr>
      <w:r w:rsidRPr="00F7048C">
        <w:rPr>
          <w:b/>
        </w:rPr>
        <w:t>Regulatory compliance:</w:t>
      </w:r>
      <w:r>
        <w:t xml:space="preserve"> </w:t>
      </w:r>
      <w:r w:rsidR="00370575">
        <w:t xml:space="preserve">It </w:t>
      </w:r>
      <w:r>
        <w:t>must comply with various regulations</w:t>
      </w:r>
      <w:r w:rsidR="00D5750C">
        <w:t xml:space="preserve"> and policy of financial</w:t>
      </w:r>
      <w:r>
        <w:t xml:space="preserve"> in different countries, including tax laws, reporting requirements, and anti-corruption laws. Failure to comply with these regulations can result in fines, pena</w:t>
      </w:r>
      <w:r w:rsidR="001B126F">
        <w:t xml:space="preserve">lties, </w:t>
      </w:r>
      <w:r w:rsidR="00782EBD">
        <w:t xml:space="preserve">and reputational damage. </w:t>
      </w:r>
      <w:r w:rsidR="001B126F">
        <w:t xml:space="preserve">For example, </w:t>
      </w:r>
      <w:r w:rsidR="004E30BB">
        <w:t xml:space="preserve">in </w:t>
      </w:r>
      <w:r w:rsidR="003D3A30">
        <w:t xml:space="preserve">the </w:t>
      </w:r>
      <w:r w:rsidR="00604A06">
        <w:t xml:space="preserve">accounting period </w:t>
      </w:r>
      <w:r w:rsidR="003D3A30">
        <w:t xml:space="preserve">of </w:t>
      </w:r>
      <w:r>
        <w:t xml:space="preserve">2019, </w:t>
      </w:r>
      <w:r w:rsidR="00292E55">
        <w:t>the firm a</w:t>
      </w:r>
      <w:r>
        <w:t xml:space="preserve">greed to pay $187 million to settle a tax dispute with the </w:t>
      </w:r>
      <w:r w:rsidR="007E3FC7">
        <w:t xml:space="preserve">government of </w:t>
      </w:r>
      <w:r w:rsidR="008E16C4">
        <w:t>Australia</w:t>
      </w:r>
      <w:r w:rsidR="00782EBD">
        <w:t xml:space="preserve"> (BP 2022).  </w:t>
      </w:r>
    </w:p>
    <w:p w14:paraId="11B89319" w14:textId="77777777" w:rsidR="00FC7451" w:rsidRDefault="00FC7451" w:rsidP="00FC7451">
      <w:pPr>
        <w:pStyle w:val="Heading1"/>
        <w:jc w:val="both"/>
      </w:pPr>
      <w:bookmarkStart w:id="4" w:name="_Toc130204646"/>
      <w:r>
        <w:t>IFM Theories-</w:t>
      </w:r>
      <w:bookmarkEnd w:id="4"/>
    </w:p>
    <w:p w14:paraId="70EFD463" w14:textId="77777777" w:rsidR="00FC7451" w:rsidRDefault="00FC7451" w:rsidP="00FC7451">
      <w:pPr>
        <w:jc w:val="both"/>
      </w:pPr>
      <w:r w:rsidRPr="00084067">
        <w:rPr>
          <w:b/>
        </w:rPr>
        <w:t>Stable Dividend Policy:</w:t>
      </w:r>
      <w:r>
        <w:t xml:space="preserve"> It would indicate that the company pays a fixed amount of dividend to its shareholders for a particular period (</w:t>
      </w:r>
      <w:proofErr w:type="spellStart"/>
      <w:r>
        <w:t>Kanakriyah</w:t>
      </w:r>
      <w:proofErr w:type="spellEnd"/>
      <w:r>
        <w:t xml:space="preserve"> 2020). BP Plc has used this policy in the past when it had consistent earnings and cash flow, allowing it to distribute a stable amount of dividends. This policy helps attract income-oriented investors who seek a steady flow of income from their investments.</w:t>
      </w:r>
    </w:p>
    <w:p w14:paraId="3BB3BD8C" w14:textId="77777777" w:rsidR="00FC7451" w:rsidRDefault="00FC7451" w:rsidP="00FC7451">
      <w:pPr>
        <w:jc w:val="both"/>
      </w:pPr>
      <w:r w:rsidRPr="005602AD">
        <w:rPr>
          <w:b/>
        </w:rPr>
        <w:t>Policy of Residual Dividend</w:t>
      </w:r>
      <w:r>
        <w:t>: Under this policy, the company pays the dividend amount to its investors after investing the earning in capital expenditures. BP Plc used that when it had many investment opportunities and wanted to ensure that it had enough retained earnings to fund those investments (BP 2022).  It would help ensure that the company retains enough earnings for future growth.</w:t>
      </w:r>
    </w:p>
    <w:p w14:paraId="797B66C4" w14:textId="77777777" w:rsidR="00FC7451" w:rsidRDefault="00FC7451" w:rsidP="00FC7451">
      <w:pPr>
        <w:jc w:val="both"/>
      </w:pPr>
      <w:r w:rsidRPr="00F56D2E">
        <w:rPr>
          <w:b/>
        </w:rPr>
        <w:t>Low Payout Ratio Policy:</w:t>
      </w:r>
      <w:r>
        <w:rPr>
          <w:b/>
        </w:rPr>
        <w:t xml:space="preserve"> </w:t>
      </w:r>
      <w:r>
        <w:t xml:space="preserve">It is a ratio which the company is most of the amount retained for reinvestment purposes which means the dividend distribution amount is less. BP Plc has followed this policy in the past when it wanted to conserve cash for future investments or when it had limited growth opportunities (BP 2022). This will help in the investing and financing decisions. </w:t>
      </w:r>
    </w:p>
    <w:p w14:paraId="0E227547" w14:textId="77777777" w:rsidR="00FC7451" w:rsidRDefault="00FC7451" w:rsidP="00FC7451">
      <w:pPr>
        <w:jc w:val="both"/>
      </w:pPr>
      <w:r w:rsidRPr="00A2619F">
        <w:rPr>
          <w:b/>
        </w:rPr>
        <w:t>High Payout Ratio Policy:</w:t>
      </w:r>
      <w:r>
        <w:t xml:space="preserve"> It is the opposite of the policy of low payout ratio because here the company distributes a large portion amount of the profits to its shareholders. It is used by companies when it had a high level of cash reserves and wanted to provide a substantial return to shareholders. This will help increase the shareholders’ loyalty and the price of the company shares (</w:t>
      </w:r>
      <w:proofErr w:type="spellStart"/>
      <w:r w:rsidRPr="00CF09B2">
        <w:rPr>
          <w:rFonts w:cs="Times New Roman"/>
          <w:szCs w:val="24"/>
          <w:shd w:val="clear" w:color="auto" w:fill="FFFFFF"/>
        </w:rPr>
        <w:t>Mosteanu</w:t>
      </w:r>
      <w:proofErr w:type="spellEnd"/>
      <w:r>
        <w:rPr>
          <w:rFonts w:cs="Times New Roman"/>
          <w:szCs w:val="24"/>
          <w:shd w:val="clear" w:color="auto" w:fill="FFFFFF"/>
        </w:rPr>
        <w:t xml:space="preserve"> and </w:t>
      </w:r>
      <w:proofErr w:type="spellStart"/>
      <w:r>
        <w:rPr>
          <w:rFonts w:cs="Times New Roman"/>
          <w:szCs w:val="24"/>
          <w:shd w:val="clear" w:color="auto" w:fill="FFFFFF"/>
        </w:rPr>
        <w:t>Faccia</w:t>
      </w:r>
      <w:proofErr w:type="spellEnd"/>
      <w:r>
        <w:rPr>
          <w:rFonts w:cs="Times New Roman"/>
          <w:szCs w:val="24"/>
          <w:shd w:val="clear" w:color="auto" w:fill="FFFFFF"/>
        </w:rPr>
        <w:t xml:space="preserve"> 2020</w:t>
      </w:r>
      <w:r>
        <w:t>).</w:t>
      </w:r>
    </w:p>
    <w:p w14:paraId="5AF9D2DF" w14:textId="77777777" w:rsidR="006F275B" w:rsidRPr="00A20061" w:rsidRDefault="006F275B" w:rsidP="00A20061">
      <w:pPr>
        <w:pStyle w:val="Heading1"/>
      </w:pPr>
      <w:bookmarkStart w:id="5" w:name="_Toc130204647"/>
      <w:r w:rsidRPr="006F275B">
        <w:t xml:space="preserve">BP </w:t>
      </w:r>
      <w:r w:rsidR="00FC7451">
        <w:t>P</w:t>
      </w:r>
      <w:r w:rsidR="00FC7451" w:rsidRPr="006F275B">
        <w:t>lc</w:t>
      </w:r>
      <w:r w:rsidR="00FC7451">
        <w:t>.’s</w:t>
      </w:r>
      <w:r>
        <w:t xml:space="preserve"> Dividend Distribution Policy</w:t>
      </w:r>
      <w:bookmarkEnd w:id="5"/>
    </w:p>
    <w:p w14:paraId="3D1BAA0D" w14:textId="77777777" w:rsidR="00C16427" w:rsidRDefault="00C16427" w:rsidP="00742042">
      <w:pPr>
        <w:jc w:val="both"/>
      </w:pPr>
      <w:r>
        <w:t>The company's dividend policy is based on its commitment to maintaining a sustainable and progressiv</w:t>
      </w:r>
      <w:r w:rsidR="00585F5F">
        <w:t>e dividen</w:t>
      </w:r>
      <w:r w:rsidR="00393764">
        <w:t>d for its shareholders (BP 2022)</w:t>
      </w:r>
      <w:r w:rsidR="00585F5F">
        <w:t xml:space="preserve">. </w:t>
      </w:r>
      <w:r>
        <w:t xml:space="preserve"> BP's dividend policy has evolved over the years, and it has used various types of dividends, including:</w:t>
      </w:r>
    </w:p>
    <w:p w14:paraId="695783EB" w14:textId="77777777" w:rsidR="009D6BAA" w:rsidRDefault="009D6BAA" w:rsidP="00742042">
      <w:pPr>
        <w:jc w:val="both"/>
      </w:pPr>
      <w:r>
        <w:rPr>
          <w:noProof/>
          <w:lang w:val="en-IN" w:eastAsia="en-IN"/>
        </w:rPr>
        <w:drawing>
          <wp:inline distT="0" distB="0" distL="0" distR="0" wp14:anchorId="1BAC0F82" wp14:editId="32DBA84C">
            <wp:extent cx="5114925" cy="2804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132054" cy="2813551"/>
                    </a:xfrm>
                    <a:prstGeom prst="rect">
                      <a:avLst/>
                    </a:prstGeom>
                  </pic:spPr>
                </pic:pic>
              </a:graphicData>
            </a:graphic>
          </wp:inline>
        </w:drawing>
      </w:r>
    </w:p>
    <w:p w14:paraId="5D6CCE59" w14:textId="77777777" w:rsidR="009D6BAA" w:rsidRDefault="009D6BAA" w:rsidP="00742042">
      <w:pPr>
        <w:jc w:val="both"/>
      </w:pPr>
      <w:r>
        <w:t xml:space="preserve">(Sources- </w:t>
      </w:r>
      <w:r w:rsidR="00FC3645">
        <w:t>Statista</w:t>
      </w:r>
      <w:r w:rsidR="00A20061">
        <w:t xml:space="preserve"> 2023</w:t>
      </w:r>
      <w:r w:rsidR="00E453AC">
        <w:t xml:space="preserve">) </w:t>
      </w:r>
    </w:p>
    <w:p w14:paraId="32350F77" w14:textId="77777777" w:rsidR="00C16427" w:rsidRDefault="00C16427" w:rsidP="00742042">
      <w:pPr>
        <w:jc w:val="both"/>
      </w:pPr>
      <w:r w:rsidRPr="00B13D19">
        <w:rPr>
          <w:b/>
        </w:rPr>
        <w:t>Cash dividends</w:t>
      </w:r>
      <w:r>
        <w:t xml:space="preserve"> </w:t>
      </w:r>
      <w:r w:rsidR="00B13D19">
        <w:t>–</w:t>
      </w:r>
      <w:r w:rsidR="00BC6FE5">
        <w:t>T</w:t>
      </w:r>
      <w:r w:rsidR="008D1CFF">
        <w:t>he C</w:t>
      </w:r>
      <w:r>
        <w:t>ompany has consistently increased its dividend payments since 2017. In 2020, BP paid a total dividend of $0.315 per share, which represents an increase of 2.6% from the previous year.</w:t>
      </w:r>
    </w:p>
    <w:p w14:paraId="389F079F" w14:textId="77777777" w:rsidR="006F275B" w:rsidRDefault="00C16427" w:rsidP="00742042">
      <w:pPr>
        <w:jc w:val="both"/>
      </w:pPr>
      <w:r w:rsidRPr="00D66D25">
        <w:rPr>
          <w:b/>
        </w:rPr>
        <w:t>Scrip dividends</w:t>
      </w:r>
      <w:r w:rsidR="00D66D25">
        <w:t xml:space="preserve"> </w:t>
      </w:r>
      <w:r w:rsidR="00DB6B97">
        <w:t>–</w:t>
      </w:r>
      <w:r w:rsidR="00D66D25">
        <w:t xml:space="preserve"> </w:t>
      </w:r>
      <w:r w:rsidR="002036D9">
        <w:t>It is a type of div</w:t>
      </w:r>
      <w:r w:rsidR="00E14CA8">
        <w:t xml:space="preserve">idend </w:t>
      </w:r>
      <w:proofErr w:type="spellStart"/>
      <w:r w:rsidR="00E14CA8">
        <w:t>i</w:t>
      </w:r>
      <w:proofErr w:type="spellEnd"/>
      <w:r w:rsidR="00E06034">
        <w:t xml:space="preserve"> which the </w:t>
      </w:r>
      <w:r>
        <w:t>shareholders</w:t>
      </w:r>
      <w:r w:rsidR="001E18EF">
        <w:t xml:space="preserve"> of the company </w:t>
      </w:r>
      <w:r>
        <w:t>can choose to receive their</w:t>
      </w:r>
      <w:r w:rsidR="008B067F">
        <w:t xml:space="preserve"> payments</w:t>
      </w:r>
      <w:r>
        <w:t xml:space="preserve"> dividend in the form of additional shares</w:t>
      </w:r>
      <w:r w:rsidR="00C40C96">
        <w:t xml:space="preserve"> for the particular year</w:t>
      </w:r>
      <w:r w:rsidR="00393764">
        <w:t xml:space="preserve"> (BP 2022).</w:t>
      </w:r>
      <w:r>
        <w:t xml:space="preserve"> This option allows shareholders to reinvest their dividends in the company and potentially benefit from future share price appreciation.</w:t>
      </w:r>
    </w:p>
    <w:tbl>
      <w:tblPr>
        <w:tblStyle w:val="TableGrid"/>
        <w:tblW w:w="9348" w:type="dxa"/>
        <w:tblLook w:val="04A0" w:firstRow="1" w:lastRow="0" w:firstColumn="1" w:lastColumn="0" w:noHBand="0" w:noVBand="1"/>
      </w:tblPr>
      <w:tblGrid>
        <w:gridCol w:w="3116"/>
        <w:gridCol w:w="3116"/>
        <w:gridCol w:w="3116"/>
      </w:tblGrid>
      <w:tr w:rsidR="00FE5411" w14:paraId="386B6437" w14:textId="77777777" w:rsidTr="00FE5411">
        <w:tc>
          <w:tcPr>
            <w:tcW w:w="3116" w:type="dxa"/>
          </w:tcPr>
          <w:p w14:paraId="47F42BDD" w14:textId="77777777" w:rsidR="00FE5411" w:rsidRPr="00BD0D5B" w:rsidRDefault="00FE5411" w:rsidP="00742042">
            <w:pPr>
              <w:jc w:val="both"/>
              <w:rPr>
                <w:b/>
              </w:rPr>
            </w:pPr>
            <w:r w:rsidRPr="00BD0D5B">
              <w:rPr>
                <w:b/>
              </w:rPr>
              <w:t xml:space="preserve">Year </w:t>
            </w:r>
          </w:p>
        </w:tc>
        <w:tc>
          <w:tcPr>
            <w:tcW w:w="3116" w:type="dxa"/>
          </w:tcPr>
          <w:p w14:paraId="7D439399" w14:textId="77777777" w:rsidR="00FE5411" w:rsidRPr="00BD0D5B" w:rsidRDefault="00FE5411" w:rsidP="00742042">
            <w:pPr>
              <w:jc w:val="both"/>
              <w:rPr>
                <w:b/>
              </w:rPr>
            </w:pPr>
            <w:r w:rsidRPr="00BD0D5B">
              <w:rPr>
                <w:b/>
              </w:rPr>
              <w:t xml:space="preserve">Dividend per </w:t>
            </w:r>
            <w:r w:rsidR="005876CB">
              <w:rPr>
                <w:b/>
              </w:rPr>
              <w:t>share</w:t>
            </w:r>
            <w:r w:rsidRPr="00BD0D5B">
              <w:rPr>
                <w:b/>
              </w:rPr>
              <w:t xml:space="preserve"> ($)</w:t>
            </w:r>
          </w:p>
        </w:tc>
        <w:tc>
          <w:tcPr>
            <w:tcW w:w="3116" w:type="dxa"/>
          </w:tcPr>
          <w:p w14:paraId="24825E61" w14:textId="77777777" w:rsidR="00FE5411" w:rsidRPr="00FE5411" w:rsidRDefault="00FE5411" w:rsidP="00742042">
            <w:pPr>
              <w:jc w:val="both"/>
              <w:rPr>
                <w:b/>
              </w:rPr>
            </w:pPr>
            <w:r w:rsidRPr="00FE5411">
              <w:rPr>
                <w:b/>
              </w:rPr>
              <w:t>Interim Dividend</w:t>
            </w:r>
            <w:r>
              <w:rPr>
                <w:b/>
              </w:rPr>
              <w:t xml:space="preserve"> (in </w:t>
            </w:r>
            <w:r w:rsidRPr="00BD0D5B">
              <w:rPr>
                <w:b/>
              </w:rPr>
              <w:t>$)</w:t>
            </w:r>
          </w:p>
        </w:tc>
      </w:tr>
      <w:tr w:rsidR="00FE5411" w14:paraId="43A85A7B" w14:textId="77777777" w:rsidTr="00FE5411">
        <w:tc>
          <w:tcPr>
            <w:tcW w:w="3116" w:type="dxa"/>
          </w:tcPr>
          <w:p w14:paraId="0AF05592" w14:textId="77777777" w:rsidR="00FE5411" w:rsidRDefault="00FE5411" w:rsidP="00742042">
            <w:pPr>
              <w:jc w:val="both"/>
            </w:pPr>
            <w:r>
              <w:t>2021</w:t>
            </w:r>
          </w:p>
        </w:tc>
        <w:tc>
          <w:tcPr>
            <w:tcW w:w="3116" w:type="dxa"/>
          </w:tcPr>
          <w:p w14:paraId="410F6F5F" w14:textId="77777777" w:rsidR="00FE5411" w:rsidRDefault="00FE5411" w:rsidP="00742042">
            <w:pPr>
              <w:jc w:val="both"/>
            </w:pPr>
            <w:r>
              <w:t>0.315</w:t>
            </w:r>
          </w:p>
        </w:tc>
        <w:tc>
          <w:tcPr>
            <w:tcW w:w="3116" w:type="dxa"/>
          </w:tcPr>
          <w:p w14:paraId="0830653C" w14:textId="77777777" w:rsidR="00FE5411" w:rsidRDefault="00FE5411" w:rsidP="00742042">
            <w:pPr>
              <w:jc w:val="both"/>
            </w:pPr>
            <w:r>
              <w:t>0.0525</w:t>
            </w:r>
          </w:p>
        </w:tc>
      </w:tr>
      <w:tr w:rsidR="00FE5411" w14:paraId="66BF3578" w14:textId="77777777" w:rsidTr="00FE5411">
        <w:tc>
          <w:tcPr>
            <w:tcW w:w="3116" w:type="dxa"/>
          </w:tcPr>
          <w:p w14:paraId="2CA3F68E" w14:textId="77777777" w:rsidR="00FE5411" w:rsidRDefault="00FE5411" w:rsidP="00742042">
            <w:pPr>
              <w:jc w:val="both"/>
            </w:pPr>
            <w:r>
              <w:t>2020</w:t>
            </w:r>
          </w:p>
        </w:tc>
        <w:tc>
          <w:tcPr>
            <w:tcW w:w="3116" w:type="dxa"/>
          </w:tcPr>
          <w:p w14:paraId="29365F35" w14:textId="77777777" w:rsidR="00FE5411" w:rsidRDefault="00FE5411" w:rsidP="00742042">
            <w:pPr>
              <w:jc w:val="both"/>
            </w:pPr>
            <w:r>
              <w:t>0.308</w:t>
            </w:r>
          </w:p>
        </w:tc>
        <w:tc>
          <w:tcPr>
            <w:tcW w:w="3116" w:type="dxa"/>
          </w:tcPr>
          <w:p w14:paraId="25EF41E2" w14:textId="77777777" w:rsidR="00FE5411" w:rsidRDefault="00FE5411" w:rsidP="00742042">
            <w:pPr>
              <w:jc w:val="both"/>
            </w:pPr>
            <w:r>
              <w:t>0.055</w:t>
            </w:r>
          </w:p>
        </w:tc>
      </w:tr>
      <w:tr w:rsidR="00FE5411" w14:paraId="4C744779" w14:textId="77777777" w:rsidTr="00FE5411">
        <w:tc>
          <w:tcPr>
            <w:tcW w:w="3116" w:type="dxa"/>
          </w:tcPr>
          <w:p w14:paraId="5073298A" w14:textId="77777777" w:rsidR="00FE5411" w:rsidRDefault="00FE5411" w:rsidP="00742042">
            <w:pPr>
              <w:jc w:val="both"/>
            </w:pPr>
            <w:r>
              <w:t>2019</w:t>
            </w:r>
          </w:p>
        </w:tc>
        <w:tc>
          <w:tcPr>
            <w:tcW w:w="3116" w:type="dxa"/>
          </w:tcPr>
          <w:p w14:paraId="6D0D7104" w14:textId="77777777" w:rsidR="00FE5411" w:rsidRDefault="00FE5411" w:rsidP="00742042">
            <w:pPr>
              <w:jc w:val="both"/>
            </w:pPr>
            <w:r>
              <w:t>0.3075+0.10</w:t>
            </w:r>
          </w:p>
        </w:tc>
        <w:tc>
          <w:tcPr>
            <w:tcW w:w="3116" w:type="dxa"/>
          </w:tcPr>
          <w:p w14:paraId="37B59725" w14:textId="77777777" w:rsidR="00FE5411" w:rsidRDefault="00FE5411" w:rsidP="00742042">
            <w:pPr>
              <w:jc w:val="both"/>
            </w:pPr>
            <w:r>
              <w:t>0.10</w:t>
            </w:r>
          </w:p>
        </w:tc>
      </w:tr>
      <w:tr w:rsidR="00FE5411" w14:paraId="3A6A84E7" w14:textId="77777777" w:rsidTr="00FE5411">
        <w:tc>
          <w:tcPr>
            <w:tcW w:w="3116" w:type="dxa"/>
          </w:tcPr>
          <w:p w14:paraId="23E6CF6A" w14:textId="77777777" w:rsidR="00FE5411" w:rsidRDefault="00FE5411" w:rsidP="00742042">
            <w:pPr>
              <w:jc w:val="both"/>
            </w:pPr>
            <w:r>
              <w:t>2018</w:t>
            </w:r>
          </w:p>
        </w:tc>
        <w:tc>
          <w:tcPr>
            <w:tcW w:w="3116" w:type="dxa"/>
          </w:tcPr>
          <w:p w14:paraId="68AFE2E8" w14:textId="77777777" w:rsidR="00FE5411" w:rsidRDefault="00FE5411" w:rsidP="00742042">
            <w:pPr>
              <w:jc w:val="both"/>
            </w:pPr>
            <w:r>
              <w:t>0.10</w:t>
            </w:r>
          </w:p>
        </w:tc>
        <w:tc>
          <w:tcPr>
            <w:tcW w:w="3116" w:type="dxa"/>
          </w:tcPr>
          <w:p w14:paraId="3EA0D079" w14:textId="77777777" w:rsidR="00FE5411" w:rsidRDefault="00FE5411" w:rsidP="00742042">
            <w:pPr>
              <w:jc w:val="both"/>
            </w:pPr>
            <w:r>
              <w:t>0.10</w:t>
            </w:r>
          </w:p>
        </w:tc>
      </w:tr>
    </w:tbl>
    <w:p w14:paraId="23796EAE" w14:textId="77777777" w:rsidR="00C03E70" w:rsidRPr="006F275B" w:rsidRDefault="00C03E70" w:rsidP="00742042">
      <w:pPr>
        <w:jc w:val="both"/>
      </w:pPr>
    </w:p>
    <w:p w14:paraId="0497DE1C" w14:textId="77777777" w:rsidR="000D6E16" w:rsidRDefault="000D6E16" w:rsidP="00DE1CD5">
      <w:pPr>
        <w:pStyle w:val="Heading1"/>
      </w:pPr>
      <w:bookmarkStart w:id="6" w:name="_Toc130204648"/>
      <w:r>
        <w:t xml:space="preserve">The Efficient Market Hypothesis theory </w:t>
      </w:r>
      <w:r w:rsidR="00FC7451">
        <w:t>in BP Plc-</w:t>
      </w:r>
      <w:bookmarkEnd w:id="6"/>
    </w:p>
    <w:p w14:paraId="513083EE" w14:textId="77777777" w:rsidR="000F62C0" w:rsidRDefault="000D6E16" w:rsidP="00742042">
      <w:pPr>
        <w:jc w:val="both"/>
      </w:pPr>
      <w:r w:rsidRPr="000D6E16">
        <w:t>It</w:t>
      </w:r>
      <w:r w:rsidR="00A0417A">
        <w:t xml:space="preserve"> </w:t>
      </w:r>
      <w:r w:rsidRPr="000D6E16">
        <w:t>states</w:t>
      </w:r>
      <w:r>
        <w:t xml:space="preserve"> that financial markets </w:t>
      </w:r>
      <w:r w:rsidR="004C2BFF">
        <w:t>provide</w:t>
      </w:r>
      <w:r w:rsidR="006446AB">
        <w:t xml:space="preserve"> important information about the </w:t>
      </w:r>
      <w:r w:rsidR="004C2BFF">
        <w:t>company</w:t>
      </w:r>
      <w:r w:rsidR="006446AB">
        <w:t xml:space="preserve"> shares and position at a particular period so it would </w:t>
      </w:r>
      <w:r w:rsidR="004C2BFF">
        <w:t>also</w:t>
      </w:r>
      <w:r w:rsidR="006446AB">
        <w:t xml:space="preserve"> </w:t>
      </w:r>
      <w:r w:rsidR="004C2BFF">
        <w:t xml:space="preserve">be </w:t>
      </w:r>
      <w:r w:rsidR="006446AB">
        <w:t xml:space="preserve">known as the informational </w:t>
      </w:r>
      <w:r w:rsidR="004C2BFF">
        <w:t>efficient</w:t>
      </w:r>
      <w:r w:rsidR="006446AB">
        <w:t xml:space="preserve">. </w:t>
      </w:r>
      <w:r>
        <w:t xml:space="preserve">In the context of BP plc's </w:t>
      </w:r>
      <w:r w:rsidR="00B46620">
        <w:t xml:space="preserve">business </w:t>
      </w:r>
      <w:r w:rsidR="008032E1">
        <w:t>operational activities</w:t>
      </w:r>
      <w:r w:rsidR="004A0BF8">
        <w:t xml:space="preserve">, EMH can be seen </w:t>
      </w:r>
      <w:r>
        <w:t xml:space="preserve">in the pricing of the </w:t>
      </w:r>
      <w:r w:rsidR="00570CC8">
        <w:t xml:space="preserve">shares of </w:t>
      </w:r>
      <w:r w:rsidR="002C0B0C">
        <w:t>the company</w:t>
      </w:r>
      <w:r>
        <w:t xml:space="preserve"> </w:t>
      </w:r>
      <w:r w:rsidR="00CF5B78">
        <w:t xml:space="preserve">in the stock market (Li et al. 2021). </w:t>
      </w:r>
      <w:r>
        <w:t xml:space="preserve"> The market participants such as investors and analysts continuously gather and analyze </w:t>
      </w:r>
      <w:r w:rsidR="00086122">
        <w:t xml:space="preserve">significant data </w:t>
      </w:r>
      <w:r>
        <w:t xml:space="preserve">about BP's </w:t>
      </w:r>
      <w:r w:rsidR="00D37E06">
        <w:t xml:space="preserve">geopolitical events, </w:t>
      </w:r>
      <w:r>
        <w:t xml:space="preserve">industry trends, </w:t>
      </w:r>
      <w:r w:rsidR="00D37E06">
        <w:t>financial performance,</w:t>
      </w:r>
      <w:r w:rsidR="00EE1168">
        <w:t xml:space="preserve"> </w:t>
      </w:r>
      <w:r>
        <w:t>and other relevant factors that can affect the company's prospects</w:t>
      </w:r>
      <w:r w:rsidR="00EE1168">
        <w:t xml:space="preserve"> </w:t>
      </w:r>
      <w:r w:rsidR="005E4E1F">
        <w:t>for</w:t>
      </w:r>
      <w:r w:rsidR="00EE1168">
        <w:t xml:space="preserve"> </w:t>
      </w:r>
      <w:r w:rsidR="005E4E1F">
        <w:t xml:space="preserve">the </w:t>
      </w:r>
      <w:r w:rsidR="00EE1168">
        <w:t>future</w:t>
      </w:r>
      <w:r>
        <w:t xml:space="preserve">. </w:t>
      </w:r>
    </w:p>
    <w:p w14:paraId="4D421E4C" w14:textId="77777777" w:rsidR="00105FEF" w:rsidRDefault="00A478EA" w:rsidP="00742042">
      <w:pPr>
        <w:jc w:val="both"/>
      </w:pPr>
      <w:r>
        <w:t>The</w:t>
      </w:r>
      <w:r w:rsidR="000D6E16">
        <w:t xml:space="preserve"> market prices of BP's shares reflect the collective beliefs of the participants</w:t>
      </w:r>
      <w:r w:rsidR="00DE7DEF">
        <w:t xml:space="preserve"> of the market</w:t>
      </w:r>
      <w:r w:rsidR="000D6E16">
        <w:t xml:space="preserve"> regarding the company's future</w:t>
      </w:r>
      <w:r w:rsidR="000F62C0">
        <w:t xml:space="preserve"> earnings and growth prospects. </w:t>
      </w:r>
      <w:r w:rsidR="000D6E16">
        <w:t xml:space="preserve">However, some researchers have argued that </w:t>
      </w:r>
      <w:r w:rsidR="00CC1C69">
        <w:t xml:space="preserve">this theory </w:t>
      </w:r>
      <w:r w:rsidR="000D6E16">
        <w:t xml:space="preserve">is not entirely accurate and that markets can sometimes be inefficient due to factors such as </w:t>
      </w:r>
      <w:r w:rsidR="00E54A2F">
        <w:t xml:space="preserve">informational asymmetry </w:t>
      </w:r>
      <w:r w:rsidR="000D6E16">
        <w:t>and</w:t>
      </w:r>
      <w:r w:rsidR="00E54A2F" w:rsidRPr="00E54A2F">
        <w:t xml:space="preserve"> </w:t>
      </w:r>
      <w:r w:rsidR="00E54A2F">
        <w:t>behavioral biases</w:t>
      </w:r>
      <w:r w:rsidR="0027550F">
        <w:t xml:space="preserve"> </w:t>
      </w:r>
      <w:r w:rsidR="00E544E1">
        <w:t xml:space="preserve">(Salah and </w:t>
      </w:r>
      <w:r w:rsidR="00E544E1" w:rsidRPr="002739BB">
        <w:rPr>
          <w:rFonts w:cs="Times New Roman"/>
          <w:szCs w:val="24"/>
          <w:shd w:val="clear" w:color="auto" w:fill="FFFFFF"/>
        </w:rPr>
        <w:t>Abdel-Salam</w:t>
      </w:r>
      <w:r w:rsidR="00E544E1">
        <w:t xml:space="preserve"> 2019). </w:t>
      </w:r>
      <w:r w:rsidR="000D6E16">
        <w:t>For example, BP's shares may be undervalued in the market due to</w:t>
      </w:r>
      <w:r w:rsidR="00E86A03">
        <w:t xml:space="preserve"> </w:t>
      </w:r>
      <w:r w:rsidR="00AD780C">
        <w:t>shareholders’</w:t>
      </w:r>
      <w:r w:rsidR="000D6E16">
        <w:t xml:space="preserve"> short-term focus or lack o</w:t>
      </w:r>
      <w:r w:rsidR="009862AA">
        <w:t xml:space="preserve">f access to certain information that will </w:t>
      </w:r>
      <w:r w:rsidR="00D066EE">
        <w:t>influence</w:t>
      </w:r>
      <w:r w:rsidR="009862AA">
        <w:t xml:space="preserve"> the decision of the users.</w:t>
      </w:r>
      <w:r w:rsidR="000D6E16">
        <w:t xml:space="preserve"> </w:t>
      </w:r>
    </w:p>
    <w:p w14:paraId="7C912578" w14:textId="77777777" w:rsidR="00433FD2" w:rsidRDefault="00FC7451" w:rsidP="00742042">
      <w:pPr>
        <w:pStyle w:val="Heading1"/>
        <w:jc w:val="both"/>
      </w:pPr>
      <w:bookmarkStart w:id="7" w:name="_Toc130204649"/>
      <w:r>
        <w:t xml:space="preserve">BP Plc </w:t>
      </w:r>
      <w:r w:rsidR="00433FD2">
        <w:t>Methods of Appraising Projects:</w:t>
      </w:r>
      <w:bookmarkEnd w:id="7"/>
    </w:p>
    <w:p w14:paraId="675760F5" w14:textId="77777777" w:rsidR="008431DE" w:rsidRDefault="00433FD2" w:rsidP="00742042">
      <w:pPr>
        <w:jc w:val="both"/>
      </w:pPr>
      <w:r>
        <w:t xml:space="preserve">BP plc uses </w:t>
      </w:r>
      <w:r w:rsidR="006A57D0">
        <w:t xml:space="preserve">net present value </w:t>
      </w:r>
      <w:r>
        <w:t>an</w:t>
      </w:r>
      <w:r w:rsidR="006A57D0">
        <w:t xml:space="preserve">d internal rate of return </w:t>
      </w:r>
      <w:r>
        <w:t>analysis</w:t>
      </w:r>
      <w:r w:rsidR="00FF46B5">
        <w:t xml:space="preserve"> for assessing their projects</w:t>
      </w:r>
      <w:r>
        <w:t xml:space="preserve">. These methods help the company evaluate the potential profitability of its </w:t>
      </w:r>
      <w:r w:rsidR="003056D3">
        <w:t>ventures</w:t>
      </w:r>
      <w:r w:rsidR="00662B61">
        <w:t xml:space="preserve"> </w:t>
      </w:r>
      <w:r>
        <w:t xml:space="preserve">and make informed investment decisions. However, these methods may not fully account for the risks associated with BP plc's international operations, such as </w:t>
      </w:r>
      <w:r w:rsidR="00662B61">
        <w:t xml:space="preserve">economic risks and political </w:t>
      </w:r>
      <w:r w:rsidR="00455711">
        <w:t>risks</w:t>
      </w:r>
      <w:r w:rsidR="005F4618">
        <w:t xml:space="preserve"> (Madura 2020). </w:t>
      </w:r>
      <w:r w:rsidR="00FA6126" w:rsidRPr="00FA6126">
        <w:t xml:space="preserve">However, the company also faces challenges in accurately predicting </w:t>
      </w:r>
      <w:r w:rsidR="00E72B73">
        <w:t xml:space="preserve">the </w:t>
      </w:r>
      <w:r w:rsidR="00C4536D" w:rsidRPr="00FA6126">
        <w:t>condition</w:t>
      </w:r>
      <w:r w:rsidR="00C4536D">
        <w:t xml:space="preserve">s of the </w:t>
      </w:r>
      <w:r w:rsidR="00FA6126" w:rsidRPr="00FA6126">
        <w:t>future market and demand for its products, which can affect the success of its projects. As such, BP continually reviews and updates its project appraisal methods to ensure the accuracy of it</w:t>
      </w:r>
      <w:r w:rsidR="00E72B73">
        <w:t xml:space="preserve">s projections and minimize the risks. </w:t>
      </w:r>
    </w:p>
    <w:p w14:paraId="1E2F744B" w14:textId="77777777" w:rsidR="008431DE" w:rsidRDefault="008431DE" w:rsidP="008431DE">
      <w:pPr>
        <w:pStyle w:val="Heading1"/>
      </w:pPr>
      <w:bookmarkStart w:id="8" w:name="_Toc130204650"/>
      <w:r w:rsidRPr="00CA28AC">
        <w:t>Empirical evidence supports the effectiveness</w:t>
      </w:r>
      <w:bookmarkEnd w:id="8"/>
      <w:r w:rsidRPr="00455711">
        <w:t xml:space="preserve"> </w:t>
      </w:r>
    </w:p>
    <w:p w14:paraId="1D8D1A32" w14:textId="77777777" w:rsidR="00592DC3" w:rsidRDefault="008431DE" w:rsidP="00592DC3">
      <w:pPr>
        <w:jc w:val="both"/>
      </w:pPr>
      <w:r>
        <w:t xml:space="preserve">The </w:t>
      </w:r>
      <w:r w:rsidRPr="00455711">
        <w:t xml:space="preserve">company's investment in projects </w:t>
      </w:r>
      <w:r>
        <w:t xml:space="preserve">of </w:t>
      </w:r>
      <w:r w:rsidRPr="00455711">
        <w:t xml:space="preserve">renewable energy has been driven by a rigorous evaluation of the potential </w:t>
      </w:r>
      <w:r>
        <w:t xml:space="preserve">economic/ financial </w:t>
      </w:r>
      <w:r w:rsidRPr="00455711">
        <w:t>risks and returns associated with these projects, which has contributed to its position as a leader in the transition to a low-carbon economy</w:t>
      </w:r>
      <w:r w:rsidR="0035152E">
        <w:t xml:space="preserve"> (Salah and </w:t>
      </w:r>
      <w:r w:rsidR="0035152E" w:rsidRPr="002739BB">
        <w:rPr>
          <w:rFonts w:cs="Times New Roman"/>
          <w:szCs w:val="24"/>
          <w:shd w:val="clear" w:color="auto" w:fill="FFFFFF"/>
        </w:rPr>
        <w:t>Abdel-Salam</w:t>
      </w:r>
      <w:r w:rsidR="0035152E">
        <w:t xml:space="preserve"> 2019). </w:t>
      </w:r>
      <w:r>
        <w:t xml:space="preserve">Additionally, </w:t>
      </w:r>
      <w:r w:rsidRPr="00D86F85">
        <w:t>BP plc's use of sophisticated project appraisal methods has resulted in successful projects such as the Mad Dog Phase 2 project in the Gulf of Mexico. The project is expected to produce up to 140,000 barrels of oil per day, co</w:t>
      </w:r>
      <w:r>
        <w:t>ntributing significantly to the</w:t>
      </w:r>
      <w:r w:rsidRPr="00D86F85">
        <w:t xml:space="preserve"> growth and profitability</w:t>
      </w:r>
      <w:r>
        <w:t xml:space="preserve"> of the company</w:t>
      </w:r>
      <w:r w:rsidRPr="00D86F85">
        <w:t xml:space="preserve">. </w:t>
      </w:r>
    </w:p>
    <w:p w14:paraId="4932A570" w14:textId="77777777" w:rsidR="00925560" w:rsidRDefault="0034214E" w:rsidP="00592DC3">
      <w:pPr>
        <w:pStyle w:val="Heading1"/>
      </w:pPr>
      <w:bookmarkStart w:id="9" w:name="_Toc130204651"/>
      <w:r>
        <w:t>Conclusion</w:t>
      </w:r>
      <w:bookmarkEnd w:id="9"/>
    </w:p>
    <w:p w14:paraId="37019926" w14:textId="77777777" w:rsidR="00C865A8" w:rsidRDefault="00AC2A17" w:rsidP="00393764">
      <w:pPr>
        <w:spacing w:after="0"/>
        <w:jc w:val="both"/>
      </w:pPr>
      <w:r>
        <w:t>T</w:t>
      </w:r>
      <w:r w:rsidR="002B5849" w:rsidRPr="002B5849">
        <w:t xml:space="preserve">his essay </w:t>
      </w:r>
      <w:r w:rsidR="00FB14FD">
        <w:t>concluded</w:t>
      </w:r>
      <w:r w:rsidR="00DC43DF">
        <w:t xml:space="preserve"> that it </w:t>
      </w:r>
      <w:r w:rsidR="002B5849" w:rsidRPr="002B5849">
        <w:t>critically analyzed BP plc's policy</w:t>
      </w:r>
      <w:r w:rsidR="00FB14FD">
        <w:t xml:space="preserve"> of </w:t>
      </w:r>
      <w:r w:rsidR="00FB14FD" w:rsidRPr="002B5849">
        <w:t>dividend distribution</w:t>
      </w:r>
      <w:r w:rsidR="00DA7061">
        <w:t>, efficient t</w:t>
      </w:r>
      <w:r w:rsidR="00DA7061" w:rsidRPr="002B5849">
        <w:t>heory</w:t>
      </w:r>
      <w:r w:rsidR="009B71D5">
        <w:t xml:space="preserve"> of </w:t>
      </w:r>
      <w:r w:rsidR="00DA7061">
        <w:t>market hypothesis</w:t>
      </w:r>
      <w:r w:rsidR="002B5849" w:rsidRPr="002B5849">
        <w:t xml:space="preserve">, and project appraisal </w:t>
      </w:r>
      <w:r w:rsidR="00B10E43">
        <w:t xml:space="preserve">techniques </w:t>
      </w:r>
      <w:r w:rsidR="002B5849" w:rsidRPr="002B5849">
        <w:t xml:space="preserve">in the context of international financial management theories. BP plc's </w:t>
      </w:r>
      <w:r w:rsidR="004C2CAC">
        <w:t xml:space="preserve">gives </w:t>
      </w:r>
      <w:r w:rsidR="002B5849" w:rsidRPr="002B5849">
        <w:t xml:space="preserve">stable dividend policy and efficient market hypothesis theory </w:t>
      </w:r>
      <w:r w:rsidR="004C2CAC">
        <w:t>has</w:t>
      </w:r>
      <w:r w:rsidR="002B5849" w:rsidRPr="002B5849">
        <w:t xml:space="preserve"> been found to be effective in providing steady returns to</w:t>
      </w:r>
      <w:r w:rsidR="00F3574C">
        <w:t xml:space="preserve"> its </w:t>
      </w:r>
      <w:r w:rsidR="004E054C">
        <w:t>investors.</w:t>
      </w:r>
      <w:r w:rsidR="002B5849" w:rsidRPr="002B5849">
        <w:t xml:space="preserve"> The </w:t>
      </w:r>
      <w:r w:rsidR="00EB544A" w:rsidRPr="002B5849">
        <w:t xml:space="preserve">evidence </w:t>
      </w:r>
      <w:r w:rsidR="00EB544A">
        <w:t xml:space="preserve">of </w:t>
      </w:r>
      <w:r w:rsidR="002B5849" w:rsidRPr="002B5849">
        <w:t xml:space="preserve">empirical </w:t>
      </w:r>
      <w:r w:rsidR="00A51D6A">
        <w:t>supports the</w:t>
      </w:r>
      <w:r w:rsidR="002B5849" w:rsidRPr="002B5849">
        <w:t xml:space="preserve"> effectiveness of BP plc's methods</w:t>
      </w:r>
      <w:r w:rsidR="006A40D4">
        <w:t xml:space="preserve"> of </w:t>
      </w:r>
      <w:r w:rsidR="006A40D4" w:rsidRPr="002B5849">
        <w:t>project appraisal</w:t>
      </w:r>
      <w:r w:rsidR="002B5849" w:rsidRPr="002B5849">
        <w:t xml:space="preserve"> in achieving their strategic</w:t>
      </w:r>
      <w:r w:rsidR="00A64C99">
        <w:t xml:space="preserve"> </w:t>
      </w:r>
      <w:r w:rsidR="00681CD6">
        <w:t>organizational</w:t>
      </w:r>
      <w:r w:rsidR="002B5849" w:rsidRPr="002B5849">
        <w:t xml:space="preserve"> goals</w:t>
      </w:r>
      <w:r w:rsidR="00D30656">
        <w:t xml:space="preserve">. However, BP plc still faces </w:t>
      </w:r>
      <w:r w:rsidR="00194665">
        <w:t>hurdle</w:t>
      </w:r>
      <w:r w:rsidR="00D30656">
        <w:t>s</w:t>
      </w:r>
      <w:r w:rsidR="002B5849" w:rsidRPr="002B5849">
        <w:t xml:space="preserve"> in the volatile </w:t>
      </w:r>
      <w:r w:rsidR="002B7844">
        <w:t xml:space="preserve">multinational </w:t>
      </w:r>
      <w:r w:rsidR="00194665" w:rsidRPr="002B5849">
        <w:t>financial</w:t>
      </w:r>
      <w:r w:rsidR="002B7844">
        <w:t xml:space="preserve"> </w:t>
      </w:r>
      <w:r w:rsidR="002B7844" w:rsidRPr="002B5849">
        <w:t>markets</w:t>
      </w:r>
      <w:r w:rsidR="002B5849" w:rsidRPr="002B5849">
        <w:t>. Therefore, a comprehensive understanding and effective implementation of IFM theories are essential for BP plc to navigate these challenges and achieve sust</w:t>
      </w:r>
      <w:r w:rsidR="00200008">
        <w:t xml:space="preserve">ainable growth in the long term of the company. </w:t>
      </w:r>
      <w:r w:rsidR="00C865A8">
        <w:br/>
      </w:r>
    </w:p>
    <w:p w14:paraId="535D0A04" w14:textId="77777777" w:rsidR="00C865A8" w:rsidRDefault="00C865A8" w:rsidP="00742042">
      <w:pPr>
        <w:jc w:val="both"/>
      </w:pPr>
      <w:r>
        <w:br w:type="page"/>
      </w:r>
    </w:p>
    <w:p w14:paraId="335612AC" w14:textId="77777777" w:rsidR="0034214E" w:rsidRDefault="00C865A8" w:rsidP="00742042">
      <w:pPr>
        <w:pStyle w:val="Heading1"/>
        <w:jc w:val="both"/>
      </w:pPr>
      <w:bookmarkStart w:id="10" w:name="_Toc130204652"/>
      <w:r>
        <w:t>Refrences</w:t>
      </w:r>
      <w:bookmarkEnd w:id="10"/>
    </w:p>
    <w:p w14:paraId="08171473" w14:textId="77777777" w:rsidR="00CF09B2" w:rsidRPr="00CF09B2" w:rsidRDefault="00CF09B2" w:rsidP="00CF09B2">
      <w:pPr>
        <w:pStyle w:val="ListParagraph"/>
        <w:numPr>
          <w:ilvl w:val="0"/>
          <w:numId w:val="5"/>
        </w:numPr>
        <w:jc w:val="both"/>
        <w:rPr>
          <w:rFonts w:cs="Times New Roman"/>
          <w:szCs w:val="24"/>
        </w:rPr>
      </w:pPr>
      <w:r w:rsidRPr="00CF09B2">
        <w:rPr>
          <w:rFonts w:cs="Times New Roman"/>
          <w:szCs w:val="24"/>
        </w:rPr>
        <w:t xml:space="preserve">BP. (2022). Performing while transforming bp Annual Report and Form 20-F 2022. </w:t>
      </w:r>
      <w:r w:rsidRPr="00CF09B2">
        <w:rPr>
          <w:rFonts w:cs="Times New Roman"/>
          <w:i/>
          <w:szCs w:val="24"/>
        </w:rPr>
        <w:t>BP Plc</w:t>
      </w:r>
      <w:r w:rsidRPr="00CF09B2">
        <w:rPr>
          <w:rFonts w:cs="Times New Roman"/>
          <w:szCs w:val="24"/>
        </w:rPr>
        <w:t xml:space="preserve">. Available at: </w:t>
      </w:r>
      <w:hyperlink r:id="rId9" w:history="1">
        <w:r w:rsidRPr="00CF09B2">
          <w:rPr>
            <w:rStyle w:val="Hyperlink"/>
            <w:rFonts w:cs="Times New Roman"/>
            <w:color w:val="auto"/>
            <w:szCs w:val="24"/>
            <w:u w:val="none"/>
          </w:rPr>
          <w:t>https://www.bp.com/content/dam/bp/business-sites/en/global/corporate/pdfs/investors/bp-annual-report-and-form-20f-2022.pdf</w:t>
        </w:r>
      </w:hyperlink>
      <w:r w:rsidRPr="00CF09B2">
        <w:rPr>
          <w:rFonts w:cs="Times New Roman"/>
          <w:szCs w:val="24"/>
        </w:rPr>
        <w:t xml:space="preserve"> [Online]. Accessed: 19/march/2023. </w:t>
      </w:r>
    </w:p>
    <w:p w14:paraId="78782996" w14:textId="77777777" w:rsidR="00CF09B2" w:rsidRPr="00CF09B2" w:rsidRDefault="00CF09B2" w:rsidP="00CF09B2">
      <w:pPr>
        <w:pStyle w:val="ListParagraph"/>
        <w:numPr>
          <w:ilvl w:val="0"/>
          <w:numId w:val="5"/>
        </w:numPr>
        <w:jc w:val="both"/>
        <w:rPr>
          <w:rFonts w:cs="Times New Roman"/>
          <w:szCs w:val="24"/>
          <w:shd w:val="clear" w:color="auto" w:fill="FFFFFF"/>
        </w:rPr>
      </w:pPr>
      <w:proofErr w:type="spellStart"/>
      <w:r w:rsidRPr="00CF09B2">
        <w:rPr>
          <w:rFonts w:cs="Times New Roman"/>
          <w:szCs w:val="24"/>
          <w:shd w:val="clear" w:color="auto" w:fill="FFFFFF"/>
        </w:rPr>
        <w:t>Kanakriyah</w:t>
      </w:r>
      <w:proofErr w:type="spellEnd"/>
      <w:r w:rsidRPr="00CF09B2">
        <w:rPr>
          <w:rFonts w:cs="Times New Roman"/>
          <w:szCs w:val="24"/>
          <w:shd w:val="clear" w:color="auto" w:fill="FFFFFF"/>
        </w:rPr>
        <w:t>, R. (2020). Dividend policy and companies' financial performance. </w:t>
      </w:r>
      <w:r w:rsidRPr="00CF09B2">
        <w:rPr>
          <w:rFonts w:cs="Times New Roman"/>
          <w:i/>
          <w:iCs/>
          <w:szCs w:val="24"/>
          <w:shd w:val="clear" w:color="auto" w:fill="FFFFFF"/>
        </w:rPr>
        <w:t>The Journal of Asian Finance, Economics and Business</w:t>
      </w:r>
      <w:r w:rsidRPr="00CF09B2">
        <w:rPr>
          <w:rFonts w:cs="Times New Roman"/>
          <w:szCs w:val="24"/>
          <w:shd w:val="clear" w:color="auto" w:fill="FFFFFF"/>
        </w:rPr>
        <w:t>, </w:t>
      </w:r>
      <w:r w:rsidRPr="00CF09B2">
        <w:rPr>
          <w:rFonts w:cs="Times New Roman"/>
          <w:i/>
          <w:iCs/>
          <w:szCs w:val="24"/>
          <w:shd w:val="clear" w:color="auto" w:fill="FFFFFF"/>
        </w:rPr>
        <w:t>7</w:t>
      </w:r>
      <w:r w:rsidRPr="00CF09B2">
        <w:rPr>
          <w:rFonts w:cs="Times New Roman"/>
          <w:szCs w:val="24"/>
          <w:shd w:val="clear" w:color="auto" w:fill="FFFFFF"/>
        </w:rPr>
        <w:t>(10), pp.531-541.</w:t>
      </w:r>
    </w:p>
    <w:p w14:paraId="34E046F8" w14:textId="77777777" w:rsidR="00CF09B2" w:rsidRPr="00CF09B2" w:rsidRDefault="00CF09B2" w:rsidP="00CF09B2">
      <w:pPr>
        <w:pStyle w:val="ListParagraph"/>
        <w:numPr>
          <w:ilvl w:val="0"/>
          <w:numId w:val="5"/>
        </w:numPr>
        <w:jc w:val="both"/>
        <w:rPr>
          <w:rFonts w:cs="Times New Roman"/>
          <w:szCs w:val="24"/>
          <w:shd w:val="clear" w:color="auto" w:fill="FFFFFF"/>
        </w:rPr>
      </w:pPr>
      <w:r w:rsidRPr="00CF09B2">
        <w:rPr>
          <w:rFonts w:cs="Times New Roman"/>
          <w:szCs w:val="24"/>
          <w:shd w:val="clear" w:color="auto" w:fill="FFFFFF"/>
        </w:rPr>
        <w:t>Li, Z., Li, R. and Xiao, B. (2021). A Literature Review on the Evidence and Limitation for the AMH Theory. In </w:t>
      </w:r>
      <w:r w:rsidRPr="00CF09B2">
        <w:rPr>
          <w:rFonts w:cs="Times New Roman"/>
          <w:i/>
          <w:iCs/>
          <w:szCs w:val="24"/>
          <w:shd w:val="clear" w:color="auto" w:fill="FFFFFF"/>
        </w:rPr>
        <w:t>2021 3rd International Conference on Economic Management and Cultural Industry (ICEMCI 2021)</w:t>
      </w:r>
      <w:r w:rsidRPr="00CF09B2">
        <w:rPr>
          <w:rFonts w:cs="Times New Roman"/>
          <w:szCs w:val="24"/>
          <w:shd w:val="clear" w:color="auto" w:fill="FFFFFF"/>
        </w:rPr>
        <w:t> (pp. 2886-2891). Atlantis Press.</w:t>
      </w:r>
    </w:p>
    <w:p w14:paraId="1B0F6C17" w14:textId="77777777" w:rsidR="00CF09B2" w:rsidRPr="00CF09B2" w:rsidRDefault="00CF09B2" w:rsidP="00CF09B2">
      <w:pPr>
        <w:pStyle w:val="ListParagraph"/>
        <w:numPr>
          <w:ilvl w:val="0"/>
          <w:numId w:val="5"/>
        </w:numPr>
        <w:jc w:val="both"/>
        <w:rPr>
          <w:rFonts w:cs="Times New Roman"/>
          <w:szCs w:val="24"/>
          <w:shd w:val="clear" w:color="auto" w:fill="FFFFFF"/>
        </w:rPr>
      </w:pPr>
      <w:r w:rsidRPr="00CF09B2">
        <w:rPr>
          <w:rFonts w:cs="Times New Roman"/>
          <w:szCs w:val="24"/>
          <w:shd w:val="clear" w:color="auto" w:fill="FFFFFF"/>
        </w:rPr>
        <w:t>Madura, J. (2020). </w:t>
      </w:r>
      <w:r w:rsidRPr="00CF09B2">
        <w:rPr>
          <w:rFonts w:cs="Times New Roman"/>
          <w:i/>
          <w:iCs/>
          <w:szCs w:val="24"/>
          <w:shd w:val="clear" w:color="auto" w:fill="FFFFFF"/>
        </w:rPr>
        <w:t>International financial management</w:t>
      </w:r>
      <w:r w:rsidRPr="00CF09B2">
        <w:rPr>
          <w:rFonts w:cs="Times New Roman"/>
          <w:szCs w:val="24"/>
          <w:shd w:val="clear" w:color="auto" w:fill="FFFFFF"/>
        </w:rPr>
        <w:t>. Cengage Learning.</w:t>
      </w:r>
    </w:p>
    <w:p w14:paraId="39B27996" w14:textId="77777777" w:rsidR="00CF09B2" w:rsidRDefault="00CF09B2" w:rsidP="00CF09B2">
      <w:pPr>
        <w:pStyle w:val="ListParagraph"/>
        <w:numPr>
          <w:ilvl w:val="0"/>
          <w:numId w:val="5"/>
        </w:numPr>
        <w:jc w:val="both"/>
        <w:rPr>
          <w:rFonts w:cs="Times New Roman"/>
          <w:szCs w:val="24"/>
          <w:shd w:val="clear" w:color="auto" w:fill="FFFFFF"/>
        </w:rPr>
      </w:pPr>
      <w:proofErr w:type="spellStart"/>
      <w:r w:rsidRPr="00CF09B2">
        <w:rPr>
          <w:rFonts w:cs="Times New Roman"/>
          <w:szCs w:val="24"/>
          <w:shd w:val="clear" w:color="auto" w:fill="FFFFFF"/>
        </w:rPr>
        <w:t>Mosteanu</w:t>
      </w:r>
      <w:proofErr w:type="spellEnd"/>
      <w:r w:rsidRPr="00CF09B2">
        <w:rPr>
          <w:rFonts w:cs="Times New Roman"/>
          <w:szCs w:val="24"/>
          <w:shd w:val="clear" w:color="auto" w:fill="FFFFFF"/>
        </w:rPr>
        <w:t xml:space="preserve">, N.R. and </w:t>
      </w:r>
      <w:proofErr w:type="spellStart"/>
      <w:r w:rsidRPr="00CF09B2">
        <w:rPr>
          <w:rFonts w:cs="Times New Roman"/>
          <w:szCs w:val="24"/>
          <w:shd w:val="clear" w:color="auto" w:fill="FFFFFF"/>
        </w:rPr>
        <w:t>Faccia</w:t>
      </w:r>
      <w:proofErr w:type="spellEnd"/>
      <w:r w:rsidRPr="00CF09B2">
        <w:rPr>
          <w:rFonts w:cs="Times New Roman"/>
          <w:szCs w:val="24"/>
          <w:shd w:val="clear" w:color="auto" w:fill="FFFFFF"/>
        </w:rPr>
        <w:t>, A. (2020). Digital systems and new challenges of financial management–FinTech, XBRL, blockchain and cryptocurrencies. </w:t>
      </w:r>
      <w:r w:rsidRPr="00CF09B2">
        <w:rPr>
          <w:rFonts w:cs="Times New Roman"/>
          <w:i/>
          <w:iCs/>
          <w:szCs w:val="24"/>
          <w:shd w:val="clear" w:color="auto" w:fill="FFFFFF"/>
        </w:rPr>
        <w:t>Quality-Access to Success Journal</w:t>
      </w:r>
      <w:r w:rsidRPr="00CF09B2">
        <w:rPr>
          <w:rFonts w:cs="Times New Roman"/>
          <w:szCs w:val="24"/>
          <w:shd w:val="clear" w:color="auto" w:fill="FFFFFF"/>
        </w:rPr>
        <w:t>, </w:t>
      </w:r>
      <w:r w:rsidRPr="00CF09B2">
        <w:rPr>
          <w:rFonts w:cs="Times New Roman"/>
          <w:i/>
          <w:iCs/>
          <w:szCs w:val="24"/>
          <w:shd w:val="clear" w:color="auto" w:fill="FFFFFF"/>
        </w:rPr>
        <w:t>21</w:t>
      </w:r>
      <w:r w:rsidRPr="00CF09B2">
        <w:rPr>
          <w:rFonts w:cs="Times New Roman"/>
          <w:szCs w:val="24"/>
          <w:shd w:val="clear" w:color="auto" w:fill="FFFFFF"/>
        </w:rPr>
        <w:t>(174), pp.159-166.</w:t>
      </w:r>
    </w:p>
    <w:p w14:paraId="0EEF310F" w14:textId="77777777" w:rsidR="002739BB" w:rsidRPr="00CF09B2" w:rsidRDefault="002739BB" w:rsidP="002739BB">
      <w:pPr>
        <w:pStyle w:val="ListParagraph"/>
        <w:numPr>
          <w:ilvl w:val="0"/>
          <w:numId w:val="5"/>
        </w:numPr>
        <w:jc w:val="both"/>
        <w:rPr>
          <w:rFonts w:cs="Times New Roman"/>
          <w:szCs w:val="24"/>
          <w:shd w:val="clear" w:color="auto" w:fill="FFFFFF"/>
        </w:rPr>
      </w:pPr>
      <w:r w:rsidRPr="002739BB">
        <w:rPr>
          <w:rFonts w:cs="Times New Roman"/>
          <w:szCs w:val="24"/>
          <w:shd w:val="clear" w:color="auto" w:fill="FFFFFF"/>
        </w:rPr>
        <w:t xml:space="preserve">Salah, W. and Abdel-Salam, A., 2019. The effects of international financial reporting standards on financial reporting quality. </w:t>
      </w:r>
      <w:r w:rsidRPr="002739BB">
        <w:rPr>
          <w:rFonts w:cs="Times New Roman"/>
          <w:i/>
          <w:szCs w:val="24"/>
          <w:shd w:val="clear" w:color="auto" w:fill="FFFFFF"/>
        </w:rPr>
        <w:t>Athens Journal of Business &amp; Economics, 5</w:t>
      </w:r>
      <w:r w:rsidRPr="002739BB">
        <w:rPr>
          <w:rFonts w:cs="Times New Roman"/>
          <w:szCs w:val="24"/>
          <w:shd w:val="clear" w:color="auto" w:fill="FFFFFF"/>
        </w:rPr>
        <w:t>(3), pp.221-242.</w:t>
      </w:r>
    </w:p>
    <w:p w14:paraId="0939BD75" w14:textId="77777777" w:rsidR="00F66F37" w:rsidRPr="00305B5B" w:rsidRDefault="00F66F37" w:rsidP="00742042">
      <w:pPr>
        <w:jc w:val="both"/>
      </w:pPr>
    </w:p>
    <w:p w14:paraId="0725DD0B" w14:textId="77777777" w:rsidR="00C865A8" w:rsidRPr="0034214E" w:rsidRDefault="00C865A8" w:rsidP="00742042">
      <w:pPr>
        <w:jc w:val="both"/>
      </w:pPr>
    </w:p>
    <w:p w14:paraId="529D9090" w14:textId="77777777" w:rsidR="00925560" w:rsidRDefault="00925560" w:rsidP="00742042">
      <w:pPr>
        <w:jc w:val="both"/>
      </w:pPr>
    </w:p>
    <w:p w14:paraId="01BFCC8B" w14:textId="77777777" w:rsidR="00E72B73" w:rsidRDefault="00E72B73" w:rsidP="00742042">
      <w:pPr>
        <w:jc w:val="both"/>
      </w:pPr>
    </w:p>
    <w:p w14:paraId="36169703" w14:textId="77777777" w:rsidR="001B6A44" w:rsidRDefault="001B6A44" w:rsidP="00742042">
      <w:pPr>
        <w:jc w:val="both"/>
      </w:pPr>
    </w:p>
    <w:sectPr w:rsidR="001B6A44">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91C4D4" w14:textId="77777777" w:rsidR="00713705" w:rsidRDefault="00713705" w:rsidP="008B6458">
      <w:pPr>
        <w:spacing w:after="0" w:line="240" w:lineRule="auto"/>
      </w:pPr>
      <w:r>
        <w:separator/>
      </w:r>
    </w:p>
  </w:endnote>
  <w:endnote w:type="continuationSeparator" w:id="0">
    <w:p w14:paraId="21905B21" w14:textId="77777777" w:rsidR="00713705" w:rsidRDefault="00713705" w:rsidP="008B64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1165211"/>
      <w:docPartObj>
        <w:docPartGallery w:val="Page Numbers (Bottom of Page)"/>
        <w:docPartUnique/>
      </w:docPartObj>
    </w:sdtPr>
    <w:sdtEndPr>
      <w:rPr>
        <w:noProof/>
      </w:rPr>
    </w:sdtEndPr>
    <w:sdtContent>
      <w:p w14:paraId="0CA97368" w14:textId="77777777" w:rsidR="008B6458" w:rsidRDefault="008B6458">
        <w:pPr>
          <w:pStyle w:val="Footer"/>
          <w:jc w:val="center"/>
        </w:pPr>
        <w:r>
          <w:fldChar w:fldCharType="begin"/>
        </w:r>
        <w:r>
          <w:instrText xml:space="preserve"> PAGE   \* MERGEFORMAT </w:instrText>
        </w:r>
        <w:r>
          <w:fldChar w:fldCharType="separate"/>
        </w:r>
        <w:r w:rsidR="00E544E1">
          <w:rPr>
            <w:noProof/>
          </w:rPr>
          <w:t>5</w:t>
        </w:r>
        <w:r>
          <w:rPr>
            <w:noProof/>
          </w:rPr>
          <w:fldChar w:fldCharType="end"/>
        </w:r>
      </w:p>
    </w:sdtContent>
  </w:sdt>
  <w:p w14:paraId="5BBD1234" w14:textId="77777777" w:rsidR="008B6458" w:rsidRDefault="008B64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ABA85A" w14:textId="77777777" w:rsidR="00713705" w:rsidRDefault="00713705" w:rsidP="008B6458">
      <w:pPr>
        <w:spacing w:after="0" w:line="240" w:lineRule="auto"/>
      </w:pPr>
      <w:r>
        <w:separator/>
      </w:r>
    </w:p>
  </w:footnote>
  <w:footnote w:type="continuationSeparator" w:id="0">
    <w:p w14:paraId="32846594" w14:textId="77777777" w:rsidR="00713705" w:rsidRDefault="00713705" w:rsidP="008B64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A58CB"/>
    <w:multiLevelType w:val="hybridMultilevel"/>
    <w:tmpl w:val="4A42416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E6533B"/>
    <w:multiLevelType w:val="hybridMultilevel"/>
    <w:tmpl w:val="B07E4D9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3B8A5E15"/>
    <w:multiLevelType w:val="hybridMultilevel"/>
    <w:tmpl w:val="3BBCEFF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95047B4"/>
    <w:multiLevelType w:val="hybridMultilevel"/>
    <w:tmpl w:val="2696AEC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850781B"/>
    <w:multiLevelType w:val="hybridMultilevel"/>
    <w:tmpl w:val="ED8CD0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31026042">
    <w:abstractNumId w:val="4"/>
  </w:num>
  <w:num w:numId="2" w16cid:durableId="371803410">
    <w:abstractNumId w:val="3"/>
  </w:num>
  <w:num w:numId="3" w16cid:durableId="696583760">
    <w:abstractNumId w:val="2"/>
  </w:num>
  <w:num w:numId="4" w16cid:durableId="493179762">
    <w:abstractNumId w:val="0"/>
  </w:num>
  <w:num w:numId="5" w16cid:durableId="3227076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a1NDc1NTS3NDc2tjBX0lEKTi0uzszPAykwrAUAYerCESwAAAA="/>
  </w:docVars>
  <w:rsids>
    <w:rsidRoot w:val="00376104"/>
    <w:rsid w:val="000459DE"/>
    <w:rsid w:val="000639D3"/>
    <w:rsid w:val="00084067"/>
    <w:rsid w:val="00086122"/>
    <w:rsid w:val="000D6E16"/>
    <w:rsid w:val="000F62C0"/>
    <w:rsid w:val="00105FEF"/>
    <w:rsid w:val="00106079"/>
    <w:rsid w:val="00107C3B"/>
    <w:rsid w:val="001120E3"/>
    <w:rsid w:val="00112C34"/>
    <w:rsid w:val="00130672"/>
    <w:rsid w:val="0015274A"/>
    <w:rsid w:val="00155491"/>
    <w:rsid w:val="00155E75"/>
    <w:rsid w:val="00166C40"/>
    <w:rsid w:val="00171C3C"/>
    <w:rsid w:val="00173E61"/>
    <w:rsid w:val="00173F86"/>
    <w:rsid w:val="0018323F"/>
    <w:rsid w:val="00194665"/>
    <w:rsid w:val="00197CDF"/>
    <w:rsid w:val="001A1D34"/>
    <w:rsid w:val="001A5216"/>
    <w:rsid w:val="001B092D"/>
    <w:rsid w:val="001B126F"/>
    <w:rsid w:val="001B6A44"/>
    <w:rsid w:val="001C6BDF"/>
    <w:rsid w:val="001E18EF"/>
    <w:rsid w:val="001E5597"/>
    <w:rsid w:val="00200008"/>
    <w:rsid w:val="00202F1B"/>
    <w:rsid w:val="002036D9"/>
    <w:rsid w:val="002240FD"/>
    <w:rsid w:val="00230C39"/>
    <w:rsid w:val="0023697B"/>
    <w:rsid w:val="00246893"/>
    <w:rsid w:val="0025176E"/>
    <w:rsid w:val="002739BB"/>
    <w:rsid w:val="0027550F"/>
    <w:rsid w:val="002844DD"/>
    <w:rsid w:val="00284576"/>
    <w:rsid w:val="00285AA1"/>
    <w:rsid w:val="00292E55"/>
    <w:rsid w:val="002A4CFD"/>
    <w:rsid w:val="002B5849"/>
    <w:rsid w:val="002B7844"/>
    <w:rsid w:val="002C0B0C"/>
    <w:rsid w:val="002C467F"/>
    <w:rsid w:val="002C79E9"/>
    <w:rsid w:val="002D50D3"/>
    <w:rsid w:val="002E7A30"/>
    <w:rsid w:val="002F0305"/>
    <w:rsid w:val="002F0794"/>
    <w:rsid w:val="002F689B"/>
    <w:rsid w:val="00304DD9"/>
    <w:rsid w:val="003056D3"/>
    <w:rsid w:val="00305B5B"/>
    <w:rsid w:val="0034214E"/>
    <w:rsid w:val="0035152E"/>
    <w:rsid w:val="00370575"/>
    <w:rsid w:val="00371816"/>
    <w:rsid w:val="00376104"/>
    <w:rsid w:val="003820A3"/>
    <w:rsid w:val="00393764"/>
    <w:rsid w:val="003A4768"/>
    <w:rsid w:val="003B2053"/>
    <w:rsid w:val="003B429D"/>
    <w:rsid w:val="003B7423"/>
    <w:rsid w:val="003C27CE"/>
    <w:rsid w:val="003C2A7F"/>
    <w:rsid w:val="003C31EC"/>
    <w:rsid w:val="003C3F1A"/>
    <w:rsid w:val="003C4B32"/>
    <w:rsid w:val="003D34E2"/>
    <w:rsid w:val="003D3A30"/>
    <w:rsid w:val="00400CE4"/>
    <w:rsid w:val="004028E2"/>
    <w:rsid w:val="0040515C"/>
    <w:rsid w:val="00410331"/>
    <w:rsid w:val="00433FD2"/>
    <w:rsid w:val="00434095"/>
    <w:rsid w:val="004451EB"/>
    <w:rsid w:val="00455711"/>
    <w:rsid w:val="00455B80"/>
    <w:rsid w:val="00467AE6"/>
    <w:rsid w:val="00476C43"/>
    <w:rsid w:val="0048008D"/>
    <w:rsid w:val="004A0BF8"/>
    <w:rsid w:val="004B05BC"/>
    <w:rsid w:val="004B318F"/>
    <w:rsid w:val="004C2BFF"/>
    <w:rsid w:val="004C2CAC"/>
    <w:rsid w:val="004C61E6"/>
    <w:rsid w:val="004E054C"/>
    <w:rsid w:val="004E30BB"/>
    <w:rsid w:val="004E47C1"/>
    <w:rsid w:val="004E7C52"/>
    <w:rsid w:val="00533502"/>
    <w:rsid w:val="00542FF6"/>
    <w:rsid w:val="005465BD"/>
    <w:rsid w:val="00547F48"/>
    <w:rsid w:val="005602AD"/>
    <w:rsid w:val="00570CC8"/>
    <w:rsid w:val="00585F5F"/>
    <w:rsid w:val="005876CB"/>
    <w:rsid w:val="00592DC3"/>
    <w:rsid w:val="005A7FAD"/>
    <w:rsid w:val="005B027B"/>
    <w:rsid w:val="005C246D"/>
    <w:rsid w:val="005E3451"/>
    <w:rsid w:val="005E4E1F"/>
    <w:rsid w:val="005F4618"/>
    <w:rsid w:val="00604A06"/>
    <w:rsid w:val="00607D3B"/>
    <w:rsid w:val="00611B9E"/>
    <w:rsid w:val="00623EEF"/>
    <w:rsid w:val="006446AB"/>
    <w:rsid w:val="00657A4B"/>
    <w:rsid w:val="00662B61"/>
    <w:rsid w:val="00672462"/>
    <w:rsid w:val="00676203"/>
    <w:rsid w:val="00681CD6"/>
    <w:rsid w:val="0069356D"/>
    <w:rsid w:val="006A40D4"/>
    <w:rsid w:val="006A57D0"/>
    <w:rsid w:val="006B05BC"/>
    <w:rsid w:val="006B081C"/>
    <w:rsid w:val="006B3521"/>
    <w:rsid w:val="006C1195"/>
    <w:rsid w:val="006C6CC6"/>
    <w:rsid w:val="006E1425"/>
    <w:rsid w:val="006E4703"/>
    <w:rsid w:val="006F2272"/>
    <w:rsid w:val="006F275B"/>
    <w:rsid w:val="006F6E02"/>
    <w:rsid w:val="007074F1"/>
    <w:rsid w:val="00713705"/>
    <w:rsid w:val="00735E8D"/>
    <w:rsid w:val="007405E3"/>
    <w:rsid w:val="00742042"/>
    <w:rsid w:val="007427FA"/>
    <w:rsid w:val="00744590"/>
    <w:rsid w:val="00760534"/>
    <w:rsid w:val="00766B22"/>
    <w:rsid w:val="00771940"/>
    <w:rsid w:val="0078037B"/>
    <w:rsid w:val="00782EBD"/>
    <w:rsid w:val="00790F15"/>
    <w:rsid w:val="007925DF"/>
    <w:rsid w:val="007A50BE"/>
    <w:rsid w:val="007C7D80"/>
    <w:rsid w:val="007E35BA"/>
    <w:rsid w:val="007E3FC7"/>
    <w:rsid w:val="007E542D"/>
    <w:rsid w:val="007F2D08"/>
    <w:rsid w:val="008032E1"/>
    <w:rsid w:val="00805281"/>
    <w:rsid w:val="0081285C"/>
    <w:rsid w:val="008216FB"/>
    <w:rsid w:val="00832E9C"/>
    <w:rsid w:val="00842A43"/>
    <w:rsid w:val="008431DE"/>
    <w:rsid w:val="00860C36"/>
    <w:rsid w:val="0086242C"/>
    <w:rsid w:val="00862F9B"/>
    <w:rsid w:val="00863941"/>
    <w:rsid w:val="00883C7C"/>
    <w:rsid w:val="00884462"/>
    <w:rsid w:val="00884FC2"/>
    <w:rsid w:val="008B067F"/>
    <w:rsid w:val="008B6458"/>
    <w:rsid w:val="008C40D1"/>
    <w:rsid w:val="008C5E25"/>
    <w:rsid w:val="008D1CFF"/>
    <w:rsid w:val="008D6C4C"/>
    <w:rsid w:val="008E16C4"/>
    <w:rsid w:val="008E244A"/>
    <w:rsid w:val="008E6844"/>
    <w:rsid w:val="008E77D0"/>
    <w:rsid w:val="008F3D09"/>
    <w:rsid w:val="00925560"/>
    <w:rsid w:val="00925D9E"/>
    <w:rsid w:val="00926C0D"/>
    <w:rsid w:val="00930A56"/>
    <w:rsid w:val="00953E7C"/>
    <w:rsid w:val="00954DCE"/>
    <w:rsid w:val="00973204"/>
    <w:rsid w:val="00982066"/>
    <w:rsid w:val="009862AA"/>
    <w:rsid w:val="00991550"/>
    <w:rsid w:val="009A18B5"/>
    <w:rsid w:val="009B45BD"/>
    <w:rsid w:val="009B5FB6"/>
    <w:rsid w:val="009B71D5"/>
    <w:rsid w:val="009D3498"/>
    <w:rsid w:val="009D4C8B"/>
    <w:rsid w:val="009D6BAA"/>
    <w:rsid w:val="009F6EEC"/>
    <w:rsid w:val="00A0417A"/>
    <w:rsid w:val="00A0594B"/>
    <w:rsid w:val="00A20061"/>
    <w:rsid w:val="00A2619F"/>
    <w:rsid w:val="00A31FB4"/>
    <w:rsid w:val="00A327D1"/>
    <w:rsid w:val="00A33369"/>
    <w:rsid w:val="00A35731"/>
    <w:rsid w:val="00A361DF"/>
    <w:rsid w:val="00A41398"/>
    <w:rsid w:val="00A478EA"/>
    <w:rsid w:val="00A51D6A"/>
    <w:rsid w:val="00A64C99"/>
    <w:rsid w:val="00A65646"/>
    <w:rsid w:val="00A7672D"/>
    <w:rsid w:val="00A83856"/>
    <w:rsid w:val="00A85925"/>
    <w:rsid w:val="00AA334D"/>
    <w:rsid w:val="00AA640B"/>
    <w:rsid w:val="00AB4621"/>
    <w:rsid w:val="00AB5769"/>
    <w:rsid w:val="00AB78DD"/>
    <w:rsid w:val="00AC257F"/>
    <w:rsid w:val="00AC2A17"/>
    <w:rsid w:val="00AD4B31"/>
    <w:rsid w:val="00AD61B8"/>
    <w:rsid w:val="00AD780C"/>
    <w:rsid w:val="00AF4404"/>
    <w:rsid w:val="00B00B09"/>
    <w:rsid w:val="00B10E43"/>
    <w:rsid w:val="00B13D19"/>
    <w:rsid w:val="00B46620"/>
    <w:rsid w:val="00B6375D"/>
    <w:rsid w:val="00B64956"/>
    <w:rsid w:val="00B757CF"/>
    <w:rsid w:val="00B75DD6"/>
    <w:rsid w:val="00B90632"/>
    <w:rsid w:val="00B9255F"/>
    <w:rsid w:val="00BA3859"/>
    <w:rsid w:val="00BA66E8"/>
    <w:rsid w:val="00BC6FE5"/>
    <w:rsid w:val="00BD0D5B"/>
    <w:rsid w:val="00BF6ECA"/>
    <w:rsid w:val="00C03E70"/>
    <w:rsid w:val="00C1299F"/>
    <w:rsid w:val="00C129DE"/>
    <w:rsid w:val="00C16427"/>
    <w:rsid w:val="00C325C8"/>
    <w:rsid w:val="00C34545"/>
    <w:rsid w:val="00C40C96"/>
    <w:rsid w:val="00C4536D"/>
    <w:rsid w:val="00C82FB6"/>
    <w:rsid w:val="00C85B78"/>
    <w:rsid w:val="00C865A8"/>
    <w:rsid w:val="00CA28AC"/>
    <w:rsid w:val="00CA630C"/>
    <w:rsid w:val="00CC1C69"/>
    <w:rsid w:val="00CC7510"/>
    <w:rsid w:val="00CD1C98"/>
    <w:rsid w:val="00CE7CDE"/>
    <w:rsid w:val="00CF09B2"/>
    <w:rsid w:val="00CF5B78"/>
    <w:rsid w:val="00CF73F1"/>
    <w:rsid w:val="00D066EE"/>
    <w:rsid w:val="00D11BA1"/>
    <w:rsid w:val="00D132CB"/>
    <w:rsid w:val="00D20D6E"/>
    <w:rsid w:val="00D30656"/>
    <w:rsid w:val="00D31330"/>
    <w:rsid w:val="00D37E06"/>
    <w:rsid w:val="00D40761"/>
    <w:rsid w:val="00D5750C"/>
    <w:rsid w:val="00D60561"/>
    <w:rsid w:val="00D66D25"/>
    <w:rsid w:val="00D86F85"/>
    <w:rsid w:val="00DA7061"/>
    <w:rsid w:val="00DB50DF"/>
    <w:rsid w:val="00DB6B97"/>
    <w:rsid w:val="00DC43DF"/>
    <w:rsid w:val="00DE1CD5"/>
    <w:rsid w:val="00DE427F"/>
    <w:rsid w:val="00DE7DEF"/>
    <w:rsid w:val="00DF31CA"/>
    <w:rsid w:val="00DF345E"/>
    <w:rsid w:val="00E06034"/>
    <w:rsid w:val="00E14CA8"/>
    <w:rsid w:val="00E155EE"/>
    <w:rsid w:val="00E1641A"/>
    <w:rsid w:val="00E453AC"/>
    <w:rsid w:val="00E46610"/>
    <w:rsid w:val="00E544E1"/>
    <w:rsid w:val="00E54A2F"/>
    <w:rsid w:val="00E63B20"/>
    <w:rsid w:val="00E72B73"/>
    <w:rsid w:val="00E82FD7"/>
    <w:rsid w:val="00E85743"/>
    <w:rsid w:val="00E86A03"/>
    <w:rsid w:val="00E90985"/>
    <w:rsid w:val="00EB544A"/>
    <w:rsid w:val="00EC28F3"/>
    <w:rsid w:val="00ED703E"/>
    <w:rsid w:val="00EE1168"/>
    <w:rsid w:val="00EF1F51"/>
    <w:rsid w:val="00EF4F33"/>
    <w:rsid w:val="00F1242C"/>
    <w:rsid w:val="00F2251F"/>
    <w:rsid w:val="00F233C2"/>
    <w:rsid w:val="00F3537B"/>
    <w:rsid w:val="00F3574C"/>
    <w:rsid w:val="00F454D3"/>
    <w:rsid w:val="00F56D2E"/>
    <w:rsid w:val="00F6028B"/>
    <w:rsid w:val="00F66F37"/>
    <w:rsid w:val="00F7048C"/>
    <w:rsid w:val="00F81B96"/>
    <w:rsid w:val="00F84D25"/>
    <w:rsid w:val="00F858FD"/>
    <w:rsid w:val="00F87A1E"/>
    <w:rsid w:val="00F9498C"/>
    <w:rsid w:val="00F97D9D"/>
    <w:rsid w:val="00FA6126"/>
    <w:rsid w:val="00FB14FD"/>
    <w:rsid w:val="00FB1789"/>
    <w:rsid w:val="00FB3D98"/>
    <w:rsid w:val="00FC3645"/>
    <w:rsid w:val="00FC7451"/>
    <w:rsid w:val="00FD0406"/>
    <w:rsid w:val="00FD263E"/>
    <w:rsid w:val="00FD5594"/>
    <w:rsid w:val="00FE0000"/>
    <w:rsid w:val="00FE0C39"/>
    <w:rsid w:val="00FE5411"/>
    <w:rsid w:val="00FF03A9"/>
    <w:rsid w:val="00FF46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1E20C"/>
  <w15:docId w15:val="{25C0E201-CCFD-4F6A-9F82-AA75ABF0D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3C7C"/>
    <w:pPr>
      <w:spacing w:line="360" w:lineRule="auto"/>
    </w:pPr>
    <w:rPr>
      <w:rFonts w:ascii="Times New Roman" w:hAnsi="Times New Roman"/>
      <w:sz w:val="24"/>
    </w:rPr>
  </w:style>
  <w:style w:type="paragraph" w:styleId="Heading1">
    <w:name w:val="heading 1"/>
    <w:basedOn w:val="Normal"/>
    <w:next w:val="Normal"/>
    <w:link w:val="Heading1Char"/>
    <w:uiPriority w:val="9"/>
    <w:qFormat/>
    <w:rsid w:val="00883C7C"/>
    <w:pPr>
      <w:keepNext/>
      <w:keepLines/>
      <w:spacing w:before="240" w:after="0"/>
      <w:outlineLvl w:val="0"/>
    </w:pPr>
    <w:rPr>
      <w:rFonts w:eastAsiaTheme="majorEastAsia"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3C7C"/>
    <w:rPr>
      <w:rFonts w:ascii="Times New Roman" w:eastAsiaTheme="majorEastAsia" w:hAnsi="Times New Roman" w:cstheme="majorBidi"/>
      <w:b/>
      <w:sz w:val="28"/>
      <w:szCs w:val="32"/>
    </w:rPr>
  </w:style>
  <w:style w:type="paragraph" w:styleId="ListParagraph">
    <w:name w:val="List Paragraph"/>
    <w:basedOn w:val="Normal"/>
    <w:uiPriority w:val="34"/>
    <w:qFormat/>
    <w:rsid w:val="00F97D9D"/>
    <w:pPr>
      <w:ind w:left="720"/>
      <w:contextualSpacing/>
    </w:pPr>
  </w:style>
  <w:style w:type="table" w:styleId="TableGrid">
    <w:name w:val="Table Grid"/>
    <w:basedOn w:val="TableNormal"/>
    <w:uiPriority w:val="39"/>
    <w:rsid w:val="008052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982066"/>
    <w:pPr>
      <w:spacing w:after="0"/>
      <w:contextualSpacing/>
    </w:pPr>
    <w:rPr>
      <w:rFonts w:eastAsiaTheme="majorEastAsia" w:cstheme="majorBidi"/>
      <w:b/>
      <w:spacing w:val="-10"/>
      <w:kern w:val="28"/>
      <w:sz w:val="52"/>
      <w:szCs w:val="56"/>
    </w:rPr>
  </w:style>
  <w:style w:type="character" w:customStyle="1" w:styleId="TitleChar">
    <w:name w:val="Title Char"/>
    <w:basedOn w:val="DefaultParagraphFont"/>
    <w:link w:val="Title"/>
    <w:uiPriority w:val="10"/>
    <w:rsid w:val="00982066"/>
    <w:rPr>
      <w:rFonts w:ascii="Times New Roman" w:eastAsiaTheme="majorEastAsia" w:hAnsi="Times New Roman" w:cstheme="majorBidi"/>
      <w:b/>
      <w:spacing w:val="-10"/>
      <w:kern w:val="28"/>
      <w:sz w:val="52"/>
      <w:szCs w:val="56"/>
    </w:rPr>
  </w:style>
  <w:style w:type="paragraph" w:styleId="TOCHeading">
    <w:name w:val="TOC Heading"/>
    <w:basedOn w:val="Heading1"/>
    <w:next w:val="Normal"/>
    <w:uiPriority w:val="39"/>
    <w:unhideWhenUsed/>
    <w:qFormat/>
    <w:rsid w:val="00AB4621"/>
    <w:pPr>
      <w:spacing w:line="259" w:lineRule="auto"/>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AB4621"/>
    <w:pPr>
      <w:spacing w:after="100"/>
    </w:pPr>
  </w:style>
  <w:style w:type="character" w:styleId="Hyperlink">
    <w:name w:val="Hyperlink"/>
    <w:basedOn w:val="DefaultParagraphFont"/>
    <w:uiPriority w:val="99"/>
    <w:unhideWhenUsed/>
    <w:rsid w:val="00AB4621"/>
    <w:rPr>
      <w:color w:val="0563C1" w:themeColor="hyperlink"/>
      <w:u w:val="single"/>
    </w:rPr>
  </w:style>
  <w:style w:type="paragraph" w:styleId="BalloonText">
    <w:name w:val="Balloon Text"/>
    <w:basedOn w:val="Normal"/>
    <w:link w:val="BalloonTextChar"/>
    <w:uiPriority w:val="99"/>
    <w:semiHidden/>
    <w:unhideWhenUsed/>
    <w:rsid w:val="008B64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6458"/>
    <w:rPr>
      <w:rFonts w:ascii="Tahoma" w:hAnsi="Tahoma" w:cs="Tahoma"/>
      <w:sz w:val="16"/>
      <w:szCs w:val="16"/>
    </w:rPr>
  </w:style>
  <w:style w:type="paragraph" w:styleId="Header">
    <w:name w:val="header"/>
    <w:basedOn w:val="Normal"/>
    <w:link w:val="HeaderChar"/>
    <w:uiPriority w:val="99"/>
    <w:unhideWhenUsed/>
    <w:rsid w:val="008B64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6458"/>
    <w:rPr>
      <w:rFonts w:ascii="Times New Roman" w:hAnsi="Times New Roman"/>
      <w:sz w:val="24"/>
    </w:rPr>
  </w:style>
  <w:style w:type="paragraph" w:styleId="Footer">
    <w:name w:val="footer"/>
    <w:basedOn w:val="Normal"/>
    <w:link w:val="FooterChar"/>
    <w:uiPriority w:val="99"/>
    <w:unhideWhenUsed/>
    <w:rsid w:val="008B64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645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bp.com/content/dam/bp/business-sites/en/global/corporate/pdfs/investors/bp-annual-report-and-form-20f-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E275FD-31FB-446C-867C-1952BDF342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Pages>
  <Words>2181</Words>
  <Characters>12434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Sabina Ciobanu</cp:lastModifiedBy>
  <cp:revision>36</cp:revision>
  <dcterms:created xsi:type="dcterms:W3CDTF">2023-03-19T15:08:00Z</dcterms:created>
  <dcterms:modified xsi:type="dcterms:W3CDTF">2023-04-10T14:59:00Z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4c108c68-fa0a-4a38-a9c9-e3183d16edda</vt:lpwstr>
  </property>
</Properties>
</file>