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FD7A1C2">
      <w:pPr>
        <w:numPr>
          <w:ilvl w:val="0"/>
          <w:numId w:val="1"/>
        </w:numPr>
        <w:rPr>
          <w:rFonts w:hint="eastAsia"/>
          <w:b/>
          <w:bCs/>
        </w:rPr>
      </w:pPr>
      <w:r>
        <w:rPr>
          <w:rFonts w:hint="eastAsia"/>
          <w:b/>
          <w:bCs/>
        </w:rPr>
        <w:t xml:space="preserve">Introduction </w:t>
      </w:r>
    </w:p>
    <w:p w14:paraId="1366C00C">
      <w:pPr>
        <w:numPr>
          <w:ilvl w:val="0"/>
          <w:numId w:val="0"/>
        </w:numPr>
        <w:rPr>
          <w:rFonts w:hint="eastAsia"/>
        </w:rPr>
      </w:pPr>
      <w:r>
        <w:rPr>
          <w:rFonts w:hint="eastAsia"/>
        </w:rPr>
        <w:t>There have been numerous news reports of accidents caused by "autonomous driving," which should more accurately be called assisted driving. A significant portion of these accidents are caused by users' overconfidence in autonomous driving systems, leading them to reduce or even abandon their awareness of traffic context. I believe such accidents should not be explained solely by the inadequacy of autonomous driving capabilities</w:t>
      </w:r>
      <w:r>
        <w:rPr>
          <w:rFonts w:hint="eastAsia"/>
          <w:lang w:val="en-US" w:eastAsia="zh-CN"/>
        </w:rPr>
        <w:t>. The autonomous driving system's judgment of the user should also be considered. Operation requires confirmation that both the system and the user are in a good state. Therefore, a system capable of assessing the user's condition can reduce risk.</w:t>
      </w:r>
    </w:p>
    <w:p w14:paraId="66B0BBEE">
      <w:pPr>
        <w:numPr>
          <w:ilvl w:val="0"/>
          <w:numId w:val="0"/>
        </w:numPr>
        <w:rPr>
          <w:rFonts w:hint="eastAsia"/>
        </w:rPr>
      </w:pPr>
    </w:p>
    <w:p w14:paraId="3DC8D315">
      <w:pPr>
        <w:numPr>
          <w:ilvl w:val="0"/>
          <w:numId w:val="0"/>
        </w:numPr>
        <w:rPr>
          <w:rFonts w:hint="eastAsia"/>
        </w:rPr>
      </w:pPr>
      <w:r>
        <w:rPr>
          <w:rFonts w:hint="eastAsia"/>
        </w:rPr>
        <w:t xml:space="preserve">Faced with these issues, the vision for future automation products is shifting from automation that replaces human work to collaboration with humans to achieve goals. Just as with the transition from Industry 3.0 to 5.0, automation is moving from executing tasks according to fixed programmed instructions to achieving further intelligence through large-scale model-based decision-making, ultimately realizing collaboration between users and automation. Therefore, the role of automation is transforming from a "tool" to an "executor," and then further expanding to a "collaborative partner," upgrading the human-machine relationship from operational interaction to team-based interaction (Raffik et al., 2023). To better accomplish tasks, users and automated machines need to collaborate. This requires automated systems not only to receive user instructions but also to monitor user status, predict intentions, provide suggestions, adjust behavior, and, when necessary, assume some decision-making responsibility. Users, on the other hand, need to understand the automated system's intentions and judge whether their behavior meets expectations, ultimately cooperating with the system to complete the task. Therefore, users are no longer simply operating systems but rather collaborators working with the system to complete tasks, forming a cooperative relationship. </w:t>
      </w:r>
    </w:p>
    <w:p w14:paraId="376EDA4D">
      <w:pPr>
        <w:numPr>
          <w:ilvl w:val="0"/>
          <w:numId w:val="0"/>
        </w:numPr>
        <w:rPr>
          <w:rFonts w:hint="eastAsia"/>
        </w:rPr>
      </w:pPr>
    </w:p>
    <w:p w14:paraId="12793F73">
      <w:pPr>
        <w:numPr>
          <w:ilvl w:val="0"/>
          <w:numId w:val="0"/>
        </w:numPr>
        <w:rPr>
          <w:rFonts w:hint="eastAsia"/>
        </w:rPr>
      </w:pPr>
      <w:r>
        <w:rPr>
          <w:rFonts w:hint="eastAsia"/>
        </w:rPr>
        <w:t>In automation and HRI research, ontology refers to how we conceptualise what an automated system is—a tool, an agent, or a collaborator.Regarding the ontological question of what automated products are, researchers currently focus on three main directions: first, the "</w:t>
      </w:r>
      <w:r>
        <w:rPr>
          <w:rFonts w:hint="eastAsia"/>
          <w:b/>
          <w:bCs/>
        </w:rPr>
        <w:t>tool</w:t>
      </w:r>
      <w:r>
        <w:rPr>
          <w:rFonts w:hint="eastAsia"/>
        </w:rPr>
        <w:t xml:space="preserve"> ontology" that views automated products as advanced tools (Norman, 2013); second, the "</w:t>
      </w:r>
      <w:r>
        <w:rPr>
          <w:rFonts w:hint="eastAsia"/>
          <w:b/>
          <w:bCs/>
        </w:rPr>
        <w:t>executor</w:t>
      </w:r>
      <w:r>
        <w:rPr>
          <w:rFonts w:hint="eastAsia"/>
        </w:rPr>
        <w:t xml:space="preserve"> ontology" that considers automated products to have a certain degree of decision-making power, intelligently executing user commands (Johnson, 2014); and finally, the "</w:t>
      </w:r>
      <w:r>
        <w:rPr>
          <w:rFonts w:hint="eastAsia"/>
          <w:b/>
          <w:bCs/>
        </w:rPr>
        <w:t>collaborator</w:t>
      </w:r>
      <w:r>
        <w:rPr>
          <w:rFonts w:hint="eastAsia"/>
        </w:rPr>
        <w:t xml:space="preserve"> ontology" that argues for the need for human-machine collaboration to complete tasks (Nikolaidis et al., 2015). Beyond these three ontology types, there are other ontology types, such as the "situational adaptor" that discusses automated products adapting to user emotions, and the "part of the ecosystem" that discusses the cross-device experience of automation and automated homes. </w:t>
      </w:r>
    </w:p>
    <w:p w14:paraId="61CD387F">
      <w:pPr>
        <w:numPr>
          <w:ilvl w:val="0"/>
          <w:numId w:val="0"/>
        </w:numPr>
        <w:rPr>
          <w:rFonts w:hint="eastAsia"/>
        </w:rPr>
      </w:pPr>
    </w:p>
    <w:p w14:paraId="1180781B">
      <w:pPr>
        <w:numPr>
          <w:ilvl w:val="0"/>
          <w:numId w:val="0"/>
        </w:numPr>
        <w:rPr>
          <w:rFonts w:hint="eastAsia"/>
        </w:rPr>
      </w:pPr>
      <w:r>
        <w:rPr>
          <w:rFonts w:hint="eastAsia"/>
        </w:rPr>
        <w:t>Although current research is in a state of uncertainty and ambiguity (possible directions include: the impact of personality tendencies of automated systems on users?, the issue of mutual trust between systems and users?, and issues related to changes in dynamic control rights, etc.), we will explore the collaborator ontology, which has a relatively broad scope of explanation.</w:t>
      </w:r>
    </w:p>
    <w:p w14:paraId="68ABD92E">
      <w:pPr>
        <w:widowControl w:val="0"/>
        <w:numPr>
          <w:ilvl w:val="0"/>
          <w:numId w:val="0"/>
        </w:numPr>
        <w:jc w:val="both"/>
        <w:rPr>
          <w:rFonts w:hint="eastAsia"/>
        </w:rPr>
      </w:pPr>
    </w:p>
    <w:p w14:paraId="1BA753A4">
      <w:pPr>
        <w:widowControl w:val="0"/>
        <w:numPr>
          <w:ilvl w:val="0"/>
          <w:numId w:val="0"/>
        </w:numPr>
        <w:jc w:val="both"/>
        <w:rPr>
          <w:rFonts w:hint="eastAsia"/>
          <w:b/>
          <w:bCs/>
        </w:rPr>
      </w:pPr>
      <w:r>
        <w:rPr>
          <w:rFonts w:hint="eastAsia"/>
          <w:b/>
          <w:bCs/>
        </w:rPr>
        <w:t>2.1 Why Discuss Ontology?</w:t>
      </w:r>
    </w:p>
    <w:p w14:paraId="0752BD02">
      <w:pPr>
        <w:widowControl w:val="0"/>
        <w:numPr>
          <w:ilvl w:val="0"/>
          <w:numId w:val="0"/>
        </w:numPr>
        <w:jc w:val="both"/>
        <w:rPr>
          <w:rFonts w:hint="eastAsia"/>
        </w:rPr>
      </w:pPr>
      <w:r>
        <w:rPr>
          <w:rFonts w:hint="eastAsia"/>
        </w:rPr>
        <w:t>Current automated systems exhibit varying degrees of autonomy, functional structures, and human-machine relationships, resulting in significant differences between them. Therefore, it's necessary to discuss the type of automated system this research focuses on. For example, an automatic washing machine operates according to a pre-programmed sequence; its system logic is simple, involving receiving and executing user commands. It lacks electronic components to sense or infer user intentions and doesn't need to consider changes in the working environment. In such systems, the user possesses absolute decision-making power, and the system's behavior is entirely predictable. Therefore, discussing human-machine collaboration in automated systems based on this model is less meaningful and more suitable for discussion within a tool ontology framework. However, automated systems like automatic robotic vacuum cleaners can make autonomous decisions, planning routes through data and algorithms. This intelligence transcends the tool category, exhibiting a degree of autonomous decision-making. A user might instruct the vacuum cleaner to enter a "do not disturb" mode, requiring it to clean when no one is home. In this case, the system needs to use a series of sensors to determine if anyone is home, thus deciding to avoid cleaning when the user is present. The automation logic model is as follows: the user gives instructions, the automated system makes judgments based on the model, and finally executes the task. This type of automated system case is more suitable for explanation through executor ontology. For collaborator ontology, besides cases of assisted driving accidents, there are also collaborative robots that can adjust their operating rhythm according to the worker's speed, movements, and fatigue state.</w:t>
      </w:r>
    </w:p>
    <w:p w14:paraId="1BDE88C6">
      <w:pPr>
        <w:widowControl w:val="0"/>
        <w:numPr>
          <w:ilvl w:val="0"/>
          <w:numId w:val="0"/>
        </w:numPr>
        <w:jc w:val="both"/>
        <w:rPr>
          <w:rFonts w:hint="eastAsia"/>
        </w:rPr>
      </w:pPr>
    </w:p>
    <w:p w14:paraId="71B364B3">
      <w:pPr>
        <w:widowControl w:val="0"/>
        <w:numPr>
          <w:ilvl w:val="0"/>
          <w:numId w:val="0"/>
        </w:numPr>
        <w:jc w:val="both"/>
        <w:rPr>
          <w:rFonts w:hint="eastAsia"/>
        </w:rPr>
      </w:pPr>
      <w:r>
        <w:rPr>
          <w:rFonts w:hint="eastAsia"/>
        </w:rPr>
        <w:t xml:space="preserve">These three approaches differ in how they interpret system behavior. Using the example of autonomous driving, when a user is using autonomous driving, the system suddenly decides to brake. Tool ontology considers this as a system-wide braking event, judging the timing of the braking and confirming whether the braking function is operating normally, without explaining to the user why the system did this. </w:t>
      </w:r>
      <w:r>
        <w:rPr>
          <w:rFonts w:hint="eastAsia"/>
          <w:lang w:val="en-US" w:eastAsia="zh-CN"/>
        </w:rPr>
        <w:t>E</w:t>
      </w:r>
      <w:r>
        <w:rPr>
          <w:rFonts w:hint="eastAsia"/>
        </w:rPr>
        <w:t>xecutor ontology, however, considers that the system judged danger and therefore made the braking decision. It also considers whether to explain to the user how the system made this judgment, thus achieving system transparency. Collaborator ontology explains it as follows: when the user and system collaborate, does the system's judgment align with the user's judgment? The system also needs to pay attention to the user's state. These three ontology theories explain the same behavior from the perspectives of causality, intention, and cooperation, respectively, but their focus and inclinations differ. Dennett argues that "intentionality is not inherent to the entity, but rather to the observer's interpretive framework." Therefore, whether users view the system as a tool, an executor, or a team partner directly determines the meaning of the system's behavior and the form of trust (Dennett, 1987).</w:t>
      </w:r>
    </w:p>
    <w:p w14:paraId="18BD5235">
      <w:pPr>
        <w:widowControl w:val="0"/>
        <w:numPr>
          <w:ilvl w:val="0"/>
          <w:numId w:val="0"/>
        </w:numPr>
        <w:jc w:val="both"/>
        <w:rPr>
          <w:rFonts w:hint="eastAsia"/>
        </w:rPr>
      </w:pPr>
    </w:p>
    <w:p w14:paraId="534BBAC8">
      <w:pPr>
        <w:widowControl w:val="0"/>
        <w:numPr>
          <w:ilvl w:val="0"/>
          <w:numId w:val="0"/>
        </w:numPr>
        <w:jc w:val="both"/>
        <w:rPr>
          <w:rFonts w:hint="eastAsia"/>
          <w:b/>
          <w:bCs/>
        </w:rPr>
      </w:pPr>
      <w:r>
        <w:rPr>
          <w:rFonts w:hint="eastAsia"/>
          <w:b/>
          <w:bCs/>
        </w:rPr>
        <w:t xml:space="preserve">2.2 Tools and executor: Necessary but Insufficient </w:t>
      </w:r>
    </w:p>
    <w:p w14:paraId="400273B0">
      <w:pPr>
        <w:widowControl w:val="0"/>
        <w:numPr>
          <w:ilvl w:val="0"/>
          <w:numId w:val="0"/>
        </w:numPr>
        <w:jc w:val="both"/>
        <w:rPr>
          <w:rFonts w:hint="eastAsia"/>
        </w:rPr>
      </w:pPr>
      <w:r>
        <w:rPr>
          <w:rFonts w:hint="eastAsia"/>
        </w:rPr>
        <w:t>Key issues in research, such as trust, sense of control, and responsibility, need to be defined from an ontological perspective. Under instrumental ontology, the system is viewed as a passive executor; therefore, trust is hardly a core variable. Users' sense of control comes from direct operation of the tool, and responsibility is assumed to be borne by the user. This means that research focuses on usability, predictability, and operational efficiency, rather than communication and collaboration with users. If the system is understood as an executor, its behavior possesses decision-making capabilities, and users' trust in the system becomes a core research issue: Do users trust the system's judgment? How do the system's transparency and explainability affect trust? The sense of control also shifts; users no longer directly control all behaviors but maintain a sense of psychological control through monitoring and verification. Responsibility begins to become ambiguous because both the system and the user influence the behavioral outcomes. Furthermore, under collaborative ontology, trust is no longer a one-way relationship but shifts to two-way trust: users need to trust the system's capabilities, and the system also needs to judge whether users are reliable, such as through fatigue detection and attention monitoring. The definition of control also shifts to a dynamic team negotiation relationship, rather than control by a single entity; responsibility changes from belonging to a single entity to a distributed responsibility structure, requiring definition based on human-machine role allocation, task stages, and understanding of intent. Therefore, the choice of ontology directly influences the theoretical foundation, measurement methods, and explanatory framework for research on trust, sense of control, and responsibility, determining which conceptual model the entire study will employ to understand human-machine relationships.</w:t>
      </w:r>
    </w:p>
    <w:p w14:paraId="7404945A">
      <w:pPr>
        <w:widowControl w:val="0"/>
        <w:numPr>
          <w:ilvl w:val="0"/>
          <w:numId w:val="0"/>
        </w:numPr>
        <w:jc w:val="both"/>
        <w:rPr>
          <w:rFonts w:hint="eastAsia"/>
        </w:rPr>
      </w:pPr>
    </w:p>
    <w:p w14:paraId="17046604">
      <w:pPr>
        <w:widowControl w:val="0"/>
        <w:numPr>
          <w:ilvl w:val="0"/>
          <w:numId w:val="0"/>
        </w:numPr>
        <w:jc w:val="both"/>
        <w:rPr>
          <w:rFonts w:hint="eastAsia"/>
          <w:b/>
          <w:bCs/>
        </w:rPr>
      </w:pPr>
      <w:r>
        <w:rPr>
          <w:rFonts w:hint="eastAsia"/>
          <w:b/>
          <w:bCs/>
        </w:rPr>
        <w:t>2.3 Collaborative Subject Ontology: The Future Direction of Automation</w:t>
      </w:r>
    </w:p>
    <w:p w14:paraId="34ADCED7">
      <w:pPr>
        <w:widowControl w:val="0"/>
        <w:numPr>
          <w:ilvl w:val="0"/>
          <w:numId w:val="0"/>
        </w:numPr>
        <w:jc w:val="both"/>
        <w:rPr>
          <w:rFonts w:hint="eastAsia"/>
        </w:rPr>
      </w:pPr>
      <w:r>
        <w:rPr>
          <w:rFonts w:hint="eastAsia"/>
        </w:rPr>
        <w:t>Automated systems are transforming into "collaborative subjects where humans and machines share tasks." In this process, the system must not only perceive the environment but also understand the user, evaluate the user's reliability, negotiate task roles with the user, and proactively compensate for any cognitive deficiencies the user may have when necessary. Mechanisms such as two-way trust, intent understanding, dynamic task allocation, and distributed responsibility are at the core of this collaborative model and can be seen as the future direction of human-machine relationships. From a design perspective, the evaluation criteria for automated products are shifting from assessments focused on functional performance and execution efficiency to collaborative indicators such as "shared understanding," "psychological safety," "trust stability," and "negotiable control allocation." Designers are not only concerned with how users operate the system but also with their behavioral logic and how to establish a good collaborative relationship. Simultaneously, the development of AI ethics and policies is also driving automation towards a collaborative model. Documents such as the EU AI Act, the UK's autonomous driving regulatory framework, and human-machine collaboration safety standards generally emphasize explainability, human oversight, shared responsibility, and questionability. These requirements are essentially institutional confirmations of the collaborative subject relationship. In conclusion, from the perspectives of technological evolution, user needs, ethical regulation, and the development of design theory, automated systems are showing a clear trend of transitioning from "tools" and "strongly autonomous agents" to "collaborative subjects."</w:t>
      </w:r>
    </w:p>
    <w:p w14:paraId="35ED857C">
      <w:pPr>
        <w:widowControl w:val="0"/>
        <w:numPr>
          <w:ilvl w:val="0"/>
          <w:numId w:val="0"/>
        </w:numPr>
        <w:jc w:val="both"/>
        <w:rPr>
          <w:rFonts w:hint="eastAsia"/>
        </w:rPr>
      </w:pPr>
    </w:p>
    <w:p w14:paraId="0F875190">
      <w:pPr>
        <w:widowControl w:val="0"/>
        <w:numPr>
          <w:ilvl w:val="0"/>
          <w:numId w:val="0"/>
        </w:numPr>
        <w:jc w:val="both"/>
        <w:rPr>
          <w:rFonts w:hint="eastAsia"/>
          <w:b/>
          <w:bCs/>
        </w:rPr>
      </w:pPr>
      <w:r>
        <w:rPr>
          <w:rFonts w:hint="eastAsia"/>
          <w:b/>
          <w:bCs/>
        </w:rPr>
        <w:t xml:space="preserve">3. Epistemology: </w:t>
      </w:r>
    </w:p>
    <w:p w14:paraId="0E09EBD4">
      <w:pPr>
        <w:widowControl w:val="0"/>
        <w:numPr>
          <w:ilvl w:val="0"/>
          <w:numId w:val="0"/>
        </w:numPr>
        <w:jc w:val="both"/>
        <w:rPr>
          <w:rFonts w:hint="eastAsia"/>
        </w:rPr>
      </w:pPr>
      <w:r>
        <w:rPr>
          <w:rFonts w:hint="eastAsia"/>
        </w:rPr>
        <w:t>While this study doesn't define a specific direction, it considers whether improving a particular aspect of an automated system can improve the user experience. Therefore, several questions need to be considered: 1. Is user "experience" measurable and quantifiable? 2. Are users' perceptions of the system's capabilities accurate? How are these perceptions formed? 3. A particular experience is no longer fixed (e.g., trust), but dynamically changes during human-system interaction. Therefore, does the stable knowledge relied upon by the automated system and its designers become ineffective?</w:t>
      </w:r>
    </w:p>
    <w:p w14:paraId="7E40D6BC">
      <w:pPr>
        <w:widowControl w:val="0"/>
        <w:numPr>
          <w:ilvl w:val="0"/>
          <w:numId w:val="0"/>
        </w:numPr>
        <w:jc w:val="both"/>
        <w:rPr>
          <w:rFonts w:hint="eastAsia"/>
        </w:rPr>
      </w:pPr>
    </w:p>
    <w:p w14:paraId="309BCCE4">
      <w:pPr>
        <w:widowControl w:val="0"/>
        <w:numPr>
          <w:ilvl w:val="0"/>
          <w:numId w:val="0"/>
        </w:numPr>
        <w:jc w:val="both"/>
        <w:rPr>
          <w:rFonts w:hint="eastAsia"/>
        </w:rPr>
      </w:pPr>
      <w:r>
        <w:rPr>
          <w:rFonts w:hint="eastAsia"/>
        </w:rPr>
        <w:t>User experience is a relatively complex phenomenon. To simply study user "experience" when using automated products, it's necessary to quantify the experience to provide theoretical support. However, as a "first-person" phenomenon, experience, due to its subjectivity and context-dependent nature, cannot be quantified. For experiments, achieving reproducibility is challenging, as experience is influenced by numerous factors such as weather, mood, and smell, making results unpredictable and unreproducible. However, the experience can be broken down, avoiding direct measurement of the purely subjective concept of "experience." Instead, it can be measured in several ways: 1. The social expression of the experience in a particular aspect, similar to translating the subjective experience of relaxation and safety into a sense of trust. 2. The physiological manifestation of the experience, similar to physiological changes during stress. 3. Inferences made through behavioral observation, similar to unconsciously gripping objects when feeling fear. For example, in the field of autonomous driving research, measuring heart rate, EMG, and pupil size can reflect stress and fright (Hwang &amp; Lee, 2025). In short, research should focus on experiential dimensions that can be clearly observed and have predictable patterns, rather than remaining at vague concepts of experience that are difficult to define and verify.</w:t>
      </w:r>
    </w:p>
    <w:p w14:paraId="5EB425DE">
      <w:pPr>
        <w:widowControl w:val="0"/>
        <w:numPr>
          <w:ilvl w:val="0"/>
          <w:numId w:val="0"/>
        </w:numPr>
        <w:jc w:val="both"/>
        <w:rPr>
          <w:rFonts w:hint="eastAsia"/>
        </w:rPr>
      </w:pPr>
    </w:p>
    <w:p w14:paraId="3EF19C38">
      <w:pPr>
        <w:widowControl w:val="0"/>
        <w:numPr>
          <w:ilvl w:val="0"/>
          <w:numId w:val="0"/>
        </w:numPr>
        <w:jc w:val="both"/>
        <w:rPr>
          <w:rFonts w:hint="eastAsia"/>
        </w:rPr>
      </w:pPr>
      <w:r>
        <w:rPr>
          <w:rFonts w:hint="eastAsia"/>
        </w:rPr>
        <w:t>Users' perception of a system is often inaccurate, such as underestimating or ignoring automated systems, or overestimating or placing excessive trust in them. Users' perception of a system primarily stems from: 1. Direct interactive experience, but this can be problematic, such as accidental events being mistaken for system reliability. Therefore, direct interactive experience is fundamental, but it does not guarantee a "correct understanding." 2. Design language and interface cues, and the system's explanations to users. These descriptions of the system, whether concrete or abstract, can easily lead to cognitive biases in users. Therefore, users are not "understanding reality," but rather "understanding the narrative image the designer has given the system." 3. Social narratives and media can alter or pre-instill perceptions of automated systems; for example, commercial advertising may excessively exaggerate the capabilities of AI products. 4. And there's the constantly evolving cognition during use. Numerous studies have investigated the dynamic relationship between user trust and the errors of automated systems.</w:t>
      </w:r>
    </w:p>
    <w:p w14:paraId="77E99A90">
      <w:pPr>
        <w:widowControl w:val="0"/>
        <w:numPr>
          <w:ilvl w:val="0"/>
          <w:numId w:val="0"/>
        </w:numPr>
        <w:jc w:val="both"/>
        <w:rPr>
          <w:rFonts w:hint="eastAsia"/>
        </w:rPr>
      </w:pPr>
    </w:p>
    <w:p w14:paraId="081AE64C">
      <w:pPr>
        <w:widowControl w:val="0"/>
        <w:numPr>
          <w:ilvl w:val="0"/>
          <w:numId w:val="0"/>
        </w:numPr>
        <w:jc w:val="both"/>
        <w:rPr>
          <w:rFonts w:hint="eastAsia"/>
        </w:rPr>
      </w:pPr>
      <w:r>
        <w:rPr>
          <w:rFonts w:hint="eastAsia"/>
        </w:rPr>
        <w:t>For designers, the establishment of automated systems originates from a stable, predictable knowledge model. For example, an autonomous driving system will automatically brake when encountering an accident ahead, so users know that the system will intervene, thereby improving driving safety. However, users interpret the system's intervention differently depending on their state. For instance, automatic reminders might be interpreted as caring when fatigued, as disruptive when in a bad mood, and as overstepping authority when highly confident. The contradiction lies in the fact that the system relies on "stable knowledge," while users generate "dynamic interpretations." To obtain stable patterns to guide design, interpretivism can be used to explore how users interpret system behavior during interaction. This further reveals the patterns in how users interpret the meaning of system behavior. These patterns are relatively universal, independent of specific contexts, and represent relatively stable cognitive patterns across users and tasks.</w:t>
      </w:r>
    </w:p>
    <w:p w14:paraId="2B01D69D">
      <w:pPr>
        <w:widowControl w:val="0"/>
        <w:numPr>
          <w:ilvl w:val="0"/>
          <w:numId w:val="0"/>
        </w:numPr>
        <w:jc w:val="both"/>
        <w:rPr>
          <w:rFonts w:hint="eastAsia"/>
        </w:rPr>
      </w:pPr>
    </w:p>
    <w:p w14:paraId="63165E2A">
      <w:pPr>
        <w:widowControl w:val="0"/>
        <w:numPr>
          <w:ilvl w:val="0"/>
          <w:numId w:val="0"/>
        </w:numPr>
        <w:jc w:val="both"/>
        <w:rPr>
          <w:rFonts w:hint="eastAsia"/>
        </w:rPr>
      </w:pPr>
      <w:r>
        <w:rPr>
          <w:rFonts w:hint="eastAsia"/>
        </w:rPr>
        <w:t>In summary, from an epistemological perspective, this study argues that "experience" is a purely subjective, first-person phenomenon, an objective object that cannot be directly quantified by researchers and automated systems. Users' systemic cognition is an interpretive structure formed through interaction, narrative, media, and design language. The stable knowledge upon which designers rely must align with users' dynamic meaning construction. Therefore, this study employs an interpretative epistemology to reveal the patterns of meaning generation by users in their interactions with automated systems and to provide a cross-contextual, reusable understanding model for design.</w:t>
      </w:r>
    </w:p>
    <w:p w14:paraId="7ECFDE48">
      <w:pPr>
        <w:widowControl w:val="0"/>
        <w:numPr>
          <w:ilvl w:val="0"/>
          <w:numId w:val="0"/>
        </w:numPr>
        <w:jc w:val="both"/>
        <w:rPr>
          <w:rFonts w:hint="eastAsia"/>
        </w:rPr>
      </w:pPr>
    </w:p>
    <w:p w14:paraId="41D54F15">
      <w:pPr>
        <w:widowControl w:val="0"/>
        <w:numPr>
          <w:ilvl w:val="0"/>
          <w:numId w:val="0"/>
        </w:numPr>
        <w:jc w:val="both"/>
        <w:rPr>
          <w:rFonts w:hint="eastAsia"/>
          <w:b/>
          <w:bCs/>
        </w:rPr>
      </w:pPr>
      <w:r>
        <w:rPr>
          <w:rFonts w:hint="eastAsia"/>
          <w:b/>
          <w:bCs/>
        </w:rPr>
        <w:t>4. Value Theory</w:t>
      </w:r>
    </w:p>
    <w:p w14:paraId="7EE1DB99">
      <w:pPr>
        <w:widowControl w:val="0"/>
        <w:numPr>
          <w:ilvl w:val="0"/>
          <w:numId w:val="0"/>
        </w:numPr>
        <w:jc w:val="both"/>
        <w:rPr>
          <w:rFonts w:hint="eastAsia"/>
        </w:rPr>
      </w:pPr>
      <w:r>
        <w:rPr>
          <w:rFonts w:hint="eastAsia"/>
        </w:rPr>
        <w:t>The value theory section will discuss which values the research should focus on and what standards can be used to describe a "good" human-machine collaborative experience. This research will revolve around the ontology of collaborative subjects, viewing automated systems as "collaborative entities" that jointly participate in task and meaning construction with users. This determines that the research focus is not on the degree of automation or efficiency. This research will pay more attention to the collaborative relationship between humans and automated systems; therefore, value judgments will revolve around "mutual understanding between humans and systems," "system transparency to users," "mutual trust between humans and systems," and "joint decision-making and control."</w:t>
      </w:r>
    </w:p>
    <w:p w14:paraId="74FB0FF3">
      <w:pPr>
        <w:widowControl w:val="0"/>
        <w:numPr>
          <w:ilvl w:val="0"/>
          <w:numId w:val="0"/>
        </w:numPr>
        <w:jc w:val="both"/>
        <w:rPr>
          <w:rFonts w:hint="eastAsia"/>
        </w:rPr>
      </w:pPr>
    </w:p>
    <w:p w14:paraId="2ACBF841">
      <w:pPr>
        <w:widowControl w:val="0"/>
        <w:numPr>
          <w:ilvl w:val="0"/>
          <w:numId w:val="0"/>
        </w:numPr>
        <w:jc w:val="both"/>
        <w:rPr>
          <w:rFonts w:hint="eastAsia"/>
          <w:b/>
          <w:bCs/>
        </w:rPr>
      </w:pPr>
      <w:r>
        <w:rPr>
          <w:rFonts w:hint="eastAsia"/>
          <w:b/>
          <w:bCs/>
        </w:rPr>
        <w:t>4.1 Mutual Understanding as the Foundation of Collaboration</w:t>
      </w:r>
    </w:p>
    <w:p w14:paraId="4F6D4014">
      <w:pPr>
        <w:widowControl w:val="0"/>
        <w:numPr>
          <w:ilvl w:val="0"/>
          <w:numId w:val="0"/>
        </w:numPr>
        <w:jc w:val="both"/>
        <w:rPr>
          <w:rFonts w:hint="eastAsia"/>
        </w:rPr>
      </w:pPr>
      <w:r>
        <w:rPr>
          <w:rFonts w:hint="eastAsia"/>
        </w:rPr>
        <w:t>According to the ontology of collaborative subjects, users no longer unilaterally send instructions to automated systems but rather observe and analyze each other. During this process, not only do users evaluate and predict the system's behavior, but the system also observes and predicts user behavior, dynamically adjusting itself in the process. This two-way understanding is the foundation for realizing the human-machine collaborative relationship; therefore, mutual understanding is an important value direction for the research. During two-way understanding, the system needs to express its behavioral intentions, limitations encountered in task execution, and certain uncertainties to the user. Users can enable the system to capture their explicit or implicit preferences, states, and task requirements. In summary, a good automated system is no longer simply about functional decisions, but rather a system that can form a consistent mental model with the user and maintain a dialogue relationship.</w:t>
      </w:r>
    </w:p>
    <w:p w14:paraId="7F5CD5CF">
      <w:pPr>
        <w:widowControl w:val="0"/>
        <w:numPr>
          <w:ilvl w:val="0"/>
          <w:numId w:val="0"/>
        </w:numPr>
        <w:jc w:val="both"/>
        <w:rPr>
          <w:rFonts w:hint="eastAsia"/>
        </w:rPr>
      </w:pPr>
    </w:p>
    <w:p w14:paraId="7C869012">
      <w:pPr>
        <w:widowControl w:val="0"/>
        <w:numPr>
          <w:ilvl w:val="0"/>
          <w:numId w:val="0"/>
        </w:numPr>
        <w:jc w:val="both"/>
        <w:rPr>
          <w:rFonts w:hint="eastAsia"/>
          <w:b/>
          <w:bCs/>
        </w:rPr>
      </w:pPr>
      <w:r>
        <w:rPr>
          <w:rFonts w:hint="eastAsia"/>
          <w:b/>
          <w:bCs/>
        </w:rPr>
        <w:t xml:space="preserve">4.2 Transparency </w:t>
      </w:r>
    </w:p>
    <w:p w14:paraId="61B7F8A1">
      <w:pPr>
        <w:widowControl w:val="0"/>
        <w:numPr>
          <w:ilvl w:val="0"/>
          <w:numId w:val="0"/>
        </w:numPr>
        <w:jc w:val="both"/>
        <w:rPr>
          <w:rFonts w:hint="eastAsia"/>
        </w:rPr>
      </w:pPr>
      <w:r>
        <w:rPr>
          <w:rFonts w:hint="eastAsia"/>
        </w:rPr>
        <w:t>Transparency is relatively important in human-computer interaction, both from an ethical and operational perspective. In using automated systems, transparency can increase the accuracy of automation (Tatasciore, Strickland &amp; Loft, 2024). The amount and type of information provided should vary depending on the research scenario. For example, in the context of autonomous driving, users prefer explanations of why the system does what it does, but providing users with "How-Why" system explanations creates cognitive load, thus requiring appropriate information reduction (Koo et al., 2014). In collaborative relationships, transparency not only tells users "what the system does," but also "what the system cannot do," which helps maintain realistic expectations and reduces misplaced trust or over-reliance. Currently, one undiscovered direction is whether the system should provide users with abstract but most helpful information. Or should we provide the most truthful information, even if it might confuse the user? And should transparency be dynamically adjusted? For example, reducing transparency in complex situations and increasing it when users are focused on decision-making?</w:t>
      </w:r>
    </w:p>
    <w:p w14:paraId="5E8F6304">
      <w:pPr>
        <w:widowControl w:val="0"/>
        <w:numPr>
          <w:ilvl w:val="0"/>
          <w:numId w:val="0"/>
        </w:numPr>
        <w:jc w:val="both"/>
        <w:rPr>
          <w:rFonts w:hint="eastAsia"/>
        </w:rPr>
      </w:pPr>
    </w:p>
    <w:p w14:paraId="232891C2">
      <w:pPr>
        <w:widowControl w:val="0"/>
        <w:numPr>
          <w:ilvl w:val="0"/>
          <w:numId w:val="0"/>
        </w:numPr>
        <w:jc w:val="both"/>
        <w:rPr>
          <w:rFonts w:hint="eastAsia"/>
          <w:b/>
          <w:bCs/>
        </w:rPr>
      </w:pPr>
      <w:r>
        <w:rPr>
          <w:rFonts w:hint="eastAsia"/>
          <w:b/>
          <w:bCs/>
        </w:rPr>
        <w:t>4.3 Trust</w:t>
      </w:r>
    </w:p>
    <w:p w14:paraId="28F40313">
      <w:pPr>
        <w:widowControl w:val="0"/>
        <w:numPr>
          <w:ilvl w:val="0"/>
          <w:numId w:val="0"/>
        </w:numPr>
        <w:jc w:val="both"/>
        <w:rPr>
          <w:rFonts w:hint="eastAsia"/>
        </w:rPr>
      </w:pPr>
      <w:r>
        <w:rPr>
          <w:rFonts w:hint="eastAsia"/>
        </w:rPr>
        <w:t>Why is trust considered valuable? Trust is the foundation upon which users choose to collaborate with automated systems. If users show low trust in the system, many will choose to abandon the automated system and attempt independent, complete tasks (Patton et al., 2025). In a task involving collaboration with an automated system, if users need to consider the reliability of the system in performing each sub-task, it will greatly increase their cognitive burden. However, it is important to note that user experience is dynamic, therefore trust must also be viewed as a dynamic process, not a static value (Dzindolet et al., 2003). In summary, trust needs to be viewed with a changing perspective; what matters is not whether the system is "trustworthy," but whether the system can continuously support the formation and repair of trust. Although numerous studies have emphasized the crucial role of trust in the use of automated systems, existing literature largely focuses on the static measurement of trust, lacking systematic research on core issues such as the dynamic changes in trust, cross-cultural differences, trust calibration methods, trust recovery strategies, the impact of control transfer, and the evolution of trust in long-term use.</w:t>
      </w:r>
    </w:p>
    <w:p w14:paraId="47E88069">
      <w:pPr>
        <w:widowControl w:val="0"/>
        <w:numPr>
          <w:ilvl w:val="0"/>
          <w:numId w:val="0"/>
        </w:numPr>
        <w:jc w:val="both"/>
        <w:rPr>
          <w:rFonts w:hint="eastAsia"/>
        </w:rPr>
      </w:pPr>
    </w:p>
    <w:p w14:paraId="6C0E205B">
      <w:pPr>
        <w:widowControl w:val="0"/>
        <w:numPr>
          <w:ilvl w:val="0"/>
          <w:numId w:val="0"/>
        </w:numPr>
        <w:jc w:val="both"/>
        <w:rPr>
          <w:rFonts w:hint="eastAsia"/>
          <w:b/>
          <w:bCs/>
        </w:rPr>
      </w:pPr>
      <w:r>
        <w:rPr>
          <w:rFonts w:hint="eastAsia"/>
          <w:b/>
          <w:bCs/>
        </w:rPr>
        <w:t>4.4 Collaborative Decision-Making and Control Allocation</w:t>
      </w:r>
    </w:p>
    <w:p w14:paraId="75EB5FD2">
      <w:pPr>
        <w:widowControl w:val="0"/>
        <w:numPr>
          <w:ilvl w:val="0"/>
          <w:numId w:val="0"/>
        </w:numPr>
        <w:jc w:val="both"/>
        <w:rPr>
          <w:rFonts w:hint="eastAsia"/>
        </w:rPr>
      </w:pPr>
      <w:r>
        <w:rPr>
          <w:rFonts w:hint="eastAsia"/>
        </w:rPr>
        <w:t>First, I believe humans should maintain their agency. While automation can make decisions, it cannot assume moral and legal responsibility. Therefore, in terms of decision-making power, it is necessary to ensure human agency while simultaneously allowing for automated decision-making capabilities. Bensch proposed a framework integrating HITL + HOTL, bridging human-in/on-the-Loop (supervisory control and interactive continuous participation), to achieve a dynamic switching of human-machine control. In long-term reliance on AI, a dynamic flow of decision-making power between humans and machines should be adopted (Bensch et al., 2024). The issue of decision-making power is not merely technical but also a matter of value. Giving users partial decision-making power can guarantee their agency and psychological safety, and avoid the extremes of passive dependence and operational burden. In conclusion, in the study of decision-making power, finding the changing patterns of human and automated control is of high value. Currently, there are certain research gaps in conflict resolution mechanisms in human-machine collaborative decision-making, including deficiencies in calculation models for control proportions, conflict negotiation mechanisms, intent understanding frameworks, the theoretical foundation of shared subjectivity, the role of transparency in collaborative decision-making, control strategies under uncertainty, and the impact of control allocation on user experience.</w:t>
      </w:r>
    </w:p>
    <w:p w14:paraId="09722890">
      <w:pPr>
        <w:widowControl w:val="0"/>
        <w:numPr>
          <w:ilvl w:val="0"/>
          <w:numId w:val="0"/>
        </w:numPr>
        <w:jc w:val="both"/>
        <w:rPr>
          <w:rFonts w:hint="eastAsia"/>
        </w:rPr>
      </w:pPr>
    </w:p>
    <w:p w14:paraId="079C0676">
      <w:pPr>
        <w:widowControl w:val="0"/>
        <w:numPr>
          <w:ilvl w:val="0"/>
          <w:numId w:val="0"/>
        </w:numPr>
        <w:jc w:val="both"/>
        <w:rPr>
          <w:rFonts w:hint="eastAsia"/>
          <w:b/>
          <w:bCs/>
        </w:rPr>
      </w:pPr>
      <w:r>
        <w:rPr>
          <w:rFonts w:hint="eastAsia"/>
          <w:b/>
          <w:bCs/>
        </w:rPr>
        <w:t>4.5 How Values Influence Method Selection and Result Interpretation</w:t>
      </w:r>
    </w:p>
    <w:p w14:paraId="41D26235">
      <w:pPr>
        <w:widowControl w:val="0"/>
        <w:numPr>
          <w:ilvl w:val="0"/>
          <w:numId w:val="0"/>
        </w:numPr>
        <w:jc w:val="both"/>
        <w:rPr>
          <w:rFonts w:hint="eastAsia"/>
        </w:rPr>
      </w:pPr>
      <w:r>
        <w:rPr>
          <w:rFonts w:hint="eastAsia"/>
        </w:rPr>
        <w:t>This research argues that "relational value, understanding value, and trust generation" have high value; therefore, research methods and result interpretation cannot be designed like "performance-measuring engineering experiments." Experiments should not only interpret behavioral outcomes but should focus on how users meaningfully interpret system behavior. Trust, understanding, and a sense of collaboration are gradually generated in specific contexts; therefore, research should include contextual, procedural, and interpretative analyses. Experiments also need to capture dynamic experience-related changes to analyze and understand their formation process.</w:t>
      </w:r>
    </w:p>
    <w:p w14:paraId="076ED499">
      <w:pPr>
        <w:widowControl w:val="0"/>
        <w:numPr>
          <w:ilvl w:val="0"/>
          <w:numId w:val="0"/>
        </w:numPr>
        <w:jc w:val="both"/>
        <w:rPr>
          <w:rFonts w:hint="eastAsia"/>
        </w:rPr>
      </w:pPr>
    </w:p>
    <w:p w14:paraId="18733E20">
      <w:pPr>
        <w:widowControl w:val="0"/>
        <w:numPr>
          <w:ilvl w:val="0"/>
          <w:numId w:val="0"/>
        </w:numPr>
        <w:jc w:val="both"/>
        <w:rPr>
          <w:rFonts w:hint="eastAsia"/>
          <w:b/>
          <w:bCs/>
        </w:rPr>
      </w:pPr>
      <w:r>
        <w:rPr>
          <w:rFonts w:hint="eastAsia"/>
          <w:b/>
          <w:bCs/>
        </w:rPr>
        <w:t>4.6 Considerations Regarding Research Value</w:t>
      </w:r>
    </w:p>
    <w:p w14:paraId="5B0924E6">
      <w:pPr>
        <w:widowControl w:val="0"/>
        <w:numPr>
          <w:ilvl w:val="0"/>
          <w:numId w:val="0"/>
        </w:numPr>
        <w:jc w:val="both"/>
        <w:rPr>
          <w:rFonts w:hint="eastAsia"/>
        </w:rPr>
      </w:pPr>
      <w:r>
        <w:rPr>
          <w:rFonts w:hint="eastAsia"/>
        </w:rPr>
        <w:t>This research will further promote the shift of automated systems from unidirectional execution logic to a collaborative framework that is "understandable, negotiable, and trustworthy." It will provide guidance for design aspects such as system transparency, communication mechanisms, and control allocation. To address the fear, mistrust, and sense of loss of control that may arise from future high automation, it is essential to establish a healthy coexistence between humans and systems.</w:t>
      </w:r>
    </w:p>
    <w:p w14:paraId="37112E9C">
      <w:pPr>
        <w:widowControl w:val="0"/>
        <w:numPr>
          <w:ilvl w:val="0"/>
          <w:numId w:val="0"/>
        </w:numPr>
        <w:jc w:val="both"/>
        <w:rPr>
          <w:rFonts w:hint="eastAsia"/>
        </w:rPr>
      </w:pPr>
    </w:p>
    <w:p w14:paraId="3B3D1628">
      <w:pPr>
        <w:widowControl w:val="0"/>
        <w:numPr>
          <w:ilvl w:val="0"/>
          <w:numId w:val="0"/>
        </w:numPr>
        <w:jc w:val="both"/>
        <w:rPr>
          <w:rFonts w:hint="eastAsia"/>
          <w:b/>
          <w:bCs/>
        </w:rPr>
      </w:pPr>
      <w:r>
        <w:rPr>
          <w:rFonts w:hint="eastAsia"/>
          <w:b/>
          <w:bCs/>
        </w:rPr>
        <w:t>5. Positionality &amp; Reflexivity</w:t>
      </w:r>
    </w:p>
    <w:p w14:paraId="68EA7766">
      <w:pPr>
        <w:widowControl w:val="0"/>
        <w:numPr>
          <w:ilvl w:val="0"/>
          <w:numId w:val="0"/>
        </w:numPr>
        <w:jc w:val="both"/>
        <w:rPr>
          <w:rFonts w:hint="eastAsia"/>
          <w:b/>
          <w:bCs/>
        </w:rPr>
      </w:pPr>
      <w:r>
        <w:rPr>
          <w:rFonts w:hint="eastAsia"/>
          <w:b/>
          <w:bCs/>
        </w:rPr>
        <w:t>5.1 The Researcher's Position</w:t>
      </w:r>
    </w:p>
    <w:p w14:paraId="7517BD73">
      <w:pPr>
        <w:widowControl w:val="0"/>
        <w:numPr>
          <w:ilvl w:val="0"/>
          <w:numId w:val="0"/>
        </w:numPr>
        <w:jc w:val="both"/>
        <w:rPr>
          <w:rFonts w:hint="eastAsia"/>
        </w:rPr>
      </w:pPr>
      <w:r>
        <w:rPr>
          <w:rFonts w:hint="eastAsia"/>
        </w:rPr>
        <w:t>My professional background is in industrial design, and I believe that interaction design will play an increasingly important role in future product design. This led me to focus more on "experience" and "interaction" when exploring research on automated systems, rather than simply focusing on functional issues. My choice of automation as a research direction stemmed from current social analysis and public opinion, which suggests that AI has profound potential for impacting humanity. The book *Sapiens: A Brief History of Humankind* also had a significant influence on me, discussing the impact of AI on future society and humanity. However, not all intelligent systems in products can be called AI; therefore, "automation" is a more appropriate description. At the beginning of my research, I viewed automation more as a "tool," but as my research deepened, I increasingly found that a simple tool is unsuitable for describing current or future automated systems. As an industrial design professional, I like to consider how to express system information to users from a design perspective. However, as my research progressed, I increasingly realized that the problems cannot be solved by traditional design categories such as graphics or lighting effects; therefore, I turned my attention to behavioral design.</w:t>
      </w:r>
    </w:p>
    <w:p w14:paraId="677EB9D0">
      <w:pPr>
        <w:widowControl w:val="0"/>
        <w:numPr>
          <w:ilvl w:val="0"/>
          <w:numId w:val="0"/>
        </w:numPr>
        <w:jc w:val="both"/>
        <w:rPr>
          <w:rFonts w:hint="eastAsia"/>
        </w:rPr>
      </w:pPr>
    </w:p>
    <w:p w14:paraId="111F1F21">
      <w:pPr>
        <w:widowControl w:val="0"/>
        <w:numPr>
          <w:ilvl w:val="0"/>
          <w:numId w:val="0"/>
        </w:numPr>
        <w:jc w:val="both"/>
        <w:rPr>
          <w:rFonts w:hint="eastAsia"/>
        </w:rPr>
      </w:pPr>
      <w:r>
        <w:rPr>
          <w:rFonts w:hint="eastAsia"/>
        </w:rPr>
        <w:t>In terms of cultural differences between China and the UK, China has a higher acceptance of automation and high-tech products, exhibiting a pragmatic tendency and an optimistic outlook on technology. Erden's research found that Chinese participants preferred to view robots as partners, but this may be due to the Chinese connotation of "robot" as a mechanically constructed person, leading to emotional associations among participants (Erden, 2020). Because of China's relatively fast-paced society, researchers from a Chinese background tend to equate high levels of system automation with efficiency and excellence, lacking consideration for long-term psychological safety and error attribution.</w:t>
      </w:r>
    </w:p>
    <w:p w14:paraId="23874CC0">
      <w:pPr>
        <w:widowControl w:val="0"/>
        <w:numPr>
          <w:ilvl w:val="0"/>
          <w:numId w:val="0"/>
        </w:numPr>
        <w:jc w:val="both"/>
        <w:rPr>
          <w:rFonts w:hint="eastAsia"/>
        </w:rPr>
      </w:pPr>
    </w:p>
    <w:p w14:paraId="122A0EE6">
      <w:pPr>
        <w:widowControl w:val="0"/>
        <w:numPr>
          <w:ilvl w:val="0"/>
          <w:numId w:val="0"/>
        </w:numPr>
        <w:jc w:val="both"/>
        <w:rPr>
          <w:rFonts w:hint="eastAsia"/>
        </w:rPr>
      </w:pPr>
      <w:r>
        <w:rPr>
          <w:rFonts w:hint="eastAsia"/>
        </w:rPr>
        <w:t>Unlike China, the UK's technology usage culture emphasizes system reliability, transparency, accountability, and safety standards. They hold a cautious attitude towards automated systems and have high demands for transparency, such as requiring consent to cookie policies when visiting websites, unlike Chinese websites. Such academic research reinforces my focus on "transparency," "mutual understanding," and "explainability," while increasing my sensitivity to "system errors and risks."</w:t>
      </w:r>
    </w:p>
    <w:p w14:paraId="12F720B7">
      <w:pPr>
        <w:widowControl w:val="0"/>
        <w:numPr>
          <w:ilvl w:val="0"/>
          <w:numId w:val="0"/>
        </w:numPr>
        <w:jc w:val="both"/>
        <w:rPr>
          <w:rFonts w:hint="eastAsia"/>
        </w:rPr>
      </w:pPr>
    </w:p>
    <w:p w14:paraId="1D37E3F0">
      <w:pPr>
        <w:widowControl w:val="0"/>
        <w:numPr>
          <w:ilvl w:val="0"/>
          <w:numId w:val="0"/>
        </w:numPr>
        <w:jc w:val="both"/>
        <w:rPr>
          <w:rFonts w:hint="eastAsia"/>
        </w:rPr>
      </w:pPr>
      <w:r>
        <w:rPr>
          <w:rFonts w:hint="eastAsia"/>
        </w:rPr>
        <w:t>I believe "transparency, understanding, and collaborative decision-making" are valuable, but the reality may be more complex. Not all products need automation, and product automation doesn't necessarily guarantee a better user experience, such as a home coffee grinder (Klapperich, Uhde &amp; Hassenzahl, 2020). For real-world automation projects, there might be an overemphasis on user experience, neglecting issues like cost and reliability. Secondly, some users' evaluation criteria may revolve around the degree of product automation; not all users want to be decision-makers in every product, and not all tasks are suitable for human decision-makers. Research tends to rely on user narratives, but user narratives don't equate to true psychology, and users may provide incorrect interpretations. Furthermore, physiological indicators or behaviors need to be monitored, but physiological testing raises ethical concerns.</w:t>
      </w:r>
    </w:p>
    <w:p w14:paraId="19CDC359">
      <w:pPr>
        <w:widowControl w:val="0"/>
        <w:numPr>
          <w:ilvl w:val="0"/>
          <w:numId w:val="0"/>
        </w:numPr>
        <w:jc w:val="both"/>
        <w:rPr>
          <w:rFonts w:hint="eastAsia"/>
        </w:rPr>
      </w:pPr>
    </w:p>
    <w:p w14:paraId="27BA0EBB">
      <w:pPr>
        <w:widowControl w:val="0"/>
        <w:numPr>
          <w:ilvl w:val="0"/>
          <w:numId w:val="0"/>
        </w:numPr>
        <w:jc w:val="both"/>
        <w:rPr>
          <w:rFonts w:hint="eastAsia"/>
          <w:b/>
          <w:bCs/>
        </w:rPr>
      </w:pPr>
      <w:r>
        <w:rPr>
          <w:rFonts w:hint="eastAsia"/>
          <w:b/>
          <w:bCs/>
        </w:rPr>
        <w:t>6. Methodology and Bias</w:t>
      </w:r>
    </w:p>
    <w:p w14:paraId="52C675C7">
      <w:pPr>
        <w:widowControl w:val="0"/>
        <w:numPr>
          <w:ilvl w:val="0"/>
          <w:numId w:val="0"/>
        </w:numPr>
        <w:jc w:val="both"/>
        <w:rPr>
          <w:rFonts w:hint="eastAsia"/>
          <w:b/>
          <w:bCs/>
        </w:rPr>
      </w:pPr>
      <w:r>
        <w:rPr>
          <w:rFonts w:hint="eastAsia"/>
          <w:b/>
          <w:bCs/>
        </w:rPr>
        <w:t>6.1: Methodological Requirements of Collaborative Subject Ontology</w:t>
      </w:r>
    </w:p>
    <w:p w14:paraId="7B9EF74B">
      <w:pPr>
        <w:widowControl w:val="0"/>
        <w:numPr>
          <w:ilvl w:val="0"/>
          <w:numId w:val="0"/>
        </w:numPr>
        <w:jc w:val="both"/>
        <w:rPr>
          <w:rFonts w:hint="eastAsia"/>
        </w:rPr>
      </w:pPr>
      <w:r>
        <w:rPr>
          <w:rFonts w:hint="eastAsia"/>
        </w:rPr>
        <w:t>When discussing research methods, the first step is to define the research object. The previous section positioned the ontology as "collaborative ontology," therefore the research object is no longer a single person or system, but rather "the relationship between people and systems." Regarding the relationship between people and systems, there are several main research directions: "the formation process of shared mental models," "mutual understanding of intentions," "collaboration quality," "dynamic allocation of control," and "two-way trust trajectories."</w:t>
      </w:r>
    </w:p>
    <w:p w14:paraId="19045598">
      <w:pPr>
        <w:widowControl w:val="0"/>
        <w:numPr>
          <w:ilvl w:val="0"/>
          <w:numId w:val="0"/>
        </w:numPr>
        <w:jc w:val="both"/>
        <w:rPr>
          <w:rFonts w:hint="eastAsia"/>
        </w:rPr>
      </w:pPr>
    </w:p>
    <w:p w14:paraId="513ACBB4">
      <w:pPr>
        <w:widowControl w:val="0"/>
        <w:numPr>
          <w:ilvl w:val="0"/>
          <w:numId w:val="0"/>
        </w:numPr>
        <w:jc w:val="both"/>
        <w:rPr>
          <w:rFonts w:hint="eastAsia"/>
        </w:rPr>
      </w:pPr>
      <w:r>
        <w:rPr>
          <w:rFonts w:hint="eastAsia"/>
        </w:rPr>
        <w:t>While there is no specific direction yet, it is certain that data will be collected through questionnaires, interviews, experiments, and physiological measurements. Therefore, the potential problems of these methods will be discussed. Furthermore, the reproducibility of the research experiments will be discussed, and finally, the ethical issues that the experiments may encounter will be assessed.</w:t>
      </w:r>
    </w:p>
    <w:p w14:paraId="720621FB">
      <w:pPr>
        <w:widowControl w:val="0"/>
        <w:numPr>
          <w:ilvl w:val="0"/>
          <w:numId w:val="0"/>
        </w:numPr>
        <w:jc w:val="both"/>
        <w:rPr>
          <w:rFonts w:hint="eastAsia"/>
        </w:rPr>
      </w:pPr>
    </w:p>
    <w:p w14:paraId="77A3EA36">
      <w:pPr>
        <w:widowControl w:val="0"/>
        <w:numPr>
          <w:ilvl w:val="0"/>
          <w:numId w:val="0"/>
        </w:numPr>
        <w:jc w:val="both"/>
        <w:rPr>
          <w:rFonts w:hint="eastAsia"/>
          <w:b/>
          <w:bCs/>
        </w:rPr>
      </w:pPr>
      <w:r>
        <w:rPr>
          <w:rFonts w:hint="eastAsia"/>
          <w:b/>
          <w:bCs/>
        </w:rPr>
        <w:t>6.2 Methodological Bias</w:t>
      </w:r>
    </w:p>
    <w:p w14:paraId="3B311304">
      <w:pPr>
        <w:widowControl w:val="0"/>
        <w:numPr>
          <w:ilvl w:val="0"/>
          <w:numId w:val="0"/>
        </w:numPr>
        <w:jc w:val="both"/>
        <w:rPr>
          <w:rFonts w:hint="eastAsia"/>
        </w:rPr>
      </w:pPr>
      <w:r>
        <w:rPr>
          <w:rFonts w:hint="eastAsia"/>
        </w:rPr>
        <w:t>1. Measurement Models</w:t>
      </w:r>
    </w:p>
    <w:p w14:paraId="263BE70A">
      <w:pPr>
        <w:widowControl w:val="0"/>
        <w:numPr>
          <w:ilvl w:val="0"/>
          <w:numId w:val="0"/>
        </w:numPr>
        <w:jc w:val="both"/>
        <w:rPr>
          <w:rFonts w:hint="eastAsia"/>
        </w:rPr>
      </w:pPr>
      <w:r>
        <w:rPr>
          <w:rFonts w:hint="eastAsia"/>
        </w:rPr>
        <w:t>The most common research method is questionnaire surveys, which can be used alone or in combination with experiments. However, in the field of automated research, the use of questionnaire surveys is relatively low. This may be because automated interactions are highly dynamic, context-dependent, and behavior-oriented, making it difficult to capture real-time changes in experiences such as trust and a sense of control using only questionnaires. Questionnaires are mostly used in automated research as an auxiliary data collection method for experiments. For example, in Endsley's research, real-world driving experiences were used as the primary experimental method, and questionnaires were used to investigate users' trust levels (Endsley, 2017).</w:t>
      </w:r>
    </w:p>
    <w:p w14:paraId="6490A97A">
      <w:pPr>
        <w:widowControl w:val="0"/>
        <w:numPr>
          <w:ilvl w:val="0"/>
          <w:numId w:val="0"/>
        </w:numPr>
        <w:jc w:val="both"/>
        <w:rPr>
          <w:rFonts w:hint="eastAsia"/>
        </w:rPr>
      </w:pPr>
    </w:p>
    <w:p w14:paraId="29BB2C56">
      <w:pPr>
        <w:widowControl w:val="0"/>
        <w:numPr>
          <w:ilvl w:val="0"/>
          <w:numId w:val="0"/>
        </w:numPr>
        <w:jc w:val="both"/>
        <w:rPr>
          <w:rFonts w:hint="eastAsia"/>
        </w:rPr>
      </w:pPr>
      <w:r>
        <w:rPr>
          <w:rFonts w:hint="eastAsia"/>
        </w:rPr>
        <w:t>Questionnaire-related issues arise regarding the reproducibility of experiments. Because questionnaires elicit different responses in different scenarios, the reliability and reproducibility of the data are questionable (Schwarz &amp; Sudman, 1992). Furthermore, questionnaires rely on participants' self-reports, which are influenced by question format, context, order, answer options, and social interaction norms (Schwarz, 1999). Questionnaires also present ethical problems; participants are unaware of the underlying measurement questions. First, participants are unaware of potential data collection; second, the questions may lead to misunderstandings, reinforcing researcher bias and infringing on participants' autonomy.</w:t>
      </w:r>
    </w:p>
    <w:p w14:paraId="2340C75A">
      <w:pPr>
        <w:widowControl w:val="0"/>
        <w:numPr>
          <w:ilvl w:val="0"/>
          <w:numId w:val="0"/>
        </w:numPr>
        <w:jc w:val="both"/>
        <w:rPr>
          <w:rFonts w:hint="eastAsia"/>
        </w:rPr>
      </w:pPr>
    </w:p>
    <w:p w14:paraId="28D678CD">
      <w:pPr>
        <w:widowControl w:val="0"/>
        <w:numPr>
          <w:ilvl w:val="0"/>
          <w:numId w:val="0"/>
        </w:numPr>
        <w:jc w:val="both"/>
        <w:rPr>
          <w:rFonts w:hint="eastAsia"/>
        </w:rPr>
      </w:pPr>
      <w:r>
        <w:rPr>
          <w:rFonts w:hint="eastAsia"/>
        </w:rPr>
        <w:t>2. Interviews Interview research is typically used to understand how users interpret how a phenomenon or situation affects their experience. Interview surveys are qualitative research, emphasizing "understanding" rather than "measurement." Interviews are categorized into structured, semi-structured, and unstructured types. In the fields of AI and autonomous driving, semi-structured interviews, which involve pre-set questions but flexible follow-up, are most commonly used.</w:t>
      </w:r>
    </w:p>
    <w:p w14:paraId="1739ADF9">
      <w:pPr>
        <w:widowControl w:val="0"/>
        <w:numPr>
          <w:ilvl w:val="0"/>
          <w:numId w:val="0"/>
        </w:numPr>
        <w:jc w:val="both"/>
        <w:rPr>
          <w:rFonts w:hint="eastAsia"/>
        </w:rPr>
      </w:pPr>
    </w:p>
    <w:p w14:paraId="65CD67D9">
      <w:pPr>
        <w:widowControl w:val="0"/>
        <w:numPr>
          <w:ilvl w:val="0"/>
          <w:numId w:val="0"/>
        </w:numPr>
        <w:jc w:val="both"/>
        <w:rPr>
          <w:rFonts w:hint="eastAsia"/>
        </w:rPr>
      </w:pPr>
      <w:r>
        <w:rPr>
          <w:rFonts w:hint="eastAsia"/>
        </w:rPr>
        <w:t>Bias in interviews arises when respondents' answers differ from their true thoughts. Nicole Bergen and Ronald Labonté, in their research in rural Ethiopia, discussed the impact of social expectations on interview results and proposed six ways to reduce bias: indirect questioning, reinforcing confidentiality statements, building rapport, storytelling, pre-set question framing, and a private environment (Bergen &amp; Labonté, 2020). Beyond the influence of social expectations, factors such as power imbalances between researchers and participants, respondents' expressive abilities, and memory biases can also cause descriptive bias. On an ethical level, in well-structured interviews, respondents may reveal relatively private information or information that could harm their interests. Furthermore, the respondent's speaking style and the information within their stories can expose personal privacy.</w:t>
      </w:r>
    </w:p>
    <w:p w14:paraId="170E26F4">
      <w:pPr>
        <w:widowControl w:val="0"/>
        <w:numPr>
          <w:ilvl w:val="0"/>
          <w:numId w:val="0"/>
        </w:numPr>
        <w:jc w:val="both"/>
        <w:rPr>
          <w:rFonts w:hint="eastAsia"/>
        </w:rPr>
      </w:pPr>
    </w:p>
    <w:p w14:paraId="151B4365">
      <w:pPr>
        <w:widowControl w:val="0"/>
        <w:numPr>
          <w:ilvl w:val="0"/>
          <w:numId w:val="0"/>
        </w:numPr>
        <w:jc w:val="both"/>
        <w:rPr>
          <w:rFonts w:hint="eastAsia"/>
        </w:rPr>
      </w:pPr>
      <w:r>
        <w:rPr>
          <w:rFonts w:hint="eastAsia"/>
        </w:rPr>
        <w:t>3. Observation Users' actual behavior may differ from self-reported or interviewed behaviors, thus requiring observation of participants' behavioral data for judgment. This includes natural observation in real-world environments without intervention. For example, recording automated interaction behavior during a six-month period of real-world driving (Endsley, 2017). If studying variable conditions or posing safety risks, structured observation in a controlled environment can be used, such as constructing virtual scenarios using VR to test participants' interactions (Pedroza-Santiago et al., 2025). Scenario-based surveys, combining observation and semi-interviews, are suitable for investigations in automated home and automated product scenarios. Finally, there is participatory observation, where researchers personally "join the scenario" and experience what users are doing.</w:t>
      </w:r>
    </w:p>
    <w:p w14:paraId="2CBB68AC">
      <w:pPr>
        <w:widowControl w:val="0"/>
        <w:numPr>
          <w:ilvl w:val="0"/>
          <w:numId w:val="0"/>
        </w:numPr>
        <w:jc w:val="both"/>
        <w:rPr>
          <w:rFonts w:hint="eastAsia"/>
        </w:rPr>
      </w:pPr>
    </w:p>
    <w:p w14:paraId="5A24A967">
      <w:pPr>
        <w:widowControl w:val="0"/>
        <w:numPr>
          <w:ilvl w:val="0"/>
          <w:numId w:val="0"/>
        </w:numPr>
        <w:jc w:val="both"/>
        <w:rPr>
          <w:rFonts w:hint="eastAsia"/>
        </w:rPr>
      </w:pPr>
      <w:r>
        <w:rPr>
          <w:rFonts w:hint="eastAsia"/>
        </w:rPr>
        <w:t>The most immediate concern with observation methods is the observer effect. When users know an observer is present, they become more cautious and more compliant with operating procedures, which can affect experimental results. However, due to legal and ethical requirements, it is necessary to inform participants about the experimental recording process. For observers, there's a risk of misinterpreting recorded behavior or using their own theoretical framework to explain unrelated phenomena, leading to bias. Ethical issues include potential exposure of participant privacy, as recording often involves facial expressions, body movements, daily activities, and behavioral patterns. Furthermore, participants may worry about their behavior and habits unrelated to the experiment being judged.</w:t>
      </w:r>
    </w:p>
    <w:p w14:paraId="5F16A5D9">
      <w:pPr>
        <w:widowControl w:val="0"/>
        <w:numPr>
          <w:ilvl w:val="0"/>
          <w:numId w:val="0"/>
        </w:numPr>
        <w:jc w:val="both"/>
        <w:rPr>
          <w:rFonts w:hint="eastAsia"/>
        </w:rPr>
      </w:pPr>
    </w:p>
    <w:p w14:paraId="1EC87431">
      <w:pPr>
        <w:widowControl w:val="0"/>
        <w:numPr>
          <w:ilvl w:val="0"/>
          <w:numId w:val="0"/>
        </w:numPr>
        <w:jc w:val="both"/>
        <w:rPr>
          <w:rFonts w:hint="eastAsia"/>
        </w:rPr>
      </w:pPr>
      <w:r>
        <w:rPr>
          <w:rFonts w:hint="eastAsia"/>
        </w:rPr>
        <w:t>4. Physiology</w:t>
      </w:r>
    </w:p>
    <w:p w14:paraId="177C9BC6">
      <w:pPr>
        <w:widowControl w:val="0"/>
        <w:numPr>
          <w:ilvl w:val="0"/>
          <w:numId w:val="0"/>
        </w:numPr>
        <w:jc w:val="both"/>
        <w:rPr>
          <w:rFonts w:hint="eastAsia"/>
        </w:rPr>
      </w:pPr>
      <w:r>
        <w:rPr>
          <w:rFonts w:hint="eastAsia"/>
        </w:rPr>
        <w:t>In automated research, recording physiological indicators is an objective, continuous, and highly time-accurate measurement method that can analyze participants' stress, psychological load, and emotional responses. Commonly used indicators include heart rate, skin conductance, eye movement, electroencephalography (EEG), and electromyography (EMG). While physiological indicators are the closest to objective data sources, their interpretation can still be biased.</w:t>
      </w:r>
    </w:p>
    <w:p w14:paraId="4FAC2580">
      <w:pPr>
        <w:widowControl w:val="0"/>
        <w:numPr>
          <w:ilvl w:val="0"/>
          <w:numId w:val="0"/>
        </w:numPr>
        <w:jc w:val="both"/>
        <w:rPr>
          <w:rFonts w:hint="eastAsia"/>
        </w:rPr>
      </w:pPr>
    </w:p>
    <w:p w14:paraId="58CE59BC">
      <w:pPr>
        <w:widowControl w:val="0"/>
        <w:numPr>
          <w:ilvl w:val="0"/>
          <w:numId w:val="0"/>
        </w:numPr>
        <w:jc w:val="both"/>
        <w:rPr>
          <w:rFonts w:hint="eastAsia"/>
        </w:rPr>
      </w:pPr>
      <w:r>
        <w:rPr>
          <w:rFonts w:hint="eastAsia"/>
        </w:rPr>
        <w:t>Different methods have their advantages, but also structural limitations. I believe that to reduce bias and interference from single research methods, a hybrid research design with multiple complementary methods can be adopted. In automated and human-machine collaborative research, numerous studies have used hybrid methods to improve the reliability of results. However, even with cross-validation using multiple methods, research can still be affected by residual errors. Different methods may point to phenomena at different levels (e.g., physiological arousal does not necessarily correspond to changes in trust), observer bias and situational differences may still exist, and data integration may also lead to inconsistencies in interpretation. Therefore, mixed methods are not a panacea for eliminating bias, but rather a way to improve the robustness of research by "approaching the truth from multiple perspectives," while maintaining appropriate epistemological humility regarding the uncertainty of the results.</w:t>
      </w:r>
    </w:p>
    <w:p w14:paraId="2428E90E">
      <w:pPr>
        <w:widowControl w:val="0"/>
        <w:numPr>
          <w:ilvl w:val="0"/>
          <w:numId w:val="0"/>
        </w:numPr>
        <w:jc w:val="both"/>
        <w:rPr>
          <w:rFonts w:hint="eastAsia"/>
        </w:rPr>
      </w:pPr>
    </w:p>
    <w:p w14:paraId="15DE4BBF">
      <w:pPr>
        <w:widowControl w:val="0"/>
        <w:numPr>
          <w:ilvl w:val="0"/>
          <w:numId w:val="0"/>
        </w:numPr>
        <w:jc w:val="both"/>
        <w:rPr>
          <w:rFonts w:hint="eastAsia"/>
        </w:rPr>
      </w:pPr>
    </w:p>
    <w:p w14:paraId="46E944B5">
      <w:pPr>
        <w:widowControl w:val="0"/>
        <w:numPr>
          <w:ilvl w:val="0"/>
          <w:numId w:val="0"/>
        </w:numPr>
        <w:jc w:val="both"/>
        <w:rPr>
          <w:rFonts w:hint="eastAsia"/>
        </w:rPr>
      </w:pPr>
    </w:p>
    <w:p w14:paraId="4FC644E2">
      <w:pPr>
        <w:widowControl w:val="0"/>
        <w:numPr>
          <w:ilvl w:val="0"/>
          <w:numId w:val="0"/>
        </w:numPr>
        <w:jc w:val="both"/>
        <w:rPr>
          <w:rFonts w:hint="eastAsia"/>
        </w:rPr>
      </w:pPr>
    </w:p>
    <w:p w14:paraId="2FD0A659">
      <w:pPr>
        <w:widowControl w:val="0"/>
        <w:numPr>
          <w:ilvl w:val="0"/>
          <w:numId w:val="0"/>
        </w:numPr>
        <w:jc w:val="both"/>
        <w:rPr>
          <w:rFonts w:hint="eastAsia"/>
        </w:rPr>
      </w:pPr>
    </w:p>
    <w:p w14:paraId="36F0355A">
      <w:pPr>
        <w:widowControl w:val="0"/>
        <w:numPr>
          <w:ilvl w:val="0"/>
          <w:numId w:val="0"/>
        </w:numPr>
        <w:jc w:val="both"/>
        <w:rPr>
          <w:rFonts w:hint="eastAsia"/>
        </w:rPr>
      </w:pPr>
    </w:p>
    <w:p w14:paraId="5880F198">
      <w:pPr>
        <w:widowControl w:val="0"/>
        <w:numPr>
          <w:ilvl w:val="0"/>
          <w:numId w:val="0"/>
        </w:numPr>
        <w:jc w:val="both"/>
        <w:rPr>
          <w:rFonts w:hint="eastAsia"/>
        </w:rPr>
      </w:pPr>
    </w:p>
    <w:p w14:paraId="2F1E988F">
      <w:pPr>
        <w:widowControl w:val="0"/>
        <w:numPr>
          <w:ilvl w:val="0"/>
          <w:numId w:val="0"/>
        </w:numPr>
        <w:jc w:val="both"/>
        <w:rPr>
          <w:rFonts w:hint="eastAsia"/>
        </w:rPr>
      </w:pPr>
    </w:p>
    <w:p w14:paraId="7D4AC870">
      <w:pPr>
        <w:widowControl w:val="0"/>
        <w:numPr>
          <w:ilvl w:val="0"/>
          <w:numId w:val="0"/>
        </w:numPr>
        <w:jc w:val="both"/>
        <w:rPr>
          <w:rFonts w:hint="eastAsia"/>
        </w:rPr>
      </w:pPr>
    </w:p>
    <w:p w14:paraId="6A841016">
      <w:pPr>
        <w:widowControl w:val="0"/>
        <w:numPr>
          <w:ilvl w:val="0"/>
          <w:numId w:val="0"/>
        </w:numPr>
        <w:jc w:val="both"/>
        <w:rPr>
          <w:rFonts w:hint="eastAsia"/>
        </w:rPr>
      </w:pPr>
    </w:p>
    <w:p w14:paraId="003B2B28">
      <w:pPr>
        <w:widowControl w:val="0"/>
        <w:numPr>
          <w:ilvl w:val="0"/>
          <w:numId w:val="0"/>
        </w:numPr>
        <w:jc w:val="both"/>
        <w:rPr>
          <w:rFonts w:hint="eastAsia"/>
        </w:rPr>
      </w:pPr>
    </w:p>
    <w:p w14:paraId="58A02A6B">
      <w:pPr>
        <w:widowControl w:val="0"/>
        <w:numPr>
          <w:ilvl w:val="0"/>
          <w:numId w:val="0"/>
        </w:numPr>
        <w:jc w:val="both"/>
        <w:rPr>
          <w:rFonts w:hint="eastAsia"/>
        </w:rPr>
      </w:pPr>
    </w:p>
    <w:p w14:paraId="5122285D">
      <w:pPr>
        <w:widowControl w:val="0"/>
        <w:numPr>
          <w:ilvl w:val="0"/>
          <w:numId w:val="0"/>
        </w:numPr>
        <w:jc w:val="both"/>
        <w:rPr>
          <w:rFonts w:hint="eastAsia"/>
        </w:rPr>
      </w:pPr>
    </w:p>
    <w:p w14:paraId="3F399050">
      <w:pPr>
        <w:widowControl w:val="0"/>
        <w:numPr>
          <w:ilvl w:val="0"/>
          <w:numId w:val="0"/>
        </w:numPr>
        <w:jc w:val="both"/>
        <w:rPr>
          <w:rFonts w:hint="eastAsia"/>
        </w:rPr>
      </w:pPr>
    </w:p>
    <w:p w14:paraId="060C60FE">
      <w:pPr>
        <w:widowControl w:val="0"/>
        <w:numPr>
          <w:ilvl w:val="0"/>
          <w:numId w:val="0"/>
        </w:numPr>
        <w:jc w:val="both"/>
        <w:rPr>
          <w:rFonts w:hint="eastAsia"/>
        </w:rPr>
      </w:pPr>
    </w:p>
    <w:p w14:paraId="5CD94754">
      <w:pPr>
        <w:widowControl w:val="0"/>
        <w:numPr>
          <w:ilvl w:val="0"/>
          <w:numId w:val="0"/>
        </w:numPr>
        <w:jc w:val="both"/>
        <w:rPr>
          <w:rFonts w:hint="eastAsia"/>
        </w:rPr>
      </w:pPr>
    </w:p>
    <w:p w14:paraId="46C8294A">
      <w:pPr>
        <w:widowControl w:val="0"/>
        <w:numPr>
          <w:ilvl w:val="0"/>
          <w:numId w:val="0"/>
        </w:numPr>
        <w:jc w:val="both"/>
        <w:rPr>
          <w:rFonts w:hint="eastAsia"/>
        </w:rPr>
      </w:pPr>
    </w:p>
    <w:p w14:paraId="24B6CC1C">
      <w:pPr>
        <w:widowControl w:val="0"/>
        <w:numPr>
          <w:ilvl w:val="0"/>
          <w:numId w:val="0"/>
        </w:numPr>
        <w:jc w:val="both"/>
        <w:rPr>
          <w:rFonts w:hint="eastAsia"/>
        </w:rPr>
      </w:pPr>
    </w:p>
    <w:p w14:paraId="690E967D">
      <w:pPr>
        <w:widowControl w:val="0"/>
        <w:numPr>
          <w:ilvl w:val="0"/>
          <w:numId w:val="0"/>
        </w:numPr>
        <w:jc w:val="both"/>
        <w:rPr>
          <w:rFonts w:hint="eastAsia"/>
        </w:rPr>
      </w:pPr>
    </w:p>
    <w:p w14:paraId="527BDAF1">
      <w:pPr>
        <w:widowControl w:val="0"/>
        <w:numPr>
          <w:ilvl w:val="0"/>
          <w:numId w:val="0"/>
        </w:numPr>
        <w:jc w:val="both"/>
        <w:rPr>
          <w:rFonts w:hint="eastAsia"/>
        </w:rPr>
      </w:pPr>
    </w:p>
    <w:p w14:paraId="58E7905A">
      <w:pPr>
        <w:widowControl w:val="0"/>
        <w:numPr>
          <w:ilvl w:val="0"/>
          <w:numId w:val="0"/>
        </w:numPr>
        <w:jc w:val="both"/>
        <w:rPr>
          <w:rFonts w:hint="eastAsia"/>
        </w:rPr>
      </w:pPr>
    </w:p>
    <w:p w14:paraId="3B573597">
      <w:pPr>
        <w:widowControl w:val="0"/>
        <w:numPr>
          <w:ilvl w:val="0"/>
          <w:numId w:val="0"/>
        </w:numPr>
        <w:jc w:val="both"/>
        <w:rPr>
          <w:rFonts w:hint="eastAsia"/>
        </w:rPr>
      </w:pPr>
    </w:p>
    <w:p w14:paraId="3752990B">
      <w:pPr>
        <w:widowControl w:val="0"/>
        <w:numPr>
          <w:ilvl w:val="0"/>
          <w:numId w:val="0"/>
        </w:numPr>
        <w:jc w:val="both"/>
        <w:rPr>
          <w:rFonts w:hint="eastAsia"/>
        </w:rPr>
      </w:pPr>
    </w:p>
    <w:p w14:paraId="151CC5CC">
      <w:pPr>
        <w:widowControl w:val="0"/>
        <w:numPr>
          <w:ilvl w:val="0"/>
          <w:numId w:val="0"/>
        </w:numPr>
        <w:jc w:val="both"/>
        <w:rPr>
          <w:rFonts w:hint="eastAsia"/>
        </w:rPr>
      </w:pPr>
    </w:p>
    <w:p w14:paraId="4DF51569">
      <w:pPr>
        <w:widowControl w:val="0"/>
        <w:numPr>
          <w:ilvl w:val="0"/>
          <w:numId w:val="0"/>
        </w:numPr>
        <w:jc w:val="both"/>
        <w:rPr>
          <w:rFonts w:hint="eastAsia"/>
        </w:rPr>
      </w:pPr>
    </w:p>
    <w:p w14:paraId="39282153">
      <w:pPr>
        <w:widowControl w:val="0"/>
        <w:numPr>
          <w:ilvl w:val="0"/>
          <w:numId w:val="0"/>
        </w:numPr>
        <w:jc w:val="both"/>
        <w:rPr>
          <w:rFonts w:hint="eastAsia"/>
        </w:rPr>
      </w:pPr>
      <w:bookmarkStart w:id="0" w:name="_GoBack"/>
      <w:bookmarkEnd w:id="0"/>
    </w:p>
    <w:p w14:paraId="71DF730D">
      <w:pPr>
        <w:widowControl w:val="0"/>
        <w:numPr>
          <w:ilvl w:val="0"/>
          <w:numId w:val="0"/>
        </w:numPr>
        <w:jc w:val="both"/>
        <w:rPr>
          <w:rFonts w:hint="eastAsia" w:eastAsiaTheme="minorEastAsia"/>
          <w:b/>
          <w:bCs/>
          <w:lang w:eastAsia="zh-CN"/>
        </w:rPr>
      </w:pPr>
      <w:r>
        <w:rPr>
          <w:rFonts w:hint="eastAsia"/>
          <w:b/>
          <w:bCs/>
        </w:rPr>
        <w:t>References</w:t>
      </w:r>
      <w:r>
        <w:rPr>
          <w:rFonts w:hint="eastAsia"/>
          <w:b/>
          <w:bCs/>
          <w:lang w:eastAsia="zh-CN"/>
        </w:rPr>
        <w:t>：</w:t>
      </w:r>
    </w:p>
    <w:p w14:paraId="4CAFCC79">
      <w:pPr>
        <w:widowControl w:val="0"/>
        <w:numPr>
          <w:ilvl w:val="0"/>
          <w:numId w:val="0"/>
        </w:numPr>
        <w:jc w:val="both"/>
        <w:rPr>
          <w:rFonts w:hint="eastAsia"/>
        </w:rPr>
      </w:pPr>
    </w:p>
    <w:p w14:paraId="23D7E20D">
      <w:pPr>
        <w:widowControl w:val="0"/>
        <w:numPr>
          <w:ilvl w:val="0"/>
          <w:numId w:val="0"/>
        </w:numPr>
        <w:jc w:val="both"/>
        <w:rPr>
          <w:rFonts w:hint="eastAsia"/>
        </w:rPr>
      </w:pPr>
      <w:r>
        <w:rPr>
          <w:rFonts w:hint="eastAsia"/>
        </w:rPr>
        <w:t>Norman, D. A. (2013). The Design of Everyday Things. Revised edition. Basic Books.</w:t>
      </w:r>
    </w:p>
    <w:p w14:paraId="0C0BE208">
      <w:pPr>
        <w:widowControl w:val="0"/>
        <w:numPr>
          <w:ilvl w:val="0"/>
          <w:numId w:val="0"/>
        </w:numPr>
        <w:jc w:val="both"/>
        <w:rPr>
          <w:rFonts w:hint="eastAsia"/>
        </w:rPr>
      </w:pPr>
    </w:p>
    <w:p w14:paraId="000F85DB">
      <w:pPr>
        <w:widowControl w:val="0"/>
        <w:numPr>
          <w:ilvl w:val="0"/>
          <w:numId w:val="0"/>
        </w:numPr>
        <w:jc w:val="both"/>
        <w:rPr>
          <w:rFonts w:hint="eastAsia"/>
        </w:rPr>
      </w:pPr>
      <w:r>
        <w:rPr>
          <w:rFonts w:hint="eastAsia"/>
        </w:rPr>
        <w:t>Johnson, M., Bradshaw, J. M., Feltovich, P. J., et al. (2014). Coactive design. Journal of Human-Robot Interaction.</w:t>
      </w:r>
    </w:p>
    <w:p w14:paraId="5B807492">
      <w:pPr>
        <w:widowControl w:val="0"/>
        <w:numPr>
          <w:ilvl w:val="0"/>
          <w:numId w:val="0"/>
        </w:numPr>
        <w:jc w:val="both"/>
        <w:rPr>
          <w:rFonts w:hint="eastAsia"/>
        </w:rPr>
      </w:pPr>
    </w:p>
    <w:p w14:paraId="0E3F31AF">
      <w:pPr>
        <w:widowControl w:val="0"/>
        <w:numPr>
          <w:ilvl w:val="0"/>
          <w:numId w:val="0"/>
        </w:numPr>
        <w:jc w:val="both"/>
        <w:rPr>
          <w:rFonts w:hint="eastAsia"/>
        </w:rPr>
      </w:pPr>
      <w:r>
        <w:rPr>
          <w:rFonts w:hint="eastAsia"/>
        </w:rPr>
        <w:t>Nikolaidis, S., Hsu, D., &amp; Srinivasa, S. (2015). Human-robot mutual adaptation. ACM/IEEE HRI.</w:t>
      </w:r>
    </w:p>
    <w:p w14:paraId="35F4A041">
      <w:pPr>
        <w:widowControl w:val="0"/>
        <w:numPr>
          <w:ilvl w:val="0"/>
          <w:numId w:val="0"/>
        </w:numPr>
        <w:jc w:val="both"/>
        <w:rPr>
          <w:rFonts w:hint="eastAsia"/>
        </w:rPr>
      </w:pPr>
    </w:p>
    <w:p w14:paraId="0FE8D7C7">
      <w:pPr>
        <w:widowControl w:val="0"/>
        <w:numPr>
          <w:ilvl w:val="0"/>
          <w:numId w:val="0"/>
        </w:numPr>
        <w:jc w:val="both"/>
        <w:rPr>
          <w:rFonts w:hint="eastAsia"/>
        </w:rPr>
      </w:pPr>
      <w:r>
        <w:rPr>
          <w:rFonts w:hint="eastAsia"/>
        </w:rPr>
        <w:t>Raffik, R., Sathya, R. R., Vaishali, V., Balavedhaa, S. &amp; Jyothi Lakshmi, N. (2023). Industry 5.0: Enhancing human–robot collaboration through collaborative robots – a review. In Proceedings of the 2023 2nd International Conference on Advancements in Electrical, Electronics, Communication, Computing and Automation (ICAECA) (pp. 1–6). IEEE.</w:t>
      </w:r>
    </w:p>
    <w:p w14:paraId="63E66632">
      <w:pPr>
        <w:widowControl w:val="0"/>
        <w:numPr>
          <w:ilvl w:val="0"/>
          <w:numId w:val="0"/>
        </w:numPr>
        <w:jc w:val="both"/>
        <w:rPr>
          <w:rFonts w:hint="eastAsia"/>
        </w:rPr>
      </w:pPr>
    </w:p>
    <w:p w14:paraId="7E9F8C0C">
      <w:pPr>
        <w:widowControl w:val="0"/>
        <w:numPr>
          <w:ilvl w:val="0"/>
          <w:numId w:val="0"/>
        </w:numPr>
        <w:jc w:val="both"/>
        <w:rPr>
          <w:rFonts w:hint="eastAsia"/>
        </w:rPr>
      </w:pPr>
      <w:r>
        <w:rPr>
          <w:rFonts w:hint="eastAsia"/>
        </w:rPr>
        <w:t>Hwang, S. &amp; Lee, D. (2025). Physiological evaluation of user experience in unstable automated driving: A comparative study. Applied Sciences, 15(1), Article xx.</w:t>
      </w:r>
    </w:p>
    <w:p w14:paraId="167A9259">
      <w:pPr>
        <w:widowControl w:val="0"/>
        <w:numPr>
          <w:ilvl w:val="0"/>
          <w:numId w:val="0"/>
        </w:numPr>
        <w:jc w:val="both"/>
        <w:rPr>
          <w:rFonts w:hint="eastAsia"/>
        </w:rPr>
      </w:pPr>
    </w:p>
    <w:p w14:paraId="6E6CC4DB">
      <w:pPr>
        <w:widowControl w:val="0"/>
        <w:numPr>
          <w:ilvl w:val="0"/>
          <w:numId w:val="0"/>
        </w:numPr>
        <w:jc w:val="both"/>
        <w:rPr>
          <w:rFonts w:hint="eastAsia"/>
        </w:rPr>
      </w:pPr>
      <w:r>
        <w:rPr>
          <w:rFonts w:hint="eastAsia"/>
        </w:rPr>
        <w:t>Bensch, L. et al. (2024). Human-in/on-the-loop AI: Enabling human controllability and decision-making in spaceflight. In [Book Title] (pp. xx–xx). [Publisher].</w:t>
      </w:r>
    </w:p>
    <w:p w14:paraId="550A6F47">
      <w:pPr>
        <w:widowControl w:val="0"/>
        <w:numPr>
          <w:ilvl w:val="0"/>
          <w:numId w:val="0"/>
        </w:numPr>
        <w:jc w:val="both"/>
        <w:rPr>
          <w:rFonts w:hint="eastAsia"/>
        </w:rPr>
      </w:pPr>
    </w:p>
    <w:p w14:paraId="54110CA7">
      <w:pPr>
        <w:widowControl w:val="0"/>
        <w:numPr>
          <w:ilvl w:val="0"/>
          <w:numId w:val="0"/>
        </w:numPr>
        <w:jc w:val="both"/>
        <w:rPr>
          <w:rFonts w:hint="eastAsia"/>
        </w:rPr>
      </w:pPr>
      <w:r>
        <w:rPr>
          <w:rFonts w:hint="eastAsia"/>
        </w:rPr>
        <w:t>Tatasciore, M., Strickland, L. &amp; Loft, S. (2024). Transparency improves the accuracy of automation use, but automation confidence information does not. Cognitive Research: Principles and Implications, 9(1), Article 21.</w:t>
      </w:r>
    </w:p>
    <w:p w14:paraId="2A9A656A">
      <w:pPr>
        <w:widowControl w:val="0"/>
        <w:numPr>
          <w:ilvl w:val="0"/>
          <w:numId w:val="0"/>
        </w:numPr>
        <w:jc w:val="both"/>
        <w:rPr>
          <w:rFonts w:hint="eastAsia"/>
        </w:rPr>
      </w:pPr>
    </w:p>
    <w:p w14:paraId="4E3827F6">
      <w:pPr>
        <w:widowControl w:val="0"/>
        <w:numPr>
          <w:ilvl w:val="0"/>
          <w:numId w:val="0"/>
        </w:numPr>
        <w:jc w:val="both"/>
        <w:rPr>
          <w:rFonts w:hint="eastAsia"/>
        </w:rPr>
      </w:pPr>
      <w:r>
        <w:rPr>
          <w:rFonts w:hint="eastAsia"/>
        </w:rPr>
        <w:t>Patton, Clegg, Davis, Caglar, Siebert &amp; Blanchard (2025). The choice to use automation: Improvements from evidence accumulation. International Journal of Human–Computer Interaction.</w:t>
      </w:r>
    </w:p>
    <w:p w14:paraId="0F113E2B">
      <w:pPr>
        <w:widowControl w:val="0"/>
        <w:numPr>
          <w:ilvl w:val="0"/>
          <w:numId w:val="0"/>
        </w:numPr>
        <w:jc w:val="both"/>
        <w:rPr>
          <w:rFonts w:hint="eastAsia"/>
        </w:rPr>
      </w:pPr>
    </w:p>
    <w:p w14:paraId="3A977C9C">
      <w:pPr>
        <w:widowControl w:val="0"/>
        <w:numPr>
          <w:ilvl w:val="0"/>
          <w:numId w:val="0"/>
        </w:numPr>
        <w:jc w:val="both"/>
        <w:rPr>
          <w:rFonts w:hint="eastAsia"/>
        </w:rPr>
      </w:pPr>
      <w:r>
        <w:rPr>
          <w:rFonts w:hint="eastAsia"/>
        </w:rPr>
        <w:t>Author, A., Author, B. &amp; Author, C. (Year). Title of the article. Title of Journal, volume(issue), page–page.</w:t>
      </w:r>
    </w:p>
    <w:p w14:paraId="11B04CA2">
      <w:pPr>
        <w:widowControl w:val="0"/>
        <w:numPr>
          <w:ilvl w:val="0"/>
          <w:numId w:val="0"/>
        </w:numPr>
        <w:jc w:val="both"/>
        <w:rPr>
          <w:rFonts w:hint="eastAsia"/>
        </w:rPr>
      </w:pPr>
    </w:p>
    <w:p w14:paraId="30E1D3DC">
      <w:pPr>
        <w:widowControl w:val="0"/>
        <w:numPr>
          <w:ilvl w:val="0"/>
          <w:numId w:val="0"/>
        </w:numPr>
        <w:jc w:val="both"/>
        <w:rPr>
          <w:rFonts w:hint="eastAsia"/>
        </w:rPr>
      </w:pPr>
      <w:r>
        <w:rPr>
          <w:rFonts w:hint="eastAsia"/>
        </w:rPr>
        <w:t>Dzindolet, M. T., Peterson, S. A., Pomranky, R. A., Pierce, L. G. &amp; Beck, H. P. (2003). The role of trust in automation reliance. International Journal of Human–Computer Studies, 58(6), 697–718.</w:t>
      </w:r>
    </w:p>
    <w:p w14:paraId="4ABCE10F">
      <w:pPr>
        <w:widowControl w:val="0"/>
        <w:numPr>
          <w:ilvl w:val="0"/>
          <w:numId w:val="0"/>
        </w:numPr>
        <w:jc w:val="both"/>
        <w:rPr>
          <w:rFonts w:hint="eastAsia"/>
        </w:rPr>
      </w:pPr>
    </w:p>
    <w:p w14:paraId="70F266C8">
      <w:pPr>
        <w:widowControl w:val="0"/>
        <w:numPr>
          <w:ilvl w:val="0"/>
          <w:numId w:val="0"/>
        </w:numPr>
        <w:jc w:val="both"/>
        <w:rPr>
          <w:rFonts w:hint="eastAsia"/>
        </w:rPr>
      </w:pPr>
      <w:r>
        <w:rPr>
          <w:rFonts w:hint="eastAsia"/>
        </w:rPr>
        <w:t>Erden, M. S. (2020). Social robotics and engineering students: Do they match? Does culture matter? International Journal of Social Robotics, 12(3), 573–583.</w:t>
      </w:r>
    </w:p>
    <w:p w14:paraId="72B18339">
      <w:pPr>
        <w:widowControl w:val="0"/>
        <w:numPr>
          <w:ilvl w:val="0"/>
          <w:numId w:val="0"/>
        </w:numPr>
        <w:jc w:val="both"/>
        <w:rPr>
          <w:rFonts w:hint="eastAsia"/>
        </w:rPr>
      </w:pPr>
    </w:p>
    <w:p w14:paraId="200D61EA">
      <w:pPr>
        <w:widowControl w:val="0"/>
        <w:numPr>
          <w:ilvl w:val="0"/>
          <w:numId w:val="0"/>
        </w:numPr>
        <w:jc w:val="both"/>
        <w:rPr>
          <w:rFonts w:hint="eastAsia"/>
        </w:rPr>
      </w:pPr>
      <w:r>
        <w:rPr>
          <w:rFonts w:hint="eastAsia"/>
        </w:rPr>
        <w:t>Klapperich, H., Uhde, A. &amp; Hassenzahl, M. (2020). Designing everyday automation with well-being in mind. Personal and Ubiquitous Computing, 24, 843–856.</w:t>
      </w:r>
    </w:p>
    <w:p w14:paraId="2A646FFC">
      <w:pPr>
        <w:widowControl w:val="0"/>
        <w:numPr>
          <w:ilvl w:val="0"/>
          <w:numId w:val="0"/>
        </w:numPr>
        <w:jc w:val="both"/>
        <w:rPr>
          <w:rFonts w:hint="eastAsia"/>
        </w:rPr>
      </w:pPr>
    </w:p>
    <w:p w14:paraId="1E7E39FC">
      <w:pPr>
        <w:widowControl w:val="0"/>
        <w:numPr>
          <w:ilvl w:val="0"/>
          <w:numId w:val="0"/>
        </w:numPr>
        <w:jc w:val="both"/>
        <w:rPr>
          <w:rFonts w:hint="eastAsia"/>
        </w:rPr>
      </w:pPr>
      <w:r>
        <w:rPr>
          <w:rFonts w:hint="eastAsia"/>
        </w:rPr>
        <w:t>Endsley, M. R. (2017). Autonomous driving systems: A preliminary naturalistic study of the Tesla Model S. Journal of Cognitive Engineering and Decision Making, 11(3), 225–238.</w:t>
      </w:r>
    </w:p>
    <w:p w14:paraId="5B028B10">
      <w:pPr>
        <w:widowControl w:val="0"/>
        <w:numPr>
          <w:ilvl w:val="0"/>
          <w:numId w:val="0"/>
        </w:numPr>
        <w:jc w:val="both"/>
        <w:rPr>
          <w:rFonts w:hint="eastAsia"/>
        </w:rPr>
      </w:pPr>
    </w:p>
    <w:p w14:paraId="6632BB02">
      <w:pPr>
        <w:widowControl w:val="0"/>
        <w:numPr>
          <w:ilvl w:val="0"/>
          <w:numId w:val="0"/>
        </w:numPr>
        <w:jc w:val="both"/>
        <w:rPr>
          <w:rFonts w:hint="eastAsia"/>
        </w:rPr>
      </w:pPr>
      <w:r>
        <w:rPr>
          <w:rFonts w:hint="eastAsia"/>
        </w:rPr>
        <w:t>Schwarz, N. &amp; Sudman, S. (1992). Context Effects in Attitude Surveys. New York: Springer-Verlag.</w:t>
      </w:r>
    </w:p>
    <w:p w14:paraId="5A77F04B">
      <w:pPr>
        <w:widowControl w:val="0"/>
        <w:numPr>
          <w:ilvl w:val="0"/>
          <w:numId w:val="0"/>
        </w:numPr>
        <w:jc w:val="both"/>
        <w:rPr>
          <w:rFonts w:hint="eastAsia"/>
        </w:rPr>
      </w:pPr>
    </w:p>
    <w:p w14:paraId="42C964B1">
      <w:pPr>
        <w:widowControl w:val="0"/>
        <w:numPr>
          <w:ilvl w:val="0"/>
          <w:numId w:val="0"/>
        </w:numPr>
        <w:jc w:val="both"/>
        <w:rPr>
          <w:rFonts w:hint="eastAsia"/>
        </w:rPr>
      </w:pPr>
      <w:r>
        <w:rPr>
          <w:rFonts w:hint="eastAsia"/>
        </w:rPr>
        <w:t>Schwarz, N. (1999). Self-reports: How the questions shape the answers. American Psychologist, 54(2), 93–105.</w:t>
      </w:r>
    </w:p>
    <w:p w14:paraId="2418F7A4">
      <w:pPr>
        <w:widowControl w:val="0"/>
        <w:numPr>
          <w:ilvl w:val="0"/>
          <w:numId w:val="0"/>
        </w:numPr>
        <w:jc w:val="both"/>
        <w:rPr>
          <w:rFonts w:hint="eastAsia"/>
        </w:rPr>
      </w:pPr>
    </w:p>
    <w:p w14:paraId="711AD75D">
      <w:pPr>
        <w:widowControl w:val="0"/>
        <w:numPr>
          <w:ilvl w:val="0"/>
          <w:numId w:val="0"/>
        </w:numPr>
        <w:jc w:val="both"/>
        <w:rPr>
          <w:rFonts w:hint="eastAsia"/>
        </w:rPr>
      </w:pPr>
      <w:r>
        <w:rPr>
          <w:rFonts w:hint="eastAsia"/>
        </w:rPr>
        <w:t>Bergen, N. &amp; Labonté, R. (2020). “Everything is perfect, and we have no problems”: Detecting and limiting social desirability bias in qualitative research. Qualitative Health Research, 30(5), 783–792.</w:t>
      </w:r>
    </w:p>
    <w:p w14:paraId="3F29A908">
      <w:pPr>
        <w:widowControl w:val="0"/>
        <w:numPr>
          <w:ilvl w:val="0"/>
          <w:numId w:val="0"/>
        </w:numPr>
        <w:jc w:val="both"/>
        <w:rPr>
          <w:rFonts w:hint="eastAsia"/>
        </w:rPr>
      </w:pPr>
    </w:p>
    <w:p w14:paraId="5B436456">
      <w:pPr>
        <w:widowControl w:val="0"/>
        <w:numPr>
          <w:ilvl w:val="0"/>
          <w:numId w:val="0"/>
        </w:numPr>
        <w:jc w:val="both"/>
        <w:rPr>
          <w:rFonts w:hint="eastAsia"/>
        </w:rPr>
      </w:pPr>
      <w:r>
        <w:rPr>
          <w:rFonts w:hint="eastAsia"/>
        </w:rPr>
        <w:t>Endsley, M. R. (2017). Autonomous driving systems: A preliminary naturalistic study of the Tesla Model S. Journal of Cognitive Engineering and Decision Making, 11(3), 225–238.</w:t>
      </w:r>
    </w:p>
    <w:p w14:paraId="11B61B90">
      <w:pPr>
        <w:widowControl w:val="0"/>
        <w:numPr>
          <w:ilvl w:val="0"/>
          <w:numId w:val="0"/>
        </w:numPr>
        <w:jc w:val="both"/>
        <w:rPr>
          <w:rFonts w:hint="eastAsia"/>
        </w:rPr>
      </w:pPr>
    </w:p>
    <w:p w14:paraId="09DEF51B">
      <w:pPr>
        <w:widowControl w:val="0"/>
        <w:numPr>
          <w:ilvl w:val="0"/>
          <w:numId w:val="0"/>
        </w:numPr>
        <w:jc w:val="both"/>
        <w:rPr>
          <w:rFonts w:hint="eastAsia"/>
        </w:rPr>
      </w:pPr>
      <w:r>
        <w:rPr>
          <w:rFonts w:hint="eastAsia"/>
        </w:rPr>
        <w:t>Pedroza-Santiago, A., Quiroz-Ibarra, E., Bojorges-Valdez, E. &amp; Padilla-Castañeda, M. A. (2025). Comparison of manual, automatic, and voice control in wheelchair navigation simulation in virtual environments: Performance evaluation of user and motion sickness. Sensors, 25(1), Article xx.</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B77F43B"/>
    <w:multiLevelType w:val="singleLevel"/>
    <w:tmpl w:val="DB77F43B"/>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5343A7"/>
    <w:rsid w:val="09927A92"/>
    <w:rsid w:val="31E71DFA"/>
    <w:rsid w:val="36A31208"/>
    <w:rsid w:val="44A92F3F"/>
    <w:rsid w:val="4A1B668D"/>
    <w:rsid w:val="4A697C01"/>
    <w:rsid w:val="555343A7"/>
    <w:rsid w:val="5CE768A3"/>
    <w:rsid w:val="5D574199"/>
    <w:rsid w:val="65BD5DA5"/>
    <w:rsid w:val="667C4500"/>
    <w:rsid w:val="6EFF7A7C"/>
    <w:rsid w:val="74FD4A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4571</Words>
  <Characters>28336</Characters>
  <Lines>0</Lines>
  <Paragraphs>0</Paragraphs>
  <TotalTime>195</TotalTime>
  <ScaleCrop>false</ScaleCrop>
  <LinksUpToDate>false</LinksUpToDate>
  <CharactersWithSpaces>32859</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2025-12-09T19:28:00Z</dcterms:created>
  <dc:creator>lz </dc:creator>
  <cp:lastModifiedBy>lz </cp:lastModifiedBy>
  <dcterms:modified xsi:type="dcterms:W3CDTF">2025-12-10T11:59:32Z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FF3D47528CF240CBA02D38EF9086C85D_11</vt:lpwstr>
  </property>
  <property fmtid="{D5CDD505-2E9C-101B-9397-08002B2CF9AE}" pid="4" name="KSOTemplateDocerSaveRecord">
    <vt:lpwstr>eyJoZGlkIjoiZTMwOWU4YzUwYTY5NTNmY2Y3ZjZiMGMyNzhjYzM1NjAiLCJ1c2VySWQiOiIzNTEzOTExMDkifQ==</vt:lpwstr>
  </property>
</Properties>
</file>