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8C83A54" w:rsidR="00621222" w:rsidRDefault="4D69C36E" w:rsidP="73549EAC">
      <w:pPr>
        <w:spacing w:line="360" w:lineRule="auto"/>
        <w:rPr>
          <w:rFonts w:ascii="Arial" w:eastAsia="Arial" w:hAnsi="Arial" w:cs="Arial"/>
          <w:sz w:val="22"/>
          <w:szCs w:val="22"/>
        </w:rPr>
      </w:pPr>
      <w:r w:rsidRPr="73549EAC">
        <w:rPr>
          <w:rFonts w:ascii="Arial" w:eastAsia="Arial" w:hAnsi="Arial" w:cs="Arial"/>
          <w:sz w:val="22"/>
          <w:szCs w:val="22"/>
        </w:rPr>
        <w:t>Student name: Abdul Majid</w:t>
      </w:r>
    </w:p>
    <w:p w14:paraId="1FFDC22F" w14:textId="0B0B55C1" w:rsidR="4D69C36E" w:rsidRDefault="4D69C36E" w:rsidP="73549EAC">
      <w:pPr>
        <w:spacing w:line="360" w:lineRule="auto"/>
        <w:rPr>
          <w:rFonts w:ascii="Arial" w:eastAsia="Arial" w:hAnsi="Arial" w:cs="Arial"/>
          <w:sz w:val="22"/>
          <w:szCs w:val="22"/>
        </w:rPr>
      </w:pPr>
      <w:r w:rsidRPr="73549EAC">
        <w:rPr>
          <w:rFonts w:ascii="Arial" w:eastAsia="Arial" w:hAnsi="Arial" w:cs="Arial"/>
          <w:sz w:val="22"/>
          <w:szCs w:val="22"/>
        </w:rPr>
        <w:t>Student ID number: 2520511</w:t>
      </w:r>
    </w:p>
    <w:p w14:paraId="7340C138" w14:textId="3F3D886A" w:rsidR="2085E814" w:rsidRDefault="2085E814" w:rsidP="73549EAC">
      <w:pPr>
        <w:spacing w:line="360" w:lineRule="auto"/>
        <w:rPr>
          <w:rFonts w:ascii="Arial" w:eastAsia="Arial" w:hAnsi="Arial" w:cs="Arial"/>
          <w:sz w:val="22"/>
          <w:szCs w:val="22"/>
        </w:rPr>
      </w:pPr>
      <w:r w:rsidRPr="73549EAC">
        <w:rPr>
          <w:rFonts w:ascii="Arial" w:eastAsia="Arial" w:hAnsi="Arial" w:cs="Arial"/>
          <w:sz w:val="22"/>
          <w:szCs w:val="22"/>
        </w:rPr>
        <w:t>Module: Introduction to Health and Social Care</w:t>
      </w:r>
    </w:p>
    <w:p w14:paraId="438BFF04" w14:textId="5350F8A4" w:rsidR="2085E814" w:rsidRDefault="2085E814" w:rsidP="73549EAC">
      <w:pPr>
        <w:spacing w:line="360" w:lineRule="auto"/>
        <w:rPr>
          <w:rFonts w:ascii="Arial" w:eastAsia="Arial" w:hAnsi="Arial" w:cs="Arial"/>
          <w:sz w:val="22"/>
          <w:szCs w:val="22"/>
        </w:rPr>
      </w:pPr>
      <w:r w:rsidRPr="73549EAC">
        <w:rPr>
          <w:rFonts w:ascii="Arial" w:eastAsia="Arial" w:hAnsi="Arial" w:cs="Arial"/>
          <w:sz w:val="22"/>
          <w:szCs w:val="22"/>
        </w:rPr>
        <w:t>Module code: LCHS4003</w:t>
      </w:r>
    </w:p>
    <w:p w14:paraId="78A6AB62" w14:textId="0B1666EA" w:rsidR="2085E814" w:rsidRDefault="2085E814" w:rsidP="73549EAC">
      <w:pPr>
        <w:spacing w:line="360" w:lineRule="auto"/>
        <w:rPr>
          <w:rFonts w:ascii="Arial" w:eastAsia="Arial" w:hAnsi="Arial" w:cs="Arial"/>
          <w:sz w:val="22"/>
          <w:szCs w:val="22"/>
        </w:rPr>
      </w:pPr>
      <w:r w:rsidRPr="73549EAC">
        <w:rPr>
          <w:rFonts w:ascii="Arial" w:eastAsia="Arial" w:hAnsi="Arial" w:cs="Arial"/>
          <w:sz w:val="22"/>
          <w:szCs w:val="22"/>
        </w:rPr>
        <w:t xml:space="preserve">Lecturer: </w:t>
      </w:r>
      <w:r w:rsidRPr="73549EAC">
        <w:rPr>
          <w:rFonts w:ascii="Arial" w:eastAsia="Arial" w:hAnsi="Arial" w:cs="Arial"/>
          <w:color w:val="242130"/>
          <w:sz w:val="22"/>
          <w:szCs w:val="22"/>
        </w:rPr>
        <w:t>Vivian Osuchukwu</w:t>
      </w:r>
    </w:p>
    <w:p w14:paraId="32E1166A" w14:textId="74AA0DD6" w:rsidR="73549EAC" w:rsidRDefault="73549EAC" w:rsidP="73549EAC">
      <w:pPr>
        <w:spacing w:line="360" w:lineRule="auto"/>
        <w:rPr>
          <w:rFonts w:ascii="Arial" w:eastAsia="Arial" w:hAnsi="Arial" w:cs="Arial"/>
          <w:color w:val="242130"/>
          <w:sz w:val="22"/>
          <w:szCs w:val="22"/>
        </w:rPr>
      </w:pPr>
    </w:p>
    <w:p w14:paraId="060F005F" w14:textId="4F00FD43" w:rsidR="73549EAC" w:rsidRDefault="73549EAC" w:rsidP="73549EAC">
      <w:pPr>
        <w:spacing w:line="360" w:lineRule="auto"/>
        <w:rPr>
          <w:rFonts w:ascii="Arial" w:eastAsia="Arial" w:hAnsi="Arial" w:cs="Arial"/>
          <w:color w:val="242130"/>
          <w:sz w:val="22"/>
          <w:szCs w:val="22"/>
        </w:rPr>
      </w:pPr>
    </w:p>
    <w:p w14:paraId="7F178A4C" w14:textId="457F30B6" w:rsidR="73549EAC" w:rsidRDefault="73549EAC" w:rsidP="73549EAC">
      <w:pPr>
        <w:spacing w:line="360" w:lineRule="auto"/>
        <w:rPr>
          <w:rFonts w:ascii="Arial" w:eastAsia="Arial" w:hAnsi="Arial" w:cs="Arial"/>
          <w:color w:val="242130"/>
          <w:sz w:val="22"/>
          <w:szCs w:val="22"/>
        </w:rPr>
      </w:pPr>
    </w:p>
    <w:p w14:paraId="1719F2FD" w14:textId="7411A16D" w:rsidR="73549EAC" w:rsidRDefault="73549EAC" w:rsidP="73549EAC">
      <w:pPr>
        <w:spacing w:line="360" w:lineRule="auto"/>
        <w:rPr>
          <w:rFonts w:ascii="Arial" w:eastAsia="Arial" w:hAnsi="Arial" w:cs="Arial"/>
          <w:color w:val="242130"/>
          <w:sz w:val="22"/>
          <w:szCs w:val="22"/>
        </w:rPr>
      </w:pPr>
    </w:p>
    <w:p w14:paraId="076228C2" w14:textId="5739F001" w:rsidR="73549EAC" w:rsidRDefault="73549EAC" w:rsidP="73549EAC">
      <w:pPr>
        <w:spacing w:line="360" w:lineRule="auto"/>
        <w:rPr>
          <w:rFonts w:ascii="Arial" w:eastAsia="Arial" w:hAnsi="Arial" w:cs="Arial"/>
          <w:color w:val="242130"/>
          <w:sz w:val="22"/>
          <w:szCs w:val="22"/>
        </w:rPr>
      </w:pPr>
    </w:p>
    <w:p w14:paraId="43884C6E" w14:textId="204CE602" w:rsidR="73549EAC" w:rsidRDefault="73549EAC" w:rsidP="73549EAC">
      <w:pPr>
        <w:spacing w:line="360" w:lineRule="auto"/>
        <w:rPr>
          <w:rFonts w:ascii="Arial" w:eastAsia="Arial" w:hAnsi="Arial" w:cs="Arial"/>
          <w:color w:val="242130"/>
          <w:sz w:val="22"/>
          <w:szCs w:val="22"/>
        </w:rPr>
      </w:pPr>
    </w:p>
    <w:p w14:paraId="00B43740" w14:textId="1DD9EACA" w:rsidR="73549EAC" w:rsidRDefault="73549EAC" w:rsidP="73549EAC">
      <w:pPr>
        <w:spacing w:line="360" w:lineRule="auto"/>
        <w:rPr>
          <w:rFonts w:ascii="Arial" w:eastAsia="Arial" w:hAnsi="Arial" w:cs="Arial"/>
          <w:color w:val="242130"/>
          <w:sz w:val="22"/>
          <w:szCs w:val="22"/>
        </w:rPr>
      </w:pPr>
    </w:p>
    <w:p w14:paraId="437CB2E7" w14:textId="7D57F172" w:rsidR="73549EAC" w:rsidRDefault="73549EAC" w:rsidP="73549EAC">
      <w:pPr>
        <w:spacing w:line="360" w:lineRule="auto"/>
        <w:rPr>
          <w:rFonts w:ascii="Arial" w:eastAsia="Arial" w:hAnsi="Arial" w:cs="Arial"/>
          <w:color w:val="242130"/>
          <w:sz w:val="22"/>
          <w:szCs w:val="22"/>
        </w:rPr>
      </w:pPr>
    </w:p>
    <w:p w14:paraId="321FFFC8" w14:textId="1D6CAFDC" w:rsidR="73549EAC" w:rsidRDefault="73549EAC" w:rsidP="73549EAC">
      <w:pPr>
        <w:spacing w:line="360" w:lineRule="auto"/>
        <w:rPr>
          <w:rFonts w:ascii="Arial" w:eastAsia="Arial" w:hAnsi="Arial" w:cs="Arial"/>
          <w:color w:val="242130"/>
          <w:sz w:val="22"/>
          <w:szCs w:val="22"/>
        </w:rPr>
      </w:pPr>
    </w:p>
    <w:p w14:paraId="7F52B00F" w14:textId="6BDF3CFA" w:rsidR="73549EAC" w:rsidRDefault="73549EAC" w:rsidP="73549EAC">
      <w:pPr>
        <w:spacing w:line="360" w:lineRule="auto"/>
        <w:rPr>
          <w:rFonts w:ascii="Arial" w:eastAsia="Arial" w:hAnsi="Arial" w:cs="Arial"/>
          <w:color w:val="242130"/>
          <w:sz w:val="22"/>
          <w:szCs w:val="22"/>
        </w:rPr>
      </w:pPr>
    </w:p>
    <w:p w14:paraId="16575050" w14:textId="7A336BF0" w:rsidR="73549EAC" w:rsidRDefault="73549EAC" w:rsidP="73549EAC">
      <w:pPr>
        <w:spacing w:line="360" w:lineRule="auto"/>
        <w:rPr>
          <w:rFonts w:ascii="Arial" w:eastAsia="Arial" w:hAnsi="Arial" w:cs="Arial"/>
          <w:color w:val="242130"/>
          <w:sz w:val="22"/>
          <w:szCs w:val="22"/>
        </w:rPr>
      </w:pPr>
    </w:p>
    <w:p w14:paraId="1C338E79" w14:textId="7D3C2571" w:rsidR="73549EAC" w:rsidRDefault="73549EAC" w:rsidP="73549EAC">
      <w:pPr>
        <w:spacing w:line="360" w:lineRule="auto"/>
        <w:rPr>
          <w:rFonts w:ascii="Arial" w:eastAsia="Arial" w:hAnsi="Arial" w:cs="Arial"/>
          <w:color w:val="242130"/>
          <w:sz w:val="22"/>
          <w:szCs w:val="22"/>
        </w:rPr>
      </w:pPr>
    </w:p>
    <w:p w14:paraId="0CC56604" w14:textId="62D54DA0" w:rsidR="73549EAC" w:rsidRDefault="73549EAC" w:rsidP="73549EAC">
      <w:pPr>
        <w:spacing w:line="360" w:lineRule="auto"/>
        <w:rPr>
          <w:rFonts w:ascii="Arial" w:eastAsia="Arial" w:hAnsi="Arial" w:cs="Arial"/>
          <w:color w:val="242130"/>
          <w:sz w:val="22"/>
          <w:szCs w:val="22"/>
        </w:rPr>
      </w:pPr>
    </w:p>
    <w:p w14:paraId="1D9FFC81" w14:textId="1D0F834B" w:rsidR="73549EAC" w:rsidRDefault="73549EAC" w:rsidP="73549EAC">
      <w:pPr>
        <w:spacing w:line="360" w:lineRule="auto"/>
        <w:rPr>
          <w:rFonts w:ascii="Arial" w:eastAsia="Arial" w:hAnsi="Arial" w:cs="Arial"/>
          <w:color w:val="242130"/>
          <w:sz w:val="22"/>
          <w:szCs w:val="22"/>
        </w:rPr>
      </w:pPr>
    </w:p>
    <w:p w14:paraId="59C931AE" w14:textId="5A0F0C3C" w:rsidR="73549EAC" w:rsidRDefault="73549EAC" w:rsidP="73549EAC">
      <w:pPr>
        <w:spacing w:line="360" w:lineRule="auto"/>
        <w:rPr>
          <w:rFonts w:ascii="Arial" w:eastAsia="Arial" w:hAnsi="Arial" w:cs="Arial"/>
          <w:color w:val="242130"/>
          <w:sz w:val="22"/>
          <w:szCs w:val="22"/>
        </w:rPr>
      </w:pPr>
    </w:p>
    <w:p w14:paraId="52305752" w14:textId="50EDE645" w:rsidR="73549EAC" w:rsidRDefault="73549EAC" w:rsidP="73549EAC">
      <w:pPr>
        <w:spacing w:line="360" w:lineRule="auto"/>
        <w:rPr>
          <w:rFonts w:ascii="Arial" w:eastAsia="Arial" w:hAnsi="Arial" w:cs="Arial"/>
          <w:color w:val="242130"/>
          <w:sz w:val="22"/>
          <w:szCs w:val="22"/>
        </w:rPr>
      </w:pPr>
    </w:p>
    <w:p w14:paraId="4A35C5F7" w14:textId="71C25D14" w:rsidR="73549EAC" w:rsidRDefault="73549EAC" w:rsidP="73549EAC">
      <w:pPr>
        <w:spacing w:line="360" w:lineRule="auto"/>
        <w:rPr>
          <w:rFonts w:ascii="Arial" w:eastAsia="Arial" w:hAnsi="Arial" w:cs="Arial"/>
          <w:color w:val="242130"/>
          <w:sz w:val="22"/>
          <w:szCs w:val="22"/>
        </w:rPr>
      </w:pPr>
    </w:p>
    <w:p w14:paraId="042B9DFC" w14:textId="5C694C15" w:rsidR="73549EAC" w:rsidRDefault="73549EAC" w:rsidP="73549EAC">
      <w:pPr>
        <w:spacing w:line="360" w:lineRule="auto"/>
        <w:rPr>
          <w:rFonts w:ascii="Arial" w:eastAsia="Arial" w:hAnsi="Arial" w:cs="Arial"/>
          <w:color w:val="242130"/>
          <w:sz w:val="22"/>
          <w:szCs w:val="22"/>
        </w:rPr>
      </w:pPr>
    </w:p>
    <w:p w14:paraId="2EE366FD" w14:textId="6E67EE9A" w:rsidR="73549EAC" w:rsidRDefault="73549EAC" w:rsidP="73549EAC">
      <w:pPr>
        <w:spacing w:line="360" w:lineRule="auto"/>
        <w:rPr>
          <w:rFonts w:ascii="Arial" w:eastAsia="Arial" w:hAnsi="Arial" w:cs="Arial"/>
          <w:color w:val="242130"/>
          <w:sz w:val="22"/>
          <w:szCs w:val="22"/>
        </w:rPr>
      </w:pPr>
    </w:p>
    <w:p w14:paraId="7D39D1BD" w14:textId="5AB359E2" w:rsidR="73549EAC" w:rsidRDefault="73549EAC" w:rsidP="73549EAC">
      <w:pPr>
        <w:spacing w:line="360" w:lineRule="auto"/>
        <w:rPr>
          <w:rFonts w:ascii="Arial" w:eastAsia="Arial" w:hAnsi="Arial" w:cs="Arial"/>
          <w:color w:val="242130"/>
          <w:sz w:val="22"/>
          <w:szCs w:val="22"/>
        </w:rPr>
      </w:pPr>
    </w:p>
    <w:p w14:paraId="243D2461" w14:textId="28EB1EF0" w:rsidR="73549EAC" w:rsidRDefault="73549EAC" w:rsidP="73549EAC">
      <w:pPr>
        <w:spacing w:line="360" w:lineRule="auto"/>
        <w:rPr>
          <w:rFonts w:ascii="Arial" w:eastAsia="Arial" w:hAnsi="Arial" w:cs="Arial"/>
          <w:color w:val="242130"/>
          <w:sz w:val="22"/>
          <w:szCs w:val="22"/>
        </w:rPr>
      </w:pPr>
    </w:p>
    <w:p w14:paraId="414761FB" w14:textId="4E05461E" w:rsidR="73549EAC" w:rsidRDefault="73549EAC" w:rsidP="73549EAC">
      <w:pPr>
        <w:spacing w:line="360" w:lineRule="auto"/>
        <w:rPr>
          <w:rFonts w:ascii="Arial" w:eastAsia="Arial" w:hAnsi="Arial" w:cs="Arial"/>
          <w:color w:val="242130"/>
          <w:sz w:val="22"/>
          <w:szCs w:val="22"/>
        </w:rPr>
      </w:pPr>
    </w:p>
    <w:p w14:paraId="2F359DA8" w14:textId="40FB2605" w:rsidR="02C1BE90" w:rsidRDefault="02C1BE90" w:rsidP="73549EAC">
      <w:pPr>
        <w:spacing w:line="360" w:lineRule="auto"/>
      </w:pPr>
      <w:r w:rsidRPr="73549EAC">
        <w:rPr>
          <w:rFonts w:ascii="Arial" w:eastAsia="Arial" w:hAnsi="Arial" w:cs="Arial"/>
          <w:b/>
          <w:bCs/>
          <w:color w:val="242130"/>
          <w:sz w:val="22"/>
          <w:szCs w:val="22"/>
        </w:rPr>
        <w:t>Introduction</w:t>
      </w:r>
    </w:p>
    <w:p w14:paraId="74FEBA3F" w14:textId="472D98F1" w:rsidR="02C1BE90" w:rsidRDefault="02C1BE90" w:rsidP="73549EAC">
      <w:pPr>
        <w:spacing w:line="360" w:lineRule="auto"/>
      </w:pPr>
      <w:r w:rsidRPr="73549EAC">
        <w:rPr>
          <w:rFonts w:ascii="Arial" w:eastAsia="Arial" w:hAnsi="Arial" w:cs="Arial"/>
          <w:color w:val="242130"/>
          <w:sz w:val="22"/>
          <w:szCs w:val="22"/>
        </w:rPr>
        <w:t>Safe and person-</w:t>
      </w:r>
      <w:r w:rsidR="2E5F756F" w:rsidRPr="73549EAC">
        <w:rPr>
          <w:rFonts w:ascii="Arial" w:eastAsia="Arial" w:hAnsi="Arial" w:cs="Arial"/>
          <w:color w:val="242130"/>
          <w:sz w:val="22"/>
          <w:szCs w:val="22"/>
        </w:rPr>
        <w:t>cantered</w:t>
      </w:r>
      <w:r w:rsidRPr="73549EAC">
        <w:rPr>
          <w:rFonts w:ascii="Arial" w:eastAsia="Arial" w:hAnsi="Arial" w:cs="Arial"/>
          <w:color w:val="242130"/>
          <w:sz w:val="22"/>
          <w:szCs w:val="22"/>
        </w:rPr>
        <w:t xml:space="preserve"> care involves effective communication, proper administration and collaboration within the health and social care professions. This is even more important in situations where one is dealing with older patients who have complicated illnesses, cognitive problems and </w:t>
      </w:r>
      <w:r w:rsidR="0EA92190" w:rsidRPr="73549EAC">
        <w:rPr>
          <w:rFonts w:ascii="Arial" w:eastAsia="Arial" w:hAnsi="Arial" w:cs="Arial"/>
          <w:color w:val="242130"/>
          <w:sz w:val="22"/>
          <w:szCs w:val="22"/>
        </w:rPr>
        <w:t>several</w:t>
      </w:r>
      <w:r w:rsidRPr="73549EAC">
        <w:rPr>
          <w:rFonts w:ascii="Arial" w:eastAsia="Arial" w:hAnsi="Arial" w:cs="Arial"/>
          <w:color w:val="242130"/>
          <w:sz w:val="22"/>
          <w:szCs w:val="22"/>
        </w:rPr>
        <w:t xml:space="preserve"> other care workers. Mrs Thompson is an 84-year-old lady who was recently admitted at a hospital after contracting pneumonia. She lives by herself in sheltered accommodation and she gets domiciliary care two times a day. She also suffers from mild dementia that causes forgetfulness in taking medications.</w:t>
      </w:r>
    </w:p>
    <w:p w14:paraId="1E1A8ABB" w14:textId="67894A93" w:rsidR="37A73A36" w:rsidRDefault="37A73A36"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In this report, three main components of professional practice are identified for the care of Mrs Thompson. First, this report is going to discuss the significance of communicating effectively with Mrs Thompson and her family, based on Equality Act 2010 and Transactional Model of Communication. Second, this report is going to address the aspect of record keeping, which is going to be linked to Data Protection Act 2018. Third, this report will consider collaboration and ways to overcome barriers to collaboration.</w:t>
      </w:r>
    </w:p>
    <w:p w14:paraId="00A50DD7" w14:textId="2D062915" w:rsidR="0F1A8469" w:rsidRDefault="0F1A8469" w:rsidP="73549EAC">
      <w:pPr>
        <w:pStyle w:val="ListParagraph"/>
        <w:numPr>
          <w:ilvl w:val="0"/>
          <w:numId w:val="4"/>
        </w:numPr>
        <w:spacing w:after="0"/>
        <w:rPr>
          <w:rFonts w:ascii="Arial" w:eastAsia="Arial" w:hAnsi="Arial" w:cs="Arial"/>
          <w:sz w:val="22"/>
          <w:szCs w:val="22"/>
        </w:rPr>
      </w:pPr>
      <w:r w:rsidRPr="73549EAC">
        <w:rPr>
          <w:rFonts w:ascii="Arial" w:eastAsia="Arial" w:hAnsi="Arial" w:cs="Arial"/>
          <w:sz w:val="22"/>
          <w:szCs w:val="22"/>
        </w:rPr>
        <w:t>Effective communication in Mrs Thompson's case</w:t>
      </w:r>
    </w:p>
    <w:p w14:paraId="430A860F" w14:textId="1D2512E8" w:rsidR="0F1A8469" w:rsidRDefault="0F1A8469" w:rsidP="73549EAC">
      <w:pPr>
        <w:spacing w:before="240" w:after="240"/>
      </w:pPr>
      <w:r w:rsidRPr="73549EAC">
        <w:rPr>
          <w:rFonts w:ascii="Arial" w:eastAsia="Arial" w:hAnsi="Arial" w:cs="Arial"/>
          <w:sz w:val="22"/>
          <w:szCs w:val="22"/>
        </w:rPr>
        <w:t xml:space="preserve">Effective communication is very important </w:t>
      </w:r>
      <w:r w:rsidR="674D1536" w:rsidRPr="73549EAC">
        <w:rPr>
          <w:rFonts w:ascii="Arial" w:eastAsia="Arial" w:hAnsi="Arial" w:cs="Arial"/>
          <w:sz w:val="22"/>
          <w:szCs w:val="22"/>
        </w:rPr>
        <w:t>to</w:t>
      </w:r>
      <w:r w:rsidRPr="73549EAC">
        <w:rPr>
          <w:rFonts w:ascii="Arial" w:eastAsia="Arial" w:hAnsi="Arial" w:cs="Arial"/>
          <w:sz w:val="22"/>
          <w:szCs w:val="22"/>
        </w:rPr>
        <w:t xml:space="preserve"> provide safe, caring, and person-centred care. In case of Mrs Thompson suffering from mild dementia, communication should be modified considering her cognitive needs as well as preserving her dignity, independence, and autonomy. Proper communication will allow healthcare professionals to know her preferences, detect any changes in her condition, decrease her anxiety, and make informed decisions.</w:t>
      </w:r>
    </w:p>
    <w:p w14:paraId="5EBFCDDD" w14:textId="21320D7F" w:rsidR="0F1A8469" w:rsidRDefault="0F1A8469" w:rsidP="73549EAC">
      <w:pPr>
        <w:spacing w:before="240" w:after="240"/>
      </w:pPr>
      <w:r w:rsidRPr="73549EAC">
        <w:rPr>
          <w:rFonts w:ascii="Arial" w:eastAsia="Arial" w:hAnsi="Arial" w:cs="Arial"/>
          <w:sz w:val="22"/>
          <w:szCs w:val="22"/>
        </w:rPr>
        <w:t>According to the Equality Act 2010, health and social care services should take appropriate measures to avoid discrimination of an individual due to his or her protected characteristic, which includes age and disability. It can be stated that in the case of Mrs Thompson, she might have been considered disabled by the Equality Act, which means that proper adjustments should have been done in respect to her communication needs.</w:t>
      </w:r>
    </w:p>
    <w:p w14:paraId="29A44C2F" w14:textId="03FE390B" w:rsidR="30BE1A46" w:rsidRDefault="30BE1A46" w:rsidP="73549EAC">
      <w:pPr>
        <w:spacing w:before="240" w:after="240"/>
        <w:rPr>
          <w:rFonts w:ascii="Arial" w:eastAsia="Arial" w:hAnsi="Arial" w:cs="Arial"/>
          <w:sz w:val="22"/>
          <w:szCs w:val="22"/>
        </w:rPr>
      </w:pPr>
      <w:r w:rsidRPr="73549EAC">
        <w:rPr>
          <w:rFonts w:ascii="Arial" w:eastAsia="Arial" w:hAnsi="Arial" w:cs="Arial"/>
          <w:sz w:val="22"/>
          <w:szCs w:val="22"/>
        </w:rPr>
        <w:t>It is essential that communication is person-centred by speaking to Mrs Thompson herself instead of communicating with her relatives or caregivers alone. It is necessary to listen, ask questions, and verify understanding. Such an approach will enable her preferences to be considered based on the requirements of the Care Act 2014.</w:t>
      </w:r>
    </w:p>
    <w:p w14:paraId="01BE7341" w14:textId="789EBB91" w:rsidR="54317113" w:rsidRDefault="54317113" w:rsidP="73549EAC">
      <w:pPr>
        <w:spacing w:before="240" w:after="240"/>
        <w:rPr>
          <w:rFonts w:ascii="Arial" w:eastAsia="Arial" w:hAnsi="Arial" w:cs="Arial"/>
          <w:sz w:val="22"/>
          <w:szCs w:val="22"/>
        </w:rPr>
      </w:pPr>
      <w:r w:rsidRPr="73549EAC">
        <w:rPr>
          <w:rFonts w:ascii="Arial" w:eastAsia="Arial" w:hAnsi="Arial" w:cs="Arial"/>
          <w:sz w:val="22"/>
          <w:szCs w:val="22"/>
        </w:rPr>
        <w:t>The family is also a significant factor. With the permission of Mrs. Thompson, or alternatively under the provisions of the Mental Capacity Act 2005 if capacity is affected, family members should be included in discussions about the management of her medication, the safeguarding issues, and the planning for her care in the future. It will help in communicating the condition and its developments to the family members.</w:t>
      </w:r>
    </w:p>
    <w:p w14:paraId="765F96EA" w14:textId="341B5526" w:rsidR="3C91BD42" w:rsidRDefault="3C91BD42" w:rsidP="73549EAC">
      <w:pPr>
        <w:spacing w:before="240" w:after="240"/>
        <w:rPr>
          <w:rFonts w:ascii="Arial" w:eastAsia="Arial" w:hAnsi="Arial" w:cs="Arial"/>
          <w:sz w:val="22"/>
          <w:szCs w:val="22"/>
        </w:rPr>
      </w:pPr>
      <w:r w:rsidRPr="73549EAC">
        <w:rPr>
          <w:rFonts w:ascii="Arial" w:eastAsia="Arial" w:hAnsi="Arial" w:cs="Arial"/>
          <w:sz w:val="22"/>
          <w:szCs w:val="22"/>
        </w:rPr>
        <w:t>In the Transactional Model of Communication, devised by Barnlund, it is highlighted that the process of communication involves sending and receiving messages simultaneously in an ongoing way. The importance of feedback lies in the fact that it ensures that the information has been correctly interpreted. In the care of Mrs. Thompson, one must keep in mind the verbal as well as non-verbal reactions of the patient, because any difficulty in understanding may interfere with the process of communication.</w:t>
      </w:r>
    </w:p>
    <w:p w14:paraId="6ACE4081" w14:textId="666BA16C" w:rsidR="3756ECBC" w:rsidRDefault="3756ECBC"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For instance, after the medication error, it would be important for a domiciliary care worker to engage Mrs Thompson on issues relating to medication in private, get her to explain her medication schedule, and note if she seems confused. This feedback will help professionals to establish if extra help is needed, perhaps a monitored medication system.</w:t>
      </w:r>
    </w:p>
    <w:p w14:paraId="4921B4BC" w14:textId="13E7585A" w:rsidR="3756ECBC" w:rsidRDefault="3756ECBC" w:rsidP="73549EAC">
      <w:pPr>
        <w:spacing w:line="360" w:lineRule="auto"/>
      </w:pPr>
      <w:r w:rsidRPr="73549EAC">
        <w:rPr>
          <w:rFonts w:ascii="Arial" w:eastAsia="Arial" w:hAnsi="Arial" w:cs="Arial"/>
          <w:color w:val="242130"/>
          <w:sz w:val="22"/>
          <w:szCs w:val="22"/>
        </w:rPr>
        <w:t>Interdisciplinary communication is also critical. Efficient verbal handover and reporting of any worries ensure that the GP, community nurse, pharmacist, and social care workers respond accordingly to the changes. Communication problems lead to medication errors, admission in hospital again, safeguarding problems, and health deterioration.</w:t>
      </w:r>
    </w:p>
    <w:p w14:paraId="2FB4A3C5" w14:textId="1545A24A" w:rsidR="613606D2" w:rsidRDefault="613606D2"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In summary, good communication leads to trust, safety, informed decision making, and person-centred care by making sure that the rights of Mrs. Thompson are upheld in her journey as a patient.</w:t>
      </w:r>
    </w:p>
    <w:p w14:paraId="48CBDB71" w14:textId="061C904E" w:rsidR="613606D2" w:rsidRDefault="613606D2" w:rsidP="73549EAC">
      <w:pPr>
        <w:pStyle w:val="ListParagraph"/>
        <w:numPr>
          <w:ilvl w:val="0"/>
          <w:numId w:val="4"/>
        </w:numPr>
        <w:spacing w:line="360" w:lineRule="auto"/>
        <w:rPr>
          <w:rFonts w:ascii="Arial" w:eastAsia="Arial" w:hAnsi="Arial" w:cs="Arial"/>
          <w:color w:val="242130"/>
          <w:sz w:val="22"/>
          <w:szCs w:val="22"/>
        </w:rPr>
      </w:pPr>
      <w:r w:rsidRPr="73549EAC">
        <w:rPr>
          <w:rFonts w:ascii="Arial" w:eastAsia="Arial" w:hAnsi="Arial" w:cs="Arial"/>
          <w:color w:val="242130"/>
          <w:sz w:val="22"/>
          <w:szCs w:val="22"/>
        </w:rPr>
        <w:t>Importance of Good Administrative Skills: Record Keeping and Data Protection</w:t>
      </w:r>
    </w:p>
    <w:p w14:paraId="06FB20EF" w14:textId="13BCDCCE" w:rsidR="613606D2" w:rsidRDefault="613606D2" w:rsidP="73549EAC">
      <w:pPr>
        <w:spacing w:line="360" w:lineRule="auto"/>
      </w:pPr>
      <w:r w:rsidRPr="73549EAC">
        <w:rPr>
          <w:rFonts w:ascii="Arial" w:eastAsia="Arial" w:hAnsi="Arial" w:cs="Arial"/>
          <w:color w:val="242130"/>
          <w:sz w:val="22"/>
          <w:szCs w:val="22"/>
        </w:rPr>
        <w:t>Administrative skills are critical elements of professionalism since they promote continuity of care, accountability, compliance with laws, and safety of the patients. For Mrs. Thompson, record keeping is especially critical given her diagnosis of dementia, problems with medications, hospital discharge, and safeguarding assessment.</w:t>
      </w:r>
    </w:p>
    <w:p w14:paraId="5F22ABB5" w14:textId="3C924C3B" w:rsidR="2DC51151" w:rsidRDefault="2DC51151"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Recording includes the recording of assessments, the administration of medication, incidents, care plans, discussions with family members, referrals, and professional decision-making. According to the NMC Code (2018), records should be clear, accurate, factual, prompt, and recorded soon after the care is provided. Even though domiciliary carers may not necessarily be registered nurses, these guidelines are also covered in organisational policies and CQC guidelines.</w:t>
      </w:r>
    </w:p>
    <w:p w14:paraId="4CA11C78" w14:textId="0F4F02EA" w:rsidR="2DC51151" w:rsidRDefault="2DC51151" w:rsidP="73549EAC">
      <w:pPr>
        <w:spacing w:line="360" w:lineRule="auto"/>
      </w:pPr>
      <w:r w:rsidRPr="73549EAC">
        <w:rPr>
          <w:rFonts w:ascii="Arial" w:eastAsia="Arial" w:hAnsi="Arial" w:cs="Arial"/>
          <w:color w:val="242130"/>
          <w:sz w:val="22"/>
          <w:szCs w:val="22"/>
        </w:rPr>
        <w:t>The case of missed medication shows why it is necessary to document the information correctly. Writing down the dates, observations, actions taken, and communication with health professionals gives proof of the medication review and helps in achieving continuity in the work of professionals. Similarly, the documentation of the incident of Mrs Thompson being found inappropriately dressed helps in safeguarding assessments and risk management in the future.</w:t>
      </w:r>
    </w:p>
    <w:p w14:paraId="47B94C1E" w14:textId="7AEABF8A" w:rsidR="24CBDA28" w:rsidRDefault="24CBDA28"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These laws together with the UK GDPR regulate how personal data must be collected, stored, transmitted, and safeguarded. Mrs Thompson's health details qualify as special categories of personal data, which demand greater protection measures. Organizations must process personal data in a manner that is lawful, fair, transparent, and for proper reasons of health care delivery.</w:t>
      </w:r>
    </w:p>
    <w:p w14:paraId="7E65F8C2" w14:textId="4E9244C6" w:rsidR="24CBDA28" w:rsidRDefault="24CBDA28" w:rsidP="73549EAC">
      <w:pPr>
        <w:spacing w:line="360" w:lineRule="auto"/>
      </w:pPr>
      <w:r w:rsidRPr="73549EAC">
        <w:rPr>
          <w:rFonts w:ascii="Arial" w:eastAsia="Arial" w:hAnsi="Arial" w:cs="Arial"/>
          <w:color w:val="242130"/>
          <w:sz w:val="22"/>
          <w:szCs w:val="22"/>
        </w:rPr>
        <w:t>The main principles of the law include lawfulness, fairness, transparency, purpose limitation, data minimization, accuracy, storage limitation, integrity, confidentiality, and accountability. Only those professionals who require such information to perform their work should be allowed access to the records, and these should always be safeguarded.</w:t>
      </w:r>
    </w:p>
    <w:p w14:paraId="0BF9B7DC" w14:textId="07BB0390" w:rsidR="35E120A9" w:rsidRDefault="35E120A9"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The exchange of information among healthcare professionals is essential for delivering safe care; however, this must be done using appropriate procedures of information governance. The Health and Social Care (Safety and Quality) Act 2015 encourages proper information sharing in situations that enhance the safety and continuity of care for the patients. In the case of Mrs Thompson, the following information needs to be exchanged with her GP, community nurses, pharmacists, and local authority safeguarding team when necessary.</w:t>
      </w:r>
    </w:p>
    <w:p w14:paraId="1C097FB4" w14:textId="451C164A" w:rsidR="35E120A9" w:rsidRDefault="35E120A9"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Confidentiality continues to play a key role in this process. Mrs Thompson must be told where her information will be used as far as is possible. In cases where her decision-making ability may be questionable, the decision on the use of her information must be made in accordance with the Mental Capacity Act 2005.</w:t>
      </w:r>
    </w:p>
    <w:p w14:paraId="058BFE86" w14:textId="6ABADAA8" w:rsidR="35E120A9" w:rsidRDefault="35E120A9" w:rsidP="73549EAC">
      <w:pPr>
        <w:spacing w:line="360" w:lineRule="auto"/>
      </w:pPr>
      <w:r w:rsidRPr="73549EAC">
        <w:rPr>
          <w:rFonts w:ascii="Arial" w:eastAsia="Arial" w:hAnsi="Arial" w:cs="Arial"/>
          <w:color w:val="242130"/>
          <w:sz w:val="22"/>
          <w:szCs w:val="22"/>
        </w:rPr>
        <w:t>Administration also helps with quality assurance. Through incident reporting, institutions can spot trends, manage risks, make improvements and avoid any recurrence. The fact that Mrs Thompson experienced an error with her medications led to a medication review.</w:t>
      </w:r>
    </w:p>
    <w:p w14:paraId="483EF090" w14:textId="63145D60" w:rsidR="33465589" w:rsidRDefault="33465589"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On the whole, good record-keeping and compliance with data protection laws ensure patient confidentiality, allow for multidisciplinary decision-making, create legal responsibility, and help in enhancing the quality and safety of care provided to vulnerable patients like Mrs. Thompson.</w:t>
      </w:r>
    </w:p>
    <w:p w14:paraId="71E406A4" w14:textId="06783302" w:rsidR="783F9759" w:rsidRDefault="783F9759" w:rsidP="73549EAC">
      <w:pPr>
        <w:pStyle w:val="ListParagraph"/>
        <w:numPr>
          <w:ilvl w:val="0"/>
          <w:numId w:val="1"/>
        </w:numPr>
        <w:spacing w:after="0"/>
        <w:rPr>
          <w:rFonts w:ascii="Arial" w:eastAsia="Arial" w:hAnsi="Arial" w:cs="Arial"/>
          <w:sz w:val="22"/>
          <w:szCs w:val="22"/>
        </w:rPr>
      </w:pPr>
      <w:r w:rsidRPr="73549EAC">
        <w:rPr>
          <w:rFonts w:ascii="Arial" w:eastAsia="Arial" w:hAnsi="Arial" w:cs="Arial"/>
          <w:sz w:val="22"/>
          <w:szCs w:val="22"/>
        </w:rPr>
        <w:t>Collaborative Working within Mrs Thompson’s Care</w:t>
      </w:r>
    </w:p>
    <w:p w14:paraId="6FF53B23" w14:textId="2ABB9A85" w:rsidR="783F9759" w:rsidRDefault="783F9759" w:rsidP="73549EAC">
      <w:pPr>
        <w:spacing w:before="240" w:after="240"/>
      </w:pPr>
      <w:r w:rsidRPr="73549EAC">
        <w:rPr>
          <w:rFonts w:ascii="Arial" w:eastAsia="Arial" w:hAnsi="Arial" w:cs="Arial"/>
          <w:sz w:val="22"/>
          <w:szCs w:val="22"/>
        </w:rPr>
        <w:t>This involves collaborative working whereby professionals from diverse organisations come together to deliver coordinated, efficient care and provide a person-centred service. Collaborative working is vital given the complexity of Mrs Thompson’s situation and the need for coordination amongst the GP, community nurses, domiciliary carers, pharmacist, social worker, and the local authority safeguarding team.</w:t>
      </w:r>
    </w:p>
    <w:p w14:paraId="038AB1EC" w14:textId="0B3177F2" w:rsidR="783F9759" w:rsidRDefault="783F9759" w:rsidP="73549EAC">
      <w:pPr>
        <w:spacing w:before="240" w:after="240"/>
      </w:pPr>
      <w:r w:rsidRPr="73549EAC">
        <w:rPr>
          <w:rFonts w:ascii="Arial" w:eastAsia="Arial" w:hAnsi="Arial" w:cs="Arial"/>
          <w:sz w:val="22"/>
          <w:szCs w:val="22"/>
        </w:rPr>
        <w:t>The professionals have their own specialities; the GP focuses on reviewing her medication and managing her medical conditions; the community nurse ensures that Mrs Thompson’s physical health is in good condition after being affected by pneumonia; the domiciliary carer provides everyday care and monitors any changes.</w:t>
      </w:r>
    </w:p>
    <w:p w14:paraId="2821A164" w14:textId="75212637" w:rsidR="0AD35E4A" w:rsidRDefault="0AD35E4A" w:rsidP="73549EAC">
      <w:pPr>
        <w:spacing w:before="240" w:after="240"/>
        <w:rPr>
          <w:rFonts w:ascii="Arial" w:eastAsia="Arial" w:hAnsi="Arial" w:cs="Arial"/>
          <w:sz w:val="22"/>
          <w:szCs w:val="22"/>
        </w:rPr>
      </w:pPr>
      <w:r w:rsidRPr="73549EAC">
        <w:rPr>
          <w:rFonts w:ascii="Arial" w:eastAsia="Arial" w:hAnsi="Arial" w:cs="Arial"/>
          <w:sz w:val="22"/>
          <w:szCs w:val="22"/>
        </w:rPr>
        <w:t>Effective collaboration is facilitated by regular MDT meetings, common care plans, use of computerized health records, effective communication techniques like SBAR (Situation, Background, Assessment, Recommendation), and distinct professional roles. Effective communication ensures prompt referrals and coordinated decision-making without duplication of services.</w:t>
      </w:r>
    </w:p>
    <w:p w14:paraId="7B16E2E9" w14:textId="0A2103B4" w:rsidR="0AD35E4A" w:rsidRDefault="0AD35E4A" w:rsidP="73549EAC">
      <w:pPr>
        <w:spacing w:before="240" w:after="240"/>
      </w:pPr>
      <w:r w:rsidRPr="73549EAC">
        <w:rPr>
          <w:rFonts w:ascii="Arial" w:eastAsia="Arial" w:hAnsi="Arial" w:cs="Arial"/>
          <w:sz w:val="22"/>
          <w:szCs w:val="22"/>
        </w:rPr>
        <w:t>Nonetheless, there are several issues that multi-agency working can face including poor communication, incompatibility of record keeping systems, professional boundaries, workload constraints, and organizational priorities. Poor communication can pose certain dangers such as drug dosage mistakes and failure to protect the child from any harm.</w:t>
      </w:r>
    </w:p>
    <w:p w14:paraId="5A6AD0A3" w14:textId="0555F035" w:rsidR="4E410D4D" w:rsidRDefault="4E410D4D" w:rsidP="73549EAC">
      <w:pPr>
        <w:spacing w:before="240" w:after="240"/>
        <w:rPr>
          <w:rFonts w:ascii="Arial" w:eastAsia="Arial" w:hAnsi="Arial" w:cs="Arial"/>
          <w:sz w:val="22"/>
          <w:szCs w:val="22"/>
        </w:rPr>
      </w:pPr>
      <w:r w:rsidRPr="73549EAC">
        <w:rPr>
          <w:rFonts w:ascii="Arial" w:eastAsia="Arial" w:hAnsi="Arial" w:cs="Arial"/>
          <w:sz w:val="22"/>
          <w:szCs w:val="22"/>
        </w:rPr>
        <w:t>The way in which these barriers can be overcome is through creating communication policies, encouraging mutual respect amongst all professionals involved, having common goals based on the well-being of the patient, and through interprofessional education in order to understand the roles of each of these professionals.</w:t>
      </w:r>
    </w:p>
    <w:p w14:paraId="3F789D2E" w14:textId="7E7389AF" w:rsidR="4E410D4D" w:rsidRDefault="4E410D4D" w:rsidP="73549EAC">
      <w:pPr>
        <w:spacing w:before="240" w:after="240"/>
      </w:pPr>
      <w:r w:rsidRPr="73549EAC">
        <w:rPr>
          <w:rFonts w:ascii="Arial" w:eastAsia="Arial" w:hAnsi="Arial" w:cs="Arial"/>
          <w:sz w:val="22"/>
          <w:szCs w:val="22"/>
        </w:rPr>
        <w:t>Regarding Mrs Thompson, collaborative practice will help professionals work out what is right for her in terms of interventions like medication alarms, close observation, assessment by an occupational therapist, and prevention of falls. With the help of these measures, she will be able to stay as independent as possible at home.</w:t>
      </w:r>
    </w:p>
    <w:p w14:paraId="67FA5371" w14:textId="5B3DF15E" w:rsidR="569FEB9A" w:rsidRDefault="569FEB9A" w:rsidP="73549EAC">
      <w:pPr>
        <w:spacing w:before="240" w:after="240"/>
        <w:rPr>
          <w:rFonts w:ascii="Arial" w:eastAsia="Arial" w:hAnsi="Arial" w:cs="Arial"/>
          <w:sz w:val="22"/>
          <w:szCs w:val="22"/>
        </w:rPr>
      </w:pPr>
      <w:r w:rsidRPr="73549EAC">
        <w:rPr>
          <w:rFonts w:ascii="Arial" w:eastAsia="Arial" w:hAnsi="Arial" w:cs="Arial"/>
          <w:sz w:val="22"/>
          <w:szCs w:val="22"/>
        </w:rPr>
        <w:t>Conclusion</w:t>
      </w:r>
    </w:p>
    <w:p w14:paraId="4EE75FA9" w14:textId="5DDC394C" w:rsidR="569FEB9A" w:rsidRDefault="569FEB9A" w:rsidP="73549EAC">
      <w:pPr>
        <w:spacing w:before="240" w:after="240"/>
      </w:pPr>
      <w:r w:rsidRPr="73549EAC">
        <w:rPr>
          <w:rFonts w:ascii="Arial" w:eastAsia="Arial" w:hAnsi="Arial" w:cs="Arial"/>
          <w:sz w:val="22"/>
          <w:szCs w:val="22"/>
        </w:rPr>
        <w:t xml:space="preserve">The case study involving Mrs Thompson highlights the relationship between communication, administrative practices, and teamwork in the provision of effective health and social care. Good communication allows healthcare professionals to understand the need of Mrs. Thompson, get involvement from the relevant family members, and implement reasonable adjustments that ensure equal treatment and person-cantered care. Keeping proper records and following the provisions of the Data Protection Act 2018 guarantees continuity of care, accountability, confidentiality, and informed decision making in the treatment process. Moreover, collaboration of healthcare professionals, social care providers, and safeguarding organizations will help identify risks and apply the necessary actions in time. Thus, implementation of the above core professional responsibilities is the key to ensuring good health outcomes for health and social care recipients. </w:t>
      </w:r>
      <w:r w:rsidR="02772BCC" w:rsidRPr="73549EAC">
        <w:rPr>
          <w:rFonts w:ascii="Arial" w:eastAsia="Arial" w:hAnsi="Arial" w:cs="Arial"/>
          <w:sz w:val="22"/>
          <w:szCs w:val="22"/>
        </w:rPr>
        <w:t>This</w:t>
      </w:r>
      <w:r w:rsidRPr="73549EAC">
        <w:rPr>
          <w:rFonts w:ascii="Arial" w:eastAsia="Arial" w:hAnsi="Arial" w:cs="Arial"/>
          <w:sz w:val="22"/>
          <w:szCs w:val="22"/>
        </w:rPr>
        <w:t xml:space="preserve"> approach allows providing effective treatment in a legally compliant manner and helps maintain dignity, independence, and health of vulnerable people like Mrs. Thompson.</w:t>
      </w:r>
    </w:p>
    <w:p w14:paraId="1EFF18BD" w14:textId="70B7D3D0" w:rsidR="73549EAC" w:rsidRDefault="73549EAC" w:rsidP="73549EAC">
      <w:pPr>
        <w:spacing w:before="240" w:after="240"/>
        <w:rPr>
          <w:rFonts w:ascii="Arial" w:eastAsia="Arial" w:hAnsi="Arial" w:cs="Arial"/>
          <w:sz w:val="22"/>
          <w:szCs w:val="22"/>
        </w:rPr>
      </w:pPr>
    </w:p>
    <w:p w14:paraId="00878DB5" w14:textId="45BC02FD" w:rsidR="73549EAC" w:rsidRDefault="73549EAC" w:rsidP="73549EAC">
      <w:pPr>
        <w:spacing w:before="240" w:after="240"/>
        <w:rPr>
          <w:rFonts w:ascii="Arial" w:eastAsia="Arial" w:hAnsi="Arial" w:cs="Arial"/>
          <w:sz w:val="22"/>
          <w:szCs w:val="22"/>
        </w:rPr>
      </w:pPr>
    </w:p>
    <w:p w14:paraId="0A76CB2B" w14:textId="43F2941A" w:rsidR="73549EAC" w:rsidRDefault="73549EAC" w:rsidP="73549EAC">
      <w:pPr>
        <w:spacing w:before="240" w:after="240"/>
        <w:rPr>
          <w:rFonts w:ascii="Arial" w:eastAsia="Arial" w:hAnsi="Arial" w:cs="Arial"/>
          <w:sz w:val="22"/>
          <w:szCs w:val="22"/>
        </w:rPr>
      </w:pPr>
    </w:p>
    <w:p w14:paraId="4F6B1134" w14:textId="106833DB" w:rsidR="73549EAC" w:rsidRDefault="73549EAC" w:rsidP="73549EAC">
      <w:pPr>
        <w:spacing w:before="240" w:after="240"/>
        <w:rPr>
          <w:rFonts w:ascii="Arial" w:eastAsia="Arial" w:hAnsi="Arial" w:cs="Arial"/>
          <w:sz w:val="22"/>
          <w:szCs w:val="22"/>
        </w:rPr>
      </w:pPr>
    </w:p>
    <w:p w14:paraId="1569FD04" w14:textId="11BD2430" w:rsidR="73549EAC" w:rsidRDefault="73549EAC" w:rsidP="73549EAC">
      <w:pPr>
        <w:spacing w:before="240" w:after="240"/>
        <w:rPr>
          <w:rFonts w:ascii="Arial" w:eastAsia="Arial" w:hAnsi="Arial" w:cs="Arial"/>
          <w:sz w:val="22"/>
          <w:szCs w:val="22"/>
        </w:rPr>
      </w:pPr>
    </w:p>
    <w:p w14:paraId="279F8AC4" w14:textId="6C9FD45C" w:rsidR="73B93E07" w:rsidRDefault="73B93E07" w:rsidP="73549EAC">
      <w:pPr>
        <w:pStyle w:val="Heading2"/>
        <w:spacing w:before="299" w:after="299"/>
      </w:pPr>
      <w:r w:rsidRPr="73549EAC">
        <w:rPr>
          <w:rFonts w:ascii="Arial" w:eastAsia="Arial" w:hAnsi="Arial" w:cs="Arial"/>
          <w:sz w:val="22"/>
          <w:szCs w:val="22"/>
        </w:rPr>
        <w:t>Reference List</w:t>
      </w:r>
      <w:r w:rsidRPr="73549EAC">
        <w:rPr>
          <w:rFonts w:ascii="Arial" w:eastAsia="Arial" w:hAnsi="Arial" w:cs="Arial"/>
          <w:b/>
          <w:bCs/>
          <w:sz w:val="36"/>
          <w:szCs w:val="36"/>
        </w:rPr>
        <w:t xml:space="preserve"> </w:t>
      </w:r>
    </w:p>
    <w:p w14:paraId="726DAAC2" w14:textId="5A26808B" w:rsidR="73B93E07" w:rsidRDefault="73B93E07" w:rsidP="73549EAC">
      <w:pPr>
        <w:spacing w:before="240" w:after="240"/>
      </w:pPr>
      <w:r w:rsidRPr="73549EAC">
        <w:rPr>
          <w:rFonts w:ascii="Arial" w:eastAsia="Arial" w:hAnsi="Arial" w:cs="Arial"/>
          <w:sz w:val="22"/>
          <w:szCs w:val="22"/>
        </w:rPr>
        <w:t xml:space="preserve">Barnlund, D.C. (2008) </w:t>
      </w:r>
      <w:r w:rsidRPr="73549EAC">
        <w:rPr>
          <w:rFonts w:ascii="Arial" w:eastAsia="Arial" w:hAnsi="Arial" w:cs="Arial"/>
          <w:i/>
          <w:iCs/>
          <w:sz w:val="22"/>
          <w:szCs w:val="22"/>
        </w:rPr>
        <w:t>A Transactional Model of Communication.</w:t>
      </w:r>
    </w:p>
    <w:p w14:paraId="2821D442" w14:textId="5163AF06" w:rsidR="73B93E07" w:rsidRDefault="73B93E07" w:rsidP="73549EAC">
      <w:pPr>
        <w:spacing w:before="240" w:after="240"/>
      </w:pPr>
      <w:r w:rsidRPr="73549EAC">
        <w:rPr>
          <w:rFonts w:ascii="Arial" w:eastAsia="Arial" w:hAnsi="Arial" w:cs="Arial"/>
          <w:sz w:val="22"/>
          <w:szCs w:val="22"/>
        </w:rPr>
        <w:t xml:space="preserve">Department of Health and Social Care (2014) </w:t>
      </w:r>
      <w:r w:rsidRPr="73549EAC">
        <w:rPr>
          <w:rFonts w:ascii="Arial" w:eastAsia="Arial" w:hAnsi="Arial" w:cs="Arial"/>
          <w:i/>
          <w:iCs/>
          <w:sz w:val="22"/>
          <w:szCs w:val="22"/>
        </w:rPr>
        <w:t>Care Act 2014.</w:t>
      </w:r>
    </w:p>
    <w:p w14:paraId="3670B6E8" w14:textId="21F12154" w:rsidR="73B93E07" w:rsidRDefault="73B93E07" w:rsidP="73549EAC">
      <w:pPr>
        <w:spacing w:before="240" w:after="240"/>
      </w:pPr>
      <w:r w:rsidRPr="73549EAC">
        <w:rPr>
          <w:rFonts w:ascii="Arial" w:eastAsia="Arial" w:hAnsi="Arial" w:cs="Arial"/>
          <w:sz w:val="22"/>
          <w:szCs w:val="22"/>
        </w:rPr>
        <w:t xml:space="preserve">Department of Health and Social Care (2018) </w:t>
      </w:r>
      <w:r w:rsidRPr="73549EAC">
        <w:rPr>
          <w:rFonts w:ascii="Arial" w:eastAsia="Arial" w:hAnsi="Arial" w:cs="Arial"/>
          <w:i/>
          <w:iCs/>
          <w:sz w:val="22"/>
          <w:szCs w:val="22"/>
        </w:rPr>
        <w:t>Data Protection Act 2018.</w:t>
      </w:r>
    </w:p>
    <w:p w14:paraId="75DA9ED5" w14:textId="3BE90E18" w:rsidR="73B93E07" w:rsidRDefault="73B93E07" w:rsidP="73549EAC">
      <w:pPr>
        <w:spacing w:before="240" w:after="240"/>
      </w:pPr>
      <w:r w:rsidRPr="73549EAC">
        <w:rPr>
          <w:rFonts w:ascii="Arial" w:eastAsia="Arial" w:hAnsi="Arial" w:cs="Arial"/>
          <w:sz w:val="22"/>
          <w:szCs w:val="22"/>
        </w:rPr>
        <w:t>Health and Social Care (Safety and Quality) Act 2015.</w:t>
      </w:r>
    </w:p>
    <w:p w14:paraId="77B23CF5" w14:textId="3C68084C" w:rsidR="73B93E07" w:rsidRDefault="73B93E07" w:rsidP="73549EAC">
      <w:pPr>
        <w:spacing w:before="240" w:after="240"/>
      </w:pPr>
      <w:r w:rsidRPr="73549EAC">
        <w:rPr>
          <w:rFonts w:ascii="Arial" w:eastAsia="Arial" w:hAnsi="Arial" w:cs="Arial"/>
          <w:sz w:val="22"/>
          <w:szCs w:val="22"/>
        </w:rPr>
        <w:t xml:space="preserve">Nursing and Midwifery Council (2018) </w:t>
      </w:r>
      <w:r w:rsidRPr="73549EAC">
        <w:rPr>
          <w:rFonts w:ascii="Arial" w:eastAsia="Arial" w:hAnsi="Arial" w:cs="Arial"/>
          <w:i/>
          <w:iCs/>
          <w:sz w:val="22"/>
          <w:szCs w:val="22"/>
        </w:rPr>
        <w:t>The Code: Professional Standards of Practice and Behaviour for Nurses, Midwives and Nursing Associates.</w:t>
      </w:r>
    </w:p>
    <w:p w14:paraId="10567748" w14:textId="3DE3379E" w:rsidR="73B93E07" w:rsidRDefault="73B93E07" w:rsidP="73549EAC">
      <w:pPr>
        <w:spacing w:before="240" w:after="240"/>
      </w:pPr>
      <w:r w:rsidRPr="73549EAC">
        <w:rPr>
          <w:rFonts w:ascii="Arial" w:eastAsia="Arial" w:hAnsi="Arial" w:cs="Arial"/>
          <w:sz w:val="22"/>
          <w:szCs w:val="22"/>
        </w:rPr>
        <w:t>Equality Act 2010.</w:t>
      </w:r>
    </w:p>
    <w:p w14:paraId="494EFA0E" w14:textId="61BE5A02" w:rsidR="73B93E07" w:rsidRDefault="73B93E07" w:rsidP="73549EAC">
      <w:pPr>
        <w:spacing w:before="240" w:after="240"/>
      </w:pPr>
      <w:r w:rsidRPr="73549EAC">
        <w:rPr>
          <w:rFonts w:ascii="Arial" w:eastAsia="Arial" w:hAnsi="Arial" w:cs="Arial"/>
          <w:sz w:val="22"/>
          <w:szCs w:val="22"/>
        </w:rPr>
        <w:t>Mental Capacity Act 2005.</w:t>
      </w:r>
    </w:p>
    <w:p w14:paraId="1466D7A0" w14:textId="7550BCEF" w:rsidR="73B93E07" w:rsidRDefault="73B93E07" w:rsidP="73549EAC">
      <w:pPr>
        <w:spacing w:before="240" w:after="240"/>
      </w:pPr>
      <w:r w:rsidRPr="73549EAC">
        <w:rPr>
          <w:rFonts w:ascii="Arial" w:eastAsia="Arial" w:hAnsi="Arial" w:cs="Arial"/>
          <w:sz w:val="22"/>
          <w:szCs w:val="22"/>
        </w:rPr>
        <w:t xml:space="preserve">Care Quality Commission (2023) </w:t>
      </w:r>
      <w:r w:rsidRPr="73549EAC">
        <w:rPr>
          <w:rFonts w:ascii="Arial" w:eastAsia="Arial" w:hAnsi="Arial" w:cs="Arial"/>
          <w:i/>
          <w:iCs/>
          <w:sz w:val="22"/>
          <w:szCs w:val="22"/>
        </w:rPr>
        <w:t>Guidance for Providers on Meeting the Regulations.</w:t>
      </w:r>
    </w:p>
    <w:p w14:paraId="3D217ABE" w14:textId="1A18CCE8" w:rsidR="73549EAC" w:rsidRDefault="73549EAC" w:rsidP="73549EAC">
      <w:pPr>
        <w:spacing w:before="240" w:after="240"/>
        <w:rPr>
          <w:rFonts w:ascii="Arial" w:eastAsia="Arial" w:hAnsi="Arial" w:cs="Arial"/>
          <w:sz w:val="22"/>
          <w:szCs w:val="22"/>
        </w:rPr>
      </w:pPr>
    </w:p>
    <w:p w14:paraId="37CCAF28" w14:textId="49166F3C" w:rsidR="73549EAC" w:rsidRDefault="73549EAC" w:rsidP="73549EAC">
      <w:pPr>
        <w:spacing w:line="360" w:lineRule="auto"/>
        <w:rPr>
          <w:rFonts w:ascii="Arial" w:eastAsia="Arial" w:hAnsi="Arial" w:cs="Arial"/>
          <w:color w:val="242130"/>
          <w:sz w:val="22"/>
          <w:szCs w:val="22"/>
        </w:rPr>
      </w:pPr>
    </w:p>
    <w:p w14:paraId="0D310269" w14:textId="1C866626" w:rsidR="73549EAC" w:rsidRDefault="73549EAC" w:rsidP="73549EAC">
      <w:pPr>
        <w:spacing w:line="360" w:lineRule="auto"/>
        <w:rPr>
          <w:rFonts w:ascii="Arial" w:eastAsia="Arial" w:hAnsi="Arial" w:cs="Arial"/>
          <w:color w:val="242130"/>
          <w:sz w:val="22"/>
          <w:szCs w:val="22"/>
        </w:rPr>
      </w:pPr>
    </w:p>
    <w:p w14:paraId="5BEFFA51" w14:textId="614B60D8" w:rsidR="73549EAC" w:rsidRDefault="73549EAC" w:rsidP="73549EAC">
      <w:pPr>
        <w:spacing w:line="360" w:lineRule="auto"/>
        <w:rPr>
          <w:rFonts w:ascii="Arial" w:eastAsia="Arial" w:hAnsi="Arial" w:cs="Arial"/>
          <w:color w:val="242130"/>
          <w:sz w:val="22"/>
          <w:szCs w:val="22"/>
        </w:rPr>
      </w:pPr>
    </w:p>
    <w:sectPr w:rsidR="73549EAC">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9F82D" w14:textId="77777777" w:rsidR="007F0D6B" w:rsidRDefault="007F0D6B">
      <w:pPr>
        <w:spacing w:after="0" w:line="240" w:lineRule="auto"/>
      </w:pPr>
      <w:r>
        <w:separator/>
      </w:r>
    </w:p>
  </w:endnote>
  <w:endnote w:type="continuationSeparator" w:id="0">
    <w:p w14:paraId="7D065267" w14:textId="77777777" w:rsidR="007F0D6B" w:rsidRDefault="007F0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549EAC" w14:paraId="07A1445F" w14:textId="77777777" w:rsidTr="73549EAC">
      <w:trPr>
        <w:trHeight w:val="300"/>
      </w:trPr>
      <w:tc>
        <w:tcPr>
          <w:tcW w:w="3005" w:type="dxa"/>
        </w:tcPr>
        <w:p w14:paraId="65AB51FF" w14:textId="7E2001C0" w:rsidR="73549EAC" w:rsidRDefault="73549EAC" w:rsidP="73549EAC">
          <w:pPr>
            <w:pStyle w:val="Header"/>
            <w:ind w:left="-115"/>
          </w:pPr>
        </w:p>
      </w:tc>
      <w:tc>
        <w:tcPr>
          <w:tcW w:w="3005" w:type="dxa"/>
        </w:tcPr>
        <w:p w14:paraId="01D785C6" w14:textId="3AC5074C" w:rsidR="73549EAC" w:rsidRDefault="73549EAC" w:rsidP="73549EAC">
          <w:pPr>
            <w:pStyle w:val="Header"/>
            <w:jc w:val="center"/>
          </w:pPr>
        </w:p>
      </w:tc>
      <w:tc>
        <w:tcPr>
          <w:tcW w:w="3005" w:type="dxa"/>
        </w:tcPr>
        <w:p w14:paraId="1176D832" w14:textId="1BE1AA81" w:rsidR="73549EAC" w:rsidRDefault="73549EAC" w:rsidP="73549EAC">
          <w:pPr>
            <w:pStyle w:val="Header"/>
            <w:ind w:right="-115"/>
            <w:jc w:val="right"/>
          </w:pPr>
        </w:p>
      </w:tc>
    </w:tr>
  </w:tbl>
  <w:p w14:paraId="30E0F6BE" w14:textId="3D0E03E0" w:rsidR="73549EAC" w:rsidRDefault="73549EAC" w:rsidP="73549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8AD6A" w14:textId="77777777" w:rsidR="007F0D6B" w:rsidRDefault="007F0D6B">
      <w:pPr>
        <w:spacing w:after="0" w:line="240" w:lineRule="auto"/>
      </w:pPr>
      <w:r>
        <w:separator/>
      </w:r>
    </w:p>
  </w:footnote>
  <w:footnote w:type="continuationSeparator" w:id="0">
    <w:p w14:paraId="5637A036" w14:textId="77777777" w:rsidR="007F0D6B" w:rsidRDefault="007F0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549EAC" w14:paraId="69F473FD" w14:textId="77777777" w:rsidTr="73549EAC">
      <w:trPr>
        <w:trHeight w:val="300"/>
      </w:trPr>
      <w:tc>
        <w:tcPr>
          <w:tcW w:w="3005" w:type="dxa"/>
        </w:tcPr>
        <w:p w14:paraId="7340EA7D" w14:textId="584A4A06" w:rsidR="73549EAC" w:rsidRDefault="73549EAC" w:rsidP="73549EAC">
          <w:pPr>
            <w:pStyle w:val="Header"/>
            <w:ind w:left="-115"/>
          </w:pPr>
          <w:r>
            <w:fldChar w:fldCharType="begin"/>
          </w:r>
          <w:r>
            <w:instrText>PAGE</w:instrText>
          </w:r>
          <w:r>
            <w:fldChar w:fldCharType="separate"/>
          </w:r>
          <w:r w:rsidR="00604BC4">
            <w:rPr>
              <w:noProof/>
            </w:rPr>
            <w:t>1</w:t>
          </w:r>
          <w:r>
            <w:fldChar w:fldCharType="end"/>
          </w:r>
        </w:p>
      </w:tc>
      <w:tc>
        <w:tcPr>
          <w:tcW w:w="3005" w:type="dxa"/>
        </w:tcPr>
        <w:p w14:paraId="4A1B0CFD" w14:textId="2A528068" w:rsidR="73549EAC" w:rsidRDefault="73549EAC" w:rsidP="73549EAC">
          <w:pPr>
            <w:pStyle w:val="Header"/>
            <w:jc w:val="center"/>
          </w:pPr>
        </w:p>
      </w:tc>
      <w:tc>
        <w:tcPr>
          <w:tcW w:w="3005" w:type="dxa"/>
        </w:tcPr>
        <w:p w14:paraId="2FB8B8CC" w14:textId="32B2E67A" w:rsidR="73549EAC" w:rsidRDefault="73549EAC" w:rsidP="73549EAC">
          <w:pPr>
            <w:pStyle w:val="Header"/>
            <w:ind w:right="-115"/>
            <w:jc w:val="right"/>
          </w:pPr>
        </w:p>
      </w:tc>
    </w:tr>
  </w:tbl>
  <w:p w14:paraId="3FBD41FE" w14:textId="2AB23897" w:rsidR="73549EAC" w:rsidRDefault="73549EAC" w:rsidP="73549E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CEE66"/>
    <w:multiLevelType w:val="hybridMultilevel"/>
    <w:tmpl w:val="FFFFFFFF"/>
    <w:lvl w:ilvl="0" w:tplc="2EDC365E">
      <w:start w:val="1"/>
      <w:numFmt w:val="decimal"/>
      <w:lvlText w:val="%1."/>
      <w:lvlJc w:val="left"/>
      <w:pPr>
        <w:ind w:left="720" w:hanging="360"/>
      </w:pPr>
    </w:lvl>
    <w:lvl w:ilvl="1" w:tplc="1B283544">
      <w:start w:val="1"/>
      <w:numFmt w:val="lowerLetter"/>
      <w:lvlText w:val="%2."/>
      <w:lvlJc w:val="left"/>
      <w:pPr>
        <w:ind w:left="1440" w:hanging="360"/>
      </w:pPr>
    </w:lvl>
    <w:lvl w:ilvl="2" w:tplc="F5B6EF4A">
      <w:start w:val="1"/>
      <w:numFmt w:val="lowerRoman"/>
      <w:lvlText w:val="%3."/>
      <w:lvlJc w:val="right"/>
      <w:pPr>
        <w:ind w:left="2160" w:hanging="180"/>
      </w:pPr>
    </w:lvl>
    <w:lvl w:ilvl="3" w:tplc="8D06CA7C">
      <w:start w:val="1"/>
      <w:numFmt w:val="decimal"/>
      <w:lvlText w:val="%4."/>
      <w:lvlJc w:val="left"/>
      <w:pPr>
        <w:ind w:left="2880" w:hanging="360"/>
      </w:pPr>
    </w:lvl>
    <w:lvl w:ilvl="4" w:tplc="B428F43A">
      <w:start w:val="1"/>
      <w:numFmt w:val="lowerLetter"/>
      <w:lvlText w:val="%5."/>
      <w:lvlJc w:val="left"/>
      <w:pPr>
        <w:ind w:left="3600" w:hanging="360"/>
      </w:pPr>
    </w:lvl>
    <w:lvl w:ilvl="5" w:tplc="EB3C1028">
      <w:start w:val="1"/>
      <w:numFmt w:val="lowerRoman"/>
      <w:lvlText w:val="%6."/>
      <w:lvlJc w:val="right"/>
      <w:pPr>
        <w:ind w:left="4320" w:hanging="180"/>
      </w:pPr>
    </w:lvl>
    <w:lvl w:ilvl="6" w:tplc="1E144DD4">
      <w:start w:val="1"/>
      <w:numFmt w:val="decimal"/>
      <w:lvlText w:val="%7."/>
      <w:lvlJc w:val="left"/>
      <w:pPr>
        <w:ind w:left="5040" w:hanging="360"/>
      </w:pPr>
    </w:lvl>
    <w:lvl w:ilvl="7" w:tplc="3A006B8C">
      <w:start w:val="1"/>
      <w:numFmt w:val="lowerLetter"/>
      <w:lvlText w:val="%8."/>
      <w:lvlJc w:val="left"/>
      <w:pPr>
        <w:ind w:left="5760" w:hanging="360"/>
      </w:pPr>
    </w:lvl>
    <w:lvl w:ilvl="8" w:tplc="392E2D64">
      <w:start w:val="1"/>
      <w:numFmt w:val="lowerRoman"/>
      <w:lvlText w:val="%9."/>
      <w:lvlJc w:val="right"/>
      <w:pPr>
        <w:ind w:left="6480" w:hanging="180"/>
      </w:pPr>
    </w:lvl>
  </w:abstractNum>
  <w:abstractNum w:abstractNumId="1" w15:restartNumberingAfterBreak="0">
    <w:nsid w:val="28926C83"/>
    <w:multiLevelType w:val="hybridMultilevel"/>
    <w:tmpl w:val="FFFFFFFF"/>
    <w:lvl w:ilvl="0" w:tplc="445E4732">
      <w:start w:val="3"/>
      <w:numFmt w:val="decimal"/>
      <w:lvlText w:val="%1."/>
      <w:lvlJc w:val="left"/>
      <w:pPr>
        <w:ind w:left="720" w:hanging="360"/>
      </w:pPr>
    </w:lvl>
    <w:lvl w:ilvl="1" w:tplc="CA3C1578">
      <w:start w:val="1"/>
      <w:numFmt w:val="lowerLetter"/>
      <w:lvlText w:val="%2."/>
      <w:lvlJc w:val="left"/>
      <w:pPr>
        <w:ind w:left="1440" w:hanging="360"/>
      </w:pPr>
    </w:lvl>
    <w:lvl w:ilvl="2" w:tplc="E356139A">
      <w:start w:val="1"/>
      <w:numFmt w:val="lowerRoman"/>
      <w:lvlText w:val="%3."/>
      <w:lvlJc w:val="right"/>
      <w:pPr>
        <w:ind w:left="2160" w:hanging="180"/>
      </w:pPr>
    </w:lvl>
    <w:lvl w:ilvl="3" w:tplc="3DB6E8CA">
      <w:start w:val="1"/>
      <w:numFmt w:val="decimal"/>
      <w:lvlText w:val="%4."/>
      <w:lvlJc w:val="left"/>
      <w:pPr>
        <w:ind w:left="2880" w:hanging="360"/>
      </w:pPr>
    </w:lvl>
    <w:lvl w:ilvl="4" w:tplc="4A12F6E2">
      <w:start w:val="1"/>
      <w:numFmt w:val="lowerLetter"/>
      <w:lvlText w:val="%5."/>
      <w:lvlJc w:val="left"/>
      <w:pPr>
        <w:ind w:left="3600" w:hanging="360"/>
      </w:pPr>
    </w:lvl>
    <w:lvl w:ilvl="5" w:tplc="CA28E8EC">
      <w:start w:val="1"/>
      <w:numFmt w:val="lowerRoman"/>
      <w:lvlText w:val="%6."/>
      <w:lvlJc w:val="right"/>
      <w:pPr>
        <w:ind w:left="4320" w:hanging="180"/>
      </w:pPr>
    </w:lvl>
    <w:lvl w:ilvl="6" w:tplc="6C2A06D0">
      <w:start w:val="1"/>
      <w:numFmt w:val="decimal"/>
      <w:lvlText w:val="%7."/>
      <w:lvlJc w:val="left"/>
      <w:pPr>
        <w:ind w:left="5040" w:hanging="360"/>
      </w:pPr>
    </w:lvl>
    <w:lvl w:ilvl="7" w:tplc="9364D0BC">
      <w:start w:val="1"/>
      <w:numFmt w:val="lowerLetter"/>
      <w:lvlText w:val="%8."/>
      <w:lvlJc w:val="left"/>
      <w:pPr>
        <w:ind w:left="5760" w:hanging="360"/>
      </w:pPr>
    </w:lvl>
    <w:lvl w:ilvl="8" w:tplc="7458DFE4">
      <w:start w:val="1"/>
      <w:numFmt w:val="lowerRoman"/>
      <w:lvlText w:val="%9."/>
      <w:lvlJc w:val="right"/>
      <w:pPr>
        <w:ind w:left="6480" w:hanging="180"/>
      </w:pPr>
    </w:lvl>
  </w:abstractNum>
  <w:abstractNum w:abstractNumId="2" w15:restartNumberingAfterBreak="0">
    <w:nsid w:val="5534BDFC"/>
    <w:multiLevelType w:val="hybridMultilevel"/>
    <w:tmpl w:val="FFFFFFFF"/>
    <w:lvl w:ilvl="0" w:tplc="15B4F20E">
      <w:start w:val="1"/>
      <w:numFmt w:val="decimal"/>
      <w:lvlText w:val="%1."/>
      <w:lvlJc w:val="left"/>
      <w:pPr>
        <w:ind w:left="720" w:hanging="360"/>
      </w:pPr>
    </w:lvl>
    <w:lvl w:ilvl="1" w:tplc="C958B754">
      <w:start w:val="1"/>
      <w:numFmt w:val="lowerLetter"/>
      <w:lvlText w:val="%2."/>
      <w:lvlJc w:val="left"/>
      <w:pPr>
        <w:ind w:left="1440" w:hanging="360"/>
      </w:pPr>
    </w:lvl>
    <w:lvl w:ilvl="2" w:tplc="910E70D4">
      <w:start w:val="1"/>
      <w:numFmt w:val="lowerRoman"/>
      <w:lvlText w:val="%3."/>
      <w:lvlJc w:val="right"/>
      <w:pPr>
        <w:ind w:left="2160" w:hanging="180"/>
      </w:pPr>
    </w:lvl>
    <w:lvl w:ilvl="3" w:tplc="0BA03580">
      <w:start w:val="1"/>
      <w:numFmt w:val="decimal"/>
      <w:lvlText w:val="%4."/>
      <w:lvlJc w:val="left"/>
      <w:pPr>
        <w:ind w:left="2880" w:hanging="360"/>
      </w:pPr>
    </w:lvl>
    <w:lvl w:ilvl="4" w:tplc="D5AA61FA">
      <w:start w:val="1"/>
      <w:numFmt w:val="lowerLetter"/>
      <w:lvlText w:val="%5."/>
      <w:lvlJc w:val="left"/>
      <w:pPr>
        <w:ind w:left="3600" w:hanging="360"/>
      </w:pPr>
    </w:lvl>
    <w:lvl w:ilvl="5" w:tplc="172C6934">
      <w:start w:val="1"/>
      <w:numFmt w:val="lowerRoman"/>
      <w:lvlText w:val="%6."/>
      <w:lvlJc w:val="right"/>
      <w:pPr>
        <w:ind w:left="4320" w:hanging="180"/>
      </w:pPr>
    </w:lvl>
    <w:lvl w:ilvl="6" w:tplc="6F4C40BA">
      <w:start w:val="1"/>
      <w:numFmt w:val="decimal"/>
      <w:lvlText w:val="%7."/>
      <w:lvlJc w:val="left"/>
      <w:pPr>
        <w:ind w:left="5040" w:hanging="360"/>
      </w:pPr>
    </w:lvl>
    <w:lvl w:ilvl="7" w:tplc="B2668CC0">
      <w:start w:val="1"/>
      <w:numFmt w:val="lowerLetter"/>
      <w:lvlText w:val="%8."/>
      <w:lvlJc w:val="left"/>
      <w:pPr>
        <w:ind w:left="5760" w:hanging="360"/>
      </w:pPr>
    </w:lvl>
    <w:lvl w:ilvl="8" w:tplc="14008556">
      <w:start w:val="1"/>
      <w:numFmt w:val="lowerRoman"/>
      <w:lvlText w:val="%9."/>
      <w:lvlJc w:val="right"/>
      <w:pPr>
        <w:ind w:left="6480" w:hanging="180"/>
      </w:pPr>
    </w:lvl>
  </w:abstractNum>
  <w:abstractNum w:abstractNumId="3" w15:restartNumberingAfterBreak="0">
    <w:nsid w:val="599ABDD6"/>
    <w:multiLevelType w:val="hybridMultilevel"/>
    <w:tmpl w:val="FFFFFFFF"/>
    <w:lvl w:ilvl="0" w:tplc="308604FE">
      <w:start w:val="1"/>
      <w:numFmt w:val="decimal"/>
      <w:lvlText w:val="%1."/>
      <w:lvlJc w:val="left"/>
      <w:pPr>
        <w:ind w:left="720" w:hanging="360"/>
      </w:pPr>
    </w:lvl>
    <w:lvl w:ilvl="1" w:tplc="F208D9BC">
      <w:start w:val="1"/>
      <w:numFmt w:val="lowerLetter"/>
      <w:lvlText w:val="%2."/>
      <w:lvlJc w:val="left"/>
      <w:pPr>
        <w:ind w:left="1440" w:hanging="360"/>
      </w:pPr>
    </w:lvl>
    <w:lvl w:ilvl="2" w:tplc="9E4E9724">
      <w:start w:val="1"/>
      <w:numFmt w:val="lowerRoman"/>
      <w:lvlText w:val="%3."/>
      <w:lvlJc w:val="right"/>
      <w:pPr>
        <w:ind w:left="2160" w:hanging="180"/>
      </w:pPr>
    </w:lvl>
    <w:lvl w:ilvl="3" w:tplc="CC462C46">
      <w:start w:val="1"/>
      <w:numFmt w:val="decimal"/>
      <w:lvlText w:val="%4."/>
      <w:lvlJc w:val="left"/>
      <w:pPr>
        <w:ind w:left="2880" w:hanging="360"/>
      </w:pPr>
    </w:lvl>
    <w:lvl w:ilvl="4" w:tplc="BD946D40">
      <w:start w:val="1"/>
      <w:numFmt w:val="lowerLetter"/>
      <w:lvlText w:val="%5."/>
      <w:lvlJc w:val="left"/>
      <w:pPr>
        <w:ind w:left="3600" w:hanging="360"/>
      </w:pPr>
    </w:lvl>
    <w:lvl w:ilvl="5" w:tplc="B1884992">
      <w:start w:val="1"/>
      <w:numFmt w:val="lowerRoman"/>
      <w:lvlText w:val="%6."/>
      <w:lvlJc w:val="right"/>
      <w:pPr>
        <w:ind w:left="4320" w:hanging="180"/>
      </w:pPr>
    </w:lvl>
    <w:lvl w:ilvl="6" w:tplc="D2B6458C">
      <w:start w:val="1"/>
      <w:numFmt w:val="decimal"/>
      <w:lvlText w:val="%7."/>
      <w:lvlJc w:val="left"/>
      <w:pPr>
        <w:ind w:left="5040" w:hanging="360"/>
      </w:pPr>
    </w:lvl>
    <w:lvl w:ilvl="7" w:tplc="9238F3E4">
      <w:start w:val="1"/>
      <w:numFmt w:val="lowerLetter"/>
      <w:lvlText w:val="%8."/>
      <w:lvlJc w:val="left"/>
      <w:pPr>
        <w:ind w:left="5760" w:hanging="360"/>
      </w:pPr>
    </w:lvl>
    <w:lvl w:ilvl="8" w:tplc="321267B6">
      <w:start w:val="1"/>
      <w:numFmt w:val="lowerRoman"/>
      <w:lvlText w:val="%9."/>
      <w:lvlJc w:val="right"/>
      <w:pPr>
        <w:ind w:left="6480" w:hanging="180"/>
      </w:pPr>
    </w:lvl>
  </w:abstractNum>
  <w:num w:numId="1" w16cid:durableId="1785343596">
    <w:abstractNumId w:val="1"/>
  </w:num>
  <w:num w:numId="2" w16cid:durableId="1918250968">
    <w:abstractNumId w:val="2"/>
  </w:num>
  <w:num w:numId="3" w16cid:durableId="497891523">
    <w:abstractNumId w:val="3"/>
  </w:num>
  <w:num w:numId="4" w16cid:durableId="633826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E0D43F"/>
    <w:rsid w:val="00503569"/>
    <w:rsid w:val="005A7BFE"/>
    <w:rsid w:val="00604BC4"/>
    <w:rsid w:val="00621222"/>
    <w:rsid w:val="007F0D6B"/>
    <w:rsid w:val="009FCC3A"/>
    <w:rsid w:val="00F207AF"/>
    <w:rsid w:val="02772BCC"/>
    <w:rsid w:val="02C1BE90"/>
    <w:rsid w:val="09F2AF0C"/>
    <w:rsid w:val="0AD35E4A"/>
    <w:rsid w:val="0B10FFB1"/>
    <w:rsid w:val="0B8F9BE0"/>
    <w:rsid w:val="0EA92190"/>
    <w:rsid w:val="0F1A8469"/>
    <w:rsid w:val="1574D373"/>
    <w:rsid w:val="15AF815E"/>
    <w:rsid w:val="1605107B"/>
    <w:rsid w:val="189D1DDD"/>
    <w:rsid w:val="18C2BE97"/>
    <w:rsid w:val="1BF7324D"/>
    <w:rsid w:val="1CA611F6"/>
    <w:rsid w:val="1DE60B2B"/>
    <w:rsid w:val="2085E814"/>
    <w:rsid w:val="24CBDA28"/>
    <w:rsid w:val="29BABBA3"/>
    <w:rsid w:val="2B9EB6C7"/>
    <w:rsid w:val="2CB8FD2D"/>
    <w:rsid w:val="2DC51151"/>
    <w:rsid w:val="2E5F756F"/>
    <w:rsid w:val="2E6A6512"/>
    <w:rsid w:val="3021B4F3"/>
    <w:rsid w:val="30BE1A46"/>
    <w:rsid w:val="33465589"/>
    <w:rsid w:val="3450359C"/>
    <w:rsid w:val="35E120A9"/>
    <w:rsid w:val="3756ECBC"/>
    <w:rsid w:val="37A73A36"/>
    <w:rsid w:val="38554E1A"/>
    <w:rsid w:val="39CF0D6F"/>
    <w:rsid w:val="3C91BD42"/>
    <w:rsid w:val="3E074213"/>
    <w:rsid w:val="3EC5C083"/>
    <w:rsid w:val="3F5B6DFC"/>
    <w:rsid w:val="42603A2E"/>
    <w:rsid w:val="42DAE209"/>
    <w:rsid w:val="45E0D43F"/>
    <w:rsid w:val="49C8DED4"/>
    <w:rsid w:val="4D69C36E"/>
    <w:rsid w:val="4DEBA5A0"/>
    <w:rsid w:val="4E410D4D"/>
    <w:rsid w:val="54317113"/>
    <w:rsid w:val="55D053D3"/>
    <w:rsid w:val="5608B102"/>
    <w:rsid w:val="569FEB9A"/>
    <w:rsid w:val="613606D2"/>
    <w:rsid w:val="674D1536"/>
    <w:rsid w:val="6832BE57"/>
    <w:rsid w:val="6B9439DF"/>
    <w:rsid w:val="73549EAC"/>
    <w:rsid w:val="73B93E07"/>
    <w:rsid w:val="7517AFB9"/>
    <w:rsid w:val="77367C5D"/>
    <w:rsid w:val="774A7FBA"/>
    <w:rsid w:val="783F9759"/>
    <w:rsid w:val="7A016EA5"/>
    <w:rsid w:val="7A269FCC"/>
    <w:rsid w:val="7A814F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6E8B517"/>
  <w15:chartTrackingRefBased/>
  <w15:docId w15:val="{7AB6D6BC-1473-4605-AB5F-7D444F321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3549E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73549EAC"/>
    <w:pPr>
      <w:tabs>
        <w:tab w:val="center" w:pos="4680"/>
        <w:tab w:val="right" w:pos="9360"/>
      </w:tabs>
      <w:spacing w:after="0" w:line="240" w:lineRule="auto"/>
    </w:pPr>
  </w:style>
  <w:style w:type="paragraph" w:styleId="Footer">
    <w:name w:val="footer"/>
    <w:basedOn w:val="Normal"/>
    <w:uiPriority w:val="99"/>
    <w:unhideWhenUsed/>
    <w:rsid w:val="73549EAC"/>
    <w:pPr>
      <w:tabs>
        <w:tab w:val="center" w:pos="4680"/>
        <w:tab w:val="right" w:pos="9360"/>
      </w:tabs>
      <w:spacing w:after="0" w:line="240" w:lineRule="auto"/>
    </w:pPr>
  </w:style>
  <w:style w:type="paragraph" w:styleId="ListParagraph">
    <w:name w:val="List Paragraph"/>
    <w:basedOn w:val="Normal"/>
    <w:uiPriority w:val="34"/>
    <w:qFormat/>
    <w:rsid w:val="73549EA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Majid (2520511)</dc:creator>
  <cp:keywords/>
  <dc:description/>
  <cp:lastModifiedBy>Abdul Majid (2520511)</cp:lastModifiedBy>
  <cp:revision>2</cp:revision>
  <dcterms:created xsi:type="dcterms:W3CDTF">2026-07-02T10:59:00Z</dcterms:created>
  <dcterms:modified xsi:type="dcterms:W3CDTF">2026-07-02T12:20:00Z</dcterms:modified>
</cp:coreProperties>
</file>