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BD2A29" w14:textId="77777777" w:rsidR="00D46E9C" w:rsidRDefault="00D46E9C" w:rsidP="00D46E9C">
      <w:r>
        <w:rPr>
          <w:noProof/>
        </w:rPr>
        <w:drawing>
          <wp:anchor distT="0" distB="0" distL="114300" distR="114300" simplePos="0" relativeHeight="251659264" behindDoc="0" locked="0" layoutInCell="1" allowOverlap="1" wp14:anchorId="573054E9" wp14:editId="74365358">
            <wp:simplePos x="914400" y="914400"/>
            <wp:positionH relativeFrom="column">
              <wp:align>left</wp:align>
            </wp:positionH>
            <wp:positionV relativeFrom="paragraph">
              <wp:align>top</wp:align>
            </wp:positionV>
            <wp:extent cx="1657350" cy="743585"/>
            <wp:effectExtent l="0" t="0" r="0" b="0"/>
            <wp:wrapSquare wrapText="bothSides"/>
            <wp:docPr id="261301171" name="Picture 26130117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743585"/>
                    </a:xfrm>
                    <a:prstGeom prst="rect">
                      <a:avLst/>
                    </a:prstGeom>
                    <a:noFill/>
                  </pic:spPr>
                </pic:pic>
              </a:graphicData>
            </a:graphic>
          </wp:anchor>
        </w:drawing>
      </w:r>
    </w:p>
    <w:p w14:paraId="64073ABD" w14:textId="77777777" w:rsidR="00D46E9C" w:rsidRDefault="00D46E9C" w:rsidP="00D46E9C">
      <w:pPr>
        <w:jc w:val="right"/>
      </w:pPr>
    </w:p>
    <w:p w14:paraId="04654852" w14:textId="77777777" w:rsidR="00D46E9C" w:rsidRPr="00093C62" w:rsidRDefault="00D46E9C" w:rsidP="00D46E9C">
      <w:r>
        <w:br w:type="textWrapping" w:clear="all"/>
      </w:r>
    </w:p>
    <w:p w14:paraId="3C94153B" w14:textId="77777777" w:rsidR="00D46E9C" w:rsidRDefault="00D46E9C" w:rsidP="00D46E9C">
      <w:pPr>
        <w:spacing w:after="165" w:line="360" w:lineRule="auto"/>
        <w:jc w:val="center"/>
        <w:rPr>
          <w:rFonts w:cs="Times New Roman"/>
        </w:rPr>
      </w:pPr>
      <w:r>
        <w:rPr>
          <w:rFonts w:cs="Times New Roman"/>
        </w:rPr>
        <w:tab/>
      </w:r>
    </w:p>
    <w:p w14:paraId="17FF4F0E" w14:textId="77777777" w:rsidR="00D46E9C" w:rsidRPr="00F27031" w:rsidRDefault="00D46E9C" w:rsidP="00D46E9C">
      <w:pPr>
        <w:spacing w:after="165" w:line="360" w:lineRule="auto"/>
        <w:jc w:val="center"/>
        <w:rPr>
          <w:rFonts w:ascii="Tahoma" w:eastAsia="Tahoma" w:hAnsi="Tahoma" w:cs="Tahoma"/>
          <w:color w:val="000000"/>
          <w:sz w:val="40"/>
          <w:szCs w:val="40"/>
          <w:lang w:eastAsia="zh-CN"/>
        </w:rPr>
      </w:pPr>
      <w:r w:rsidRPr="00CA75A4">
        <w:rPr>
          <w:rFonts w:ascii="Tahoma" w:eastAsia="Tahoma" w:hAnsi="Tahoma" w:cs="Tahoma"/>
          <w:b/>
          <w:bCs/>
          <w:color w:val="000000"/>
          <w:sz w:val="40"/>
          <w:szCs w:val="40"/>
          <w:lang w:eastAsia="zh-CN"/>
        </w:rPr>
        <w:t>MSC Engineering Project Management</w:t>
      </w:r>
      <w:r>
        <w:rPr>
          <w:rFonts w:ascii="Tahoma" w:eastAsia="Tahoma" w:hAnsi="Tahoma" w:cs="Tahoma"/>
          <w:b/>
          <w:bCs/>
          <w:color w:val="000000"/>
          <w:sz w:val="40"/>
          <w:szCs w:val="40"/>
          <w:lang w:eastAsia="zh-CN"/>
        </w:rPr>
        <w:t xml:space="preserve"> </w:t>
      </w:r>
      <w:r w:rsidRPr="00F27031">
        <w:rPr>
          <w:rFonts w:ascii="Tahoma" w:eastAsia="Tahoma" w:hAnsi="Tahoma" w:cs="Tahoma"/>
          <w:color w:val="000000"/>
          <w:sz w:val="40"/>
          <w:szCs w:val="40"/>
          <w:lang w:eastAsia="zh-CN"/>
        </w:rPr>
        <w:t xml:space="preserve">Module Assignment Submission </w:t>
      </w:r>
      <w:r w:rsidRPr="00F27031">
        <w:rPr>
          <w:rFonts w:ascii="Tahoma" w:eastAsia="Tahoma" w:hAnsi="Tahoma" w:cs="Tahoma"/>
          <w:color w:val="000000"/>
          <w:sz w:val="40"/>
          <w:szCs w:val="40"/>
          <w:lang w:eastAsia="zh-CN"/>
        </w:rPr>
        <w:br/>
      </w:r>
    </w:p>
    <w:tbl>
      <w:tblPr>
        <w:tblW w:w="94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0"/>
        <w:gridCol w:w="6042"/>
      </w:tblGrid>
      <w:tr w:rsidR="00D46E9C" w:rsidRPr="00F27031" w14:paraId="50510E3F" w14:textId="77777777" w:rsidTr="00406752">
        <w:trPr>
          <w:trHeight w:val="717"/>
        </w:trPr>
        <w:tc>
          <w:tcPr>
            <w:tcW w:w="3430" w:type="dxa"/>
            <w:shd w:val="clear" w:color="auto" w:fill="D9D9D9"/>
          </w:tcPr>
          <w:p w14:paraId="38887EAA" w14:textId="77777777" w:rsidR="00D46E9C" w:rsidRPr="00F27031" w:rsidRDefault="00D46E9C" w:rsidP="00406752">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Student Name:</w:t>
            </w:r>
          </w:p>
        </w:tc>
        <w:tc>
          <w:tcPr>
            <w:tcW w:w="6042" w:type="dxa"/>
          </w:tcPr>
          <w:p w14:paraId="67700A89" w14:textId="77777777" w:rsidR="00D46E9C" w:rsidRPr="00F27031" w:rsidRDefault="00D46E9C" w:rsidP="00406752">
            <w:pPr>
              <w:spacing w:before="120" w:after="120" w:line="360" w:lineRule="auto"/>
              <w:jc w:val="center"/>
              <w:rPr>
                <w:rFonts w:ascii="Tahoma" w:eastAsia="Tahoma" w:hAnsi="Tahoma" w:cs="Tahoma"/>
                <w:sz w:val="32"/>
                <w:szCs w:val="32"/>
                <w:lang w:eastAsia="zh-CN"/>
              </w:rPr>
            </w:pPr>
            <w:r>
              <w:rPr>
                <w:rFonts w:ascii="Tahoma" w:eastAsia="Tahoma" w:hAnsi="Tahoma" w:cs="Tahoma"/>
                <w:sz w:val="32"/>
                <w:szCs w:val="32"/>
                <w:lang w:eastAsia="zh-CN"/>
              </w:rPr>
              <w:t>Armin Tiberiu Polyak</w:t>
            </w:r>
          </w:p>
        </w:tc>
      </w:tr>
      <w:tr w:rsidR="00D46E9C" w:rsidRPr="00F27031" w14:paraId="507CAA70" w14:textId="77777777" w:rsidTr="00406752">
        <w:trPr>
          <w:trHeight w:val="717"/>
        </w:trPr>
        <w:tc>
          <w:tcPr>
            <w:tcW w:w="3430" w:type="dxa"/>
            <w:shd w:val="clear" w:color="auto" w:fill="D9D9D9"/>
          </w:tcPr>
          <w:p w14:paraId="509C76FB" w14:textId="77777777" w:rsidR="00D46E9C" w:rsidRPr="00F27031" w:rsidRDefault="00D46E9C" w:rsidP="00406752">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Student Number:</w:t>
            </w:r>
          </w:p>
        </w:tc>
        <w:tc>
          <w:tcPr>
            <w:tcW w:w="6042" w:type="dxa"/>
          </w:tcPr>
          <w:p w14:paraId="1D8D4AD6" w14:textId="77777777" w:rsidR="00D46E9C" w:rsidRPr="00F27031" w:rsidRDefault="00D46E9C" w:rsidP="00406752">
            <w:pPr>
              <w:spacing w:before="120" w:after="120" w:line="360" w:lineRule="auto"/>
              <w:jc w:val="center"/>
              <w:rPr>
                <w:rFonts w:ascii="Tahoma" w:eastAsia="Tahoma" w:hAnsi="Tahoma" w:cs="Tahoma"/>
                <w:sz w:val="32"/>
                <w:szCs w:val="32"/>
                <w:lang w:eastAsia="zh-CN"/>
              </w:rPr>
            </w:pPr>
            <w:r>
              <w:rPr>
                <w:rFonts w:ascii="Tahoma" w:eastAsia="Tahoma" w:hAnsi="Tahoma" w:cs="Tahoma"/>
                <w:sz w:val="32"/>
                <w:szCs w:val="32"/>
                <w:lang w:eastAsia="zh-CN"/>
              </w:rPr>
              <w:t>1904920</w:t>
            </w:r>
          </w:p>
        </w:tc>
      </w:tr>
      <w:tr w:rsidR="00D46E9C" w:rsidRPr="00F27031" w14:paraId="4C39B86A" w14:textId="77777777" w:rsidTr="00406752">
        <w:trPr>
          <w:trHeight w:val="717"/>
        </w:trPr>
        <w:tc>
          <w:tcPr>
            <w:tcW w:w="3430" w:type="dxa"/>
            <w:shd w:val="clear" w:color="auto" w:fill="D9D9D9"/>
          </w:tcPr>
          <w:p w14:paraId="59A37B74" w14:textId="77777777" w:rsidR="00D46E9C" w:rsidRPr="00F27031" w:rsidRDefault="00D46E9C" w:rsidP="00406752">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Module No:</w:t>
            </w:r>
          </w:p>
        </w:tc>
        <w:tc>
          <w:tcPr>
            <w:tcW w:w="6042" w:type="dxa"/>
          </w:tcPr>
          <w:p w14:paraId="6FC3F923" w14:textId="1BF81E0C" w:rsidR="00D46E9C" w:rsidRPr="005A2916" w:rsidRDefault="00D46E9C" w:rsidP="00406752">
            <w:pPr>
              <w:spacing w:before="120" w:after="120" w:line="360" w:lineRule="auto"/>
              <w:jc w:val="center"/>
              <w:rPr>
                <w:rFonts w:ascii="Tahoma" w:eastAsia="Tahoma" w:hAnsi="Tahoma" w:cs="Tahoma"/>
                <w:color w:val="000000" w:themeColor="text1"/>
                <w:sz w:val="32"/>
                <w:szCs w:val="32"/>
                <w:lang w:eastAsia="zh-CN"/>
              </w:rPr>
            </w:pPr>
            <w:r>
              <w:rPr>
                <w:rFonts w:ascii="Tahoma" w:eastAsia="Tahoma" w:hAnsi="Tahoma" w:cs="Tahoma"/>
                <w:color w:val="000000" w:themeColor="text1"/>
                <w:sz w:val="32"/>
                <w:szCs w:val="32"/>
                <w:lang w:eastAsia="zh-CN"/>
              </w:rPr>
              <w:t>ACHA 7031</w:t>
            </w:r>
          </w:p>
        </w:tc>
      </w:tr>
      <w:tr w:rsidR="00D46E9C" w:rsidRPr="00CA75A4" w14:paraId="4C454042" w14:textId="77777777" w:rsidTr="00406752">
        <w:trPr>
          <w:trHeight w:val="361"/>
        </w:trPr>
        <w:tc>
          <w:tcPr>
            <w:tcW w:w="3430" w:type="dxa"/>
            <w:shd w:val="clear" w:color="auto" w:fill="D9D9D9"/>
          </w:tcPr>
          <w:p w14:paraId="5D64885B" w14:textId="77777777" w:rsidR="00D46E9C" w:rsidRPr="00CA75A4" w:rsidRDefault="00D46E9C" w:rsidP="00406752">
            <w:pPr>
              <w:spacing w:before="120" w:after="120" w:line="360" w:lineRule="auto"/>
              <w:rPr>
                <w:rFonts w:eastAsia="Tahoma" w:cs="Times New Roman"/>
                <w:sz w:val="32"/>
                <w:szCs w:val="32"/>
                <w:lang w:eastAsia="zh-CN"/>
              </w:rPr>
            </w:pPr>
            <w:r w:rsidRPr="00CA75A4">
              <w:rPr>
                <w:rFonts w:eastAsia="Tahoma" w:cs="Times New Roman"/>
                <w:sz w:val="32"/>
                <w:szCs w:val="32"/>
                <w:lang w:eastAsia="zh-CN"/>
              </w:rPr>
              <w:t>Module Title:</w:t>
            </w:r>
          </w:p>
        </w:tc>
        <w:tc>
          <w:tcPr>
            <w:tcW w:w="6042" w:type="dxa"/>
          </w:tcPr>
          <w:p w14:paraId="423D7F31" w14:textId="5C4A7F5E" w:rsidR="00D46E9C" w:rsidRPr="00D46E9C" w:rsidRDefault="00D46E9C" w:rsidP="00406752">
            <w:pPr>
              <w:spacing w:before="200" w:line="360" w:lineRule="auto"/>
              <w:rPr>
                <w:rFonts w:ascii="Tahoma" w:eastAsia="Tahoma" w:hAnsi="Tahoma" w:cs="Tahoma"/>
                <w:bCs/>
                <w:color w:val="000000" w:themeColor="text1"/>
                <w:sz w:val="32"/>
                <w:szCs w:val="32"/>
                <w:lang w:eastAsia="zh-CN"/>
              </w:rPr>
            </w:pPr>
            <w:r w:rsidRPr="00D46E9C">
              <w:rPr>
                <w:rFonts w:ascii="Tahoma" w:hAnsi="Tahoma" w:cs="Tahoma"/>
                <w:bCs/>
                <w:sz w:val="32"/>
                <w:szCs w:val="32"/>
              </w:rPr>
              <w:t xml:space="preserve">      Sustainable Operations Management</w:t>
            </w:r>
            <w:r w:rsidRPr="00D46E9C">
              <w:rPr>
                <w:rFonts w:ascii="Tahoma" w:eastAsia="Tahoma" w:hAnsi="Tahoma" w:cs="Tahoma"/>
                <w:bCs/>
                <w:color w:val="000000" w:themeColor="text1"/>
                <w:sz w:val="32"/>
                <w:szCs w:val="32"/>
                <w:lang w:eastAsia="zh-CN"/>
              </w:rPr>
              <w:t xml:space="preserve"> </w:t>
            </w:r>
          </w:p>
        </w:tc>
      </w:tr>
    </w:tbl>
    <w:p w14:paraId="40103122" w14:textId="77777777" w:rsidR="00D46E9C" w:rsidRDefault="00D46E9C" w:rsidP="00D46E9C">
      <w:pPr>
        <w:spacing w:after="0" w:line="240" w:lineRule="auto"/>
        <w:textAlignment w:val="baseline"/>
        <w:rPr>
          <w:rFonts w:eastAsia="Calibri" w:cs="Times New Roman"/>
          <w:color w:val="FF0000"/>
          <w:sz w:val="32"/>
          <w:szCs w:val="32"/>
          <w:lang w:eastAsia="zh-CN"/>
        </w:rPr>
      </w:pPr>
    </w:p>
    <w:p w14:paraId="174C9362" w14:textId="45E787C4" w:rsidR="00D46E9C" w:rsidRPr="00004908" w:rsidRDefault="00D46E9C" w:rsidP="00D46E9C">
      <w:pPr>
        <w:spacing w:after="0" w:line="240" w:lineRule="auto"/>
        <w:textAlignment w:val="baseline"/>
        <w:rPr>
          <w:rFonts w:cs="Times New Roman"/>
          <w:szCs w:val="24"/>
        </w:rPr>
      </w:pPr>
      <w:r>
        <w:rPr>
          <w:rFonts w:eastAsia="Calibri" w:cs="Times New Roman"/>
          <w:color w:val="FF0000"/>
          <w:sz w:val="32"/>
          <w:szCs w:val="32"/>
          <w:lang w:eastAsia="zh-CN"/>
        </w:rPr>
        <w:t xml:space="preserve">         </w:t>
      </w:r>
      <w:r w:rsidRPr="00004908">
        <w:rPr>
          <w:rFonts w:cs="Times New Roman"/>
          <w:szCs w:val="24"/>
        </w:rPr>
        <w:t>AI Acknowledgement</w:t>
      </w:r>
    </w:p>
    <w:p w14:paraId="6FBECBA6" w14:textId="77777777" w:rsidR="00D46E9C" w:rsidRPr="00004908" w:rsidRDefault="00D46E9C" w:rsidP="00D46E9C">
      <w:pPr>
        <w:spacing w:after="0" w:line="240" w:lineRule="auto"/>
        <w:ind w:left="720"/>
        <w:textAlignment w:val="baseline"/>
        <w:rPr>
          <w:rFonts w:cs="Times New Roman"/>
          <w:szCs w:val="24"/>
        </w:rPr>
      </w:pPr>
    </w:p>
    <w:p w14:paraId="0597903A" w14:textId="5778BC63" w:rsidR="00D46E9C" w:rsidRPr="00004908" w:rsidRDefault="00D46E9C" w:rsidP="00D46E9C">
      <w:pPr>
        <w:spacing w:after="0" w:line="240" w:lineRule="auto"/>
        <w:ind w:left="720"/>
        <w:textAlignment w:val="baseline"/>
        <w:rPr>
          <w:rFonts w:cs="Times New Roman"/>
          <w:szCs w:val="24"/>
        </w:rPr>
      </w:pPr>
      <w:r w:rsidRPr="00004908">
        <w:rPr>
          <w:rFonts w:cs="Times New Roman"/>
          <w:szCs w:val="24"/>
        </w:rPr>
        <w:t xml:space="preserve">I confirm that I have not </w:t>
      </w:r>
      <w:r w:rsidR="006D08E3" w:rsidRPr="00004908">
        <w:rPr>
          <w:rFonts w:cs="Times New Roman"/>
          <w:szCs w:val="24"/>
        </w:rPr>
        <w:t>presented</w:t>
      </w:r>
      <w:r w:rsidRPr="00004908">
        <w:rPr>
          <w:rFonts w:cs="Times New Roman"/>
          <w:szCs w:val="24"/>
        </w:rPr>
        <w:t xml:space="preserve"> any AI-generated materials as my own work in this portfolio.</w:t>
      </w:r>
    </w:p>
    <w:p w14:paraId="2284AA5C" w14:textId="77777777" w:rsidR="00D46E9C" w:rsidRPr="00004908" w:rsidRDefault="00D46E9C" w:rsidP="00D46E9C">
      <w:pPr>
        <w:spacing w:after="0" w:line="240" w:lineRule="auto"/>
        <w:ind w:left="720"/>
        <w:textAlignment w:val="baseline"/>
        <w:rPr>
          <w:rFonts w:cs="Times New Roman"/>
          <w:szCs w:val="24"/>
        </w:rPr>
      </w:pPr>
    </w:p>
    <w:p w14:paraId="5688421E" w14:textId="24A0C173" w:rsidR="00D46E9C" w:rsidRPr="00004908" w:rsidRDefault="00D46E9C" w:rsidP="00D46E9C">
      <w:pPr>
        <w:spacing w:after="0" w:line="240" w:lineRule="auto"/>
        <w:ind w:left="720"/>
        <w:textAlignment w:val="baseline"/>
        <w:rPr>
          <w:rFonts w:cs="Times New Roman"/>
          <w:szCs w:val="24"/>
        </w:rPr>
      </w:pPr>
      <w:r w:rsidRPr="00004908">
        <w:rPr>
          <w:rFonts w:cs="Times New Roman"/>
          <w:szCs w:val="24"/>
        </w:rPr>
        <w:t xml:space="preserve">However, I acknowledge that I have used or may have used </w:t>
      </w:r>
      <w:r w:rsidR="006D08E3" w:rsidRPr="00004908">
        <w:rPr>
          <w:rFonts w:cs="Times New Roman"/>
          <w:szCs w:val="24"/>
        </w:rPr>
        <w:t>AI</w:t>
      </w:r>
      <w:r w:rsidRPr="00004908">
        <w:rPr>
          <w:rFonts w:cs="Times New Roman"/>
          <w:szCs w:val="24"/>
        </w:rPr>
        <w:t xml:space="preserve"> in the research and proofreading of my portfolio.</w:t>
      </w:r>
    </w:p>
    <w:p w14:paraId="445D69AA" w14:textId="77777777" w:rsidR="00D46E9C" w:rsidRPr="00004908" w:rsidRDefault="00D46E9C" w:rsidP="00D46E9C">
      <w:pPr>
        <w:spacing w:after="0" w:line="240" w:lineRule="auto"/>
        <w:ind w:left="720"/>
        <w:textAlignment w:val="baseline"/>
        <w:rPr>
          <w:rFonts w:cs="Times New Roman"/>
          <w:szCs w:val="24"/>
        </w:rPr>
      </w:pPr>
    </w:p>
    <w:p w14:paraId="4EAB86C2" w14:textId="77777777" w:rsidR="00D46E9C" w:rsidRPr="00004908" w:rsidRDefault="00D46E9C" w:rsidP="00D46E9C">
      <w:pPr>
        <w:spacing w:after="0" w:line="240" w:lineRule="auto"/>
        <w:ind w:left="720"/>
        <w:textAlignment w:val="baseline"/>
        <w:rPr>
          <w:rFonts w:cs="Times New Roman"/>
          <w:szCs w:val="24"/>
        </w:rPr>
      </w:pPr>
      <w:r w:rsidRPr="00004908">
        <w:rPr>
          <w:rFonts w:cs="Times New Roman"/>
          <w:szCs w:val="24"/>
        </w:rPr>
        <w:t>Name: Armin Polyak</w:t>
      </w:r>
    </w:p>
    <w:p w14:paraId="255D9ED0" w14:textId="59976395" w:rsidR="00D46E9C" w:rsidRDefault="00D46E9C" w:rsidP="00D46E9C">
      <w:pPr>
        <w:spacing w:after="0" w:line="240" w:lineRule="auto"/>
        <w:ind w:left="720"/>
        <w:textAlignment w:val="baseline"/>
        <w:rPr>
          <w:rFonts w:cs="Times New Roman"/>
          <w:szCs w:val="24"/>
        </w:rPr>
      </w:pPr>
      <w:r w:rsidRPr="00004908">
        <w:rPr>
          <w:rFonts w:cs="Times New Roman"/>
          <w:szCs w:val="24"/>
        </w:rPr>
        <w:t xml:space="preserve">Student </w:t>
      </w:r>
      <w:r w:rsidR="006D08E3" w:rsidRPr="00004908">
        <w:rPr>
          <w:rFonts w:cs="Times New Roman"/>
          <w:szCs w:val="24"/>
        </w:rPr>
        <w:t>ID:</w:t>
      </w:r>
      <w:r w:rsidRPr="00004908">
        <w:rPr>
          <w:rFonts w:cs="Times New Roman"/>
          <w:szCs w:val="24"/>
        </w:rPr>
        <w:t xml:space="preserve"> 1904920</w:t>
      </w:r>
    </w:p>
    <w:p w14:paraId="13A25F57" w14:textId="77777777" w:rsidR="00D46E9C" w:rsidRDefault="00D46E9C" w:rsidP="00D46E9C">
      <w:pPr>
        <w:spacing w:after="0" w:line="240" w:lineRule="auto"/>
        <w:ind w:left="720"/>
        <w:textAlignment w:val="baseline"/>
        <w:rPr>
          <w:rFonts w:cs="Times New Roman"/>
          <w:szCs w:val="24"/>
        </w:rPr>
      </w:pPr>
    </w:p>
    <w:p w14:paraId="006B8F33" w14:textId="77777777" w:rsidR="00D46E9C" w:rsidRPr="00D46E9C" w:rsidRDefault="00D46E9C">
      <w:pPr>
        <w:spacing w:after="120"/>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B5EC95" w14:textId="77777777" w:rsidR="00D46E9C" w:rsidRDefault="00D46E9C" w:rsidP="00D46E9C">
      <w:pPr>
        <w:spacing w:after="120"/>
        <w:rPr>
          <w:rFonts w:asciiTheme="majorHAnsi" w:hAnsiTheme="majorHAnsi" w:cstheme="majorHAnsi"/>
          <w:bCs/>
          <w:color w:val="4F81BD" w:themeColor="accent1"/>
          <w:sz w:val="28"/>
          <w:szCs w:val="2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A5EBDA1" w14:textId="18A57CEA" w:rsidR="00D46E9C" w:rsidRPr="00CD441A" w:rsidRDefault="00D46E9C" w:rsidP="00D46E9C">
      <w:pPr>
        <w:spacing w:after="120"/>
        <w:rPr>
          <w:rFonts w:asciiTheme="majorHAnsi" w:hAnsiTheme="majorHAnsi" w:cstheme="majorHAnsi"/>
          <w:b/>
          <w:color w:val="4F81BD" w:themeColor="accent1"/>
          <w:sz w:val="28"/>
          <w:szCs w:val="2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441A">
        <w:rPr>
          <w:rFonts w:asciiTheme="majorHAnsi" w:hAnsiTheme="majorHAnsi" w:cstheme="majorHAnsi"/>
          <w:b/>
          <w:color w:val="4F81BD" w:themeColor="accent1"/>
          <w:sz w:val="28"/>
          <w:szCs w:val="2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Executive Summary</w:t>
      </w:r>
    </w:p>
    <w:p w14:paraId="50620951" w14:textId="77777777" w:rsidR="00D46E9C" w:rsidRDefault="00D46E9C" w:rsidP="00D46E9C">
      <w:pPr>
        <w:spacing w:after="120"/>
        <w:rPr>
          <w:lang w:val="en-GB"/>
        </w:rPr>
      </w:pPr>
    </w:p>
    <w:p w14:paraId="5F9D9457" w14:textId="2B49FC55" w:rsidR="00D46E9C" w:rsidRPr="00D46E9C" w:rsidRDefault="00D46E9C" w:rsidP="00D46E9C">
      <w:pPr>
        <w:spacing w:after="120"/>
        <w:rPr>
          <w:lang w:val="en-GB"/>
        </w:rPr>
      </w:pPr>
      <w:r w:rsidRPr="00D46E9C">
        <w:rPr>
          <w:lang w:val="en-GB"/>
        </w:rPr>
        <w:t>This report critically evaluates the operational and sustainability challenges currently affecting Brocksweir Engineering Ltd, with particular focus on inventory management inefficiencies within the sand foundry operation. The company has experienced increased operational pressure due to rising disposal costs associated with hazardous foundry materials, excessive stockholding of short shelf-life resins, and a lack of effective inventory control systems. Approximately £20,000 of obsolete resin inventory has been identified, creating significant financial and environmental liabilities.</w:t>
      </w:r>
    </w:p>
    <w:p w14:paraId="3B50B90E" w14:textId="77777777" w:rsidR="00D46E9C" w:rsidRPr="00D46E9C" w:rsidRDefault="00D46E9C" w:rsidP="00D46E9C">
      <w:pPr>
        <w:spacing w:after="120"/>
        <w:rPr>
          <w:lang w:val="en-GB"/>
        </w:rPr>
      </w:pPr>
      <w:r w:rsidRPr="00D46E9C">
        <w:rPr>
          <w:lang w:val="en-GB"/>
        </w:rPr>
        <w:t>The report evaluates a range of inventory management techniques including Economic Order Quantity (EOQ), Vendor Managed Inventory (VMI), ABC inventory analysis, Enterprise Resource Planning (ERP) systems, lean manufacturing principles and FIFO stock rotation systems. These approaches are critically assessed in relation to their operational benefits, implementation limitations and suitability for Brocksweir’s foundry environment.</w:t>
      </w:r>
    </w:p>
    <w:p w14:paraId="22D813B2" w14:textId="77777777" w:rsidR="00D46E9C" w:rsidRPr="00D46E9C" w:rsidRDefault="00D46E9C" w:rsidP="00D46E9C">
      <w:pPr>
        <w:spacing w:after="120"/>
        <w:rPr>
          <w:lang w:val="en-GB"/>
        </w:rPr>
      </w:pPr>
      <w:r w:rsidRPr="00D46E9C">
        <w:rPr>
          <w:lang w:val="en-GB"/>
        </w:rPr>
        <w:t>In addition, the report analyses alternative strategies for managing obsolete inventory, including hazardous waste disposal, recycling and recovery opportunities, reverse logistics systems and circular economy approaches. The importance of sustainability-focused inventory governance and environmental compliance is also discussed.</w:t>
      </w:r>
    </w:p>
    <w:p w14:paraId="567863B0" w14:textId="77777777" w:rsidR="00D46E9C" w:rsidRPr="00D46E9C" w:rsidRDefault="00D46E9C" w:rsidP="00D46E9C">
      <w:pPr>
        <w:spacing w:after="120"/>
        <w:rPr>
          <w:lang w:val="en-GB"/>
        </w:rPr>
      </w:pPr>
      <w:r w:rsidRPr="00D46E9C">
        <w:rPr>
          <w:lang w:val="en-GB"/>
        </w:rPr>
        <w:t>Furthermore, the report examines measures required to improve lead time visibility across the organisation and its extended enterprise network. Key recommendations include process mapping, value stream mapping, supplier performance monitoring, digital supply chain integration and stronger risk management practices.</w:t>
      </w:r>
    </w:p>
    <w:p w14:paraId="6395307A" w14:textId="77777777" w:rsidR="00D46E9C" w:rsidRPr="00D46E9C" w:rsidRDefault="00D46E9C" w:rsidP="00D46E9C">
      <w:pPr>
        <w:spacing w:after="120"/>
        <w:rPr>
          <w:lang w:val="en-GB"/>
        </w:rPr>
      </w:pPr>
      <w:r w:rsidRPr="00D46E9C">
        <w:rPr>
          <w:lang w:val="en-GB"/>
        </w:rPr>
        <w:t>Overall, the report concludes that Brocksweir Engineering Ltd can significantly improve operational efficiency, sustainability performance and supply chain resilience through the implementation of integrated inventory management systems, stronger supplier coordination and more strategic operational governance.</w:t>
      </w:r>
    </w:p>
    <w:p w14:paraId="0A1BA25B" w14:textId="77777777" w:rsidR="00D46E9C" w:rsidRDefault="00D46E9C">
      <w:pPr>
        <w:spacing w:after="120"/>
      </w:pPr>
    </w:p>
    <w:p w14:paraId="68C622CD" w14:textId="77777777" w:rsidR="00D46E9C" w:rsidRDefault="00D46E9C">
      <w:pPr>
        <w:spacing w:after="120"/>
      </w:pPr>
    </w:p>
    <w:p w14:paraId="5C5A32AE" w14:textId="77777777" w:rsidR="00D46E9C" w:rsidRDefault="00D46E9C">
      <w:pPr>
        <w:spacing w:after="120"/>
      </w:pPr>
    </w:p>
    <w:p w14:paraId="27279EE1" w14:textId="77777777" w:rsidR="00D46E9C" w:rsidRDefault="00D46E9C">
      <w:pPr>
        <w:spacing w:after="120"/>
      </w:pPr>
    </w:p>
    <w:p w14:paraId="41CB17AA" w14:textId="77777777" w:rsidR="00D46E9C" w:rsidRDefault="00D46E9C">
      <w:pPr>
        <w:spacing w:after="120"/>
      </w:pPr>
    </w:p>
    <w:p w14:paraId="6B58E3AA" w14:textId="77777777" w:rsidR="00D46E9C" w:rsidRDefault="00D46E9C">
      <w:pPr>
        <w:spacing w:after="120"/>
      </w:pPr>
    </w:p>
    <w:sdt>
      <w:sdtPr>
        <w:rPr>
          <w:rFonts w:ascii="Times New Roman" w:eastAsia="Times New Roman" w:hAnsi="Times New Roman" w:cstheme="minorBidi"/>
          <w:b w:val="0"/>
          <w:bCs w:val="0"/>
          <w:color w:val="auto"/>
          <w:sz w:val="24"/>
          <w:szCs w:val="22"/>
          <w:lang w:val="en-GB"/>
        </w:rPr>
        <w:id w:val="856925230"/>
        <w:docPartObj>
          <w:docPartGallery w:val="Table of Contents"/>
          <w:docPartUnique/>
        </w:docPartObj>
      </w:sdtPr>
      <w:sdtEndPr>
        <w:rPr>
          <w:lang w:val="en-US"/>
        </w:rPr>
      </w:sdtEndPr>
      <w:sdtContent>
        <w:p w14:paraId="7418A259" w14:textId="118795C7" w:rsidR="00FC49CD" w:rsidRDefault="00FC49CD">
          <w:pPr>
            <w:pStyle w:val="TOCHeading"/>
          </w:pPr>
          <w:r>
            <w:rPr>
              <w:lang w:val="en-GB"/>
            </w:rPr>
            <w:t>Table of Contents</w:t>
          </w:r>
        </w:p>
        <w:p w14:paraId="3436FF7D" w14:textId="45A81CF9" w:rsidR="00D46E9C" w:rsidRDefault="00FC49CD">
          <w:pPr>
            <w:pStyle w:val="TOC1"/>
            <w:tabs>
              <w:tab w:val="right" w:leader="dot" w:pos="8630"/>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29685866" w:history="1">
            <w:r w:rsidR="00D46E9C" w:rsidRPr="00E3391D">
              <w:rPr>
                <w:rStyle w:val="Hyperlink"/>
                <w:noProof/>
              </w:rPr>
              <w:t>1. Introduction</w:t>
            </w:r>
            <w:r w:rsidR="00D46E9C">
              <w:rPr>
                <w:noProof/>
                <w:webHidden/>
              </w:rPr>
              <w:tab/>
            </w:r>
            <w:r w:rsidR="00D46E9C">
              <w:rPr>
                <w:noProof/>
                <w:webHidden/>
              </w:rPr>
              <w:fldChar w:fldCharType="begin"/>
            </w:r>
            <w:r w:rsidR="00D46E9C">
              <w:rPr>
                <w:noProof/>
                <w:webHidden/>
              </w:rPr>
              <w:instrText xml:space="preserve"> PAGEREF _Toc229685866 \h </w:instrText>
            </w:r>
            <w:r w:rsidR="00D46E9C">
              <w:rPr>
                <w:noProof/>
                <w:webHidden/>
              </w:rPr>
            </w:r>
            <w:r w:rsidR="00D46E9C">
              <w:rPr>
                <w:noProof/>
                <w:webHidden/>
              </w:rPr>
              <w:fldChar w:fldCharType="separate"/>
            </w:r>
            <w:r w:rsidR="00D46E9C">
              <w:rPr>
                <w:noProof/>
                <w:webHidden/>
              </w:rPr>
              <w:t>4</w:t>
            </w:r>
            <w:r w:rsidR="00D46E9C">
              <w:rPr>
                <w:noProof/>
                <w:webHidden/>
              </w:rPr>
              <w:fldChar w:fldCharType="end"/>
            </w:r>
          </w:hyperlink>
        </w:p>
        <w:p w14:paraId="3CF420B9" w14:textId="1E51A924"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67" w:history="1">
            <w:r w:rsidRPr="00E3391D">
              <w:rPr>
                <w:rStyle w:val="Hyperlink"/>
                <w:noProof/>
              </w:rPr>
              <w:t>1.1 Background of Brocksweir Engineering Ltd</w:t>
            </w:r>
            <w:r>
              <w:rPr>
                <w:noProof/>
                <w:webHidden/>
              </w:rPr>
              <w:tab/>
            </w:r>
            <w:r>
              <w:rPr>
                <w:noProof/>
                <w:webHidden/>
              </w:rPr>
              <w:fldChar w:fldCharType="begin"/>
            </w:r>
            <w:r>
              <w:rPr>
                <w:noProof/>
                <w:webHidden/>
              </w:rPr>
              <w:instrText xml:space="preserve"> PAGEREF _Toc229685867 \h </w:instrText>
            </w:r>
            <w:r>
              <w:rPr>
                <w:noProof/>
                <w:webHidden/>
              </w:rPr>
            </w:r>
            <w:r>
              <w:rPr>
                <w:noProof/>
                <w:webHidden/>
              </w:rPr>
              <w:fldChar w:fldCharType="separate"/>
            </w:r>
            <w:r>
              <w:rPr>
                <w:noProof/>
                <w:webHidden/>
              </w:rPr>
              <w:t>4</w:t>
            </w:r>
            <w:r>
              <w:rPr>
                <w:noProof/>
                <w:webHidden/>
              </w:rPr>
              <w:fldChar w:fldCharType="end"/>
            </w:r>
          </w:hyperlink>
        </w:p>
        <w:p w14:paraId="7C982987" w14:textId="4FF958D1"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68" w:history="1">
            <w:r w:rsidRPr="00E3391D">
              <w:rPr>
                <w:rStyle w:val="Hyperlink"/>
                <w:noProof/>
              </w:rPr>
              <w:t>1.2 Sustainable Operations Management</w:t>
            </w:r>
            <w:r>
              <w:rPr>
                <w:noProof/>
                <w:webHidden/>
              </w:rPr>
              <w:tab/>
            </w:r>
            <w:r>
              <w:rPr>
                <w:noProof/>
                <w:webHidden/>
              </w:rPr>
              <w:fldChar w:fldCharType="begin"/>
            </w:r>
            <w:r>
              <w:rPr>
                <w:noProof/>
                <w:webHidden/>
              </w:rPr>
              <w:instrText xml:space="preserve"> PAGEREF _Toc229685868 \h </w:instrText>
            </w:r>
            <w:r>
              <w:rPr>
                <w:noProof/>
                <w:webHidden/>
              </w:rPr>
            </w:r>
            <w:r>
              <w:rPr>
                <w:noProof/>
                <w:webHidden/>
              </w:rPr>
              <w:fldChar w:fldCharType="separate"/>
            </w:r>
            <w:r>
              <w:rPr>
                <w:noProof/>
                <w:webHidden/>
              </w:rPr>
              <w:t>5</w:t>
            </w:r>
            <w:r>
              <w:rPr>
                <w:noProof/>
                <w:webHidden/>
              </w:rPr>
              <w:fldChar w:fldCharType="end"/>
            </w:r>
          </w:hyperlink>
        </w:p>
        <w:p w14:paraId="747E1574" w14:textId="122D7E2E"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69" w:history="1">
            <w:r w:rsidRPr="00E3391D">
              <w:rPr>
                <w:rStyle w:val="Hyperlink"/>
                <w:noProof/>
              </w:rPr>
              <w:t>2. Managing Sand and Resin Inventory</w:t>
            </w:r>
            <w:r>
              <w:rPr>
                <w:noProof/>
                <w:webHidden/>
              </w:rPr>
              <w:tab/>
            </w:r>
            <w:r>
              <w:rPr>
                <w:noProof/>
                <w:webHidden/>
              </w:rPr>
              <w:fldChar w:fldCharType="begin"/>
            </w:r>
            <w:r>
              <w:rPr>
                <w:noProof/>
                <w:webHidden/>
              </w:rPr>
              <w:instrText xml:space="preserve"> PAGEREF _Toc229685869 \h </w:instrText>
            </w:r>
            <w:r>
              <w:rPr>
                <w:noProof/>
                <w:webHidden/>
              </w:rPr>
            </w:r>
            <w:r>
              <w:rPr>
                <w:noProof/>
                <w:webHidden/>
              </w:rPr>
              <w:fldChar w:fldCharType="separate"/>
            </w:r>
            <w:r>
              <w:rPr>
                <w:noProof/>
                <w:webHidden/>
              </w:rPr>
              <w:t>5</w:t>
            </w:r>
            <w:r>
              <w:rPr>
                <w:noProof/>
                <w:webHidden/>
              </w:rPr>
              <w:fldChar w:fldCharType="end"/>
            </w:r>
          </w:hyperlink>
        </w:p>
        <w:p w14:paraId="2409F542" w14:textId="371B8DA3"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70" w:history="1">
            <w:r w:rsidRPr="00E3391D">
              <w:rPr>
                <w:rStyle w:val="Hyperlink"/>
                <w:noProof/>
              </w:rPr>
              <w:t>2.1 ERP Systems and Digital Inventory Control</w:t>
            </w:r>
            <w:r>
              <w:rPr>
                <w:noProof/>
                <w:webHidden/>
              </w:rPr>
              <w:tab/>
            </w:r>
            <w:r>
              <w:rPr>
                <w:noProof/>
                <w:webHidden/>
              </w:rPr>
              <w:fldChar w:fldCharType="begin"/>
            </w:r>
            <w:r>
              <w:rPr>
                <w:noProof/>
                <w:webHidden/>
              </w:rPr>
              <w:instrText xml:space="preserve"> PAGEREF _Toc229685870 \h </w:instrText>
            </w:r>
            <w:r>
              <w:rPr>
                <w:noProof/>
                <w:webHidden/>
              </w:rPr>
            </w:r>
            <w:r>
              <w:rPr>
                <w:noProof/>
                <w:webHidden/>
              </w:rPr>
              <w:fldChar w:fldCharType="separate"/>
            </w:r>
            <w:r>
              <w:rPr>
                <w:noProof/>
                <w:webHidden/>
              </w:rPr>
              <w:t>6</w:t>
            </w:r>
            <w:r>
              <w:rPr>
                <w:noProof/>
                <w:webHidden/>
              </w:rPr>
              <w:fldChar w:fldCharType="end"/>
            </w:r>
          </w:hyperlink>
        </w:p>
        <w:p w14:paraId="2D12B108" w14:textId="4D6E7B50"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71" w:history="1">
            <w:r w:rsidRPr="00E3391D">
              <w:rPr>
                <w:rStyle w:val="Hyperlink"/>
                <w:noProof/>
              </w:rPr>
              <w:t>2.2 Economic Order Quantity</w:t>
            </w:r>
            <w:r>
              <w:rPr>
                <w:noProof/>
                <w:webHidden/>
              </w:rPr>
              <w:tab/>
            </w:r>
            <w:r>
              <w:rPr>
                <w:noProof/>
                <w:webHidden/>
              </w:rPr>
              <w:fldChar w:fldCharType="begin"/>
            </w:r>
            <w:r>
              <w:rPr>
                <w:noProof/>
                <w:webHidden/>
              </w:rPr>
              <w:instrText xml:space="preserve"> PAGEREF _Toc229685871 \h </w:instrText>
            </w:r>
            <w:r>
              <w:rPr>
                <w:noProof/>
                <w:webHidden/>
              </w:rPr>
            </w:r>
            <w:r>
              <w:rPr>
                <w:noProof/>
                <w:webHidden/>
              </w:rPr>
              <w:fldChar w:fldCharType="separate"/>
            </w:r>
            <w:r>
              <w:rPr>
                <w:noProof/>
                <w:webHidden/>
              </w:rPr>
              <w:t>6</w:t>
            </w:r>
            <w:r>
              <w:rPr>
                <w:noProof/>
                <w:webHidden/>
              </w:rPr>
              <w:fldChar w:fldCharType="end"/>
            </w:r>
          </w:hyperlink>
        </w:p>
        <w:p w14:paraId="411E4165" w14:textId="430591EB"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72" w:history="1">
            <w:r w:rsidRPr="00E3391D">
              <w:rPr>
                <w:rStyle w:val="Hyperlink"/>
                <w:noProof/>
              </w:rPr>
              <w:t>2.3 ABC Inventory Analysis</w:t>
            </w:r>
            <w:r>
              <w:rPr>
                <w:noProof/>
                <w:webHidden/>
              </w:rPr>
              <w:tab/>
            </w:r>
            <w:r>
              <w:rPr>
                <w:noProof/>
                <w:webHidden/>
              </w:rPr>
              <w:fldChar w:fldCharType="begin"/>
            </w:r>
            <w:r>
              <w:rPr>
                <w:noProof/>
                <w:webHidden/>
              </w:rPr>
              <w:instrText xml:space="preserve"> PAGEREF _Toc229685872 \h </w:instrText>
            </w:r>
            <w:r>
              <w:rPr>
                <w:noProof/>
                <w:webHidden/>
              </w:rPr>
            </w:r>
            <w:r>
              <w:rPr>
                <w:noProof/>
                <w:webHidden/>
              </w:rPr>
              <w:fldChar w:fldCharType="separate"/>
            </w:r>
            <w:r>
              <w:rPr>
                <w:noProof/>
                <w:webHidden/>
              </w:rPr>
              <w:t>7</w:t>
            </w:r>
            <w:r>
              <w:rPr>
                <w:noProof/>
                <w:webHidden/>
              </w:rPr>
              <w:fldChar w:fldCharType="end"/>
            </w:r>
          </w:hyperlink>
        </w:p>
        <w:p w14:paraId="40BF9017" w14:textId="0AB055F2"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73" w:history="1">
            <w:r w:rsidRPr="00E3391D">
              <w:rPr>
                <w:rStyle w:val="Hyperlink"/>
                <w:noProof/>
              </w:rPr>
              <w:t>2.4 Vendor Managed Inventory</w:t>
            </w:r>
            <w:r>
              <w:rPr>
                <w:noProof/>
                <w:webHidden/>
              </w:rPr>
              <w:tab/>
            </w:r>
            <w:r>
              <w:rPr>
                <w:noProof/>
                <w:webHidden/>
              </w:rPr>
              <w:fldChar w:fldCharType="begin"/>
            </w:r>
            <w:r>
              <w:rPr>
                <w:noProof/>
                <w:webHidden/>
              </w:rPr>
              <w:instrText xml:space="preserve"> PAGEREF _Toc229685873 \h </w:instrText>
            </w:r>
            <w:r>
              <w:rPr>
                <w:noProof/>
                <w:webHidden/>
              </w:rPr>
            </w:r>
            <w:r>
              <w:rPr>
                <w:noProof/>
                <w:webHidden/>
              </w:rPr>
              <w:fldChar w:fldCharType="separate"/>
            </w:r>
            <w:r>
              <w:rPr>
                <w:noProof/>
                <w:webHidden/>
              </w:rPr>
              <w:t>7</w:t>
            </w:r>
            <w:r>
              <w:rPr>
                <w:noProof/>
                <w:webHidden/>
              </w:rPr>
              <w:fldChar w:fldCharType="end"/>
            </w:r>
          </w:hyperlink>
        </w:p>
        <w:p w14:paraId="10079860" w14:textId="3E618A66"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74" w:history="1">
            <w:r w:rsidRPr="00E3391D">
              <w:rPr>
                <w:rStyle w:val="Hyperlink"/>
                <w:noProof/>
              </w:rPr>
              <w:t>2.5 Lean and Just-in-Time Operations</w:t>
            </w:r>
            <w:r>
              <w:rPr>
                <w:noProof/>
                <w:webHidden/>
              </w:rPr>
              <w:tab/>
            </w:r>
            <w:r>
              <w:rPr>
                <w:noProof/>
                <w:webHidden/>
              </w:rPr>
              <w:fldChar w:fldCharType="begin"/>
            </w:r>
            <w:r>
              <w:rPr>
                <w:noProof/>
                <w:webHidden/>
              </w:rPr>
              <w:instrText xml:space="preserve"> PAGEREF _Toc229685874 \h </w:instrText>
            </w:r>
            <w:r>
              <w:rPr>
                <w:noProof/>
                <w:webHidden/>
              </w:rPr>
            </w:r>
            <w:r>
              <w:rPr>
                <w:noProof/>
                <w:webHidden/>
              </w:rPr>
              <w:fldChar w:fldCharType="separate"/>
            </w:r>
            <w:r>
              <w:rPr>
                <w:noProof/>
                <w:webHidden/>
              </w:rPr>
              <w:t>8</w:t>
            </w:r>
            <w:r>
              <w:rPr>
                <w:noProof/>
                <w:webHidden/>
              </w:rPr>
              <w:fldChar w:fldCharType="end"/>
            </w:r>
          </w:hyperlink>
        </w:p>
        <w:p w14:paraId="0E6D626F" w14:textId="12D9EEAA"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75" w:history="1">
            <w:r w:rsidRPr="00E3391D">
              <w:rPr>
                <w:rStyle w:val="Hyperlink"/>
                <w:noProof/>
              </w:rPr>
              <w:t>2.6 Sustainability and Environmental Management</w:t>
            </w:r>
            <w:r>
              <w:rPr>
                <w:noProof/>
                <w:webHidden/>
              </w:rPr>
              <w:tab/>
            </w:r>
            <w:r>
              <w:rPr>
                <w:noProof/>
                <w:webHidden/>
              </w:rPr>
              <w:fldChar w:fldCharType="begin"/>
            </w:r>
            <w:r>
              <w:rPr>
                <w:noProof/>
                <w:webHidden/>
              </w:rPr>
              <w:instrText xml:space="preserve"> PAGEREF _Toc229685875 \h </w:instrText>
            </w:r>
            <w:r>
              <w:rPr>
                <w:noProof/>
                <w:webHidden/>
              </w:rPr>
            </w:r>
            <w:r>
              <w:rPr>
                <w:noProof/>
                <w:webHidden/>
              </w:rPr>
              <w:fldChar w:fldCharType="separate"/>
            </w:r>
            <w:r>
              <w:rPr>
                <w:noProof/>
                <w:webHidden/>
              </w:rPr>
              <w:t>8</w:t>
            </w:r>
            <w:r>
              <w:rPr>
                <w:noProof/>
                <w:webHidden/>
              </w:rPr>
              <w:fldChar w:fldCharType="end"/>
            </w:r>
          </w:hyperlink>
        </w:p>
        <w:p w14:paraId="156601B6" w14:textId="6509D6C3"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76" w:history="1">
            <w:r w:rsidRPr="00E3391D">
              <w:rPr>
                <w:rStyle w:val="Hyperlink"/>
                <w:noProof/>
              </w:rPr>
              <w:t>2.7 Warehouse Governance and FIFO Systems</w:t>
            </w:r>
            <w:r>
              <w:rPr>
                <w:noProof/>
                <w:webHidden/>
              </w:rPr>
              <w:tab/>
            </w:r>
            <w:r>
              <w:rPr>
                <w:noProof/>
                <w:webHidden/>
              </w:rPr>
              <w:fldChar w:fldCharType="begin"/>
            </w:r>
            <w:r>
              <w:rPr>
                <w:noProof/>
                <w:webHidden/>
              </w:rPr>
              <w:instrText xml:space="preserve"> PAGEREF _Toc229685876 \h </w:instrText>
            </w:r>
            <w:r>
              <w:rPr>
                <w:noProof/>
                <w:webHidden/>
              </w:rPr>
            </w:r>
            <w:r>
              <w:rPr>
                <w:noProof/>
                <w:webHidden/>
              </w:rPr>
              <w:fldChar w:fldCharType="separate"/>
            </w:r>
            <w:r>
              <w:rPr>
                <w:noProof/>
                <w:webHidden/>
              </w:rPr>
              <w:t>9</w:t>
            </w:r>
            <w:r>
              <w:rPr>
                <w:noProof/>
                <w:webHidden/>
              </w:rPr>
              <w:fldChar w:fldCharType="end"/>
            </w:r>
          </w:hyperlink>
        </w:p>
        <w:p w14:paraId="055C5E3D" w14:textId="7CD4D238"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77" w:history="1">
            <w:r w:rsidRPr="00E3391D">
              <w:rPr>
                <w:rStyle w:val="Hyperlink"/>
                <w:noProof/>
              </w:rPr>
              <w:t>3. Managing Obsolete Stock</w:t>
            </w:r>
            <w:r>
              <w:rPr>
                <w:noProof/>
                <w:webHidden/>
              </w:rPr>
              <w:tab/>
            </w:r>
            <w:r>
              <w:rPr>
                <w:noProof/>
                <w:webHidden/>
              </w:rPr>
              <w:fldChar w:fldCharType="begin"/>
            </w:r>
            <w:r>
              <w:rPr>
                <w:noProof/>
                <w:webHidden/>
              </w:rPr>
              <w:instrText xml:space="preserve"> PAGEREF _Toc229685877 \h </w:instrText>
            </w:r>
            <w:r>
              <w:rPr>
                <w:noProof/>
                <w:webHidden/>
              </w:rPr>
            </w:r>
            <w:r>
              <w:rPr>
                <w:noProof/>
                <w:webHidden/>
              </w:rPr>
              <w:fldChar w:fldCharType="separate"/>
            </w:r>
            <w:r>
              <w:rPr>
                <w:noProof/>
                <w:webHidden/>
              </w:rPr>
              <w:t>9</w:t>
            </w:r>
            <w:r>
              <w:rPr>
                <w:noProof/>
                <w:webHidden/>
              </w:rPr>
              <w:fldChar w:fldCharType="end"/>
            </w:r>
          </w:hyperlink>
        </w:p>
        <w:p w14:paraId="439809B3" w14:textId="7007356A"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78" w:history="1">
            <w:r w:rsidRPr="00E3391D">
              <w:rPr>
                <w:rStyle w:val="Hyperlink"/>
                <w:noProof/>
              </w:rPr>
              <w:t>3.1 Hazardous Waste Disposal</w:t>
            </w:r>
            <w:r>
              <w:rPr>
                <w:noProof/>
                <w:webHidden/>
              </w:rPr>
              <w:tab/>
            </w:r>
            <w:r>
              <w:rPr>
                <w:noProof/>
                <w:webHidden/>
              </w:rPr>
              <w:fldChar w:fldCharType="begin"/>
            </w:r>
            <w:r>
              <w:rPr>
                <w:noProof/>
                <w:webHidden/>
              </w:rPr>
              <w:instrText xml:space="preserve"> PAGEREF _Toc229685878 \h </w:instrText>
            </w:r>
            <w:r>
              <w:rPr>
                <w:noProof/>
                <w:webHidden/>
              </w:rPr>
            </w:r>
            <w:r>
              <w:rPr>
                <w:noProof/>
                <w:webHidden/>
              </w:rPr>
              <w:fldChar w:fldCharType="separate"/>
            </w:r>
            <w:r>
              <w:rPr>
                <w:noProof/>
                <w:webHidden/>
              </w:rPr>
              <w:t>9</w:t>
            </w:r>
            <w:r>
              <w:rPr>
                <w:noProof/>
                <w:webHidden/>
              </w:rPr>
              <w:fldChar w:fldCharType="end"/>
            </w:r>
          </w:hyperlink>
        </w:p>
        <w:p w14:paraId="3AB8F311" w14:textId="0C7562E9"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79" w:history="1">
            <w:r w:rsidRPr="00E3391D">
              <w:rPr>
                <w:rStyle w:val="Hyperlink"/>
                <w:noProof/>
              </w:rPr>
              <w:t>3.2 Recycling and Recovery Opportunities</w:t>
            </w:r>
            <w:r>
              <w:rPr>
                <w:noProof/>
                <w:webHidden/>
              </w:rPr>
              <w:tab/>
            </w:r>
            <w:r>
              <w:rPr>
                <w:noProof/>
                <w:webHidden/>
              </w:rPr>
              <w:fldChar w:fldCharType="begin"/>
            </w:r>
            <w:r>
              <w:rPr>
                <w:noProof/>
                <w:webHidden/>
              </w:rPr>
              <w:instrText xml:space="preserve"> PAGEREF _Toc229685879 \h </w:instrText>
            </w:r>
            <w:r>
              <w:rPr>
                <w:noProof/>
                <w:webHidden/>
              </w:rPr>
            </w:r>
            <w:r>
              <w:rPr>
                <w:noProof/>
                <w:webHidden/>
              </w:rPr>
              <w:fldChar w:fldCharType="separate"/>
            </w:r>
            <w:r>
              <w:rPr>
                <w:noProof/>
                <w:webHidden/>
              </w:rPr>
              <w:t>9</w:t>
            </w:r>
            <w:r>
              <w:rPr>
                <w:noProof/>
                <w:webHidden/>
              </w:rPr>
              <w:fldChar w:fldCharType="end"/>
            </w:r>
          </w:hyperlink>
        </w:p>
        <w:p w14:paraId="6451A140" w14:textId="1DF0DC71"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80" w:history="1">
            <w:r w:rsidRPr="00E3391D">
              <w:rPr>
                <w:rStyle w:val="Hyperlink"/>
                <w:noProof/>
              </w:rPr>
              <w:t>3.3 Reverse Logistics and Circular Economy</w:t>
            </w:r>
            <w:r>
              <w:rPr>
                <w:noProof/>
                <w:webHidden/>
              </w:rPr>
              <w:tab/>
            </w:r>
            <w:r>
              <w:rPr>
                <w:noProof/>
                <w:webHidden/>
              </w:rPr>
              <w:fldChar w:fldCharType="begin"/>
            </w:r>
            <w:r>
              <w:rPr>
                <w:noProof/>
                <w:webHidden/>
              </w:rPr>
              <w:instrText xml:space="preserve"> PAGEREF _Toc229685880 \h </w:instrText>
            </w:r>
            <w:r>
              <w:rPr>
                <w:noProof/>
                <w:webHidden/>
              </w:rPr>
            </w:r>
            <w:r>
              <w:rPr>
                <w:noProof/>
                <w:webHidden/>
              </w:rPr>
              <w:fldChar w:fldCharType="separate"/>
            </w:r>
            <w:r>
              <w:rPr>
                <w:noProof/>
                <w:webHidden/>
              </w:rPr>
              <w:t>10</w:t>
            </w:r>
            <w:r>
              <w:rPr>
                <w:noProof/>
                <w:webHidden/>
              </w:rPr>
              <w:fldChar w:fldCharType="end"/>
            </w:r>
          </w:hyperlink>
        </w:p>
        <w:p w14:paraId="2AA3F86E" w14:textId="57145933"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81" w:history="1">
            <w:r w:rsidRPr="00E3391D">
              <w:rPr>
                <w:rStyle w:val="Hyperlink"/>
                <w:noProof/>
              </w:rPr>
              <w:t>3.4 Root Cause Analysis and Inventory KPIs</w:t>
            </w:r>
            <w:r>
              <w:rPr>
                <w:noProof/>
                <w:webHidden/>
              </w:rPr>
              <w:tab/>
            </w:r>
            <w:r>
              <w:rPr>
                <w:noProof/>
                <w:webHidden/>
              </w:rPr>
              <w:fldChar w:fldCharType="begin"/>
            </w:r>
            <w:r>
              <w:rPr>
                <w:noProof/>
                <w:webHidden/>
              </w:rPr>
              <w:instrText xml:space="preserve"> PAGEREF _Toc229685881 \h </w:instrText>
            </w:r>
            <w:r>
              <w:rPr>
                <w:noProof/>
                <w:webHidden/>
              </w:rPr>
            </w:r>
            <w:r>
              <w:rPr>
                <w:noProof/>
                <w:webHidden/>
              </w:rPr>
              <w:fldChar w:fldCharType="separate"/>
            </w:r>
            <w:r>
              <w:rPr>
                <w:noProof/>
                <w:webHidden/>
              </w:rPr>
              <w:t>10</w:t>
            </w:r>
            <w:r>
              <w:rPr>
                <w:noProof/>
                <w:webHidden/>
              </w:rPr>
              <w:fldChar w:fldCharType="end"/>
            </w:r>
          </w:hyperlink>
        </w:p>
        <w:p w14:paraId="6F7E682E" w14:textId="4AD80D53"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82" w:history="1">
            <w:r w:rsidRPr="00E3391D">
              <w:rPr>
                <w:rStyle w:val="Hyperlink"/>
                <w:noProof/>
              </w:rPr>
              <w:t>4. Lead Time Management Across the Extended Enterprise</w:t>
            </w:r>
            <w:r>
              <w:rPr>
                <w:noProof/>
                <w:webHidden/>
              </w:rPr>
              <w:tab/>
            </w:r>
            <w:r>
              <w:rPr>
                <w:noProof/>
                <w:webHidden/>
              </w:rPr>
              <w:fldChar w:fldCharType="begin"/>
            </w:r>
            <w:r>
              <w:rPr>
                <w:noProof/>
                <w:webHidden/>
              </w:rPr>
              <w:instrText xml:space="preserve"> PAGEREF _Toc229685882 \h </w:instrText>
            </w:r>
            <w:r>
              <w:rPr>
                <w:noProof/>
                <w:webHidden/>
              </w:rPr>
            </w:r>
            <w:r>
              <w:rPr>
                <w:noProof/>
                <w:webHidden/>
              </w:rPr>
              <w:fldChar w:fldCharType="separate"/>
            </w:r>
            <w:r>
              <w:rPr>
                <w:noProof/>
                <w:webHidden/>
              </w:rPr>
              <w:t>10</w:t>
            </w:r>
            <w:r>
              <w:rPr>
                <w:noProof/>
                <w:webHidden/>
              </w:rPr>
              <w:fldChar w:fldCharType="end"/>
            </w:r>
          </w:hyperlink>
        </w:p>
        <w:p w14:paraId="5F6F8CD8" w14:textId="2D67F0F4"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83" w:history="1">
            <w:r w:rsidRPr="00E3391D">
              <w:rPr>
                <w:rStyle w:val="Hyperlink"/>
                <w:noProof/>
              </w:rPr>
              <w:t>4.1 Process Mapping</w:t>
            </w:r>
            <w:r>
              <w:rPr>
                <w:noProof/>
                <w:webHidden/>
              </w:rPr>
              <w:tab/>
            </w:r>
            <w:r>
              <w:rPr>
                <w:noProof/>
                <w:webHidden/>
              </w:rPr>
              <w:fldChar w:fldCharType="begin"/>
            </w:r>
            <w:r>
              <w:rPr>
                <w:noProof/>
                <w:webHidden/>
              </w:rPr>
              <w:instrText xml:space="preserve"> PAGEREF _Toc229685883 \h </w:instrText>
            </w:r>
            <w:r>
              <w:rPr>
                <w:noProof/>
                <w:webHidden/>
              </w:rPr>
            </w:r>
            <w:r>
              <w:rPr>
                <w:noProof/>
                <w:webHidden/>
              </w:rPr>
              <w:fldChar w:fldCharType="separate"/>
            </w:r>
            <w:r>
              <w:rPr>
                <w:noProof/>
                <w:webHidden/>
              </w:rPr>
              <w:t>10</w:t>
            </w:r>
            <w:r>
              <w:rPr>
                <w:noProof/>
                <w:webHidden/>
              </w:rPr>
              <w:fldChar w:fldCharType="end"/>
            </w:r>
          </w:hyperlink>
        </w:p>
        <w:p w14:paraId="557B161B" w14:textId="43C85BCC"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84" w:history="1">
            <w:r w:rsidRPr="00E3391D">
              <w:rPr>
                <w:rStyle w:val="Hyperlink"/>
                <w:noProof/>
              </w:rPr>
              <w:t>4.2 Value Stream Mapping</w:t>
            </w:r>
            <w:r>
              <w:rPr>
                <w:noProof/>
                <w:webHidden/>
              </w:rPr>
              <w:tab/>
            </w:r>
            <w:r>
              <w:rPr>
                <w:noProof/>
                <w:webHidden/>
              </w:rPr>
              <w:fldChar w:fldCharType="begin"/>
            </w:r>
            <w:r>
              <w:rPr>
                <w:noProof/>
                <w:webHidden/>
              </w:rPr>
              <w:instrText xml:space="preserve"> PAGEREF _Toc229685884 \h </w:instrText>
            </w:r>
            <w:r>
              <w:rPr>
                <w:noProof/>
                <w:webHidden/>
              </w:rPr>
            </w:r>
            <w:r>
              <w:rPr>
                <w:noProof/>
                <w:webHidden/>
              </w:rPr>
              <w:fldChar w:fldCharType="separate"/>
            </w:r>
            <w:r>
              <w:rPr>
                <w:noProof/>
                <w:webHidden/>
              </w:rPr>
              <w:t>11</w:t>
            </w:r>
            <w:r>
              <w:rPr>
                <w:noProof/>
                <w:webHidden/>
              </w:rPr>
              <w:fldChar w:fldCharType="end"/>
            </w:r>
          </w:hyperlink>
        </w:p>
        <w:p w14:paraId="6E0BE944" w14:textId="735D7933"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85" w:history="1">
            <w:r w:rsidRPr="00E3391D">
              <w:rPr>
                <w:rStyle w:val="Hyperlink"/>
                <w:noProof/>
              </w:rPr>
              <w:t>4.3 Supplier Performance Monitoring</w:t>
            </w:r>
            <w:r>
              <w:rPr>
                <w:noProof/>
                <w:webHidden/>
              </w:rPr>
              <w:tab/>
            </w:r>
            <w:r>
              <w:rPr>
                <w:noProof/>
                <w:webHidden/>
              </w:rPr>
              <w:fldChar w:fldCharType="begin"/>
            </w:r>
            <w:r>
              <w:rPr>
                <w:noProof/>
                <w:webHidden/>
              </w:rPr>
              <w:instrText xml:space="preserve"> PAGEREF _Toc229685885 \h </w:instrText>
            </w:r>
            <w:r>
              <w:rPr>
                <w:noProof/>
                <w:webHidden/>
              </w:rPr>
            </w:r>
            <w:r>
              <w:rPr>
                <w:noProof/>
                <w:webHidden/>
              </w:rPr>
              <w:fldChar w:fldCharType="separate"/>
            </w:r>
            <w:r>
              <w:rPr>
                <w:noProof/>
                <w:webHidden/>
              </w:rPr>
              <w:t>11</w:t>
            </w:r>
            <w:r>
              <w:rPr>
                <w:noProof/>
                <w:webHidden/>
              </w:rPr>
              <w:fldChar w:fldCharType="end"/>
            </w:r>
          </w:hyperlink>
        </w:p>
        <w:p w14:paraId="5A00BF47" w14:textId="5BE818A6"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86" w:history="1">
            <w:r w:rsidRPr="00E3391D">
              <w:rPr>
                <w:rStyle w:val="Hyperlink"/>
                <w:noProof/>
              </w:rPr>
              <w:t>4.4 ERP and Digital Supply Chains</w:t>
            </w:r>
            <w:r>
              <w:rPr>
                <w:noProof/>
                <w:webHidden/>
              </w:rPr>
              <w:tab/>
            </w:r>
            <w:r>
              <w:rPr>
                <w:noProof/>
                <w:webHidden/>
              </w:rPr>
              <w:fldChar w:fldCharType="begin"/>
            </w:r>
            <w:r>
              <w:rPr>
                <w:noProof/>
                <w:webHidden/>
              </w:rPr>
              <w:instrText xml:space="preserve"> PAGEREF _Toc229685886 \h </w:instrText>
            </w:r>
            <w:r>
              <w:rPr>
                <w:noProof/>
                <w:webHidden/>
              </w:rPr>
            </w:r>
            <w:r>
              <w:rPr>
                <w:noProof/>
                <w:webHidden/>
              </w:rPr>
              <w:fldChar w:fldCharType="separate"/>
            </w:r>
            <w:r>
              <w:rPr>
                <w:noProof/>
                <w:webHidden/>
              </w:rPr>
              <w:t>11</w:t>
            </w:r>
            <w:r>
              <w:rPr>
                <w:noProof/>
                <w:webHidden/>
              </w:rPr>
              <w:fldChar w:fldCharType="end"/>
            </w:r>
          </w:hyperlink>
        </w:p>
        <w:p w14:paraId="69B6DE15" w14:textId="00523935"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87" w:history="1">
            <w:r w:rsidRPr="00E3391D">
              <w:rPr>
                <w:rStyle w:val="Hyperlink"/>
                <w:noProof/>
              </w:rPr>
              <w:t>4.5 Risk Management and Supply Chain Resilience</w:t>
            </w:r>
            <w:r>
              <w:rPr>
                <w:noProof/>
                <w:webHidden/>
              </w:rPr>
              <w:tab/>
            </w:r>
            <w:r>
              <w:rPr>
                <w:noProof/>
                <w:webHidden/>
              </w:rPr>
              <w:fldChar w:fldCharType="begin"/>
            </w:r>
            <w:r>
              <w:rPr>
                <w:noProof/>
                <w:webHidden/>
              </w:rPr>
              <w:instrText xml:space="preserve"> PAGEREF _Toc229685887 \h </w:instrText>
            </w:r>
            <w:r>
              <w:rPr>
                <w:noProof/>
                <w:webHidden/>
              </w:rPr>
            </w:r>
            <w:r>
              <w:rPr>
                <w:noProof/>
                <w:webHidden/>
              </w:rPr>
              <w:fldChar w:fldCharType="separate"/>
            </w:r>
            <w:r>
              <w:rPr>
                <w:noProof/>
                <w:webHidden/>
              </w:rPr>
              <w:t>11</w:t>
            </w:r>
            <w:r>
              <w:rPr>
                <w:noProof/>
                <w:webHidden/>
              </w:rPr>
              <w:fldChar w:fldCharType="end"/>
            </w:r>
          </w:hyperlink>
        </w:p>
        <w:p w14:paraId="2772BCEC" w14:textId="7CCF762C"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88" w:history="1">
            <w:r w:rsidRPr="00E3391D">
              <w:rPr>
                <w:rStyle w:val="Hyperlink"/>
                <w:noProof/>
              </w:rPr>
              <w:t>5. Conclusion</w:t>
            </w:r>
            <w:r>
              <w:rPr>
                <w:noProof/>
                <w:webHidden/>
              </w:rPr>
              <w:tab/>
            </w:r>
            <w:r>
              <w:rPr>
                <w:noProof/>
                <w:webHidden/>
              </w:rPr>
              <w:fldChar w:fldCharType="begin"/>
            </w:r>
            <w:r>
              <w:rPr>
                <w:noProof/>
                <w:webHidden/>
              </w:rPr>
              <w:instrText xml:space="preserve"> PAGEREF _Toc229685888 \h </w:instrText>
            </w:r>
            <w:r>
              <w:rPr>
                <w:noProof/>
                <w:webHidden/>
              </w:rPr>
            </w:r>
            <w:r>
              <w:rPr>
                <w:noProof/>
                <w:webHidden/>
              </w:rPr>
              <w:fldChar w:fldCharType="separate"/>
            </w:r>
            <w:r>
              <w:rPr>
                <w:noProof/>
                <w:webHidden/>
              </w:rPr>
              <w:t>12</w:t>
            </w:r>
            <w:r>
              <w:rPr>
                <w:noProof/>
                <w:webHidden/>
              </w:rPr>
              <w:fldChar w:fldCharType="end"/>
            </w:r>
          </w:hyperlink>
        </w:p>
        <w:p w14:paraId="77C675C9" w14:textId="0E8FCC7F" w:rsidR="00D46E9C" w:rsidRDefault="00D46E9C">
          <w:pPr>
            <w:pStyle w:val="TOC1"/>
            <w:tabs>
              <w:tab w:val="right" w:leader="dot" w:pos="8630"/>
            </w:tabs>
            <w:rPr>
              <w:rFonts w:asciiTheme="minorHAnsi" w:eastAsiaTheme="minorEastAsia" w:hAnsiTheme="minorHAnsi"/>
              <w:noProof/>
              <w:kern w:val="2"/>
              <w:szCs w:val="24"/>
              <w:lang w:val="en-GB" w:eastAsia="en-GB"/>
              <w14:ligatures w14:val="standardContextual"/>
            </w:rPr>
          </w:pPr>
          <w:hyperlink w:anchor="_Toc229685889" w:history="1">
            <w:r w:rsidRPr="00E3391D">
              <w:rPr>
                <w:rStyle w:val="Hyperlink"/>
                <w:noProof/>
              </w:rPr>
              <w:t>6. References</w:t>
            </w:r>
            <w:r>
              <w:rPr>
                <w:noProof/>
                <w:webHidden/>
              </w:rPr>
              <w:tab/>
            </w:r>
            <w:r>
              <w:rPr>
                <w:noProof/>
                <w:webHidden/>
              </w:rPr>
              <w:fldChar w:fldCharType="begin"/>
            </w:r>
            <w:r>
              <w:rPr>
                <w:noProof/>
                <w:webHidden/>
              </w:rPr>
              <w:instrText xml:space="preserve"> PAGEREF _Toc229685889 \h </w:instrText>
            </w:r>
            <w:r>
              <w:rPr>
                <w:noProof/>
                <w:webHidden/>
              </w:rPr>
            </w:r>
            <w:r>
              <w:rPr>
                <w:noProof/>
                <w:webHidden/>
              </w:rPr>
              <w:fldChar w:fldCharType="separate"/>
            </w:r>
            <w:r>
              <w:rPr>
                <w:noProof/>
                <w:webHidden/>
              </w:rPr>
              <w:t>12</w:t>
            </w:r>
            <w:r>
              <w:rPr>
                <w:noProof/>
                <w:webHidden/>
              </w:rPr>
              <w:fldChar w:fldCharType="end"/>
            </w:r>
          </w:hyperlink>
        </w:p>
        <w:p w14:paraId="13A187E0" w14:textId="77D694DE" w:rsidR="00D46E9C" w:rsidRDefault="00D46E9C">
          <w:pPr>
            <w:pStyle w:val="TOC2"/>
            <w:tabs>
              <w:tab w:val="right" w:leader="dot" w:pos="8630"/>
            </w:tabs>
            <w:rPr>
              <w:rFonts w:asciiTheme="minorHAnsi" w:eastAsiaTheme="minorEastAsia" w:hAnsiTheme="minorHAnsi"/>
              <w:noProof/>
              <w:kern w:val="2"/>
              <w:szCs w:val="24"/>
              <w:lang w:val="en-GB" w:eastAsia="en-GB"/>
              <w14:ligatures w14:val="standardContextual"/>
            </w:rPr>
          </w:pPr>
          <w:hyperlink w:anchor="_Toc229685890" w:history="1">
            <w:r w:rsidRPr="00E3391D">
              <w:rPr>
                <w:rStyle w:val="Hyperlink"/>
                <w:noProof/>
              </w:rPr>
              <w:t>Appendix A: Inventory Management Techniques</w:t>
            </w:r>
            <w:r>
              <w:rPr>
                <w:noProof/>
                <w:webHidden/>
              </w:rPr>
              <w:tab/>
            </w:r>
            <w:r>
              <w:rPr>
                <w:noProof/>
                <w:webHidden/>
              </w:rPr>
              <w:fldChar w:fldCharType="begin"/>
            </w:r>
            <w:r>
              <w:rPr>
                <w:noProof/>
                <w:webHidden/>
              </w:rPr>
              <w:instrText xml:space="preserve"> PAGEREF _Toc229685890 \h </w:instrText>
            </w:r>
            <w:r>
              <w:rPr>
                <w:noProof/>
                <w:webHidden/>
              </w:rPr>
            </w:r>
            <w:r>
              <w:rPr>
                <w:noProof/>
                <w:webHidden/>
              </w:rPr>
              <w:fldChar w:fldCharType="separate"/>
            </w:r>
            <w:r>
              <w:rPr>
                <w:noProof/>
                <w:webHidden/>
              </w:rPr>
              <w:t>14</w:t>
            </w:r>
            <w:r>
              <w:rPr>
                <w:noProof/>
                <w:webHidden/>
              </w:rPr>
              <w:fldChar w:fldCharType="end"/>
            </w:r>
          </w:hyperlink>
        </w:p>
        <w:p w14:paraId="36E6468F" w14:textId="479047D7" w:rsidR="00D46E9C" w:rsidRDefault="00D46E9C">
          <w:pPr>
            <w:pStyle w:val="TOC2"/>
            <w:tabs>
              <w:tab w:val="right" w:leader="dot" w:pos="8630"/>
            </w:tabs>
            <w:rPr>
              <w:rFonts w:asciiTheme="minorHAnsi" w:eastAsiaTheme="minorEastAsia" w:hAnsiTheme="minorHAnsi"/>
              <w:noProof/>
              <w:kern w:val="2"/>
              <w:szCs w:val="24"/>
              <w:lang w:val="en-GB" w:eastAsia="en-GB"/>
              <w14:ligatures w14:val="standardContextual"/>
            </w:rPr>
          </w:pPr>
          <w:hyperlink w:anchor="_Toc229685891" w:history="1">
            <w:r w:rsidRPr="00E3391D">
              <w:rPr>
                <w:rStyle w:val="Hyperlink"/>
                <w:noProof/>
              </w:rPr>
              <w:t>Appendix B: Lead Time Flow Diagram</w:t>
            </w:r>
            <w:r>
              <w:rPr>
                <w:noProof/>
                <w:webHidden/>
              </w:rPr>
              <w:tab/>
            </w:r>
            <w:r>
              <w:rPr>
                <w:noProof/>
                <w:webHidden/>
              </w:rPr>
              <w:fldChar w:fldCharType="begin"/>
            </w:r>
            <w:r>
              <w:rPr>
                <w:noProof/>
                <w:webHidden/>
              </w:rPr>
              <w:instrText xml:space="preserve"> PAGEREF _Toc229685891 \h </w:instrText>
            </w:r>
            <w:r>
              <w:rPr>
                <w:noProof/>
                <w:webHidden/>
              </w:rPr>
            </w:r>
            <w:r>
              <w:rPr>
                <w:noProof/>
                <w:webHidden/>
              </w:rPr>
              <w:fldChar w:fldCharType="separate"/>
            </w:r>
            <w:r>
              <w:rPr>
                <w:noProof/>
                <w:webHidden/>
              </w:rPr>
              <w:t>14</w:t>
            </w:r>
            <w:r>
              <w:rPr>
                <w:noProof/>
                <w:webHidden/>
              </w:rPr>
              <w:fldChar w:fldCharType="end"/>
            </w:r>
          </w:hyperlink>
        </w:p>
        <w:p w14:paraId="3B2DBFE7" w14:textId="5B6F6310" w:rsidR="00D46E9C" w:rsidRDefault="00D46E9C">
          <w:pPr>
            <w:pStyle w:val="TOC2"/>
            <w:tabs>
              <w:tab w:val="right" w:leader="dot" w:pos="8630"/>
            </w:tabs>
            <w:rPr>
              <w:rFonts w:asciiTheme="minorHAnsi" w:eastAsiaTheme="minorEastAsia" w:hAnsiTheme="minorHAnsi"/>
              <w:noProof/>
              <w:kern w:val="2"/>
              <w:szCs w:val="24"/>
              <w:lang w:val="en-GB" w:eastAsia="en-GB"/>
              <w14:ligatures w14:val="standardContextual"/>
            </w:rPr>
          </w:pPr>
          <w:hyperlink w:anchor="_Toc229685892" w:history="1">
            <w:r w:rsidRPr="00E3391D">
              <w:rPr>
                <w:rStyle w:val="Hyperlink"/>
                <w:noProof/>
              </w:rPr>
              <w:t>Appendix C: Sustainability Risk Considerations</w:t>
            </w:r>
            <w:r>
              <w:rPr>
                <w:noProof/>
                <w:webHidden/>
              </w:rPr>
              <w:tab/>
            </w:r>
            <w:r>
              <w:rPr>
                <w:noProof/>
                <w:webHidden/>
              </w:rPr>
              <w:fldChar w:fldCharType="begin"/>
            </w:r>
            <w:r>
              <w:rPr>
                <w:noProof/>
                <w:webHidden/>
              </w:rPr>
              <w:instrText xml:space="preserve"> PAGEREF _Toc229685892 \h </w:instrText>
            </w:r>
            <w:r>
              <w:rPr>
                <w:noProof/>
                <w:webHidden/>
              </w:rPr>
            </w:r>
            <w:r>
              <w:rPr>
                <w:noProof/>
                <w:webHidden/>
              </w:rPr>
              <w:fldChar w:fldCharType="separate"/>
            </w:r>
            <w:r>
              <w:rPr>
                <w:noProof/>
                <w:webHidden/>
              </w:rPr>
              <w:t>15</w:t>
            </w:r>
            <w:r>
              <w:rPr>
                <w:noProof/>
                <w:webHidden/>
              </w:rPr>
              <w:fldChar w:fldCharType="end"/>
            </w:r>
          </w:hyperlink>
        </w:p>
        <w:p w14:paraId="70192E5C" w14:textId="6527E698" w:rsidR="00FC49CD" w:rsidRDefault="00FC49CD">
          <w:r>
            <w:rPr>
              <w:b/>
              <w:bCs/>
            </w:rPr>
            <w:fldChar w:fldCharType="end"/>
          </w:r>
        </w:p>
      </w:sdtContent>
    </w:sdt>
    <w:p w14:paraId="6AFFDDF4" w14:textId="77777777" w:rsidR="00FC49CD" w:rsidRDefault="00FC49CD" w:rsidP="00FC49CD">
      <w:pPr>
        <w:spacing w:after="120"/>
      </w:pPr>
      <w:r>
        <w:br w:type="page"/>
      </w:r>
    </w:p>
    <w:p w14:paraId="77BD692C" w14:textId="77777777" w:rsidR="00D22AC0" w:rsidRDefault="001E700A">
      <w:pPr>
        <w:pStyle w:val="Heading1"/>
        <w:spacing w:before="0" w:after="120"/>
      </w:pPr>
      <w:bookmarkStart w:id="0" w:name="_Toc229685866"/>
      <w:r>
        <w:lastRenderedPageBreak/>
        <w:t>1. Introduction</w:t>
      </w:r>
      <w:bookmarkEnd w:id="0"/>
    </w:p>
    <w:p w14:paraId="3878A1EA" w14:textId="3EBEDFCA" w:rsidR="00D22AC0" w:rsidRDefault="001E700A">
      <w:pPr>
        <w:spacing w:after="120"/>
      </w:pPr>
      <w:r>
        <w:t xml:space="preserve">Inventory management plays a significant role within sustainable operations management because it directly influences production efficiency, operational costs, working capital, environmental performance and customer responsiveness. Manufacturing organisations operating in highly competitive sectors increasingly face pressure to reduce waste, improve resource utilisation and strengthen supply chain resilience. Consequently, inventory management is no longer viewed as a simple purchasing activity but as a strategic business function </w:t>
      </w:r>
      <w:r w:rsidR="001E199F">
        <w:t>linked</w:t>
      </w:r>
      <w:r>
        <w:t xml:space="preserve"> to sustainability and long-term organisational competitiveness.</w:t>
      </w:r>
      <w:r>
        <w:br/>
      </w:r>
      <w:r>
        <w:br/>
        <w:t>Engineering organisations operating within foundry environments face particularly complex operational challenges because production systems depend heavily on hazardous materials, fluctuating demand patterns and strict environmental regulation. Poor inventory management within such environments may create operational inefficiencies, environmental liabilities and unnecessary financial costs. According to Christopher (2022), supply chain performance increasingly depends upon an organisation’s ability to integrate inventory management, sustainability and operational responsiveness into a single strategic framework.</w:t>
      </w:r>
      <w:r>
        <w:br/>
      </w:r>
      <w:r>
        <w:br/>
        <w:t>This report critically evaluates how Brocksweir Engineering Ltd can improve management of sand and resin inventory through the implementation of advanced inventory management systems, lean operations principles and sustainable supply chain management strategies. The report additionally analyses available options for dealing with obsolete inventory and evaluates methods through which the organisation can improve lead time understanding across its extended enterprise network. The discussion integrates contemporary academic literature with practical recommendations appropriate for the company’s operational environment.</w:t>
      </w:r>
    </w:p>
    <w:p w14:paraId="13AA88A4" w14:textId="77777777" w:rsidR="00FC49CD" w:rsidRDefault="00FC49CD">
      <w:pPr>
        <w:spacing w:after="120"/>
      </w:pPr>
    </w:p>
    <w:p w14:paraId="514DA84A" w14:textId="77777777" w:rsidR="00FC49CD" w:rsidRDefault="00FC49CD">
      <w:pPr>
        <w:spacing w:after="120"/>
      </w:pPr>
    </w:p>
    <w:p w14:paraId="06E85B43" w14:textId="77777777" w:rsidR="00D22AC0" w:rsidRDefault="001E700A">
      <w:pPr>
        <w:pStyle w:val="Heading1"/>
        <w:spacing w:before="0" w:after="120"/>
      </w:pPr>
      <w:bookmarkStart w:id="1" w:name="_Toc229685867"/>
      <w:r>
        <w:t>1.1 Background of Brocksweir Engineering Ltd</w:t>
      </w:r>
      <w:bookmarkEnd w:id="1"/>
    </w:p>
    <w:p w14:paraId="1B01D73C" w14:textId="16330D67" w:rsidR="00D22AC0" w:rsidRDefault="001E700A">
      <w:pPr>
        <w:spacing w:after="120"/>
      </w:pPr>
      <w:r>
        <w:t xml:space="preserve">Brocksweir Engineering Ltd is a medium-sized engineering organisation operating across casting, fabrications and machining operations. Although the business has remained competitive despite pressure from overseas manufacturers, weaknesses within the sand foundry operation have exposed major deficiencies in inventory management and supply chain coordination. The organisation has accumulated approximately £20,000 of obsolete resin stock due to excessive bulk purchasing and inadequate inventory monitoring. In addition, disposal costs associated with foundry waste and hazardous resins have increased significantly because environmental legislation now classifies many foundry </w:t>
      </w:r>
      <w:r>
        <w:lastRenderedPageBreak/>
        <w:t>materials as special waste.</w:t>
      </w:r>
      <w:r>
        <w:br/>
      </w:r>
      <w:r>
        <w:br/>
        <w:t>The company’s current operational approach appears reactive rather than strategically planned. Purchasing decisions are focused heavily on bulk discounts rather than total lifecycle cost and sustainability implications. Furthermore, the organisation lacks integrated inventory monitoring systems capable of tracking shelf-life limitations, stock ageing or supplier lead time variability. Consequently, excessive inventory has created operational waste, environmental liabilities, and unnecessary storage costs. These problems demonstrate the need for stronger supply chain governance and more sophisticated inventory management systems.</w:t>
      </w:r>
    </w:p>
    <w:p w14:paraId="30AACD9F" w14:textId="77777777" w:rsidR="00D22AC0" w:rsidRDefault="001E700A">
      <w:pPr>
        <w:pStyle w:val="Heading1"/>
        <w:spacing w:before="0" w:after="120"/>
      </w:pPr>
      <w:bookmarkStart w:id="2" w:name="_Toc229685868"/>
      <w:r>
        <w:t>1.2 Sustainable Operations Management</w:t>
      </w:r>
      <w:bookmarkEnd w:id="2"/>
    </w:p>
    <w:p w14:paraId="239F28C7" w14:textId="098E783A" w:rsidR="00D22AC0" w:rsidRDefault="001E700A">
      <w:pPr>
        <w:spacing w:after="120"/>
      </w:pPr>
      <w:r>
        <w:t xml:space="preserve">Sustainable operations management refers to the integration of environmental, </w:t>
      </w:r>
      <w:r w:rsidR="00FC49CD">
        <w:t>economic,</w:t>
      </w:r>
      <w:r>
        <w:t xml:space="preserve"> and operational objectives within organisational processes. Modern organisations are increasingly expected to reduce environmental impact while maintaining operational efficiency and profitability. According to Carpitella (2025), sustainable inventory management reduces operational waste and improves long-term organisational resilience through more responsible resource utilisation.</w:t>
      </w:r>
      <w:r>
        <w:br/>
      </w:r>
      <w:r>
        <w:br/>
        <w:t xml:space="preserve">Within Brocksweir Engineering Ltd, sustainability considerations are particularly important because the company operates within a foundry environment involving hazardous chemicals and energy-intensive production systems. Excessive inventory holding contributes directly to waste generation, energy </w:t>
      </w:r>
      <w:r w:rsidR="00FC49CD">
        <w:t>consumption,</w:t>
      </w:r>
      <w:r>
        <w:t xml:space="preserve"> and disposal costs. Therefore, inventory management decisions must balance operational efficiency with environmental responsibility. Sustainable procurement practices, improved forecasting </w:t>
      </w:r>
      <w:r w:rsidR="00FC49CD">
        <w:t>systems,</w:t>
      </w:r>
      <w:r>
        <w:t xml:space="preserve"> and stronger supplier collaboration would help the organisation reduce waste while supporting compliance with environmental regulations.</w:t>
      </w:r>
    </w:p>
    <w:p w14:paraId="1BC97A4C" w14:textId="77777777" w:rsidR="001E199F" w:rsidRDefault="001E199F">
      <w:pPr>
        <w:pStyle w:val="Heading1"/>
        <w:spacing w:before="0" w:after="120"/>
      </w:pPr>
    </w:p>
    <w:p w14:paraId="2BEC0FDE" w14:textId="17A7CF54" w:rsidR="00D22AC0" w:rsidRDefault="001E700A">
      <w:pPr>
        <w:pStyle w:val="Heading1"/>
        <w:spacing w:before="0" w:after="120"/>
      </w:pPr>
      <w:bookmarkStart w:id="3" w:name="_Toc229685869"/>
      <w:r>
        <w:t>2. Managing Sand and Resin Inventory</w:t>
      </w:r>
      <w:bookmarkEnd w:id="3"/>
    </w:p>
    <w:p w14:paraId="1A298C9F" w14:textId="5B21E272" w:rsidR="00D22AC0" w:rsidRDefault="001E700A">
      <w:pPr>
        <w:spacing w:after="120"/>
      </w:pPr>
      <w:r>
        <w:t xml:space="preserve">The current inventory management system within Brocksweir Engineering Ltd is highly inefficient because purchasing decisions appear reactive rather than strategically planned. Bulk ordering of short shelf-life resins has resulted in obsolete stock, increased storage </w:t>
      </w:r>
      <w:r w:rsidR="00FC49CD">
        <w:t>costs,</w:t>
      </w:r>
      <w:r>
        <w:t xml:space="preserve"> and environmental liabilities. According to Slack and Brandon‑Jones (2023), excess inventory is one of the most common forms of operational waste because it ties up working capital while hiding process inefficiencies and forecasting weaknesses.</w:t>
      </w:r>
      <w:r>
        <w:br/>
      </w:r>
      <w:r>
        <w:br/>
        <w:t xml:space="preserve">One major weakness within the current system is the lack of integration between procurement, warehousing and production planning activities. Inventory decisions appear disconnected from operational demand patterns and supplier lead times. As a result, the </w:t>
      </w:r>
      <w:r>
        <w:lastRenderedPageBreak/>
        <w:t>company has accumulated materials beyond realistic consumption requirements. This demonstrates poor inventory governance and inadequate strategic planning.</w:t>
      </w:r>
    </w:p>
    <w:p w14:paraId="4704627D" w14:textId="77777777" w:rsidR="00D22AC0" w:rsidRDefault="001E700A">
      <w:pPr>
        <w:pStyle w:val="Heading1"/>
        <w:spacing w:before="0" w:after="120"/>
      </w:pPr>
      <w:bookmarkStart w:id="4" w:name="_Toc229685870"/>
      <w:r>
        <w:t>2.1 ERP Systems and Digital Inventory Control</w:t>
      </w:r>
      <w:bookmarkEnd w:id="4"/>
    </w:p>
    <w:p w14:paraId="0E432E21" w14:textId="7FD2D1B1" w:rsidR="00D22AC0" w:rsidRDefault="001E700A">
      <w:pPr>
        <w:spacing w:after="120"/>
      </w:pPr>
      <w:r>
        <w:t xml:space="preserve">Implementation of an Enterprise Resource Planning system would significantly improve operational visibility and inventory accuracy. ERP systems integrate procurement, inventory control, </w:t>
      </w:r>
      <w:r w:rsidR="00FC49CD">
        <w:t>warehousing,</w:t>
      </w:r>
      <w:r>
        <w:t xml:space="preserve"> and production planning activities into a single digital platform. Jacobs and Chase (2021) argue that ERP systems improve forecasting accuracy and organisational responsiveness by providing real-time operational data across multiple departments.</w:t>
      </w:r>
      <w:r>
        <w:br/>
      </w:r>
      <w:r>
        <w:br/>
        <w:t xml:space="preserve">For Brocksweir Engineering Ltd, ERP implementation would improve monitoring of stock levels, supplier lead times, shelf-life </w:t>
      </w:r>
      <w:r w:rsidR="00FC49CD">
        <w:t>dates,</w:t>
      </w:r>
      <w:r>
        <w:t xml:space="preserve"> and material consumption patterns. Automated alerts regarding ageing inventory would reduce the risk of obsolete stock accumulation. In addition, digital traceability systems would strengthen environmental compliance by improving monitoring of hazardous materials.</w:t>
      </w:r>
      <w:r>
        <w:br/>
      </w:r>
      <w:r>
        <w:br/>
        <w:t xml:space="preserve">However, ERP implementation also presents challenges. Smaller engineering organisations often face financial barriers associated with software implementation, employee </w:t>
      </w:r>
      <w:r w:rsidR="00FC49CD">
        <w:t>training,</w:t>
      </w:r>
      <w:r>
        <w:t xml:space="preserve"> and system integration. Employee resistance to change may also reduce implementation effectiveness. Therefore, successful ERP adoption would require strong managerial leadership, employee </w:t>
      </w:r>
      <w:r w:rsidR="00FC49CD">
        <w:t>engagement,</w:t>
      </w:r>
      <w:r>
        <w:t xml:space="preserve"> and phased implementation planning.</w:t>
      </w:r>
    </w:p>
    <w:p w14:paraId="45D411F4" w14:textId="77777777" w:rsidR="001E199F" w:rsidRDefault="001E199F">
      <w:pPr>
        <w:pStyle w:val="Heading1"/>
        <w:spacing w:before="0" w:after="120"/>
      </w:pPr>
    </w:p>
    <w:p w14:paraId="424D5DDD" w14:textId="55C37108" w:rsidR="00D22AC0" w:rsidRDefault="001E700A">
      <w:pPr>
        <w:pStyle w:val="Heading1"/>
        <w:spacing w:before="0" w:after="120"/>
      </w:pPr>
      <w:bookmarkStart w:id="5" w:name="_Toc229685871"/>
      <w:r>
        <w:t>2.2 Economic Order Quantity</w:t>
      </w:r>
      <w:bookmarkEnd w:id="5"/>
    </w:p>
    <w:p w14:paraId="2D16B1C4" w14:textId="4315CEE7" w:rsidR="00D22AC0" w:rsidRDefault="001E700A">
      <w:pPr>
        <w:spacing w:after="120"/>
      </w:pPr>
      <w:r>
        <w:t>Economic Order Quantity analysis should form a core part of Brocksweir’s inventory strategy because it enables organisations to balance ordering costs against holding costs. In this situation, holding costs extend beyond warehousing expenses to include environmental disposal costs and sustainability liabilities associated with obsolete hazardous materials.</w:t>
      </w:r>
      <w:r>
        <w:br/>
      </w:r>
      <w:r>
        <w:br/>
        <w:t xml:space="preserve">The company’s current focus on bulk purchasing appears financially attractive in the short term but creates greater long-term costs through waste generation and disposal expenses. EOQ calculations would allow the organisation to determine optimal purchasing quantities while considering supplier lead times, demand </w:t>
      </w:r>
      <w:r w:rsidR="00FC49CD">
        <w:t>variability,</w:t>
      </w:r>
      <w:r>
        <w:t xml:space="preserve"> and storage limitations. According to Azim (2024), EOQ systems remain highly effective within manufacturing organisations when integrated with digital forecasting systems and sustainability-focused inventory planning.</w:t>
      </w:r>
      <w:r>
        <w:br/>
      </w:r>
      <w:r>
        <w:br/>
      </w:r>
      <w:r>
        <w:lastRenderedPageBreak/>
        <w:t xml:space="preserve">Nevertheless, EOQ models also have limitations because they often assume stable demand and predictable supplier performance. </w:t>
      </w:r>
      <w:r w:rsidR="00FC49CD">
        <w:t>Engineering</w:t>
      </w:r>
      <w:r>
        <w:t xml:space="preserve"> supply chains are subject to uncertainty and operational disruption. Consequently, Brocksweir should integrate EOQ principles with safety stock analysis and supplier risk management rather than relying exclusively on theoretical calculations.</w:t>
      </w:r>
    </w:p>
    <w:p w14:paraId="5AAE74CF" w14:textId="77777777" w:rsidR="00D22AC0" w:rsidRDefault="001E700A">
      <w:pPr>
        <w:pStyle w:val="Heading1"/>
        <w:spacing w:before="0" w:after="120"/>
      </w:pPr>
      <w:bookmarkStart w:id="6" w:name="_Toc229685872"/>
      <w:r>
        <w:t>2.3 ABC Inventory Analysis</w:t>
      </w:r>
      <w:bookmarkEnd w:id="6"/>
    </w:p>
    <w:p w14:paraId="71C40369" w14:textId="515060EC" w:rsidR="00D22AC0" w:rsidRDefault="001E700A">
      <w:pPr>
        <w:spacing w:after="120"/>
      </w:pPr>
      <w:r>
        <w:t xml:space="preserve">ABC inventory analysis would allow the organisation to prioritise inventory categories according to financial value, operational </w:t>
      </w:r>
      <w:r w:rsidR="00FC49CD">
        <w:t>importance,</w:t>
      </w:r>
      <w:r>
        <w:t xml:space="preserve"> and environmental risk. Phenolic and furan resins should be treated as Category A items because they are expensive, environmentally </w:t>
      </w:r>
      <w:r w:rsidR="00FC49CD">
        <w:t>hazardous,</w:t>
      </w:r>
      <w:r>
        <w:t xml:space="preserve"> and operationally critical. These materials should therefore receive strict managerial oversight, regular stock </w:t>
      </w:r>
      <w:r w:rsidR="00FC49CD">
        <w:t>audits,</w:t>
      </w:r>
      <w:r>
        <w:t xml:space="preserve"> and accurate demand forecasting.</w:t>
      </w:r>
      <w:r>
        <w:br/>
      </w:r>
      <w:r>
        <w:br/>
        <w:t>Lower-value materials may be categorised as B or C items requiring less intensive management. Stevenson (2021) suggests that ABC systems improve operational efficiency because management resources are concentrated on strategically important inventory categories. Within Brocksweir’s environment, ABC analysis would additionally support sustainability objectives because environmentally hazardous materials would receive stronger monitoring and control.</w:t>
      </w:r>
      <w:r>
        <w:br/>
      </w:r>
      <w:r>
        <w:br/>
        <w:t>However, one criticism of ABC systems is that they focus primarily on financial value rather than operational criticality. Some low-value materials may still be operationally essential. Therefore, Brocksweir should combine ABC analysis with operational risk assessment and sustainability evaluation.</w:t>
      </w:r>
    </w:p>
    <w:p w14:paraId="07C3C7A9" w14:textId="77777777" w:rsidR="00D22AC0" w:rsidRDefault="001E700A">
      <w:pPr>
        <w:pStyle w:val="Heading1"/>
        <w:spacing w:before="0" w:after="120"/>
      </w:pPr>
      <w:bookmarkStart w:id="7" w:name="_Toc229685873"/>
      <w:r>
        <w:t>2.4 Vendor Managed Inventory</w:t>
      </w:r>
      <w:bookmarkEnd w:id="7"/>
    </w:p>
    <w:p w14:paraId="7CCF6340" w14:textId="77777777" w:rsidR="00D22AC0" w:rsidRDefault="001E700A">
      <w:pPr>
        <w:spacing w:after="120"/>
      </w:pPr>
      <w:r>
        <w:t>Vendor Managed Inventory systems could significantly improve procurement efficiency and supplier coordination. Under VMI arrangements, suppliers monitor inventory levels and replenish materials according to agreed usage rates. Zhou (2019) argues that VMI reduces holding costs and improves replenishment accuracy through stronger supplier collaboration.</w:t>
      </w:r>
      <w:r>
        <w:br/>
      </w:r>
      <w:r>
        <w:br/>
        <w:t>For Brocksweir Engineering Ltd, VMI would reduce the risk of overstocking short shelf-life resins while improving supply continuity. Supplier collaboration would additionally improve information sharing regarding demand patterns and production schedules.</w:t>
      </w:r>
      <w:r>
        <w:br/>
      </w:r>
      <w:r>
        <w:br/>
        <w:t xml:space="preserve">Despite these advantages, VMI implementation also creates dependency upon supplier reliability and data accuracy. Poor communication or inaccurate forecasting may still </w:t>
      </w:r>
      <w:r>
        <w:lastRenderedPageBreak/>
        <w:t>result in stock shortages or excessive inventory. Therefore, Brocksweir should carefully evaluate supplier capability before implementing VMI systems.</w:t>
      </w:r>
    </w:p>
    <w:p w14:paraId="3B1F8BAE" w14:textId="77777777" w:rsidR="00D22AC0" w:rsidRDefault="001E700A">
      <w:pPr>
        <w:pStyle w:val="Heading1"/>
        <w:spacing w:before="0" w:after="120"/>
      </w:pPr>
      <w:bookmarkStart w:id="8" w:name="_Toc229685874"/>
      <w:r>
        <w:t>2.5 Lean and Just-in-Time Operations</w:t>
      </w:r>
      <w:bookmarkEnd w:id="8"/>
    </w:p>
    <w:p w14:paraId="443E6EBF" w14:textId="0DFFD2B3" w:rsidR="00D22AC0" w:rsidRDefault="001E700A">
      <w:pPr>
        <w:spacing w:after="120"/>
      </w:pPr>
      <w:r>
        <w:t xml:space="preserve">Lean manufacturing principles should be introduced throughout the foundry operation because lean systems focus on eliminating waste, improving process </w:t>
      </w:r>
      <w:r w:rsidR="00FC49CD">
        <w:t>flow,</w:t>
      </w:r>
      <w:r>
        <w:t xml:space="preserve"> and increasing operational responsiveness. Excess inventory, unnecessary </w:t>
      </w:r>
      <w:r w:rsidR="00FC49CD">
        <w:t>transportation,</w:t>
      </w:r>
      <w:r>
        <w:t xml:space="preserve"> and obsolete stock are examples of non-value-adding activities. According to Womack and Jones (2020), lean systems improve competitiveness by reducing operational inefficiency and strengthening process discipline.</w:t>
      </w:r>
      <w:r>
        <w:br/>
      </w:r>
      <w:r>
        <w:br/>
        <w:t xml:space="preserve">Just-in-Time principles may reduce unnecessary stockholding by ensuring materials arrive closer to production requirements. However, complete reliance on JIT systems may increase operational vulnerability because engineering supply chains often experience transportation delays, supplier </w:t>
      </w:r>
      <w:r w:rsidR="00FC49CD">
        <w:t>disruption,</w:t>
      </w:r>
      <w:r>
        <w:t xml:space="preserve"> and fluctuating customer demand. Consequently, Brocksweir should adopt a balanced approach combining lean principles with strategic safety stock management.</w:t>
      </w:r>
      <w:r>
        <w:br/>
      </w:r>
      <w:r>
        <w:br/>
        <w:t>Furthermore, lean implementation requires strong organisational culture and employee involvement. Without effective communication and continuous improvement initiatives, lean systems may fail to achieve sustainable long-term performance improvements.</w:t>
      </w:r>
    </w:p>
    <w:p w14:paraId="2A2B7BBE" w14:textId="77777777" w:rsidR="00D22AC0" w:rsidRDefault="001E700A">
      <w:pPr>
        <w:pStyle w:val="Heading1"/>
        <w:spacing w:before="0" w:after="120"/>
      </w:pPr>
      <w:bookmarkStart w:id="9" w:name="_Toc229685875"/>
      <w:r>
        <w:t>2.6 Sustainability and Environmental Management</w:t>
      </w:r>
      <w:bookmarkEnd w:id="9"/>
    </w:p>
    <w:p w14:paraId="6136E025" w14:textId="55EB1FC0" w:rsidR="00D22AC0" w:rsidRDefault="001E700A">
      <w:pPr>
        <w:spacing w:after="120"/>
      </w:pPr>
      <w:r>
        <w:t xml:space="preserve">Environmental sustainability should become central to Brocksweir’s inventory strategy. Excessive stockholding contributes directly to hazardous waste generation, unnecessary energy </w:t>
      </w:r>
      <w:r w:rsidR="00FC49CD">
        <w:t>consumption,</w:t>
      </w:r>
      <w:r>
        <w:t xml:space="preserve"> and increased disposal costs. Green procurement policies and environmentally sustainable material selection would therefore strengthen compliance performance while improving organisational reputation.</w:t>
      </w:r>
      <w:r>
        <w:br/>
      </w:r>
      <w:r>
        <w:br/>
        <w:t>The company should investigate whether alternative low-emission resin systems are commercially viable. Traditional phenolic and furan resins present environmental and health concerns because they release hazardous emissions and generate difficult waste streams. Transitioning towards more environmentally sustainable materials may reduce long-term environmental liabilities and strengthen stakeholder confidence.</w:t>
      </w:r>
      <w:r>
        <w:br/>
      </w:r>
      <w:r>
        <w:br/>
        <w:t>Nevertheless, sustainable material alternatives may initially involve higher procurement costs and operational adjustment. Consequently, management must evaluate long-term sustainability benefits against short-term financial pressures. A phased transition strategy may therefore be more realistic than immediate large-scale operational change.</w:t>
      </w:r>
    </w:p>
    <w:p w14:paraId="1141C728" w14:textId="77777777" w:rsidR="00D22AC0" w:rsidRDefault="001E700A">
      <w:pPr>
        <w:pStyle w:val="Heading1"/>
        <w:spacing w:before="0" w:after="120"/>
      </w:pPr>
      <w:bookmarkStart w:id="10" w:name="_Toc229685876"/>
      <w:r>
        <w:lastRenderedPageBreak/>
        <w:t>2.7 Warehouse Governance and FIFO Systems</w:t>
      </w:r>
      <w:bookmarkEnd w:id="10"/>
    </w:p>
    <w:p w14:paraId="23820999" w14:textId="263CBE5D" w:rsidR="00D22AC0" w:rsidRDefault="001E700A">
      <w:pPr>
        <w:spacing w:after="120"/>
      </w:pPr>
      <w:r>
        <w:t>Warehouse governance procedures require significant improvement. FIFO stock rotation systems should become mandatory for all hazardous materials because poor stock rotation directly contributed to the accumulation of obsolete resin inventory. Barcode systems, expiry-date monitoring and routine inventory audits would improve accountability and stock accuracy.</w:t>
      </w:r>
      <w:r>
        <w:br/>
      </w:r>
      <w:r>
        <w:br/>
        <w:t xml:space="preserve">Employee training is equally important because operational improvement depends heavily upon workforce competence and organisational culture. Procurement staff, warehouse </w:t>
      </w:r>
      <w:r w:rsidR="00FC49CD">
        <w:t>employees,</w:t>
      </w:r>
      <w:r>
        <w:t xml:space="preserve"> and production planners should receive training in inventory control, sustainability practices and hazardous material management.</w:t>
      </w:r>
      <w:r>
        <w:br/>
      </w:r>
      <w:r>
        <w:br/>
        <w:t>Strong governance systems would additionally support regulatory compliance because hazardous materials would be monitored more effectively throughout their operational lifecycle.</w:t>
      </w:r>
    </w:p>
    <w:p w14:paraId="4EB6F1AC" w14:textId="77777777" w:rsidR="00D22AC0" w:rsidRDefault="001E700A">
      <w:pPr>
        <w:pStyle w:val="Heading1"/>
        <w:spacing w:before="0" w:after="120"/>
      </w:pPr>
      <w:bookmarkStart w:id="11" w:name="_Toc229685877"/>
      <w:r>
        <w:t>3. Managing Obsolete Stock</w:t>
      </w:r>
      <w:bookmarkEnd w:id="11"/>
    </w:p>
    <w:p w14:paraId="5B622B13" w14:textId="7E980A0A" w:rsidR="00D22AC0" w:rsidRDefault="001E700A">
      <w:pPr>
        <w:spacing w:after="120"/>
      </w:pPr>
      <w:r>
        <w:t xml:space="preserve">The obsolete resin inventory identified within Brocksweir Engineering Ltd represents both </w:t>
      </w:r>
      <w:r w:rsidR="00FC49CD">
        <w:t>an economic loss</w:t>
      </w:r>
      <w:r>
        <w:t xml:space="preserve"> and an environmental management challenge. Since the resins are classified as special waste, disposal costs have increased significantly. The organisation must therefore evaluate multiple recovery and disposal strategies while considering sustainability, financial </w:t>
      </w:r>
      <w:r w:rsidR="00FC49CD">
        <w:t>performance,</w:t>
      </w:r>
      <w:r>
        <w:t xml:space="preserve"> and regulatory compliance.</w:t>
      </w:r>
    </w:p>
    <w:p w14:paraId="601B5EB4" w14:textId="77777777" w:rsidR="00D22AC0" w:rsidRDefault="001E700A">
      <w:pPr>
        <w:pStyle w:val="Heading1"/>
        <w:spacing w:before="0" w:after="120"/>
      </w:pPr>
      <w:bookmarkStart w:id="12" w:name="_Toc229685878"/>
      <w:r>
        <w:t>3.1 Hazardous Waste Disposal</w:t>
      </w:r>
      <w:bookmarkEnd w:id="12"/>
    </w:p>
    <w:p w14:paraId="150D0153" w14:textId="77777777" w:rsidR="00D22AC0" w:rsidRDefault="001E700A">
      <w:pPr>
        <w:spacing w:after="120"/>
      </w:pPr>
      <w:r>
        <w:t>One immediate option is disposal through licensed hazardous waste contractors. This ensures compliance with environmental legislation and minimises legal risk. However, disposal alone does not recover value from obsolete inventory and therefore represents a reactive rather than strategic solution.</w:t>
      </w:r>
      <w:r>
        <w:br/>
      </w:r>
      <w:r>
        <w:br/>
        <w:t>The company must additionally ensure all waste disposal activities comply with environmental reporting requirements because regulatory breaches may create reputational damage and financial penalties. Consequently, disposal strategies should be integrated into broader sustainability planning rather than treated as isolated operational activities.</w:t>
      </w:r>
    </w:p>
    <w:p w14:paraId="2EF89024" w14:textId="77777777" w:rsidR="00D22AC0" w:rsidRDefault="001E700A">
      <w:pPr>
        <w:pStyle w:val="Heading1"/>
        <w:spacing w:before="0" w:after="120"/>
      </w:pPr>
      <w:bookmarkStart w:id="13" w:name="_Toc229685879"/>
      <w:r>
        <w:t>3.2 Recycling and Recovery Opportunities</w:t>
      </w:r>
      <w:bookmarkEnd w:id="13"/>
    </w:p>
    <w:p w14:paraId="10BE7765" w14:textId="77777777" w:rsidR="00D22AC0" w:rsidRDefault="001E700A">
      <w:pPr>
        <w:spacing w:after="120"/>
      </w:pPr>
      <w:r>
        <w:t xml:space="preserve">A more sustainable option involves exploring recycling and recovery opportunities. Certain chemical processing firms may recover usable compounds from expired resins or convert waste into alternative industrial products. This aligns with circular economy principles because waste materials are redirected into productive use rather than landfill </w:t>
      </w:r>
      <w:r>
        <w:lastRenderedPageBreak/>
        <w:t>disposal.</w:t>
      </w:r>
      <w:r>
        <w:br/>
      </w:r>
      <w:r>
        <w:br/>
        <w:t>According to Yang (2022), circular economy approaches improve sustainability performance while reducing long-term operational waste. For Brocksweir, recycling initiatives may additionally strengthen corporate reputation by demonstrating environmental responsibility.</w:t>
      </w:r>
    </w:p>
    <w:p w14:paraId="75F707A6" w14:textId="77777777" w:rsidR="00D22AC0" w:rsidRDefault="001E700A">
      <w:pPr>
        <w:pStyle w:val="Heading1"/>
        <w:spacing w:before="0" w:after="120"/>
      </w:pPr>
      <w:bookmarkStart w:id="14" w:name="_Toc229685880"/>
      <w:r>
        <w:t>3.3 Reverse Logistics and Circular Economy</w:t>
      </w:r>
      <w:bookmarkEnd w:id="14"/>
    </w:p>
    <w:p w14:paraId="20ED60B8" w14:textId="06ECA1AC" w:rsidR="00D22AC0" w:rsidRDefault="001E700A">
      <w:pPr>
        <w:spacing w:after="120"/>
      </w:pPr>
      <w:r>
        <w:t>Reverse logistics systems should be developed to support recycling, recovery, and waste management activities. Rushton, Croucher and Baker (2022) argue that effective reverse logistics systems improve sustainability performance while reducing disposal costs.</w:t>
      </w:r>
      <w:r>
        <w:br/>
      </w:r>
      <w:r>
        <w:br/>
        <w:t>Future procurement contracts should include supplier take-back clauses and shelf-life management responsibilities. This would distribute operational risk more effectively across the supply chain while encouraging stronger supplier accountability.</w:t>
      </w:r>
    </w:p>
    <w:p w14:paraId="4DA43E99" w14:textId="77777777" w:rsidR="00D22AC0" w:rsidRDefault="001E700A">
      <w:pPr>
        <w:pStyle w:val="Heading1"/>
        <w:spacing w:before="0" w:after="120"/>
      </w:pPr>
      <w:bookmarkStart w:id="15" w:name="_Toc229685881"/>
      <w:r>
        <w:t>3.4 Root Cause Analysis and Inventory KPIs</w:t>
      </w:r>
      <w:bookmarkEnd w:id="15"/>
    </w:p>
    <w:p w14:paraId="31023F90" w14:textId="31FCC9D1" w:rsidR="00D22AC0" w:rsidRDefault="001E700A">
      <w:pPr>
        <w:spacing w:after="120"/>
      </w:pPr>
      <w:r>
        <w:t xml:space="preserve">The organisation should additionally introduce inventory performance indicators such as inventory turnover ratio, stock ageing </w:t>
      </w:r>
      <w:r w:rsidR="00FC49CD">
        <w:t>analysis,</w:t>
      </w:r>
      <w:r>
        <w:t xml:space="preserve"> and obsolete inventory percentage. Root cause analysis suggests that the current inventory problem is linked to poor forecasting, excessive bulk purchasing and weak communication between procurement and production departments.</w:t>
      </w:r>
      <w:r>
        <w:br/>
      </w:r>
      <w:r>
        <w:br/>
        <w:t>Regular monitoring of inventory KPIs would allow management to identify operational weaknesses earlier and implement corrective action before materials become obsolete.</w:t>
      </w:r>
    </w:p>
    <w:p w14:paraId="3E4D31D5" w14:textId="77777777" w:rsidR="00D22AC0" w:rsidRDefault="001E700A">
      <w:pPr>
        <w:pStyle w:val="Heading1"/>
        <w:spacing w:before="0" w:after="120"/>
      </w:pPr>
      <w:bookmarkStart w:id="16" w:name="_Toc229685882"/>
      <w:r>
        <w:t>4. Lead Time Management Across the Extended Enterprise</w:t>
      </w:r>
      <w:bookmarkEnd w:id="16"/>
    </w:p>
    <w:p w14:paraId="327D8CE6" w14:textId="0AD37FE3" w:rsidR="00D22AC0" w:rsidRDefault="001E700A">
      <w:pPr>
        <w:spacing w:after="120"/>
      </w:pPr>
      <w:r>
        <w:t xml:space="preserve">Lead time management is essential for improving operational efficiency, customer </w:t>
      </w:r>
      <w:r w:rsidR="00FC49CD">
        <w:t>responsiveness,</w:t>
      </w:r>
      <w:r>
        <w:t xml:space="preserve"> and supply chain resilience. Lead time refers to the total time required for materials and products to move through procurement, </w:t>
      </w:r>
      <w:r w:rsidR="00FC49CD">
        <w:t>production,</w:t>
      </w:r>
      <w:r>
        <w:t xml:space="preserve"> and delivery activities. Weak lead time visibility within Brocksweir Engineering Ltd has contributed directly to excessive stockholding and operational inefficiency.</w:t>
      </w:r>
    </w:p>
    <w:p w14:paraId="15932933" w14:textId="77777777" w:rsidR="00D22AC0" w:rsidRDefault="001E700A">
      <w:pPr>
        <w:pStyle w:val="Heading1"/>
        <w:spacing w:before="0" w:after="120"/>
      </w:pPr>
      <w:bookmarkStart w:id="17" w:name="_Toc229685883"/>
      <w:r>
        <w:t>4.1 Process Mapping</w:t>
      </w:r>
      <w:bookmarkEnd w:id="17"/>
    </w:p>
    <w:p w14:paraId="49A0549B" w14:textId="2EA702BC" w:rsidR="00D22AC0" w:rsidRDefault="001E700A">
      <w:pPr>
        <w:spacing w:after="120"/>
      </w:pPr>
      <w:r>
        <w:t xml:space="preserve">The organisation should conduct detailed process mapping across procurement, </w:t>
      </w:r>
      <w:r w:rsidR="00FC49CD">
        <w:t>warehousing,</w:t>
      </w:r>
      <w:r>
        <w:t xml:space="preserve"> and production activities. Process mapping improves visibility regarding bottlenecks, communication </w:t>
      </w:r>
      <w:r w:rsidR="00FC49CD">
        <w:t>failures,</w:t>
      </w:r>
      <w:r>
        <w:t xml:space="preserve"> and non-value-adding activities. Cross-functional workshops involving procurement staff, warehouse employees and production managers would support continuous improvement and operational understanding.</w:t>
      </w:r>
    </w:p>
    <w:p w14:paraId="26DA984D" w14:textId="77777777" w:rsidR="00D22AC0" w:rsidRDefault="001E700A">
      <w:pPr>
        <w:pStyle w:val="Heading1"/>
        <w:spacing w:before="0" w:after="120"/>
      </w:pPr>
      <w:bookmarkStart w:id="18" w:name="_Toc229685884"/>
      <w:r>
        <w:lastRenderedPageBreak/>
        <w:t>4.2 Value Stream Mapping</w:t>
      </w:r>
      <w:bookmarkEnd w:id="18"/>
    </w:p>
    <w:p w14:paraId="2B117B38" w14:textId="77777777" w:rsidR="00D22AC0" w:rsidRDefault="001E700A">
      <w:pPr>
        <w:spacing w:after="120"/>
      </w:pPr>
      <w:r>
        <w:t>Value Stream Mapping is a lean management tool used to analyse material and information flows throughout production systems. Womack and Jones (2020) suggest that VSM improves inventory control and production responsiveness by identifying unnecessary waiting times and inefficient transportation activities.</w:t>
      </w:r>
      <w:r>
        <w:br/>
      </w:r>
      <w:r>
        <w:br/>
        <w:t>Within Brocksweir’s foundry operations, VSM may reveal excessive inventory accumulation points and inefficient process flows. This would support operational improvement initiatives while strengthening sustainability performance.</w:t>
      </w:r>
    </w:p>
    <w:p w14:paraId="58B0E47D" w14:textId="77777777" w:rsidR="00D22AC0" w:rsidRDefault="001E700A">
      <w:pPr>
        <w:pStyle w:val="Heading1"/>
        <w:spacing w:before="0" w:after="120"/>
      </w:pPr>
      <w:bookmarkStart w:id="19" w:name="_Toc229685885"/>
      <w:r>
        <w:t>4.3 Supplier Performance Monitoring</w:t>
      </w:r>
      <w:bookmarkEnd w:id="19"/>
    </w:p>
    <w:p w14:paraId="153A84C0" w14:textId="68A3009E" w:rsidR="00D22AC0" w:rsidRDefault="001E700A">
      <w:pPr>
        <w:spacing w:after="120"/>
      </w:pPr>
      <w:r>
        <w:t xml:space="preserve">Supplier lead time performance should be monitored continuously because unreliable supplier performance increases operational uncertainty and inventory holding requirements. Key supplier performance indicators should therefore include delivery reliability, responsiveness, order </w:t>
      </w:r>
      <w:r w:rsidR="00FC49CD">
        <w:t>accuracy,</w:t>
      </w:r>
      <w:r>
        <w:t xml:space="preserve"> and quality consistency.</w:t>
      </w:r>
      <w:r>
        <w:br/>
      </w:r>
      <w:r>
        <w:br/>
        <w:t>Supplier scorecards and regular performance reviews would strengthen accountability while supporting more informed sourcing decisions.</w:t>
      </w:r>
    </w:p>
    <w:p w14:paraId="01037E77" w14:textId="77777777" w:rsidR="00D22AC0" w:rsidRDefault="001E700A">
      <w:pPr>
        <w:pStyle w:val="Heading1"/>
        <w:spacing w:before="0" w:after="120"/>
      </w:pPr>
      <w:bookmarkStart w:id="20" w:name="_Toc229685886"/>
      <w:r>
        <w:t>4.4 ERP and Digital Supply Chains</w:t>
      </w:r>
      <w:bookmarkEnd w:id="20"/>
    </w:p>
    <w:p w14:paraId="7E173DFE" w14:textId="5477C008" w:rsidR="00D22AC0" w:rsidRDefault="001E700A">
      <w:pPr>
        <w:spacing w:after="120"/>
      </w:pPr>
      <w:r>
        <w:t xml:space="preserve">Digital supply chain technologies significantly improve operational visibility and responsiveness. ERP systems, barcode </w:t>
      </w:r>
      <w:r w:rsidR="00FC49CD">
        <w:t>tracking,</w:t>
      </w:r>
      <w:r>
        <w:t xml:space="preserve"> and digital procurement platforms allow organisations to monitor inventory movements and supplier activity in real time.</w:t>
      </w:r>
      <w:r>
        <w:br/>
      </w:r>
      <w:r>
        <w:br/>
        <w:t>Gunasekaran et al. (2023) argue that digital supply chains improve resilience by increasing information transparency and decision-making speed. However, digital transformation projects may involve cybersecurity risks and substantial implementation costs. Therefore, Brocksweir should adopt a phased implementation strategy supported by employee training and strong governance systems.</w:t>
      </w:r>
    </w:p>
    <w:p w14:paraId="5CB24444" w14:textId="77777777" w:rsidR="00D22AC0" w:rsidRDefault="001E700A">
      <w:pPr>
        <w:pStyle w:val="Heading1"/>
        <w:spacing w:before="0" w:after="120"/>
      </w:pPr>
      <w:bookmarkStart w:id="21" w:name="_Toc229685887"/>
      <w:r>
        <w:t>4.5 Risk Management and Supply Chain Resilience</w:t>
      </w:r>
      <w:bookmarkEnd w:id="21"/>
    </w:p>
    <w:p w14:paraId="3DF1C7FC" w14:textId="05ADAB77" w:rsidR="00D22AC0" w:rsidRDefault="001E700A">
      <w:pPr>
        <w:spacing w:after="120"/>
      </w:pPr>
      <w:r>
        <w:t>Risk management should form a major component of Brocksweir’s lead time strategy. Modern supply chains face disruption from geopolitical instability, transportation delays, labour shortages, and raw material shortages. Consequently, the organisation should diversify critical suppliers and develop contingency plans for supply interruptions.</w:t>
      </w:r>
      <w:r>
        <w:br/>
      </w:r>
      <w:r>
        <w:br/>
        <w:t>According to Ivanov (2021), resilient supply chains maintain operational continuity more effectively during periods of disruption. Therefore, Brocksweir should balance operational efficiency with strategic resilience rather than focusing exclusively on cost reduction.</w:t>
      </w:r>
    </w:p>
    <w:p w14:paraId="7F91DBDF" w14:textId="77777777" w:rsidR="00D22AC0" w:rsidRDefault="001E700A">
      <w:pPr>
        <w:pStyle w:val="Heading1"/>
        <w:spacing w:before="0" w:after="120"/>
      </w:pPr>
      <w:bookmarkStart w:id="22" w:name="_Toc229685888"/>
      <w:r>
        <w:lastRenderedPageBreak/>
        <w:t>5. Conclusion</w:t>
      </w:r>
      <w:bookmarkEnd w:id="22"/>
    </w:p>
    <w:p w14:paraId="19ACE53D" w14:textId="6F65B9A3" w:rsidR="00D22AC0" w:rsidRDefault="001E700A">
      <w:pPr>
        <w:spacing w:after="120"/>
      </w:pPr>
      <w:r>
        <w:t>Brocksweir Engineering Ltd faces significant operational and environmental challenges resulting from weak inventory management systems and poor lead time visibility. The accumulation of obsolete resin inventory demonstrates the financial and sustainability consequences associated with ineffective inventory governance.</w:t>
      </w:r>
      <w:r>
        <w:br/>
      </w:r>
      <w:r>
        <w:br/>
        <w:t>This report has demonstrated that inventory performance can be improved through ERP systems, EOQ analysis, ABC inventory classification, Vendor Managed Inventory systems and lean manufacturing principles. Sustainability-focused procurement practices, reverse logistics systems and stronger lead time management would additionally strengthen organisational resilience and environmental compliance performance.</w:t>
      </w:r>
      <w:r>
        <w:br/>
      </w:r>
      <w:r>
        <w:br/>
        <w:t>Sustainable operations management requires balancing operational efficiency, environmental responsibility, and financial performance. By adopting a more strategic and data-driven approach to inventory management, Brocksweir Engineering Ltd can improve competitiveness while supporting long-term sustainable growth.</w:t>
      </w:r>
    </w:p>
    <w:p w14:paraId="18E305F1" w14:textId="021CF299" w:rsidR="00D22AC0" w:rsidRDefault="00D22AC0">
      <w:pPr>
        <w:spacing w:after="120"/>
      </w:pPr>
    </w:p>
    <w:p w14:paraId="2FC4671B" w14:textId="77777777" w:rsidR="00FC49CD" w:rsidRDefault="00FC49CD">
      <w:pPr>
        <w:pStyle w:val="Heading1"/>
        <w:spacing w:before="0" w:after="120"/>
      </w:pPr>
    </w:p>
    <w:p w14:paraId="4AF45415" w14:textId="77777777" w:rsidR="00FC49CD" w:rsidRDefault="00FC49CD">
      <w:pPr>
        <w:pStyle w:val="Heading1"/>
        <w:spacing w:before="0" w:after="120"/>
      </w:pPr>
    </w:p>
    <w:p w14:paraId="1C2CC7CB" w14:textId="4862AACE" w:rsidR="00D22AC0" w:rsidRDefault="001E700A">
      <w:pPr>
        <w:pStyle w:val="Heading1"/>
        <w:spacing w:before="0" w:after="120"/>
      </w:pPr>
      <w:bookmarkStart w:id="23" w:name="_Toc229685889"/>
      <w:r>
        <w:t>6. References</w:t>
      </w:r>
      <w:bookmarkEnd w:id="23"/>
    </w:p>
    <w:p w14:paraId="7CF9777B" w14:textId="77777777" w:rsidR="00D22AC0" w:rsidRDefault="001E700A">
      <w:pPr>
        <w:spacing w:after="120"/>
      </w:pPr>
      <w:r>
        <w:t>Azim, M.I. (2024) ‘Optimising inventory cost efficiency through the Economic Order Quantity model’, Journal of Accounting and Management, 14(2), pp. 55–67.</w:t>
      </w:r>
    </w:p>
    <w:p w14:paraId="0969A77E" w14:textId="77777777" w:rsidR="00D22AC0" w:rsidRDefault="001E700A">
      <w:pPr>
        <w:spacing w:after="120"/>
      </w:pPr>
      <w:r>
        <w:t>Carpitella, S. (2025) ‘Sustainable inventory management in manufacturing systems’, Processes, 13(4), pp. 1–18.</w:t>
      </w:r>
    </w:p>
    <w:p w14:paraId="354B3F5A" w14:textId="77777777" w:rsidR="00D22AC0" w:rsidRDefault="001E700A">
      <w:pPr>
        <w:spacing w:after="120"/>
      </w:pPr>
      <w:r>
        <w:t>Christopher, M. (2022) Logistics and Supply Chain Management. 6th edn. Harlow: Pearson.</w:t>
      </w:r>
    </w:p>
    <w:p w14:paraId="22CA2A7A" w14:textId="77777777" w:rsidR="00D22AC0" w:rsidRDefault="001E700A">
      <w:pPr>
        <w:spacing w:after="120"/>
      </w:pPr>
      <w:r>
        <w:t>Gunasekaran, A. et al. (2023) ‘Digital supply chain management and sustainability’, International Journal of Production Economics, 251, pp. 1–15.</w:t>
      </w:r>
    </w:p>
    <w:p w14:paraId="40CC4870" w14:textId="77777777" w:rsidR="00D22AC0" w:rsidRDefault="001E700A">
      <w:pPr>
        <w:spacing w:after="120"/>
      </w:pPr>
      <w:r>
        <w:t>Heizer, J., Render, B. and Munson, C. (2020) Operations Management. 13th edn. Harlow: Pearson.</w:t>
      </w:r>
    </w:p>
    <w:p w14:paraId="7803BA6A" w14:textId="77777777" w:rsidR="00D22AC0" w:rsidRDefault="001E700A">
      <w:pPr>
        <w:spacing w:after="120"/>
      </w:pPr>
      <w:r>
        <w:t>Ivanov, D. (2021) Introduction to Supply Chain Resilience. Cham: Springer.</w:t>
      </w:r>
    </w:p>
    <w:p w14:paraId="42136A85" w14:textId="77777777" w:rsidR="00D22AC0" w:rsidRDefault="001E700A">
      <w:pPr>
        <w:spacing w:after="120"/>
      </w:pPr>
      <w:r>
        <w:t>Jacobs, F. and Chase, R. (2021) Operations and Supply Chain Management. 16th edn. New York: McGraw‑Hill.</w:t>
      </w:r>
    </w:p>
    <w:p w14:paraId="7DEA4D73" w14:textId="77777777" w:rsidR="00D22AC0" w:rsidRDefault="001E700A">
      <w:pPr>
        <w:spacing w:after="120"/>
      </w:pPr>
      <w:r>
        <w:t>Lotfi, R. et al. (2022) ‘Vendor managed inventory and sustainable supply chains’, Sustainability, 14(23), pp. 1–22.</w:t>
      </w:r>
    </w:p>
    <w:p w14:paraId="20AA2C84" w14:textId="77777777" w:rsidR="00D22AC0" w:rsidRDefault="001E700A">
      <w:pPr>
        <w:spacing w:after="120"/>
      </w:pPr>
      <w:r>
        <w:lastRenderedPageBreak/>
        <w:t>Lysons, K. and Farrington, B. (2020) Procurement and Supply Chain Management. 10th edn. Harlow: Pearson.</w:t>
      </w:r>
    </w:p>
    <w:p w14:paraId="3B7A819F" w14:textId="77777777" w:rsidR="00D22AC0" w:rsidRDefault="001E700A">
      <w:pPr>
        <w:spacing w:after="120"/>
      </w:pPr>
      <w:r>
        <w:t>Rushton, A., Croucher, P. and Baker, P. (2022) The Handbook of Logistics and Distribution Management. 7th edn. London: Kogan Page.</w:t>
      </w:r>
    </w:p>
    <w:p w14:paraId="65CB770B" w14:textId="77777777" w:rsidR="00D22AC0" w:rsidRDefault="001E700A">
      <w:pPr>
        <w:spacing w:after="120"/>
      </w:pPr>
      <w:r>
        <w:t>Slack, N. and Brandon‑Jones, A. (2023) Operations and Process Management. 7th edn. Harlow: Pearson.</w:t>
      </w:r>
    </w:p>
    <w:p w14:paraId="49A2C95F" w14:textId="77777777" w:rsidR="00D22AC0" w:rsidRDefault="001E700A">
      <w:pPr>
        <w:spacing w:after="120"/>
      </w:pPr>
      <w:r>
        <w:t>Stevenson, W. (2021) Operations Management. 14th edn. New York: McGraw‑Hill.</w:t>
      </w:r>
    </w:p>
    <w:p w14:paraId="05141C54" w14:textId="77777777" w:rsidR="00D22AC0" w:rsidRDefault="001E700A">
      <w:pPr>
        <w:spacing w:after="120"/>
      </w:pPr>
      <w:r>
        <w:t>Womack, J. and Jones, D. (2020) Lean Thinking. 3rd edn. New York: Simon &amp; Schuster.</w:t>
      </w:r>
    </w:p>
    <w:p w14:paraId="6F8F7BAF" w14:textId="77777777" w:rsidR="00D22AC0" w:rsidRDefault="001E700A">
      <w:pPr>
        <w:spacing w:after="120"/>
      </w:pPr>
      <w:r>
        <w:t>Yang, C. (2022) ‘Inventory optimisation and sustainability’, Journal of Cleaner Production, 344, pp. 1–11.</w:t>
      </w:r>
    </w:p>
    <w:p w14:paraId="6E88D91D" w14:textId="77777777" w:rsidR="00D22AC0" w:rsidRDefault="001E700A">
      <w:pPr>
        <w:spacing w:after="120"/>
      </w:pPr>
      <w:r>
        <w:t>Zhou, X. (2019) ‘Theoretical development of vendor-managed inventory’, Open Journal of Business and Management, 7(2), pp. 1–14.</w:t>
      </w:r>
    </w:p>
    <w:p w14:paraId="12FE2726" w14:textId="77777777" w:rsidR="00E3396E" w:rsidRDefault="00E3396E" w:rsidP="00E3396E">
      <w:pPr>
        <w:spacing w:after="120"/>
      </w:pPr>
      <w:r>
        <w:t>Choi, T. (2022) ‘Sustainable supply chain risk management’, Transportation Research Part E, 158, pp. 1–14.</w:t>
      </w:r>
    </w:p>
    <w:p w14:paraId="3B3088CA" w14:textId="77777777" w:rsidR="00E3396E" w:rsidRDefault="00E3396E" w:rsidP="00E3396E">
      <w:pPr>
        <w:spacing w:after="120"/>
      </w:pPr>
      <w:r>
        <w:t>Žic, J. et al. (2024) ‘Green inventory management through periodic review systems’, Sustainability, 16(13), pp. 1–25.</w:t>
      </w:r>
    </w:p>
    <w:p w14:paraId="4FFC78C3" w14:textId="77777777" w:rsidR="00E3396E" w:rsidRDefault="00E3396E" w:rsidP="00E3396E">
      <w:pPr>
        <w:spacing w:after="120"/>
      </w:pPr>
      <w:r>
        <w:t>Porter, M. and Kramer, M. (2019) ‘Creating shared value’, Harvard Business Review, 89(1), pp. 62–77.</w:t>
      </w:r>
    </w:p>
    <w:p w14:paraId="23B1A057" w14:textId="77777777" w:rsidR="00E3396E" w:rsidRDefault="00E3396E" w:rsidP="00E3396E">
      <w:pPr>
        <w:spacing w:after="120"/>
      </w:pPr>
      <w:r>
        <w:t>Waters, D. (2019) Supply Chain Risk Management. 3rd edn. London: Kogan Page.</w:t>
      </w:r>
    </w:p>
    <w:p w14:paraId="7060F8BA" w14:textId="77777777" w:rsidR="00E3396E" w:rsidRDefault="00E3396E" w:rsidP="00E3396E">
      <w:pPr>
        <w:spacing w:after="120"/>
      </w:pPr>
      <w:r>
        <w:t>Monczka, R. et al. (2021) Purchasing and Supply Chain Management. 7th edn. Boston: Cengage.</w:t>
      </w:r>
    </w:p>
    <w:p w14:paraId="5332F094" w14:textId="77777777" w:rsidR="00E3396E" w:rsidRDefault="00E3396E" w:rsidP="00E3396E">
      <w:pPr>
        <w:spacing w:after="120"/>
      </w:pPr>
      <w:r>
        <w:t>Chopra, S. (2020) Supply Chain Management. 8th edn. Harlow: Pearson.</w:t>
      </w:r>
    </w:p>
    <w:p w14:paraId="64444517" w14:textId="77777777" w:rsidR="00E3396E" w:rsidRDefault="00E3396E">
      <w:pPr>
        <w:spacing w:after="120"/>
      </w:pPr>
    </w:p>
    <w:p w14:paraId="2A1B6FB4" w14:textId="77777777" w:rsidR="00E3396E" w:rsidRDefault="00E3396E">
      <w:pPr>
        <w:spacing w:after="120"/>
      </w:pPr>
    </w:p>
    <w:p w14:paraId="7FC586C9" w14:textId="77777777" w:rsidR="00B92A93" w:rsidRDefault="001E700A">
      <w:pPr>
        <w:pStyle w:val="Heading2"/>
        <w:spacing w:before="0" w:after="120"/>
      </w:pPr>
      <w:bookmarkStart w:id="24" w:name="_Toc229685890"/>
      <w:r>
        <w:lastRenderedPageBreak/>
        <w:t>Appendix A: Inventory Management Techniques</w:t>
      </w:r>
      <w:bookmarkEnd w:id="24"/>
    </w:p>
    <w:p w14:paraId="57D0DB9B" w14:textId="77777777" w:rsidR="00B92A93" w:rsidRDefault="001E700A">
      <w:pPr>
        <w:spacing w:after="120"/>
      </w:pPr>
      <w:r>
        <w:rPr>
          <w:noProof/>
        </w:rPr>
        <w:drawing>
          <wp:inline distT="0" distB="0" distL="0" distR="0" wp14:anchorId="5AF4AC7A" wp14:editId="7789A80C">
            <wp:extent cx="5029200" cy="260811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_a.png"/>
                    <pic:cNvPicPr/>
                  </pic:nvPicPr>
                  <pic:blipFill>
                    <a:blip r:embed="rId9"/>
                    <a:stretch>
                      <a:fillRect/>
                    </a:stretch>
                  </pic:blipFill>
                  <pic:spPr>
                    <a:xfrm>
                      <a:off x="0" y="0"/>
                      <a:ext cx="5029200" cy="2608118"/>
                    </a:xfrm>
                    <a:prstGeom prst="rect">
                      <a:avLst/>
                    </a:prstGeom>
                  </pic:spPr>
                </pic:pic>
              </a:graphicData>
            </a:graphic>
          </wp:inline>
        </w:drawing>
      </w:r>
    </w:p>
    <w:p w14:paraId="0285BCA1" w14:textId="534B12A7" w:rsidR="00B92A93" w:rsidRDefault="001E700A">
      <w:pPr>
        <w:spacing w:after="120"/>
      </w:pPr>
      <w:r>
        <w:t xml:space="preserve">Figure </w:t>
      </w:r>
      <w:r w:rsidR="007606FF">
        <w:t>1</w:t>
      </w:r>
      <w:r>
        <w:t>: Key inventory management techniques recommended for Brocksweir Engineering Ltd including EOQ, ABC analysis, FIFO systems, ERP integration and Vendor Managed Inventory.</w:t>
      </w:r>
    </w:p>
    <w:p w14:paraId="5FA20E81" w14:textId="77777777" w:rsidR="00B92A93" w:rsidRDefault="001E700A">
      <w:pPr>
        <w:spacing w:after="120"/>
      </w:pPr>
      <w:r>
        <w:br/>
        <w:t>The appendix demonstrates how multiple inventory management techniques may be integrated simultaneously within engineering environments. Rather than relying upon a single inventory control method, Brocksweir Engineering Ltd should adopt a hybrid inventory strategy balancing cost efficiency, sustainability and operational resilience.</w:t>
      </w:r>
      <w:r>
        <w:br/>
      </w:r>
    </w:p>
    <w:p w14:paraId="67135689" w14:textId="77777777" w:rsidR="00B92A93" w:rsidRDefault="001E700A">
      <w:pPr>
        <w:pStyle w:val="Heading2"/>
        <w:spacing w:before="0" w:after="120"/>
      </w:pPr>
      <w:bookmarkStart w:id="25" w:name="_Toc229685891"/>
      <w:r>
        <w:t>Appendix B: Lead Time Flow Diagram</w:t>
      </w:r>
      <w:bookmarkEnd w:id="25"/>
    </w:p>
    <w:p w14:paraId="6BEBB749" w14:textId="77777777" w:rsidR="00B92A93" w:rsidRDefault="001E700A">
      <w:pPr>
        <w:spacing w:after="120"/>
      </w:pPr>
      <w:r>
        <w:rPr>
          <w:noProof/>
        </w:rPr>
        <w:drawing>
          <wp:inline distT="0" distB="0" distL="0" distR="0" wp14:anchorId="7700CB7E" wp14:editId="748B99C8">
            <wp:extent cx="5303520" cy="200061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_b.png"/>
                    <pic:cNvPicPr/>
                  </pic:nvPicPr>
                  <pic:blipFill>
                    <a:blip r:embed="rId10"/>
                    <a:stretch>
                      <a:fillRect/>
                    </a:stretch>
                  </pic:blipFill>
                  <pic:spPr>
                    <a:xfrm>
                      <a:off x="0" y="0"/>
                      <a:ext cx="5303520" cy="2000616"/>
                    </a:xfrm>
                    <a:prstGeom prst="rect">
                      <a:avLst/>
                    </a:prstGeom>
                  </pic:spPr>
                </pic:pic>
              </a:graphicData>
            </a:graphic>
          </wp:inline>
        </w:drawing>
      </w:r>
    </w:p>
    <w:p w14:paraId="4CE34C7A" w14:textId="58EA7D0D" w:rsidR="00B92A93" w:rsidRDefault="001E700A">
      <w:pPr>
        <w:spacing w:after="120"/>
      </w:pPr>
      <w:r>
        <w:t xml:space="preserve">Figure </w:t>
      </w:r>
      <w:r w:rsidR="007606FF">
        <w:t>2</w:t>
      </w:r>
      <w:r>
        <w:t>: Simplified supply chain lead time flow across procurement, warehousing, production and customer delivery processes.</w:t>
      </w:r>
    </w:p>
    <w:p w14:paraId="46F9BFF5" w14:textId="0732832E" w:rsidR="00B92A93" w:rsidRDefault="001E700A">
      <w:pPr>
        <w:spacing w:after="120"/>
      </w:pPr>
      <w:r>
        <w:lastRenderedPageBreak/>
        <w:br/>
        <w:t xml:space="preserve">The lead time flow diagram highlights the importance of visibility across the extended enterprise network. Delays occurring at </w:t>
      </w:r>
      <w:r w:rsidR="00FC49CD">
        <w:t>suppliers</w:t>
      </w:r>
      <w:r>
        <w:t>, warehousing or production stages may significantly affect operational responsiveness and customer service performance.</w:t>
      </w:r>
      <w:r>
        <w:br/>
      </w:r>
    </w:p>
    <w:p w14:paraId="7645F976" w14:textId="77777777" w:rsidR="00B92A93" w:rsidRDefault="001E700A">
      <w:pPr>
        <w:pStyle w:val="Heading2"/>
        <w:spacing w:before="0" w:after="120"/>
      </w:pPr>
      <w:bookmarkStart w:id="26" w:name="_Toc229685892"/>
      <w:r>
        <w:t>Appendix C: Sustainability Risk Considerations</w:t>
      </w:r>
      <w:bookmarkEnd w:id="26"/>
    </w:p>
    <w:p w14:paraId="75800D70" w14:textId="77777777" w:rsidR="00B92A93" w:rsidRDefault="001E700A">
      <w:pPr>
        <w:spacing w:after="120"/>
      </w:pPr>
      <w:r>
        <w:rPr>
          <w:noProof/>
        </w:rPr>
        <w:drawing>
          <wp:inline distT="0" distB="0" distL="0" distR="0" wp14:anchorId="2A9774FC" wp14:editId="0F6FAD9C">
            <wp:extent cx="4572000" cy="369763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_c.png"/>
                    <pic:cNvPicPr/>
                  </pic:nvPicPr>
                  <pic:blipFill>
                    <a:blip r:embed="rId11"/>
                    <a:stretch>
                      <a:fillRect/>
                    </a:stretch>
                  </pic:blipFill>
                  <pic:spPr>
                    <a:xfrm>
                      <a:off x="0" y="0"/>
                      <a:ext cx="4572000" cy="3697631"/>
                    </a:xfrm>
                    <a:prstGeom prst="rect">
                      <a:avLst/>
                    </a:prstGeom>
                  </pic:spPr>
                </pic:pic>
              </a:graphicData>
            </a:graphic>
          </wp:inline>
        </w:drawing>
      </w:r>
    </w:p>
    <w:p w14:paraId="4C907F58" w14:textId="2B2E14E1" w:rsidR="00B92A93" w:rsidRDefault="001E700A">
      <w:pPr>
        <w:spacing w:after="120"/>
      </w:pPr>
      <w:r>
        <w:t>Figure</w:t>
      </w:r>
      <w:r w:rsidR="007606FF">
        <w:t xml:space="preserve"> 3</w:t>
      </w:r>
      <w:r>
        <w:t>: Sustainability and operational risk categories affecting inventory management performance.</w:t>
      </w:r>
    </w:p>
    <w:p w14:paraId="5E721DF8" w14:textId="77777777" w:rsidR="00B92A93" w:rsidRDefault="001E700A">
      <w:pPr>
        <w:spacing w:after="120"/>
      </w:pPr>
      <w:r>
        <w:br/>
        <w:t>This appendix highlights the interconnected nature of operational, environmental, financial and supply chain risks. Effective inventory management requires balancing these risks rather than focusing exclusively on short-term cost reduction objectives.</w:t>
      </w:r>
      <w:r>
        <w:br/>
      </w:r>
    </w:p>
    <w:sectPr w:rsidR="00B92A93" w:rsidSect="00034616">
      <w:footerReference w:type="default" r:id="rId1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E05D1E" w14:textId="77777777" w:rsidR="00D158EE" w:rsidRDefault="00D158EE" w:rsidP="00FC49CD">
      <w:pPr>
        <w:spacing w:after="0" w:line="240" w:lineRule="auto"/>
      </w:pPr>
      <w:r>
        <w:separator/>
      </w:r>
    </w:p>
  </w:endnote>
  <w:endnote w:type="continuationSeparator" w:id="0">
    <w:p w14:paraId="6E670336" w14:textId="77777777" w:rsidR="00D158EE" w:rsidRDefault="00D158EE" w:rsidP="00FC4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6515367"/>
      <w:docPartObj>
        <w:docPartGallery w:val="Page Numbers (Bottom of Page)"/>
        <w:docPartUnique/>
      </w:docPartObj>
    </w:sdtPr>
    <w:sdtContent>
      <w:p w14:paraId="275EB30C" w14:textId="313D6790" w:rsidR="00FC49CD" w:rsidRDefault="00FC49CD">
        <w:pPr>
          <w:pStyle w:val="Footer"/>
          <w:jc w:val="center"/>
        </w:pPr>
        <w:r>
          <w:fldChar w:fldCharType="begin"/>
        </w:r>
        <w:r>
          <w:instrText>PAGE   \* MERGEFORMAT</w:instrText>
        </w:r>
        <w:r>
          <w:fldChar w:fldCharType="separate"/>
        </w:r>
        <w:r>
          <w:rPr>
            <w:lang w:val="en-GB"/>
          </w:rPr>
          <w:t>2</w:t>
        </w:r>
        <w:r>
          <w:fldChar w:fldCharType="end"/>
        </w:r>
      </w:p>
    </w:sdtContent>
  </w:sdt>
  <w:p w14:paraId="6F2A4957" w14:textId="77777777" w:rsidR="00FC49CD" w:rsidRDefault="00FC49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89DC4" w14:textId="77777777" w:rsidR="00D158EE" w:rsidRDefault="00D158EE" w:rsidP="00FC49CD">
      <w:pPr>
        <w:spacing w:after="0" w:line="240" w:lineRule="auto"/>
      </w:pPr>
      <w:r>
        <w:separator/>
      </w:r>
    </w:p>
  </w:footnote>
  <w:footnote w:type="continuationSeparator" w:id="0">
    <w:p w14:paraId="393E74E3" w14:textId="77777777" w:rsidR="00D158EE" w:rsidRDefault="00D158EE" w:rsidP="00FC49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57637817">
    <w:abstractNumId w:val="8"/>
  </w:num>
  <w:num w:numId="2" w16cid:durableId="281771949">
    <w:abstractNumId w:val="6"/>
  </w:num>
  <w:num w:numId="3" w16cid:durableId="859665677">
    <w:abstractNumId w:val="5"/>
  </w:num>
  <w:num w:numId="4" w16cid:durableId="1777555441">
    <w:abstractNumId w:val="4"/>
  </w:num>
  <w:num w:numId="5" w16cid:durableId="1686588289">
    <w:abstractNumId w:val="7"/>
  </w:num>
  <w:num w:numId="6" w16cid:durableId="1553543941">
    <w:abstractNumId w:val="3"/>
  </w:num>
  <w:num w:numId="7" w16cid:durableId="519975334">
    <w:abstractNumId w:val="2"/>
  </w:num>
  <w:num w:numId="8" w16cid:durableId="1061178724">
    <w:abstractNumId w:val="1"/>
  </w:num>
  <w:num w:numId="9" w16cid:durableId="818880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E199F"/>
    <w:rsid w:val="001E700A"/>
    <w:rsid w:val="00235F76"/>
    <w:rsid w:val="002918AD"/>
    <w:rsid w:val="0029639D"/>
    <w:rsid w:val="00326F90"/>
    <w:rsid w:val="005103D7"/>
    <w:rsid w:val="006D063F"/>
    <w:rsid w:val="006D08E3"/>
    <w:rsid w:val="007606FF"/>
    <w:rsid w:val="00AA1D8D"/>
    <w:rsid w:val="00B47730"/>
    <w:rsid w:val="00B575F5"/>
    <w:rsid w:val="00B92A93"/>
    <w:rsid w:val="00CB0664"/>
    <w:rsid w:val="00CD441A"/>
    <w:rsid w:val="00D158EE"/>
    <w:rsid w:val="00D22AC0"/>
    <w:rsid w:val="00D46E9C"/>
    <w:rsid w:val="00E3396E"/>
    <w:rsid w:val="00E7435A"/>
    <w:rsid w:val="00FC49CD"/>
    <w:rsid w:val="00FC693F"/>
    <w:rsid w:val="00FE370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161EC1C"/>
  <w14:defaultImageDpi w14:val="300"/>
  <w15:docId w15:val="{D1569041-602B-4EAA-85C8-BCF6AAEA6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C49CD"/>
    <w:pPr>
      <w:spacing w:after="100"/>
    </w:pPr>
  </w:style>
  <w:style w:type="paragraph" w:styleId="TOC2">
    <w:name w:val="toc 2"/>
    <w:basedOn w:val="Normal"/>
    <w:next w:val="Normal"/>
    <w:autoRedefine/>
    <w:uiPriority w:val="39"/>
    <w:unhideWhenUsed/>
    <w:rsid w:val="00FC49CD"/>
    <w:pPr>
      <w:spacing w:after="100"/>
      <w:ind w:left="240"/>
    </w:pPr>
  </w:style>
  <w:style w:type="character" w:styleId="Hyperlink">
    <w:name w:val="Hyperlink"/>
    <w:basedOn w:val="DefaultParagraphFont"/>
    <w:uiPriority w:val="99"/>
    <w:unhideWhenUsed/>
    <w:rsid w:val="00FC49C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4411</Words>
  <Characters>25143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29496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ARMIN POLYAK</cp:lastModifiedBy>
  <cp:revision>4</cp:revision>
  <dcterms:created xsi:type="dcterms:W3CDTF">2026-05-14T20:31:00Z</dcterms:created>
  <dcterms:modified xsi:type="dcterms:W3CDTF">2026-05-14T20:32:00Z</dcterms:modified>
  <cp:category/>
</cp:coreProperties>
</file>