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32B9A" w:rsidRPr="00E63CFF" w:rsidRDefault="6B45FE3F" w:rsidP="1DC8E190">
      <w:pPr>
        <w:pStyle w:val="Title"/>
        <w:rPr>
          <w:sz w:val="32"/>
          <w:szCs w:val="32"/>
        </w:rPr>
      </w:pPr>
      <w:r w:rsidRPr="00E63CFF">
        <w:rPr>
          <w:sz w:val="32"/>
          <w:szCs w:val="32"/>
        </w:rPr>
        <w:t>Risk Factors Associated with Diabetes Amongst Ethnic Minorities in the UK: A Systematic Review</w:t>
      </w:r>
    </w:p>
    <w:p w:rsidR="509AD967" w:rsidRPr="00E63CFF" w:rsidRDefault="509AD967" w:rsidP="1DC8E190">
      <w:pPr>
        <w:pStyle w:val="Heading1"/>
        <w:rPr>
          <w:sz w:val="26"/>
          <w:szCs w:val="26"/>
        </w:rPr>
      </w:pPr>
      <w:r w:rsidRPr="00E63CFF">
        <w:rPr>
          <w:sz w:val="26"/>
          <w:szCs w:val="26"/>
        </w:rPr>
        <w:t>01. Introduction and Research Aim</w:t>
      </w:r>
    </w:p>
    <w:p w:rsidR="509AD967" w:rsidRPr="00A52E76" w:rsidRDefault="509AD967" w:rsidP="00A52E76">
      <w:pPr>
        <w:spacing w:line="360" w:lineRule="auto"/>
        <w:rPr>
          <w:rFonts w:ascii="Arial" w:hAnsi="Arial" w:cs="Arial"/>
          <w:sz w:val="22"/>
          <w:szCs w:val="22"/>
        </w:rPr>
      </w:pPr>
      <w:r w:rsidRPr="00A52E76">
        <w:rPr>
          <w:rFonts w:ascii="Arial" w:hAnsi="Arial" w:cs="Arial"/>
          <w:sz w:val="22"/>
          <w:szCs w:val="22"/>
        </w:rPr>
        <w:t>A methods chapter explains how research is conducted and justifies the approach taken. For this project, the aim is to critically evaluate risk factors associated with diabetes among ethnic minority populations in the UK, focusing on socio</w:t>
      </w:r>
      <w:r w:rsidRPr="00A52E76">
        <w:rPr>
          <w:rFonts w:ascii="Cambria Math" w:hAnsi="Cambria Math" w:cs="Cambria Math"/>
          <w:sz w:val="22"/>
          <w:szCs w:val="22"/>
        </w:rPr>
        <w:t>‑</w:t>
      </w:r>
      <w:r w:rsidRPr="00A52E76">
        <w:rPr>
          <w:rFonts w:ascii="Arial" w:hAnsi="Arial" w:cs="Arial"/>
          <w:sz w:val="22"/>
          <w:szCs w:val="22"/>
        </w:rPr>
        <w:t>economic status, lifestyle factors, and access to healthcare. Evidence shows that people from Black African, African Caribbean, and South Asian backgrounds are at higher risk of developing type 2 diabetes at a younger age (Diabetes UK, 2025; Onuorah, Santy</w:t>
      </w:r>
      <w:r w:rsidRPr="00A52E76">
        <w:rPr>
          <w:rFonts w:ascii="Cambria Math" w:hAnsi="Cambria Math" w:cs="Cambria Math"/>
          <w:sz w:val="22"/>
          <w:szCs w:val="22"/>
        </w:rPr>
        <w:t>‑</w:t>
      </w:r>
      <w:r w:rsidRPr="00A52E76">
        <w:rPr>
          <w:rFonts w:ascii="Arial" w:hAnsi="Arial" w:cs="Arial"/>
          <w:sz w:val="22"/>
          <w:szCs w:val="22"/>
        </w:rPr>
        <w:t>Tomlinson and Draper, 2025). Socio</w:t>
      </w:r>
      <w:r w:rsidRPr="00A52E76">
        <w:rPr>
          <w:rFonts w:ascii="Cambria Math" w:hAnsi="Cambria Math" w:cs="Cambria Math"/>
          <w:sz w:val="22"/>
          <w:szCs w:val="22"/>
        </w:rPr>
        <w:t>‑</w:t>
      </w:r>
      <w:r w:rsidRPr="00A52E76">
        <w:rPr>
          <w:rFonts w:ascii="Arial" w:hAnsi="Arial" w:cs="Arial"/>
          <w:sz w:val="22"/>
          <w:szCs w:val="22"/>
        </w:rPr>
        <w:t>economic vulnerability and lifestyle barriers further exacerbate these risks (Diabetes.co.uk, 2024).</w:t>
      </w:r>
    </w:p>
    <w:p w:rsidR="509AD967" w:rsidRPr="00E63CFF" w:rsidRDefault="509AD967" w:rsidP="1DC8E190">
      <w:pPr>
        <w:pStyle w:val="Heading1"/>
        <w:rPr>
          <w:sz w:val="26"/>
          <w:szCs w:val="26"/>
        </w:rPr>
      </w:pPr>
      <w:r w:rsidRPr="00E63CFF">
        <w:rPr>
          <w:sz w:val="26"/>
          <w:szCs w:val="26"/>
        </w:rPr>
        <w:t>02. Search Strategy</w:t>
      </w:r>
    </w:p>
    <w:p w:rsidR="509AD967" w:rsidRPr="00A52E76" w:rsidRDefault="509AD967" w:rsidP="00A52E76">
      <w:pPr>
        <w:spacing w:line="360" w:lineRule="auto"/>
        <w:rPr>
          <w:rFonts w:ascii="Arial" w:hAnsi="Arial" w:cs="Arial"/>
          <w:sz w:val="22"/>
          <w:szCs w:val="22"/>
        </w:rPr>
      </w:pPr>
      <w:r w:rsidRPr="00A52E76">
        <w:rPr>
          <w:rFonts w:ascii="Arial" w:hAnsi="Arial" w:cs="Arial"/>
          <w:sz w:val="22"/>
          <w:szCs w:val="22"/>
        </w:rPr>
        <w:t xml:space="preserve">A search strategy is a structured plan for identifying relevant literature in secondary research. It involves selecting keywords, databases, and filters to ensure comprehensive coverage (NICE, 2012). For this dissertation, keywords such as “diabetes,” “ethnic minorities,” “UK,” “risk factors,” and “health inequalities” were combined using Boolean operators (AND, OR, NOT). Searches were conducted </w:t>
      </w:r>
      <w:r w:rsidR="00A52E76" w:rsidRPr="00A52E76">
        <w:rPr>
          <w:rFonts w:ascii="Arial" w:hAnsi="Arial" w:cs="Arial"/>
          <w:sz w:val="22"/>
          <w:szCs w:val="22"/>
        </w:rPr>
        <w:t>through</w:t>
      </w:r>
      <w:r w:rsidRPr="00A52E76">
        <w:rPr>
          <w:rFonts w:ascii="Arial" w:hAnsi="Arial" w:cs="Arial"/>
          <w:sz w:val="22"/>
          <w:szCs w:val="22"/>
        </w:rPr>
        <w:t xml:space="preserve"> Google Scholar, ProQuest, EBSCO Host, and the UWTSD Library catalogue. This systematic approach ensured that only credible, peer</w:t>
      </w:r>
      <w:r w:rsidRPr="00A52E76">
        <w:rPr>
          <w:rFonts w:ascii="Cambria Math" w:hAnsi="Cambria Math" w:cs="Cambria Math"/>
          <w:sz w:val="22"/>
          <w:szCs w:val="22"/>
        </w:rPr>
        <w:t>‑</w:t>
      </w:r>
      <w:r w:rsidRPr="00A52E76">
        <w:rPr>
          <w:rFonts w:ascii="Arial" w:hAnsi="Arial" w:cs="Arial"/>
          <w:sz w:val="22"/>
          <w:szCs w:val="22"/>
        </w:rPr>
        <w:t>reviewed, and relevant sources were included.</w:t>
      </w:r>
    </w:p>
    <w:p w:rsidR="509AD967" w:rsidRPr="00E63CFF" w:rsidRDefault="509AD967" w:rsidP="1DC8E190">
      <w:pPr>
        <w:pStyle w:val="Heading1"/>
        <w:rPr>
          <w:sz w:val="26"/>
          <w:szCs w:val="26"/>
        </w:rPr>
      </w:pPr>
      <w:r w:rsidRPr="00E63CFF">
        <w:rPr>
          <w:sz w:val="26"/>
          <w:szCs w:val="26"/>
        </w:rPr>
        <w:t>03. Searching for Information</w:t>
      </w:r>
    </w:p>
    <w:p w:rsidR="509AD967" w:rsidRPr="00A52E76" w:rsidRDefault="509AD967" w:rsidP="00A52E76">
      <w:pPr>
        <w:spacing w:line="360" w:lineRule="auto"/>
        <w:rPr>
          <w:rFonts w:ascii="Arial" w:hAnsi="Arial" w:cs="Arial"/>
          <w:sz w:val="22"/>
          <w:szCs w:val="22"/>
        </w:rPr>
      </w:pPr>
      <w:r w:rsidRPr="00A52E76">
        <w:rPr>
          <w:rFonts w:ascii="Arial" w:hAnsi="Arial" w:cs="Arial"/>
          <w:sz w:val="22"/>
          <w:szCs w:val="22"/>
        </w:rPr>
        <w:t>The process began with broad searches using key terms, then refined using filters (date range: last 10 years, UK focus, peer</w:t>
      </w:r>
      <w:r w:rsidRPr="00A52E76">
        <w:rPr>
          <w:rFonts w:ascii="Cambria Math" w:hAnsi="Cambria Math" w:cs="Cambria Math"/>
          <w:sz w:val="22"/>
          <w:szCs w:val="22"/>
        </w:rPr>
        <w:t>‑</w:t>
      </w:r>
      <w:r w:rsidRPr="00A52E76">
        <w:rPr>
          <w:rFonts w:ascii="Arial" w:hAnsi="Arial" w:cs="Arial"/>
          <w:sz w:val="22"/>
          <w:szCs w:val="22"/>
        </w:rPr>
        <w:t>reviewed). Abstracts and conclusions were skimmed to assess relevance. A source tracking table was used to record details such as author, year, methodology, strengths/limitations, and main findings. This step</w:t>
      </w:r>
      <w:r w:rsidRPr="00A52E76">
        <w:rPr>
          <w:rFonts w:ascii="Cambria Math" w:hAnsi="Cambria Math" w:cs="Cambria Math"/>
          <w:sz w:val="22"/>
          <w:szCs w:val="22"/>
        </w:rPr>
        <w:t>‑</w:t>
      </w:r>
      <w:r w:rsidRPr="00A52E76">
        <w:rPr>
          <w:rFonts w:ascii="Arial" w:hAnsi="Arial" w:cs="Arial"/>
          <w:sz w:val="22"/>
          <w:szCs w:val="22"/>
        </w:rPr>
        <w:t>by</w:t>
      </w:r>
      <w:r w:rsidRPr="00A52E76">
        <w:rPr>
          <w:rFonts w:ascii="Cambria Math" w:hAnsi="Cambria Math" w:cs="Cambria Math"/>
          <w:sz w:val="22"/>
          <w:szCs w:val="22"/>
        </w:rPr>
        <w:t>‑</w:t>
      </w:r>
      <w:r w:rsidRPr="00A52E76">
        <w:rPr>
          <w:rFonts w:ascii="Arial" w:hAnsi="Arial" w:cs="Arial"/>
          <w:sz w:val="22"/>
          <w:szCs w:val="22"/>
        </w:rPr>
        <w:t>step process allowed efficient identification of literature that directly addressed the research question (NHS England, 2020).</w:t>
      </w:r>
    </w:p>
    <w:p w:rsidR="509AD967" w:rsidRPr="00E63CFF" w:rsidRDefault="509AD967" w:rsidP="1DC8E190">
      <w:pPr>
        <w:pStyle w:val="Heading1"/>
        <w:rPr>
          <w:sz w:val="26"/>
          <w:szCs w:val="26"/>
        </w:rPr>
      </w:pPr>
      <w:r w:rsidRPr="00E63CFF">
        <w:rPr>
          <w:sz w:val="26"/>
          <w:szCs w:val="26"/>
        </w:rPr>
        <w:t>0</w:t>
      </w:r>
      <w:r w:rsidR="3C02C62A" w:rsidRPr="00E63CFF">
        <w:rPr>
          <w:sz w:val="26"/>
          <w:szCs w:val="26"/>
        </w:rPr>
        <w:t>4</w:t>
      </w:r>
      <w:r w:rsidRPr="00E63CFF">
        <w:rPr>
          <w:sz w:val="26"/>
          <w:szCs w:val="26"/>
        </w:rPr>
        <w:t>. Research Validation and Analysis</w:t>
      </w:r>
    </w:p>
    <w:p w:rsidR="509AD967" w:rsidRPr="00A52E76" w:rsidRDefault="509AD967" w:rsidP="00A52E76">
      <w:pPr>
        <w:spacing w:line="360" w:lineRule="auto"/>
        <w:rPr>
          <w:rFonts w:ascii="Arial" w:hAnsi="Arial" w:cs="Arial"/>
          <w:sz w:val="22"/>
          <w:szCs w:val="22"/>
        </w:rPr>
      </w:pPr>
      <w:r w:rsidRPr="00A52E76">
        <w:rPr>
          <w:rFonts w:ascii="Arial" w:hAnsi="Arial" w:cs="Arial"/>
          <w:sz w:val="22"/>
          <w:szCs w:val="22"/>
        </w:rPr>
        <w:t>Validation in secondary research means ensuring sources are credible, reliable, and relevant. The CRAAP test (Currency, Relevance, Authority, Accuracy, Purpose) was applied to each source. Analysis involved thematic coding: repeated ideas such as socio</w:t>
      </w:r>
      <w:r w:rsidRPr="00A52E76">
        <w:rPr>
          <w:rFonts w:ascii="Cambria Math" w:hAnsi="Cambria Math" w:cs="Cambria Math"/>
          <w:sz w:val="22"/>
          <w:szCs w:val="22"/>
        </w:rPr>
        <w:t>‑</w:t>
      </w:r>
      <w:r w:rsidRPr="00A52E76">
        <w:rPr>
          <w:rFonts w:ascii="Arial" w:hAnsi="Arial" w:cs="Arial"/>
          <w:sz w:val="22"/>
          <w:szCs w:val="22"/>
        </w:rPr>
        <w:t>economic status, dietary habits, and healthcare access were grouped into themes. These themes will form the basis of Chapter 4 (Findings).</w:t>
      </w:r>
    </w:p>
    <w:p w:rsidR="509AD967" w:rsidRPr="00E63CFF" w:rsidRDefault="509AD967" w:rsidP="1DC8E190">
      <w:pPr>
        <w:pStyle w:val="Heading1"/>
        <w:rPr>
          <w:sz w:val="26"/>
          <w:szCs w:val="26"/>
        </w:rPr>
      </w:pPr>
      <w:r w:rsidRPr="00E63CFF">
        <w:rPr>
          <w:sz w:val="26"/>
          <w:szCs w:val="26"/>
        </w:rPr>
        <w:t>0</w:t>
      </w:r>
      <w:r w:rsidR="5F0D86B6" w:rsidRPr="00E63CFF">
        <w:rPr>
          <w:sz w:val="26"/>
          <w:szCs w:val="26"/>
        </w:rPr>
        <w:t>5</w:t>
      </w:r>
      <w:r w:rsidRPr="00E63CFF">
        <w:rPr>
          <w:sz w:val="26"/>
          <w:szCs w:val="26"/>
        </w:rPr>
        <w:t>. Inclusion Criteria</w:t>
      </w:r>
    </w:p>
    <w:p w:rsidR="509AD967" w:rsidRPr="00A52E76" w:rsidRDefault="509AD967" w:rsidP="00A52E76">
      <w:pPr>
        <w:pStyle w:val="ListParagraph"/>
        <w:numPr>
          <w:ilvl w:val="0"/>
          <w:numId w:val="2"/>
        </w:numPr>
        <w:spacing w:line="360" w:lineRule="auto"/>
        <w:rPr>
          <w:rFonts w:ascii="Arial" w:hAnsi="Arial" w:cs="Arial"/>
          <w:sz w:val="22"/>
          <w:szCs w:val="22"/>
        </w:rPr>
      </w:pPr>
      <w:r w:rsidRPr="00A52E76">
        <w:rPr>
          <w:rFonts w:ascii="Arial" w:hAnsi="Arial" w:cs="Arial"/>
          <w:sz w:val="22"/>
          <w:szCs w:val="22"/>
        </w:rPr>
        <w:t>Sources published within the last 10 years</w:t>
      </w:r>
    </w:p>
    <w:p w:rsidR="509AD967" w:rsidRPr="00A52E76" w:rsidRDefault="509AD967" w:rsidP="00A52E76">
      <w:pPr>
        <w:pStyle w:val="ListParagraph"/>
        <w:numPr>
          <w:ilvl w:val="0"/>
          <w:numId w:val="2"/>
        </w:numPr>
        <w:spacing w:line="360" w:lineRule="auto"/>
        <w:rPr>
          <w:rFonts w:ascii="Arial" w:hAnsi="Arial" w:cs="Arial"/>
          <w:sz w:val="22"/>
          <w:szCs w:val="22"/>
        </w:rPr>
      </w:pPr>
      <w:r w:rsidRPr="00A52E76">
        <w:rPr>
          <w:rFonts w:ascii="Arial" w:hAnsi="Arial" w:cs="Arial"/>
          <w:sz w:val="22"/>
          <w:szCs w:val="22"/>
        </w:rPr>
        <w:t>UK</w:t>
      </w:r>
      <w:r w:rsidRPr="00A52E76">
        <w:rPr>
          <w:rFonts w:ascii="Cambria Math" w:hAnsi="Cambria Math" w:cs="Cambria Math"/>
          <w:sz w:val="22"/>
          <w:szCs w:val="22"/>
        </w:rPr>
        <w:t>‑</w:t>
      </w:r>
      <w:r w:rsidRPr="00A52E76">
        <w:rPr>
          <w:rFonts w:ascii="Arial" w:hAnsi="Arial" w:cs="Arial"/>
          <w:sz w:val="22"/>
          <w:szCs w:val="22"/>
        </w:rPr>
        <w:t>based studies</w:t>
      </w:r>
    </w:p>
    <w:p w:rsidR="509AD967" w:rsidRPr="00A52E76" w:rsidRDefault="509AD967" w:rsidP="00A52E76">
      <w:pPr>
        <w:pStyle w:val="ListParagraph"/>
        <w:numPr>
          <w:ilvl w:val="0"/>
          <w:numId w:val="2"/>
        </w:numPr>
        <w:spacing w:line="360" w:lineRule="auto"/>
        <w:rPr>
          <w:rFonts w:ascii="Arial" w:hAnsi="Arial" w:cs="Arial"/>
          <w:sz w:val="22"/>
          <w:szCs w:val="22"/>
        </w:rPr>
      </w:pPr>
      <w:r w:rsidRPr="00A52E76">
        <w:rPr>
          <w:rFonts w:ascii="Arial" w:hAnsi="Arial" w:cs="Arial"/>
          <w:sz w:val="22"/>
          <w:szCs w:val="22"/>
        </w:rPr>
        <w:t>Peer</w:t>
      </w:r>
      <w:r w:rsidRPr="00A52E76">
        <w:rPr>
          <w:rFonts w:ascii="Cambria Math" w:hAnsi="Cambria Math" w:cs="Cambria Math"/>
          <w:sz w:val="22"/>
          <w:szCs w:val="22"/>
        </w:rPr>
        <w:t>‑</w:t>
      </w:r>
      <w:r w:rsidRPr="00A52E76">
        <w:rPr>
          <w:rFonts w:ascii="Arial" w:hAnsi="Arial" w:cs="Arial"/>
          <w:sz w:val="22"/>
          <w:szCs w:val="22"/>
        </w:rPr>
        <w:t>reviewed journal articles and accessible policy documents</w:t>
      </w:r>
    </w:p>
    <w:p w:rsidR="509AD967" w:rsidRPr="00E63CFF" w:rsidRDefault="509AD967" w:rsidP="1DC8E190">
      <w:pPr>
        <w:pStyle w:val="Heading1"/>
        <w:rPr>
          <w:sz w:val="26"/>
          <w:szCs w:val="26"/>
        </w:rPr>
      </w:pPr>
      <w:r w:rsidRPr="00E63CFF">
        <w:rPr>
          <w:sz w:val="26"/>
          <w:szCs w:val="26"/>
        </w:rPr>
        <w:t>0</w:t>
      </w:r>
      <w:r w:rsidR="1CC1153C" w:rsidRPr="00E63CFF">
        <w:rPr>
          <w:sz w:val="26"/>
          <w:szCs w:val="26"/>
        </w:rPr>
        <w:t>6</w:t>
      </w:r>
      <w:r w:rsidRPr="00E63CFF">
        <w:rPr>
          <w:sz w:val="26"/>
          <w:szCs w:val="26"/>
        </w:rPr>
        <w:t>. Exclusion Criteria</w:t>
      </w:r>
    </w:p>
    <w:p w:rsidR="509AD967" w:rsidRPr="00A52E76" w:rsidRDefault="509AD967" w:rsidP="00A52E76">
      <w:pPr>
        <w:pStyle w:val="ListParagraph"/>
        <w:numPr>
          <w:ilvl w:val="0"/>
          <w:numId w:val="3"/>
        </w:numPr>
        <w:spacing w:line="360" w:lineRule="auto"/>
        <w:rPr>
          <w:rFonts w:ascii="Arial" w:hAnsi="Arial" w:cs="Arial"/>
          <w:sz w:val="22"/>
          <w:szCs w:val="22"/>
        </w:rPr>
      </w:pPr>
      <w:r w:rsidRPr="00A52E76">
        <w:rPr>
          <w:rFonts w:ascii="Arial" w:hAnsi="Arial" w:cs="Arial"/>
          <w:sz w:val="22"/>
          <w:szCs w:val="22"/>
        </w:rPr>
        <w:t>Sources older than 10 years</w:t>
      </w:r>
    </w:p>
    <w:p w:rsidR="509AD967" w:rsidRPr="00A52E76" w:rsidRDefault="509AD967" w:rsidP="00A52E76">
      <w:pPr>
        <w:pStyle w:val="ListParagraph"/>
        <w:numPr>
          <w:ilvl w:val="0"/>
          <w:numId w:val="3"/>
        </w:numPr>
        <w:spacing w:line="360" w:lineRule="auto"/>
        <w:rPr>
          <w:rFonts w:ascii="Arial" w:hAnsi="Arial" w:cs="Arial"/>
          <w:sz w:val="22"/>
          <w:szCs w:val="22"/>
        </w:rPr>
      </w:pPr>
      <w:r w:rsidRPr="00A52E76">
        <w:rPr>
          <w:rFonts w:ascii="Arial" w:hAnsi="Arial" w:cs="Arial"/>
          <w:sz w:val="22"/>
          <w:szCs w:val="22"/>
        </w:rPr>
        <w:t>Studies outside the UK</w:t>
      </w:r>
    </w:p>
    <w:p w:rsidR="509AD967" w:rsidRPr="00A52E76" w:rsidRDefault="509AD967" w:rsidP="00A52E76">
      <w:pPr>
        <w:pStyle w:val="ListParagraph"/>
        <w:numPr>
          <w:ilvl w:val="0"/>
          <w:numId w:val="3"/>
        </w:numPr>
        <w:spacing w:line="360" w:lineRule="auto"/>
        <w:rPr>
          <w:rFonts w:ascii="Arial" w:hAnsi="Arial" w:cs="Arial"/>
          <w:sz w:val="22"/>
          <w:szCs w:val="22"/>
        </w:rPr>
      </w:pPr>
      <w:r w:rsidRPr="00A52E76">
        <w:rPr>
          <w:rFonts w:ascii="Arial" w:hAnsi="Arial" w:cs="Arial"/>
          <w:sz w:val="22"/>
          <w:szCs w:val="22"/>
        </w:rPr>
        <w:t>Non</w:t>
      </w:r>
      <w:r w:rsidRPr="00A52E76">
        <w:rPr>
          <w:rFonts w:ascii="Cambria Math" w:hAnsi="Cambria Math" w:cs="Cambria Math"/>
          <w:sz w:val="22"/>
          <w:szCs w:val="22"/>
        </w:rPr>
        <w:t>‑</w:t>
      </w:r>
      <w:r w:rsidRPr="00A52E76">
        <w:rPr>
          <w:rFonts w:ascii="Arial" w:hAnsi="Arial" w:cs="Arial"/>
          <w:sz w:val="22"/>
          <w:szCs w:val="22"/>
        </w:rPr>
        <w:t>peer</w:t>
      </w:r>
      <w:r w:rsidRPr="00A52E76">
        <w:rPr>
          <w:rFonts w:ascii="Cambria Math" w:hAnsi="Cambria Math" w:cs="Cambria Math"/>
          <w:sz w:val="22"/>
          <w:szCs w:val="22"/>
        </w:rPr>
        <w:t>‑</w:t>
      </w:r>
      <w:r w:rsidRPr="00A52E76">
        <w:rPr>
          <w:rFonts w:ascii="Arial" w:hAnsi="Arial" w:cs="Arial"/>
          <w:sz w:val="22"/>
          <w:szCs w:val="22"/>
        </w:rPr>
        <w:t>reviewed or inaccessible articles</w:t>
      </w:r>
    </w:p>
    <w:p w:rsidR="509AD967" w:rsidRPr="00E63CFF" w:rsidRDefault="509AD967" w:rsidP="1DC8E190">
      <w:pPr>
        <w:pStyle w:val="Heading1"/>
        <w:rPr>
          <w:sz w:val="26"/>
          <w:szCs w:val="26"/>
        </w:rPr>
      </w:pPr>
      <w:r w:rsidRPr="00E63CFF">
        <w:rPr>
          <w:sz w:val="26"/>
          <w:szCs w:val="26"/>
        </w:rPr>
        <w:t>0</w:t>
      </w:r>
      <w:r w:rsidR="0C1435E3" w:rsidRPr="00E63CFF">
        <w:rPr>
          <w:sz w:val="26"/>
          <w:szCs w:val="26"/>
        </w:rPr>
        <w:t>7</w:t>
      </w:r>
      <w:r w:rsidRPr="00E63CFF">
        <w:rPr>
          <w:sz w:val="26"/>
          <w:szCs w:val="26"/>
        </w:rPr>
        <w:t>. Ethical Considerations</w:t>
      </w:r>
    </w:p>
    <w:p w:rsidR="509AD967" w:rsidRPr="00A52E76" w:rsidRDefault="509AD967" w:rsidP="00A52E76">
      <w:pPr>
        <w:spacing w:line="360" w:lineRule="auto"/>
        <w:rPr>
          <w:rFonts w:ascii="Arial" w:hAnsi="Arial" w:cs="Arial"/>
          <w:sz w:val="22"/>
          <w:szCs w:val="22"/>
        </w:rPr>
      </w:pPr>
      <w:r w:rsidRPr="00A52E76">
        <w:rPr>
          <w:rFonts w:ascii="Arial" w:hAnsi="Arial" w:cs="Arial"/>
          <w:sz w:val="22"/>
          <w:szCs w:val="22"/>
        </w:rPr>
        <w:t>Ethics in secondary research involve respecting intellectual property, ensuring accurate citation, and avoiding plagiarism. Only reliable, valid, and legally accessible sources were used. Data integrity was maintained by cross</w:t>
      </w:r>
      <w:r w:rsidRPr="00A52E76">
        <w:rPr>
          <w:rFonts w:ascii="Cambria Math" w:hAnsi="Cambria Math" w:cs="Cambria Math"/>
          <w:sz w:val="22"/>
          <w:szCs w:val="22"/>
        </w:rPr>
        <w:t>‑</w:t>
      </w:r>
      <w:r w:rsidRPr="00A52E76">
        <w:rPr>
          <w:rFonts w:ascii="Arial" w:hAnsi="Arial" w:cs="Arial"/>
          <w:sz w:val="22"/>
          <w:szCs w:val="22"/>
        </w:rPr>
        <w:t>checking findings across multiple studies. GDPR compliance was observed when handling any sensitive data. Transparency and academic honesty underpin the entire process.</w:t>
      </w:r>
    </w:p>
    <w:p w:rsidR="509AD967" w:rsidRPr="00E63CFF" w:rsidRDefault="509AD967" w:rsidP="1DC8E190">
      <w:pPr>
        <w:pStyle w:val="Heading1"/>
        <w:rPr>
          <w:sz w:val="26"/>
          <w:szCs w:val="26"/>
        </w:rPr>
      </w:pPr>
      <w:r w:rsidRPr="00E63CFF">
        <w:rPr>
          <w:sz w:val="26"/>
          <w:szCs w:val="26"/>
        </w:rPr>
        <w:t>Reference List</w:t>
      </w:r>
    </w:p>
    <w:p w:rsidR="509AD967" w:rsidRPr="00A52E76" w:rsidRDefault="509AD967" w:rsidP="00A52E76">
      <w:pPr>
        <w:spacing w:line="360" w:lineRule="auto"/>
        <w:rPr>
          <w:rFonts w:ascii="Arial" w:hAnsi="Arial" w:cs="Arial"/>
          <w:sz w:val="22"/>
          <w:szCs w:val="22"/>
        </w:rPr>
      </w:pPr>
      <w:r w:rsidRPr="00A52E76">
        <w:rPr>
          <w:rFonts w:ascii="Arial" w:hAnsi="Arial" w:cs="Arial"/>
          <w:sz w:val="22"/>
          <w:szCs w:val="22"/>
        </w:rPr>
        <w:t>Diabetes UK (2025) Ethnicity and type 2 diabetes. Available at: https://www.diabetes.org.uk/about-diabetes/type-2-diabetes/diabetes-ethnicity (Accessed: 25 November 2025).</w:t>
      </w:r>
    </w:p>
    <w:p w:rsidR="002E19BB" w:rsidRDefault="509AD967" w:rsidP="00A52E76">
      <w:pPr>
        <w:spacing w:line="360" w:lineRule="auto"/>
        <w:rPr>
          <w:rFonts w:ascii="Arial" w:hAnsi="Arial" w:cs="Arial"/>
          <w:sz w:val="22"/>
          <w:szCs w:val="22"/>
        </w:rPr>
      </w:pPr>
      <w:r w:rsidRPr="00A52E76">
        <w:rPr>
          <w:rFonts w:ascii="Arial" w:hAnsi="Arial" w:cs="Arial"/>
          <w:sz w:val="22"/>
          <w:szCs w:val="22"/>
        </w:rPr>
        <w:t xml:space="preserve">Diabetes.co.uk (2024) Race and social vulnerability are risk factors for worse </w:t>
      </w:r>
      <w:r w:rsidR="106A4DD9" w:rsidRPr="00A52E76">
        <w:rPr>
          <w:rFonts w:ascii="Arial" w:hAnsi="Arial" w:cs="Arial"/>
          <w:sz w:val="22"/>
          <w:szCs w:val="22"/>
        </w:rPr>
        <w:t>glycemic</w:t>
      </w:r>
      <w:r w:rsidRPr="00A52E76">
        <w:rPr>
          <w:rFonts w:ascii="Arial" w:hAnsi="Arial" w:cs="Arial"/>
          <w:sz w:val="22"/>
          <w:szCs w:val="22"/>
        </w:rPr>
        <w:t xml:space="preserve"> control. Available at: https://www.diabetes.co.uk/news/2024/jun/race-and-social-vulnerability-are-risk-factors-for-worse-glycaemic-control.html (Accessed: 25 November 2025).</w:t>
      </w:r>
    </w:p>
    <w:p w:rsidR="509AD967" w:rsidRPr="00A52E76" w:rsidRDefault="509AD967" w:rsidP="00A52E76">
      <w:pPr>
        <w:spacing w:line="360" w:lineRule="auto"/>
        <w:rPr>
          <w:rFonts w:ascii="Arial" w:hAnsi="Arial" w:cs="Arial"/>
          <w:sz w:val="22"/>
          <w:szCs w:val="22"/>
        </w:rPr>
      </w:pPr>
      <w:r w:rsidRPr="00A52E76">
        <w:rPr>
          <w:rFonts w:ascii="Arial" w:hAnsi="Arial" w:cs="Arial"/>
          <w:sz w:val="22"/>
          <w:szCs w:val="22"/>
        </w:rPr>
        <w:t>NHS England (2020) A handbook for communicating with black and South Asian communities about Type 2 diabetes. Available at: https://www.england.nhs.uk/midlands/wp-content/uploads/sites/46/2020/11/501730_NHS_CultIntelRep_Interactive_FINAL.pdf (Accessed: 25 November 2025).</w:t>
      </w:r>
    </w:p>
    <w:p w:rsidR="509AD967" w:rsidRPr="00A52E76" w:rsidRDefault="509AD967" w:rsidP="00A52E76">
      <w:pPr>
        <w:spacing w:line="360" w:lineRule="auto"/>
        <w:rPr>
          <w:rFonts w:ascii="Arial" w:hAnsi="Arial" w:cs="Arial"/>
          <w:sz w:val="22"/>
          <w:szCs w:val="22"/>
        </w:rPr>
      </w:pPr>
      <w:r w:rsidRPr="00A52E76">
        <w:rPr>
          <w:rFonts w:ascii="Arial" w:hAnsi="Arial" w:cs="Arial"/>
          <w:sz w:val="22"/>
          <w:szCs w:val="22"/>
        </w:rPr>
        <w:t>NICE Public Health Collaborating Centre (2012) Interventions to reduce risk factors for pre-diabetes among UK adults from black and minority ethnic groups. University of Sheffield, ScHARR. Available at: https://www.nice.org.uk/guidance/ph35/documents/review-2-interventions-to-reduce-risk-factors-for-prediabetes-among-uk-adults-from-black-and-minority-ethnic-groups2 (Accessed: 25 November 2025).</w:t>
      </w:r>
    </w:p>
    <w:p w:rsidR="509AD967" w:rsidRPr="00A52E76" w:rsidRDefault="509AD967" w:rsidP="00A52E76">
      <w:pPr>
        <w:spacing w:line="360" w:lineRule="auto"/>
        <w:rPr>
          <w:rFonts w:ascii="Arial" w:hAnsi="Arial" w:cs="Arial"/>
          <w:sz w:val="22"/>
          <w:szCs w:val="22"/>
        </w:rPr>
      </w:pPr>
      <w:r w:rsidRPr="00A52E76">
        <w:rPr>
          <w:rFonts w:ascii="Arial" w:hAnsi="Arial" w:cs="Arial"/>
          <w:sz w:val="22"/>
          <w:szCs w:val="22"/>
        </w:rPr>
        <w:t>Onuorah, L., Santy</w:t>
      </w:r>
      <w:r w:rsidRPr="00A52E76">
        <w:rPr>
          <w:rFonts w:ascii="Cambria Math" w:hAnsi="Cambria Math" w:cs="Cambria Math"/>
          <w:sz w:val="22"/>
          <w:szCs w:val="22"/>
        </w:rPr>
        <w:t>‑</w:t>
      </w:r>
      <w:r w:rsidRPr="00A52E76">
        <w:rPr>
          <w:rFonts w:ascii="Arial" w:hAnsi="Arial" w:cs="Arial"/>
          <w:sz w:val="22"/>
          <w:szCs w:val="22"/>
        </w:rPr>
        <w:t xml:space="preserve">Tomlinson, J. and Draper, P. (2025) ‘Diabetes knowledge, risk and severity perceptions, lifestyle </w:t>
      </w:r>
      <w:proofErr w:type="spellStart"/>
      <w:r w:rsidRPr="00A52E76">
        <w:rPr>
          <w:rFonts w:ascii="Arial" w:hAnsi="Arial" w:cs="Arial"/>
          <w:sz w:val="22"/>
          <w:szCs w:val="22"/>
        </w:rPr>
        <w:t>behaviours</w:t>
      </w:r>
      <w:proofErr w:type="spellEnd"/>
      <w:r w:rsidRPr="00A52E76">
        <w:rPr>
          <w:rFonts w:ascii="Arial" w:hAnsi="Arial" w:cs="Arial"/>
          <w:sz w:val="22"/>
          <w:szCs w:val="22"/>
        </w:rPr>
        <w:t xml:space="preserve"> and management barriers among Sub</w:t>
      </w:r>
      <w:r w:rsidRPr="00A52E76">
        <w:rPr>
          <w:rFonts w:ascii="Cambria Math" w:hAnsi="Cambria Math" w:cs="Cambria Math"/>
          <w:sz w:val="22"/>
          <w:szCs w:val="22"/>
        </w:rPr>
        <w:t>‑</w:t>
      </w:r>
      <w:r w:rsidRPr="00A52E76">
        <w:rPr>
          <w:rFonts w:ascii="Arial" w:hAnsi="Arial" w:cs="Arial"/>
          <w:sz w:val="22"/>
          <w:szCs w:val="22"/>
        </w:rPr>
        <w:t>Saharan African immigrants living in the UK: an ethnographic study’, BMC Public Health</w:t>
      </w:r>
    </w:p>
    <w:p w:rsidR="1DC8E190" w:rsidRDefault="1DC8E190" w:rsidP="1DC8E190"/>
    <w:sectPr w:rsidR="1DC8E1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4A312"/>
    <w:multiLevelType w:val="hybridMultilevel"/>
    <w:tmpl w:val="9E9C55D8"/>
    <w:lvl w:ilvl="0" w:tplc="AC1C529C">
      <w:start w:val="1"/>
      <w:numFmt w:val="bullet"/>
      <w:lvlText w:val=""/>
      <w:lvlJc w:val="left"/>
      <w:pPr>
        <w:ind w:left="720" w:hanging="360"/>
      </w:pPr>
      <w:rPr>
        <w:rFonts w:ascii="Symbol" w:hAnsi="Symbol" w:hint="default"/>
      </w:rPr>
    </w:lvl>
    <w:lvl w:ilvl="1" w:tplc="BD668216">
      <w:start w:val="1"/>
      <w:numFmt w:val="bullet"/>
      <w:lvlText w:val="o"/>
      <w:lvlJc w:val="left"/>
      <w:pPr>
        <w:ind w:left="1440" w:hanging="360"/>
      </w:pPr>
      <w:rPr>
        <w:rFonts w:ascii="Courier New" w:hAnsi="Courier New" w:hint="default"/>
      </w:rPr>
    </w:lvl>
    <w:lvl w:ilvl="2" w:tplc="175687C4">
      <w:start w:val="1"/>
      <w:numFmt w:val="bullet"/>
      <w:lvlText w:val=""/>
      <w:lvlJc w:val="left"/>
      <w:pPr>
        <w:ind w:left="2160" w:hanging="360"/>
      </w:pPr>
      <w:rPr>
        <w:rFonts w:ascii="Wingdings" w:hAnsi="Wingdings" w:hint="default"/>
      </w:rPr>
    </w:lvl>
    <w:lvl w:ilvl="3" w:tplc="EF0E8CF8">
      <w:start w:val="1"/>
      <w:numFmt w:val="bullet"/>
      <w:lvlText w:val=""/>
      <w:lvlJc w:val="left"/>
      <w:pPr>
        <w:ind w:left="2880" w:hanging="360"/>
      </w:pPr>
      <w:rPr>
        <w:rFonts w:ascii="Symbol" w:hAnsi="Symbol" w:hint="default"/>
      </w:rPr>
    </w:lvl>
    <w:lvl w:ilvl="4" w:tplc="7034E3F6">
      <w:start w:val="1"/>
      <w:numFmt w:val="bullet"/>
      <w:lvlText w:val="o"/>
      <w:lvlJc w:val="left"/>
      <w:pPr>
        <w:ind w:left="3600" w:hanging="360"/>
      </w:pPr>
      <w:rPr>
        <w:rFonts w:ascii="Courier New" w:hAnsi="Courier New" w:hint="default"/>
      </w:rPr>
    </w:lvl>
    <w:lvl w:ilvl="5" w:tplc="FEB86D40">
      <w:start w:val="1"/>
      <w:numFmt w:val="bullet"/>
      <w:lvlText w:val=""/>
      <w:lvlJc w:val="left"/>
      <w:pPr>
        <w:ind w:left="4320" w:hanging="360"/>
      </w:pPr>
      <w:rPr>
        <w:rFonts w:ascii="Wingdings" w:hAnsi="Wingdings" w:hint="default"/>
      </w:rPr>
    </w:lvl>
    <w:lvl w:ilvl="6" w:tplc="877286C8">
      <w:start w:val="1"/>
      <w:numFmt w:val="bullet"/>
      <w:lvlText w:val=""/>
      <w:lvlJc w:val="left"/>
      <w:pPr>
        <w:ind w:left="5040" w:hanging="360"/>
      </w:pPr>
      <w:rPr>
        <w:rFonts w:ascii="Symbol" w:hAnsi="Symbol" w:hint="default"/>
      </w:rPr>
    </w:lvl>
    <w:lvl w:ilvl="7" w:tplc="2678566E">
      <w:start w:val="1"/>
      <w:numFmt w:val="bullet"/>
      <w:lvlText w:val="o"/>
      <w:lvlJc w:val="left"/>
      <w:pPr>
        <w:ind w:left="5760" w:hanging="360"/>
      </w:pPr>
      <w:rPr>
        <w:rFonts w:ascii="Courier New" w:hAnsi="Courier New" w:hint="default"/>
      </w:rPr>
    </w:lvl>
    <w:lvl w:ilvl="8" w:tplc="0E6E18FA">
      <w:start w:val="1"/>
      <w:numFmt w:val="bullet"/>
      <w:lvlText w:val=""/>
      <w:lvlJc w:val="left"/>
      <w:pPr>
        <w:ind w:left="6480" w:hanging="360"/>
      </w:pPr>
      <w:rPr>
        <w:rFonts w:ascii="Wingdings" w:hAnsi="Wingdings" w:hint="default"/>
      </w:rPr>
    </w:lvl>
  </w:abstractNum>
  <w:abstractNum w:abstractNumId="1" w15:restartNumberingAfterBreak="0">
    <w:nsid w:val="22AB3765"/>
    <w:multiLevelType w:val="hybridMultilevel"/>
    <w:tmpl w:val="70C0E658"/>
    <w:lvl w:ilvl="0" w:tplc="63E6D066">
      <w:start w:val="1"/>
      <w:numFmt w:val="bullet"/>
      <w:lvlText w:val=""/>
      <w:lvlJc w:val="left"/>
      <w:pPr>
        <w:ind w:left="720" w:hanging="360"/>
      </w:pPr>
      <w:rPr>
        <w:rFonts w:ascii="Symbol" w:hAnsi="Symbol" w:hint="default"/>
      </w:rPr>
    </w:lvl>
    <w:lvl w:ilvl="1" w:tplc="774ACEC0">
      <w:start w:val="1"/>
      <w:numFmt w:val="bullet"/>
      <w:lvlText w:val="o"/>
      <w:lvlJc w:val="left"/>
      <w:pPr>
        <w:ind w:left="1440" w:hanging="360"/>
      </w:pPr>
      <w:rPr>
        <w:rFonts w:ascii="Courier New" w:hAnsi="Courier New" w:hint="default"/>
      </w:rPr>
    </w:lvl>
    <w:lvl w:ilvl="2" w:tplc="39C0D422">
      <w:start w:val="1"/>
      <w:numFmt w:val="bullet"/>
      <w:lvlText w:val=""/>
      <w:lvlJc w:val="left"/>
      <w:pPr>
        <w:ind w:left="2160" w:hanging="360"/>
      </w:pPr>
      <w:rPr>
        <w:rFonts w:ascii="Wingdings" w:hAnsi="Wingdings" w:hint="default"/>
      </w:rPr>
    </w:lvl>
    <w:lvl w:ilvl="3" w:tplc="D384FA8E">
      <w:start w:val="1"/>
      <w:numFmt w:val="bullet"/>
      <w:lvlText w:val=""/>
      <w:lvlJc w:val="left"/>
      <w:pPr>
        <w:ind w:left="2880" w:hanging="360"/>
      </w:pPr>
      <w:rPr>
        <w:rFonts w:ascii="Symbol" w:hAnsi="Symbol" w:hint="default"/>
      </w:rPr>
    </w:lvl>
    <w:lvl w:ilvl="4" w:tplc="DF4643B0">
      <w:start w:val="1"/>
      <w:numFmt w:val="bullet"/>
      <w:lvlText w:val="o"/>
      <w:lvlJc w:val="left"/>
      <w:pPr>
        <w:ind w:left="3600" w:hanging="360"/>
      </w:pPr>
      <w:rPr>
        <w:rFonts w:ascii="Courier New" w:hAnsi="Courier New" w:hint="default"/>
      </w:rPr>
    </w:lvl>
    <w:lvl w:ilvl="5" w:tplc="26282C6E">
      <w:start w:val="1"/>
      <w:numFmt w:val="bullet"/>
      <w:lvlText w:val=""/>
      <w:lvlJc w:val="left"/>
      <w:pPr>
        <w:ind w:left="4320" w:hanging="360"/>
      </w:pPr>
      <w:rPr>
        <w:rFonts w:ascii="Wingdings" w:hAnsi="Wingdings" w:hint="default"/>
      </w:rPr>
    </w:lvl>
    <w:lvl w:ilvl="6" w:tplc="F4B2FF80">
      <w:start w:val="1"/>
      <w:numFmt w:val="bullet"/>
      <w:lvlText w:val=""/>
      <w:lvlJc w:val="left"/>
      <w:pPr>
        <w:ind w:left="5040" w:hanging="360"/>
      </w:pPr>
      <w:rPr>
        <w:rFonts w:ascii="Symbol" w:hAnsi="Symbol" w:hint="default"/>
      </w:rPr>
    </w:lvl>
    <w:lvl w:ilvl="7" w:tplc="9B22F4B4">
      <w:start w:val="1"/>
      <w:numFmt w:val="bullet"/>
      <w:lvlText w:val="o"/>
      <w:lvlJc w:val="left"/>
      <w:pPr>
        <w:ind w:left="5760" w:hanging="360"/>
      </w:pPr>
      <w:rPr>
        <w:rFonts w:ascii="Courier New" w:hAnsi="Courier New" w:hint="default"/>
      </w:rPr>
    </w:lvl>
    <w:lvl w:ilvl="8" w:tplc="431880D8">
      <w:start w:val="1"/>
      <w:numFmt w:val="bullet"/>
      <w:lvlText w:val=""/>
      <w:lvlJc w:val="left"/>
      <w:pPr>
        <w:ind w:left="6480" w:hanging="360"/>
      </w:pPr>
      <w:rPr>
        <w:rFonts w:ascii="Wingdings" w:hAnsi="Wingdings" w:hint="default"/>
      </w:rPr>
    </w:lvl>
  </w:abstractNum>
  <w:abstractNum w:abstractNumId="2" w15:restartNumberingAfterBreak="0">
    <w:nsid w:val="5642075D"/>
    <w:multiLevelType w:val="hybridMultilevel"/>
    <w:tmpl w:val="03B4597E"/>
    <w:lvl w:ilvl="0" w:tplc="B866D722">
      <w:start w:val="1"/>
      <w:numFmt w:val="bullet"/>
      <w:lvlText w:val=""/>
      <w:lvlJc w:val="left"/>
      <w:pPr>
        <w:ind w:left="720" w:hanging="360"/>
      </w:pPr>
      <w:rPr>
        <w:rFonts w:ascii="Symbol" w:hAnsi="Symbol" w:hint="default"/>
      </w:rPr>
    </w:lvl>
    <w:lvl w:ilvl="1" w:tplc="BFEAEE44">
      <w:start w:val="1"/>
      <w:numFmt w:val="bullet"/>
      <w:lvlText w:val="o"/>
      <w:lvlJc w:val="left"/>
      <w:pPr>
        <w:ind w:left="1440" w:hanging="360"/>
      </w:pPr>
      <w:rPr>
        <w:rFonts w:ascii="Courier New" w:hAnsi="Courier New" w:hint="default"/>
      </w:rPr>
    </w:lvl>
    <w:lvl w:ilvl="2" w:tplc="6BD43ECA">
      <w:start w:val="1"/>
      <w:numFmt w:val="bullet"/>
      <w:lvlText w:val=""/>
      <w:lvlJc w:val="left"/>
      <w:pPr>
        <w:ind w:left="2160" w:hanging="360"/>
      </w:pPr>
      <w:rPr>
        <w:rFonts w:ascii="Wingdings" w:hAnsi="Wingdings" w:hint="default"/>
      </w:rPr>
    </w:lvl>
    <w:lvl w:ilvl="3" w:tplc="35763A86">
      <w:start w:val="1"/>
      <w:numFmt w:val="bullet"/>
      <w:lvlText w:val=""/>
      <w:lvlJc w:val="left"/>
      <w:pPr>
        <w:ind w:left="2880" w:hanging="360"/>
      </w:pPr>
      <w:rPr>
        <w:rFonts w:ascii="Symbol" w:hAnsi="Symbol" w:hint="default"/>
      </w:rPr>
    </w:lvl>
    <w:lvl w:ilvl="4" w:tplc="94AC0E36">
      <w:start w:val="1"/>
      <w:numFmt w:val="bullet"/>
      <w:lvlText w:val="o"/>
      <w:lvlJc w:val="left"/>
      <w:pPr>
        <w:ind w:left="3600" w:hanging="360"/>
      </w:pPr>
      <w:rPr>
        <w:rFonts w:ascii="Courier New" w:hAnsi="Courier New" w:hint="default"/>
      </w:rPr>
    </w:lvl>
    <w:lvl w:ilvl="5" w:tplc="87DC7730">
      <w:start w:val="1"/>
      <w:numFmt w:val="bullet"/>
      <w:lvlText w:val=""/>
      <w:lvlJc w:val="left"/>
      <w:pPr>
        <w:ind w:left="4320" w:hanging="360"/>
      </w:pPr>
      <w:rPr>
        <w:rFonts w:ascii="Wingdings" w:hAnsi="Wingdings" w:hint="default"/>
      </w:rPr>
    </w:lvl>
    <w:lvl w:ilvl="6" w:tplc="E66EBA1A">
      <w:start w:val="1"/>
      <w:numFmt w:val="bullet"/>
      <w:lvlText w:val=""/>
      <w:lvlJc w:val="left"/>
      <w:pPr>
        <w:ind w:left="5040" w:hanging="360"/>
      </w:pPr>
      <w:rPr>
        <w:rFonts w:ascii="Symbol" w:hAnsi="Symbol" w:hint="default"/>
      </w:rPr>
    </w:lvl>
    <w:lvl w:ilvl="7" w:tplc="EE3AC770">
      <w:start w:val="1"/>
      <w:numFmt w:val="bullet"/>
      <w:lvlText w:val="o"/>
      <w:lvlJc w:val="left"/>
      <w:pPr>
        <w:ind w:left="5760" w:hanging="360"/>
      </w:pPr>
      <w:rPr>
        <w:rFonts w:ascii="Courier New" w:hAnsi="Courier New" w:hint="default"/>
      </w:rPr>
    </w:lvl>
    <w:lvl w:ilvl="8" w:tplc="A664B398">
      <w:start w:val="1"/>
      <w:numFmt w:val="bullet"/>
      <w:lvlText w:val=""/>
      <w:lvlJc w:val="left"/>
      <w:pPr>
        <w:ind w:left="6480" w:hanging="360"/>
      </w:pPr>
      <w:rPr>
        <w:rFonts w:ascii="Wingdings" w:hAnsi="Wingdings" w:hint="default"/>
      </w:rPr>
    </w:lvl>
  </w:abstractNum>
  <w:abstractNum w:abstractNumId="3" w15:restartNumberingAfterBreak="0">
    <w:nsid w:val="58495512"/>
    <w:multiLevelType w:val="hybridMultilevel"/>
    <w:tmpl w:val="AF84D876"/>
    <w:lvl w:ilvl="0" w:tplc="AB242DCC">
      <w:start w:val="1"/>
      <w:numFmt w:val="bullet"/>
      <w:lvlText w:val=""/>
      <w:lvlJc w:val="left"/>
      <w:pPr>
        <w:ind w:left="720" w:hanging="360"/>
      </w:pPr>
      <w:rPr>
        <w:rFonts w:ascii="Symbol" w:hAnsi="Symbol" w:hint="default"/>
      </w:rPr>
    </w:lvl>
    <w:lvl w:ilvl="1" w:tplc="4D8A0C1A">
      <w:start w:val="1"/>
      <w:numFmt w:val="bullet"/>
      <w:lvlText w:val="o"/>
      <w:lvlJc w:val="left"/>
      <w:pPr>
        <w:ind w:left="1440" w:hanging="360"/>
      </w:pPr>
      <w:rPr>
        <w:rFonts w:ascii="Courier New" w:hAnsi="Courier New" w:hint="default"/>
      </w:rPr>
    </w:lvl>
    <w:lvl w:ilvl="2" w:tplc="BB8466DE">
      <w:start w:val="1"/>
      <w:numFmt w:val="bullet"/>
      <w:lvlText w:val=""/>
      <w:lvlJc w:val="left"/>
      <w:pPr>
        <w:ind w:left="2160" w:hanging="360"/>
      </w:pPr>
      <w:rPr>
        <w:rFonts w:ascii="Wingdings" w:hAnsi="Wingdings" w:hint="default"/>
      </w:rPr>
    </w:lvl>
    <w:lvl w:ilvl="3" w:tplc="DC3C942E">
      <w:start w:val="1"/>
      <w:numFmt w:val="bullet"/>
      <w:lvlText w:val=""/>
      <w:lvlJc w:val="left"/>
      <w:pPr>
        <w:ind w:left="2880" w:hanging="360"/>
      </w:pPr>
      <w:rPr>
        <w:rFonts w:ascii="Symbol" w:hAnsi="Symbol" w:hint="default"/>
      </w:rPr>
    </w:lvl>
    <w:lvl w:ilvl="4" w:tplc="35F6AFA2">
      <w:start w:val="1"/>
      <w:numFmt w:val="bullet"/>
      <w:lvlText w:val="o"/>
      <w:lvlJc w:val="left"/>
      <w:pPr>
        <w:ind w:left="3600" w:hanging="360"/>
      </w:pPr>
      <w:rPr>
        <w:rFonts w:ascii="Courier New" w:hAnsi="Courier New" w:hint="default"/>
      </w:rPr>
    </w:lvl>
    <w:lvl w:ilvl="5" w:tplc="4FF4BF74">
      <w:start w:val="1"/>
      <w:numFmt w:val="bullet"/>
      <w:lvlText w:val=""/>
      <w:lvlJc w:val="left"/>
      <w:pPr>
        <w:ind w:left="4320" w:hanging="360"/>
      </w:pPr>
      <w:rPr>
        <w:rFonts w:ascii="Wingdings" w:hAnsi="Wingdings" w:hint="default"/>
      </w:rPr>
    </w:lvl>
    <w:lvl w:ilvl="6" w:tplc="569C04D2">
      <w:start w:val="1"/>
      <w:numFmt w:val="bullet"/>
      <w:lvlText w:val=""/>
      <w:lvlJc w:val="left"/>
      <w:pPr>
        <w:ind w:left="5040" w:hanging="360"/>
      </w:pPr>
      <w:rPr>
        <w:rFonts w:ascii="Symbol" w:hAnsi="Symbol" w:hint="default"/>
      </w:rPr>
    </w:lvl>
    <w:lvl w:ilvl="7" w:tplc="36DAD800">
      <w:start w:val="1"/>
      <w:numFmt w:val="bullet"/>
      <w:lvlText w:val="o"/>
      <w:lvlJc w:val="left"/>
      <w:pPr>
        <w:ind w:left="5760" w:hanging="360"/>
      </w:pPr>
      <w:rPr>
        <w:rFonts w:ascii="Courier New" w:hAnsi="Courier New" w:hint="default"/>
      </w:rPr>
    </w:lvl>
    <w:lvl w:ilvl="8" w:tplc="0CE61C68">
      <w:start w:val="1"/>
      <w:numFmt w:val="bullet"/>
      <w:lvlText w:val=""/>
      <w:lvlJc w:val="left"/>
      <w:pPr>
        <w:ind w:left="6480" w:hanging="360"/>
      </w:pPr>
      <w:rPr>
        <w:rFonts w:ascii="Wingdings" w:hAnsi="Wingdings" w:hint="default"/>
      </w:rPr>
    </w:lvl>
  </w:abstractNum>
  <w:abstractNum w:abstractNumId="4" w15:restartNumberingAfterBreak="0">
    <w:nsid w:val="6F7C755F"/>
    <w:multiLevelType w:val="hybridMultilevel"/>
    <w:tmpl w:val="29BEB990"/>
    <w:lvl w:ilvl="0" w:tplc="3EAA76B6">
      <w:start w:val="1"/>
      <w:numFmt w:val="bullet"/>
      <w:lvlText w:val=""/>
      <w:lvlJc w:val="left"/>
      <w:pPr>
        <w:ind w:left="720" w:hanging="360"/>
      </w:pPr>
      <w:rPr>
        <w:rFonts w:ascii="Symbol" w:hAnsi="Symbol" w:hint="default"/>
      </w:rPr>
    </w:lvl>
    <w:lvl w:ilvl="1" w:tplc="B9CA181C">
      <w:start w:val="1"/>
      <w:numFmt w:val="bullet"/>
      <w:lvlText w:val="o"/>
      <w:lvlJc w:val="left"/>
      <w:pPr>
        <w:ind w:left="1440" w:hanging="360"/>
      </w:pPr>
      <w:rPr>
        <w:rFonts w:ascii="Courier New" w:hAnsi="Courier New" w:hint="default"/>
      </w:rPr>
    </w:lvl>
    <w:lvl w:ilvl="2" w:tplc="5484CBC0">
      <w:start w:val="1"/>
      <w:numFmt w:val="bullet"/>
      <w:lvlText w:val=""/>
      <w:lvlJc w:val="left"/>
      <w:pPr>
        <w:ind w:left="2160" w:hanging="360"/>
      </w:pPr>
      <w:rPr>
        <w:rFonts w:ascii="Wingdings" w:hAnsi="Wingdings" w:hint="default"/>
      </w:rPr>
    </w:lvl>
    <w:lvl w:ilvl="3" w:tplc="2BF4960C">
      <w:start w:val="1"/>
      <w:numFmt w:val="bullet"/>
      <w:lvlText w:val=""/>
      <w:lvlJc w:val="left"/>
      <w:pPr>
        <w:ind w:left="2880" w:hanging="360"/>
      </w:pPr>
      <w:rPr>
        <w:rFonts w:ascii="Symbol" w:hAnsi="Symbol" w:hint="default"/>
      </w:rPr>
    </w:lvl>
    <w:lvl w:ilvl="4" w:tplc="E392E89A">
      <w:start w:val="1"/>
      <w:numFmt w:val="bullet"/>
      <w:lvlText w:val="o"/>
      <w:lvlJc w:val="left"/>
      <w:pPr>
        <w:ind w:left="3600" w:hanging="360"/>
      </w:pPr>
      <w:rPr>
        <w:rFonts w:ascii="Courier New" w:hAnsi="Courier New" w:hint="default"/>
      </w:rPr>
    </w:lvl>
    <w:lvl w:ilvl="5" w:tplc="F9B40C8A">
      <w:start w:val="1"/>
      <w:numFmt w:val="bullet"/>
      <w:lvlText w:val=""/>
      <w:lvlJc w:val="left"/>
      <w:pPr>
        <w:ind w:left="4320" w:hanging="360"/>
      </w:pPr>
      <w:rPr>
        <w:rFonts w:ascii="Wingdings" w:hAnsi="Wingdings" w:hint="default"/>
      </w:rPr>
    </w:lvl>
    <w:lvl w:ilvl="6" w:tplc="54B28166">
      <w:start w:val="1"/>
      <w:numFmt w:val="bullet"/>
      <w:lvlText w:val=""/>
      <w:lvlJc w:val="left"/>
      <w:pPr>
        <w:ind w:left="5040" w:hanging="360"/>
      </w:pPr>
      <w:rPr>
        <w:rFonts w:ascii="Symbol" w:hAnsi="Symbol" w:hint="default"/>
      </w:rPr>
    </w:lvl>
    <w:lvl w:ilvl="7" w:tplc="B2FE32D6">
      <w:start w:val="1"/>
      <w:numFmt w:val="bullet"/>
      <w:lvlText w:val="o"/>
      <w:lvlJc w:val="left"/>
      <w:pPr>
        <w:ind w:left="5760" w:hanging="360"/>
      </w:pPr>
      <w:rPr>
        <w:rFonts w:ascii="Courier New" w:hAnsi="Courier New" w:hint="default"/>
      </w:rPr>
    </w:lvl>
    <w:lvl w:ilvl="8" w:tplc="B92C439C">
      <w:start w:val="1"/>
      <w:numFmt w:val="bullet"/>
      <w:lvlText w:val=""/>
      <w:lvlJc w:val="left"/>
      <w:pPr>
        <w:ind w:left="6480" w:hanging="360"/>
      </w:pPr>
      <w:rPr>
        <w:rFonts w:ascii="Wingdings" w:hAnsi="Wingdings" w:hint="default"/>
      </w:rPr>
    </w:lvl>
  </w:abstractNum>
  <w:abstractNum w:abstractNumId="5" w15:restartNumberingAfterBreak="0">
    <w:nsid w:val="739554F3"/>
    <w:multiLevelType w:val="hybridMultilevel"/>
    <w:tmpl w:val="538A575E"/>
    <w:lvl w:ilvl="0" w:tplc="1BE45E4A">
      <w:start w:val="1"/>
      <w:numFmt w:val="bullet"/>
      <w:lvlText w:val=""/>
      <w:lvlJc w:val="left"/>
      <w:pPr>
        <w:ind w:left="720" w:hanging="360"/>
      </w:pPr>
      <w:rPr>
        <w:rFonts w:ascii="Symbol" w:hAnsi="Symbol" w:hint="default"/>
      </w:rPr>
    </w:lvl>
    <w:lvl w:ilvl="1" w:tplc="949E1E68">
      <w:start w:val="1"/>
      <w:numFmt w:val="bullet"/>
      <w:lvlText w:val="o"/>
      <w:lvlJc w:val="left"/>
      <w:pPr>
        <w:ind w:left="1440" w:hanging="360"/>
      </w:pPr>
      <w:rPr>
        <w:rFonts w:ascii="Courier New" w:hAnsi="Courier New" w:hint="default"/>
      </w:rPr>
    </w:lvl>
    <w:lvl w:ilvl="2" w:tplc="F72881D4">
      <w:start w:val="1"/>
      <w:numFmt w:val="bullet"/>
      <w:lvlText w:val=""/>
      <w:lvlJc w:val="left"/>
      <w:pPr>
        <w:ind w:left="2160" w:hanging="360"/>
      </w:pPr>
      <w:rPr>
        <w:rFonts w:ascii="Wingdings" w:hAnsi="Wingdings" w:hint="default"/>
      </w:rPr>
    </w:lvl>
    <w:lvl w:ilvl="3" w:tplc="28907902">
      <w:start w:val="1"/>
      <w:numFmt w:val="bullet"/>
      <w:lvlText w:val=""/>
      <w:lvlJc w:val="left"/>
      <w:pPr>
        <w:ind w:left="2880" w:hanging="360"/>
      </w:pPr>
      <w:rPr>
        <w:rFonts w:ascii="Symbol" w:hAnsi="Symbol" w:hint="default"/>
      </w:rPr>
    </w:lvl>
    <w:lvl w:ilvl="4" w:tplc="BE788304">
      <w:start w:val="1"/>
      <w:numFmt w:val="bullet"/>
      <w:lvlText w:val="o"/>
      <w:lvlJc w:val="left"/>
      <w:pPr>
        <w:ind w:left="3600" w:hanging="360"/>
      </w:pPr>
      <w:rPr>
        <w:rFonts w:ascii="Courier New" w:hAnsi="Courier New" w:hint="default"/>
      </w:rPr>
    </w:lvl>
    <w:lvl w:ilvl="5" w:tplc="B0E0F0A2">
      <w:start w:val="1"/>
      <w:numFmt w:val="bullet"/>
      <w:lvlText w:val=""/>
      <w:lvlJc w:val="left"/>
      <w:pPr>
        <w:ind w:left="4320" w:hanging="360"/>
      </w:pPr>
      <w:rPr>
        <w:rFonts w:ascii="Wingdings" w:hAnsi="Wingdings" w:hint="default"/>
      </w:rPr>
    </w:lvl>
    <w:lvl w:ilvl="6" w:tplc="07C2D870">
      <w:start w:val="1"/>
      <w:numFmt w:val="bullet"/>
      <w:lvlText w:val=""/>
      <w:lvlJc w:val="left"/>
      <w:pPr>
        <w:ind w:left="5040" w:hanging="360"/>
      </w:pPr>
      <w:rPr>
        <w:rFonts w:ascii="Symbol" w:hAnsi="Symbol" w:hint="default"/>
      </w:rPr>
    </w:lvl>
    <w:lvl w:ilvl="7" w:tplc="D77668FE">
      <w:start w:val="1"/>
      <w:numFmt w:val="bullet"/>
      <w:lvlText w:val="o"/>
      <w:lvlJc w:val="left"/>
      <w:pPr>
        <w:ind w:left="5760" w:hanging="360"/>
      </w:pPr>
      <w:rPr>
        <w:rFonts w:ascii="Courier New" w:hAnsi="Courier New" w:hint="default"/>
      </w:rPr>
    </w:lvl>
    <w:lvl w:ilvl="8" w:tplc="542C7784">
      <w:start w:val="1"/>
      <w:numFmt w:val="bullet"/>
      <w:lvlText w:val=""/>
      <w:lvlJc w:val="left"/>
      <w:pPr>
        <w:ind w:left="6480" w:hanging="360"/>
      </w:pPr>
      <w:rPr>
        <w:rFonts w:ascii="Wingdings" w:hAnsi="Wingdings" w:hint="default"/>
      </w:rPr>
    </w:lvl>
  </w:abstractNum>
  <w:num w:numId="1" w16cid:durableId="259728512">
    <w:abstractNumId w:val="2"/>
  </w:num>
  <w:num w:numId="2" w16cid:durableId="1455755707">
    <w:abstractNumId w:val="0"/>
  </w:num>
  <w:num w:numId="3" w16cid:durableId="979577748">
    <w:abstractNumId w:val="3"/>
  </w:num>
  <w:num w:numId="4" w16cid:durableId="570699273">
    <w:abstractNumId w:val="1"/>
  </w:num>
  <w:num w:numId="5" w16cid:durableId="2049446336">
    <w:abstractNumId w:val="5"/>
  </w:num>
  <w:num w:numId="6" w16cid:durableId="16344798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DC1NLCwNLe0MDczNDVU0lEKTi0uzszPAykwrAUAsTlLFCwAAAA="/>
  </w:docVars>
  <w:rsids>
    <w:rsidRoot w:val="2887B271"/>
    <w:rsid w:val="00060F00"/>
    <w:rsid w:val="002E19BB"/>
    <w:rsid w:val="00707296"/>
    <w:rsid w:val="007260A8"/>
    <w:rsid w:val="00A52E76"/>
    <w:rsid w:val="00B32B9A"/>
    <w:rsid w:val="00B63ED8"/>
    <w:rsid w:val="00BB0C7F"/>
    <w:rsid w:val="00E63CFF"/>
    <w:rsid w:val="00F750E0"/>
    <w:rsid w:val="0793E4F0"/>
    <w:rsid w:val="080A0EE0"/>
    <w:rsid w:val="087BC234"/>
    <w:rsid w:val="0C1435E3"/>
    <w:rsid w:val="106A4DD9"/>
    <w:rsid w:val="1CC1153C"/>
    <w:rsid w:val="1DC8E190"/>
    <w:rsid w:val="26CF49B8"/>
    <w:rsid w:val="286EF968"/>
    <w:rsid w:val="2887B271"/>
    <w:rsid w:val="3C02C62A"/>
    <w:rsid w:val="48AC253C"/>
    <w:rsid w:val="509AD967"/>
    <w:rsid w:val="53476230"/>
    <w:rsid w:val="5F0D86B6"/>
    <w:rsid w:val="5FA5F39F"/>
    <w:rsid w:val="5FAF3490"/>
    <w:rsid w:val="6B45FE3F"/>
    <w:rsid w:val="718931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7B271"/>
  <w15:chartTrackingRefBased/>
  <w15:docId w15:val="{5BA4C77B-23D4-4EA0-BBED-8EEC2DC74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DC8E1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583</Words>
  <Characters>3759</Characters>
  <Application>Microsoft Office Word</Application>
  <DocSecurity>0</DocSecurity>
  <Lines>96</Lines>
  <Paragraphs>46</Paragraphs>
  <ScaleCrop>false</ScaleCrop>
  <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Humayrah .S</dc:creator>
  <cp:keywords/>
  <dc:description/>
  <cp:lastModifiedBy>Chloe Harries</cp:lastModifiedBy>
  <cp:revision>1</cp:revision>
  <dcterms:created xsi:type="dcterms:W3CDTF">2025-12-08T15:10:00Z</dcterms:created>
  <dcterms:modified xsi:type="dcterms:W3CDTF">2025-12-08T15:10:00Z</dcterms:modified>
</cp:coreProperties>
</file>