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49712" w14:textId="77777777" w:rsidR="00C31D85" w:rsidRDefault="00C31D85" w:rsidP="003B2B27">
      <w:pPr>
        <w:rPr>
          <w:rFonts w:ascii="Aptos" w:hAnsi="Aptos"/>
          <w:b/>
          <w:bCs/>
          <w:sz w:val="36"/>
          <w:szCs w:val="36"/>
        </w:rPr>
      </w:pPr>
    </w:p>
    <w:p w14:paraId="0BE45D0B" w14:textId="77777777" w:rsidR="000159E9" w:rsidRDefault="000159E9" w:rsidP="00C31D85">
      <w:pPr>
        <w:jc w:val="center"/>
        <w:rPr>
          <w:rFonts w:ascii="Aptos" w:hAnsi="Aptos"/>
          <w:b/>
          <w:bCs/>
          <w:sz w:val="36"/>
          <w:szCs w:val="36"/>
        </w:rPr>
      </w:pPr>
    </w:p>
    <w:p w14:paraId="52D217C2" w14:textId="77777777" w:rsidR="000159E9" w:rsidRDefault="000159E9" w:rsidP="00C31D85">
      <w:pPr>
        <w:jc w:val="center"/>
        <w:rPr>
          <w:rFonts w:ascii="Aptos" w:hAnsi="Aptos"/>
          <w:b/>
          <w:bCs/>
          <w:sz w:val="36"/>
          <w:szCs w:val="36"/>
        </w:rPr>
      </w:pPr>
    </w:p>
    <w:p w14:paraId="60E6401F"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7C36CC82" w14:textId="77777777" w:rsidR="00C31D85" w:rsidRDefault="00C31D85" w:rsidP="00C31D85">
      <w:pPr>
        <w:jc w:val="center"/>
        <w:rPr>
          <w:rFonts w:ascii="Aptos" w:hAnsi="Aptos"/>
          <w:b/>
          <w:bCs/>
          <w:sz w:val="36"/>
          <w:szCs w:val="36"/>
        </w:rPr>
      </w:pPr>
    </w:p>
    <w:p w14:paraId="5D50A2F7" w14:textId="77777777" w:rsidR="00C31D85" w:rsidRDefault="00C31D85" w:rsidP="00C31D85">
      <w:pPr>
        <w:jc w:val="center"/>
        <w:rPr>
          <w:rFonts w:ascii="Aptos" w:hAnsi="Aptos"/>
          <w:b/>
          <w:bCs/>
          <w:sz w:val="36"/>
          <w:szCs w:val="36"/>
        </w:rPr>
      </w:pPr>
    </w:p>
    <w:p w14:paraId="7988D4CA" w14:textId="332B7F48"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035FCE">
        <w:rPr>
          <w:rFonts w:ascii="Aptos" w:hAnsi="Aptos" w:cs="Arial"/>
          <w:sz w:val="28"/>
          <w:szCs w:val="28"/>
          <w:lang w:val="nl-NL"/>
        </w:rPr>
        <w:t xml:space="preserve"> Deyan Kheder </w:t>
      </w:r>
    </w:p>
    <w:p w14:paraId="00E6C9DF" w14:textId="7D8575D1" w:rsidR="00C31D85" w:rsidRPr="00C31D85" w:rsidRDefault="00C31D85" w:rsidP="00303987">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035FCE">
        <w:rPr>
          <w:rFonts w:ascii="Aptos" w:hAnsi="Aptos" w:cs="Arial"/>
          <w:sz w:val="28"/>
          <w:szCs w:val="28"/>
          <w:lang w:val="nl-NL"/>
        </w:rPr>
        <w:t>2245696</w:t>
      </w:r>
    </w:p>
    <w:p w14:paraId="30DB1088" w14:textId="306AEB1F"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39751B">
        <w:rPr>
          <w:rFonts w:ascii="Aptos" w:hAnsi="Aptos" w:cs="Arial"/>
          <w:sz w:val="28"/>
          <w:szCs w:val="28"/>
          <w:lang w:val="nl-NL"/>
        </w:rPr>
        <w:t>I</w:t>
      </w:r>
      <w:r w:rsidR="007E0158">
        <w:rPr>
          <w:rFonts w:ascii="Aptos" w:hAnsi="Aptos" w:cs="Arial"/>
          <w:sz w:val="28"/>
          <w:szCs w:val="28"/>
          <w:lang w:val="nl-NL"/>
        </w:rPr>
        <w:t>ndepend</w:t>
      </w:r>
      <w:r w:rsidR="0082020E">
        <w:rPr>
          <w:rFonts w:ascii="Aptos" w:hAnsi="Aptos" w:cs="Arial"/>
          <w:sz w:val="28"/>
          <w:szCs w:val="28"/>
          <w:lang w:val="nl-NL"/>
        </w:rPr>
        <w:t xml:space="preserve">ent project </w:t>
      </w:r>
    </w:p>
    <w:p w14:paraId="5F1604CD" w14:textId="4AE17079"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303987">
        <w:rPr>
          <w:rFonts w:ascii="Aptos" w:hAnsi="Aptos" w:cs="Arial"/>
          <w:sz w:val="28"/>
          <w:szCs w:val="28"/>
        </w:rPr>
        <w:t xml:space="preserve"> </w:t>
      </w:r>
      <w:r w:rsidR="0082020E">
        <w:rPr>
          <w:rFonts w:ascii="Aptos" w:hAnsi="Aptos" w:cs="Arial"/>
          <w:sz w:val="28"/>
          <w:szCs w:val="28"/>
        </w:rPr>
        <w:t>BM</w:t>
      </w:r>
      <w:r w:rsidR="00303987">
        <w:rPr>
          <w:rFonts w:ascii="Aptos" w:hAnsi="Aptos" w:cs="Arial"/>
          <w:sz w:val="28"/>
          <w:szCs w:val="28"/>
        </w:rPr>
        <w:t>HP</w:t>
      </w:r>
      <w:r w:rsidR="0082020E">
        <w:rPr>
          <w:rFonts w:ascii="Aptos" w:hAnsi="Aptos" w:cs="Arial"/>
          <w:sz w:val="28"/>
          <w:szCs w:val="28"/>
        </w:rPr>
        <w:t xml:space="preserve">6020 </w:t>
      </w:r>
    </w:p>
    <w:p w14:paraId="6AC3182E" w14:textId="77777777" w:rsidR="00C31D85" w:rsidRPr="00C31D85" w:rsidRDefault="00CC0A8F" w:rsidP="00C31D85">
      <w:pPr>
        <w:jc w:val="center"/>
        <w:rPr>
          <w:rFonts w:ascii="Aptos" w:hAnsi="Aptos"/>
          <w:b/>
          <w:bCs/>
        </w:rPr>
        <w:sectPr w:rsidR="00C31D85" w:rsidRPr="00C31D85" w:rsidSect="00C31D85">
          <w:headerReference w:type="default" r:id="rId11"/>
          <w:headerReference w:type="first" r:id="rId12"/>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6108"/>
        <w:gridCol w:w="9106"/>
      </w:tblGrid>
      <w:tr w:rsidR="00802FF1" w:rsidRPr="00C31D85" w14:paraId="4696C878" w14:textId="77777777" w:rsidTr="00B64A66">
        <w:trPr>
          <w:trHeight w:val="739"/>
        </w:trPr>
        <w:tc>
          <w:tcPr>
            <w:tcW w:w="14616" w:type="dxa"/>
            <w:gridSpan w:val="2"/>
            <w:shd w:val="clear" w:color="auto" w:fill="FFD966" w:themeFill="accent4" w:themeFillTint="99"/>
            <w:vAlign w:val="center"/>
          </w:tcPr>
          <w:p w14:paraId="26E8A88C" w14:textId="2B4D1205" w:rsidR="00802FF1" w:rsidRPr="00802FF1" w:rsidRDefault="001C0EB8" w:rsidP="4AB15665">
            <w:pPr>
              <w:jc w:val="center"/>
              <w:rPr>
                <w:rFonts w:ascii="Aptos" w:hAnsi="Aptos"/>
                <w:b/>
                <w:bCs/>
                <w:sz w:val="36"/>
                <w:szCs w:val="36"/>
              </w:rPr>
            </w:pPr>
            <w:r w:rsidRPr="4AB15665">
              <w:rPr>
                <w:rFonts w:ascii="Arial" w:eastAsia="Times New Roman" w:hAnsi="Arial" w:cs="Arial"/>
                <w:b/>
                <w:bCs/>
                <w:color w:val="222222"/>
                <w:sz w:val="32"/>
                <w:szCs w:val="32"/>
                <w:highlight w:val="white"/>
              </w:rPr>
              <w:t>EFFECTS OF BREASTFEEDING ON THE MENTAL HEALTH OF YOUNG MOTHERS IN THE UK</w:t>
            </w:r>
          </w:p>
        </w:tc>
      </w:tr>
      <w:tr w:rsidR="00C31D85" w:rsidRPr="00C31D85" w14:paraId="19E929FC" w14:textId="77777777" w:rsidTr="00774B76">
        <w:trPr>
          <w:trHeight w:val="1856"/>
        </w:trPr>
        <w:tc>
          <w:tcPr>
            <w:tcW w:w="7225" w:type="dxa"/>
            <w:shd w:val="clear" w:color="auto" w:fill="F7CAAC" w:themeFill="accent2" w:themeFillTint="66"/>
          </w:tcPr>
          <w:p w14:paraId="2195739F" w14:textId="77777777" w:rsidR="00C31D85" w:rsidRPr="005F7D75" w:rsidRDefault="00C31D85" w:rsidP="00C46111">
            <w:pPr>
              <w:rPr>
                <w:rFonts w:ascii="Aptos" w:hAnsi="Aptos"/>
                <w:b/>
                <w:bCs/>
              </w:rPr>
            </w:pPr>
            <w:r w:rsidRPr="00AB5409">
              <w:rPr>
                <w:rFonts w:ascii="Aptos" w:hAnsi="Aptos"/>
                <w:b/>
                <w:bCs/>
                <w:sz w:val="40"/>
                <w:szCs w:val="40"/>
              </w:rPr>
              <w:t>01</w:t>
            </w:r>
            <w:r w:rsidR="001A2DAB" w:rsidRPr="005F7D75">
              <w:rPr>
                <w:rFonts w:ascii="Aptos" w:hAnsi="Aptos"/>
                <w:b/>
                <w:bCs/>
              </w:rPr>
              <w:t xml:space="preserve">Introduction and </w:t>
            </w:r>
            <w:r w:rsidR="00AB5409" w:rsidRPr="005F7D75">
              <w:rPr>
                <w:rFonts w:ascii="Aptos" w:hAnsi="Aptos"/>
                <w:b/>
                <w:bCs/>
              </w:rPr>
              <w:t xml:space="preserve">Research </w:t>
            </w:r>
            <w:r w:rsidR="001A2DAB" w:rsidRPr="005F7D75">
              <w:rPr>
                <w:rFonts w:ascii="Aptos" w:hAnsi="Aptos"/>
                <w:b/>
                <w:bCs/>
              </w:rPr>
              <w:t xml:space="preserve">Aim </w:t>
            </w:r>
          </w:p>
          <w:p w14:paraId="7D814DEF" w14:textId="77777777" w:rsidR="000E56ED" w:rsidRPr="005F7D75" w:rsidRDefault="007C0103" w:rsidP="007C0103">
            <w:pPr>
              <w:jc w:val="both"/>
              <w:rPr>
                <w:rFonts w:ascii="Aptos" w:hAnsi="Aptos"/>
              </w:rPr>
            </w:pPr>
            <w:r w:rsidRPr="007745BB">
              <w:rPr>
                <w:rFonts w:ascii="Aptos" w:hAnsi="Aptos"/>
                <w:sz w:val="20"/>
              </w:rPr>
              <w:t>The research has explored the impact of breastfeeding on the mental health of young mothers in the UK. It aims to critically assess the impact of the mental health of young mothers on the cognitive development of children (Olalere and Harley, 2024). A particular focus has been placed on children diagnosed with autism spectrum disorder, as various studies have indicated that maternal health can be influenced by breastfeeding.</w:t>
            </w:r>
            <w:r w:rsidR="005F7D75" w:rsidRPr="007745BB">
              <w:rPr>
                <w:rFonts w:ascii="Aptos" w:hAnsi="Aptos"/>
                <w:sz w:val="20"/>
              </w:rPr>
              <w:t xml:space="preserve"> </w:t>
            </w:r>
          </w:p>
        </w:tc>
        <w:tc>
          <w:tcPr>
            <w:tcW w:w="7391" w:type="dxa"/>
            <w:shd w:val="clear" w:color="auto" w:fill="BDD6EE" w:themeFill="accent5" w:themeFillTint="66"/>
          </w:tcPr>
          <w:p w14:paraId="6497CC59" w14:textId="77777777" w:rsidR="00C31D85" w:rsidRDefault="00C31D85" w:rsidP="00C46111">
            <w:pPr>
              <w:rPr>
                <w:rFonts w:ascii="Aptos" w:hAnsi="Aptos"/>
              </w:rPr>
            </w:pPr>
            <w:r w:rsidRPr="00AB5409">
              <w:rPr>
                <w:rFonts w:ascii="Aptos" w:hAnsi="Aptos"/>
                <w:b/>
                <w:bCs/>
                <w:sz w:val="40"/>
                <w:szCs w:val="40"/>
              </w:rPr>
              <w:t>02</w:t>
            </w:r>
            <w:r w:rsidR="00AB5409" w:rsidRPr="005F7D75">
              <w:rPr>
                <w:rFonts w:ascii="Aptos" w:hAnsi="Aptos"/>
                <w:b/>
                <w:bCs/>
              </w:rPr>
              <w:t>Search Strategy</w:t>
            </w:r>
          </w:p>
          <w:p w14:paraId="2E875C35" w14:textId="77777777" w:rsidR="0029329C" w:rsidRPr="005F7D75" w:rsidRDefault="007C0103" w:rsidP="007C0103">
            <w:pPr>
              <w:jc w:val="both"/>
              <w:rPr>
                <w:rFonts w:ascii="Aptos" w:hAnsi="Aptos"/>
                <w:lang w:val="en-GB"/>
              </w:rPr>
            </w:pPr>
            <w:r w:rsidRPr="007745BB">
              <w:rPr>
                <w:rFonts w:ascii="Aptos" w:hAnsi="Aptos"/>
                <w:sz w:val="20"/>
              </w:rPr>
              <w:t xml:space="preserve">Paynter </w:t>
            </w:r>
            <w:r w:rsidRPr="007745BB">
              <w:rPr>
                <w:rFonts w:ascii="Aptos" w:hAnsi="Aptos"/>
                <w:i/>
                <w:iCs/>
                <w:sz w:val="20"/>
              </w:rPr>
              <w:t xml:space="preserve">et al. </w:t>
            </w:r>
            <w:r w:rsidRPr="007745BB">
              <w:rPr>
                <w:rFonts w:ascii="Aptos" w:hAnsi="Aptos"/>
                <w:sz w:val="20"/>
              </w:rPr>
              <w:t>(2025) have defined secondary research as a systematic, planned, and structured approach to locating and retrieving relevant literature to answer a particular research question. The research will use a secondary search strategy focusing on existing UK-specific data. It will involve using Boolean operators, authentic databases, and CRAAP tests to ensure relevant information.</w:t>
            </w:r>
            <w:r w:rsidR="005F7D75" w:rsidRPr="007745BB">
              <w:rPr>
                <w:rFonts w:ascii="Aptos" w:hAnsi="Aptos"/>
                <w:sz w:val="20"/>
                <w:lang w:val="en-GB"/>
              </w:rPr>
              <w:t xml:space="preserve"> </w:t>
            </w:r>
          </w:p>
        </w:tc>
      </w:tr>
      <w:tr w:rsidR="00C31D85" w:rsidRPr="00C31D85" w14:paraId="008B57F6" w14:textId="77777777" w:rsidTr="00526FEF">
        <w:trPr>
          <w:trHeight w:val="1856"/>
        </w:trPr>
        <w:tc>
          <w:tcPr>
            <w:tcW w:w="7225" w:type="dxa"/>
            <w:shd w:val="clear" w:color="auto" w:fill="FFE599" w:themeFill="accent4" w:themeFillTint="66"/>
          </w:tcPr>
          <w:p w14:paraId="20FC5C06" w14:textId="77777777" w:rsidR="00C31D85" w:rsidRDefault="00C31D85" w:rsidP="00C46111">
            <w:pPr>
              <w:rPr>
                <w:rFonts w:ascii="Aptos" w:hAnsi="Aptos"/>
              </w:rPr>
            </w:pPr>
            <w:r w:rsidRPr="00AB5409">
              <w:rPr>
                <w:rFonts w:ascii="Aptos" w:hAnsi="Aptos"/>
                <w:b/>
                <w:bCs/>
                <w:sz w:val="40"/>
                <w:szCs w:val="40"/>
              </w:rPr>
              <w:t>03</w:t>
            </w:r>
            <w:r w:rsidR="00AB5409" w:rsidRPr="005F7D75">
              <w:rPr>
                <w:rFonts w:ascii="Aptos" w:hAnsi="Aptos"/>
                <w:b/>
                <w:bCs/>
              </w:rPr>
              <w:t>Searching for Information</w:t>
            </w:r>
          </w:p>
          <w:p w14:paraId="0C6323DB" w14:textId="77777777" w:rsidR="007C0103" w:rsidRPr="007745BB" w:rsidRDefault="007C0103" w:rsidP="007C0103">
            <w:pPr>
              <w:jc w:val="both"/>
              <w:rPr>
                <w:rFonts w:ascii="Aptos" w:hAnsi="Aptos"/>
                <w:sz w:val="20"/>
                <w:lang w:val="en-GB"/>
              </w:rPr>
            </w:pPr>
            <w:r w:rsidRPr="007745BB">
              <w:rPr>
                <w:rFonts w:ascii="Aptos" w:hAnsi="Aptos"/>
                <w:sz w:val="20"/>
                <w:lang w:val="en-GB"/>
              </w:rPr>
              <w:t>Boolean search operators will be used to decide keywords to utilise and find only relevant journals and articles. The most relevant information regarding the research topic will be found by following a step-by-step process. The steps are as follows-</w:t>
            </w:r>
          </w:p>
          <w:p w14:paraId="52633B95" w14:textId="77777777" w:rsidR="007C0103" w:rsidRPr="007745BB" w:rsidRDefault="007C0103" w:rsidP="007C0103">
            <w:pPr>
              <w:jc w:val="both"/>
              <w:rPr>
                <w:rFonts w:ascii="Aptos" w:hAnsi="Aptos"/>
                <w:sz w:val="20"/>
                <w:lang w:val="en-GB"/>
              </w:rPr>
            </w:pPr>
            <w:r w:rsidRPr="007745BB">
              <w:rPr>
                <w:rFonts w:ascii="Aptos" w:hAnsi="Aptos"/>
                <w:sz w:val="20"/>
                <w:lang w:val="en-GB"/>
              </w:rPr>
              <w:t>●</w:t>
            </w:r>
            <w:r w:rsidRPr="007745BB">
              <w:rPr>
                <w:rFonts w:ascii="Aptos" w:hAnsi="Aptos"/>
                <w:sz w:val="20"/>
                <w:lang w:val="en-GB"/>
              </w:rPr>
              <w:tab/>
              <w:t>Developing keywords</w:t>
            </w:r>
          </w:p>
          <w:p w14:paraId="43F1B7B8" w14:textId="77777777" w:rsidR="007C0103" w:rsidRPr="007745BB" w:rsidRDefault="007C0103" w:rsidP="007C0103">
            <w:pPr>
              <w:jc w:val="both"/>
              <w:rPr>
                <w:rFonts w:ascii="Aptos" w:hAnsi="Aptos"/>
                <w:sz w:val="20"/>
                <w:lang w:val="en-GB"/>
              </w:rPr>
            </w:pPr>
            <w:r w:rsidRPr="007745BB">
              <w:rPr>
                <w:rFonts w:ascii="Aptos" w:hAnsi="Aptos"/>
                <w:sz w:val="20"/>
                <w:lang w:val="en-GB"/>
              </w:rPr>
              <w:t>●</w:t>
            </w:r>
            <w:r w:rsidRPr="007745BB">
              <w:rPr>
                <w:rFonts w:ascii="Aptos" w:hAnsi="Aptos"/>
                <w:sz w:val="20"/>
                <w:lang w:val="en-GB"/>
              </w:rPr>
              <w:tab/>
              <w:t>Boolean operators</w:t>
            </w:r>
          </w:p>
          <w:p w14:paraId="2B21D999" w14:textId="77777777" w:rsidR="007C0103" w:rsidRPr="007745BB" w:rsidRDefault="007C0103" w:rsidP="007C0103">
            <w:pPr>
              <w:jc w:val="both"/>
              <w:rPr>
                <w:rFonts w:ascii="Aptos" w:hAnsi="Aptos"/>
                <w:sz w:val="20"/>
                <w:lang w:val="en-GB"/>
              </w:rPr>
            </w:pPr>
            <w:r w:rsidRPr="007745BB">
              <w:rPr>
                <w:rFonts w:ascii="Aptos" w:hAnsi="Aptos"/>
                <w:sz w:val="20"/>
                <w:lang w:val="en-GB"/>
              </w:rPr>
              <w:t>●</w:t>
            </w:r>
            <w:r w:rsidRPr="007745BB">
              <w:rPr>
                <w:rFonts w:ascii="Aptos" w:hAnsi="Aptos"/>
                <w:sz w:val="20"/>
                <w:lang w:val="en-GB"/>
              </w:rPr>
              <w:tab/>
              <w:t>Using authentic databases and platforms</w:t>
            </w:r>
          </w:p>
          <w:p w14:paraId="4CA58E8F" w14:textId="77777777" w:rsidR="007C0103" w:rsidRPr="007745BB" w:rsidRDefault="007C0103" w:rsidP="007C0103">
            <w:pPr>
              <w:jc w:val="both"/>
              <w:rPr>
                <w:rFonts w:ascii="Aptos" w:hAnsi="Aptos"/>
                <w:sz w:val="20"/>
                <w:lang w:val="en-GB"/>
              </w:rPr>
            </w:pPr>
            <w:r w:rsidRPr="007745BB">
              <w:rPr>
                <w:rFonts w:ascii="Aptos" w:hAnsi="Aptos"/>
                <w:sz w:val="20"/>
                <w:lang w:val="en-GB"/>
              </w:rPr>
              <w:t>●</w:t>
            </w:r>
            <w:r w:rsidRPr="007745BB">
              <w:rPr>
                <w:rFonts w:ascii="Aptos" w:hAnsi="Aptos"/>
                <w:sz w:val="20"/>
                <w:lang w:val="en-GB"/>
              </w:rPr>
              <w:tab/>
              <w:t>Using filters</w:t>
            </w:r>
          </w:p>
          <w:p w14:paraId="065AE4D6" w14:textId="77777777" w:rsidR="007C0103" w:rsidRPr="007745BB" w:rsidRDefault="007C0103" w:rsidP="007C0103">
            <w:pPr>
              <w:jc w:val="both"/>
              <w:rPr>
                <w:rFonts w:ascii="Aptos" w:hAnsi="Aptos"/>
                <w:sz w:val="20"/>
                <w:lang w:val="en-GB"/>
              </w:rPr>
            </w:pPr>
            <w:r w:rsidRPr="007745BB">
              <w:rPr>
                <w:rFonts w:ascii="Aptos" w:hAnsi="Aptos"/>
                <w:sz w:val="20"/>
                <w:lang w:val="en-GB"/>
              </w:rPr>
              <w:t>●</w:t>
            </w:r>
            <w:r w:rsidRPr="007745BB">
              <w:rPr>
                <w:rFonts w:ascii="Aptos" w:hAnsi="Aptos"/>
                <w:sz w:val="20"/>
                <w:lang w:val="en-GB"/>
              </w:rPr>
              <w:tab/>
              <w:t xml:space="preserve">Use the CRAPP test </w:t>
            </w:r>
          </w:p>
          <w:p w14:paraId="680993E5" w14:textId="77777777" w:rsidR="007C0103" w:rsidRPr="007745BB" w:rsidRDefault="007C0103" w:rsidP="007C0103">
            <w:pPr>
              <w:jc w:val="both"/>
              <w:rPr>
                <w:rFonts w:ascii="Aptos" w:hAnsi="Aptos"/>
                <w:sz w:val="20"/>
                <w:lang w:val="en-GB"/>
              </w:rPr>
            </w:pPr>
            <w:r w:rsidRPr="007745BB">
              <w:rPr>
                <w:rFonts w:ascii="Aptos" w:hAnsi="Aptos"/>
                <w:sz w:val="20"/>
                <w:lang w:val="en-GB"/>
              </w:rPr>
              <w:t>●</w:t>
            </w:r>
            <w:r w:rsidRPr="007745BB">
              <w:rPr>
                <w:rFonts w:ascii="Aptos" w:hAnsi="Aptos"/>
                <w:sz w:val="20"/>
                <w:lang w:val="en-GB"/>
              </w:rPr>
              <w:tab/>
              <w:t>Involving inclusion and exclusion criteria</w:t>
            </w:r>
          </w:p>
          <w:p w14:paraId="527BB432" w14:textId="77777777" w:rsidR="007C0103" w:rsidRPr="007745BB" w:rsidRDefault="007C0103" w:rsidP="007C0103">
            <w:pPr>
              <w:jc w:val="both"/>
              <w:rPr>
                <w:rFonts w:ascii="Aptos" w:hAnsi="Aptos"/>
                <w:sz w:val="20"/>
                <w:lang w:val="en-GB"/>
              </w:rPr>
            </w:pPr>
            <w:r w:rsidRPr="007745BB">
              <w:rPr>
                <w:rFonts w:ascii="Aptos" w:hAnsi="Aptos"/>
                <w:sz w:val="20"/>
                <w:lang w:val="en-GB"/>
              </w:rPr>
              <w:t>●</w:t>
            </w:r>
            <w:r w:rsidRPr="007745BB">
              <w:rPr>
                <w:rFonts w:ascii="Aptos" w:hAnsi="Aptos"/>
                <w:sz w:val="20"/>
                <w:lang w:val="en-GB"/>
              </w:rPr>
              <w:tab/>
              <w:t>Thematic coding approach</w:t>
            </w:r>
          </w:p>
          <w:p w14:paraId="6EBCD39A" w14:textId="77777777" w:rsidR="007C0103" w:rsidRPr="007745BB" w:rsidRDefault="007C0103" w:rsidP="007C0103">
            <w:pPr>
              <w:jc w:val="both"/>
              <w:rPr>
                <w:rFonts w:ascii="Aptos" w:hAnsi="Aptos"/>
                <w:sz w:val="20"/>
                <w:lang w:val="en-GB"/>
              </w:rPr>
            </w:pPr>
            <w:r w:rsidRPr="007745BB">
              <w:rPr>
                <w:rFonts w:ascii="Aptos" w:hAnsi="Aptos"/>
                <w:sz w:val="20"/>
                <w:lang w:val="en-GB"/>
              </w:rPr>
              <w:t>●</w:t>
            </w:r>
            <w:r w:rsidRPr="007745BB">
              <w:rPr>
                <w:rFonts w:ascii="Aptos" w:hAnsi="Aptos"/>
                <w:sz w:val="20"/>
                <w:lang w:val="en-GB"/>
              </w:rPr>
              <w:tab/>
              <w:t xml:space="preserve">Theme development </w:t>
            </w:r>
          </w:p>
          <w:p w14:paraId="5D0EBB4C" w14:textId="77777777" w:rsidR="0029329C" w:rsidRPr="005F7D75" w:rsidRDefault="007C0103" w:rsidP="007C0103">
            <w:pPr>
              <w:jc w:val="both"/>
              <w:rPr>
                <w:rFonts w:ascii="Aptos" w:hAnsi="Aptos"/>
                <w:lang w:val="en-GB"/>
              </w:rPr>
            </w:pPr>
            <w:r w:rsidRPr="007745BB">
              <w:rPr>
                <w:rFonts w:ascii="Aptos" w:hAnsi="Aptos"/>
                <w:sz w:val="20"/>
                <w:lang w:val="en-GB"/>
              </w:rPr>
              <w:t>This step-by-step process will be implemented to collect existing sources on how young mothers in the UK are being affected by breastfeeding. Only peer-reviewed journals and articles will be chosen to focus on the specific population and find UK-based results for maximum accuracy.</w:t>
            </w:r>
          </w:p>
        </w:tc>
        <w:tc>
          <w:tcPr>
            <w:tcW w:w="7391" w:type="dxa"/>
            <w:shd w:val="clear" w:color="auto" w:fill="B33B8E"/>
          </w:tcPr>
          <w:p w14:paraId="1934324C" w14:textId="631F7521" w:rsidR="00C31D85" w:rsidRDefault="00C31D85" w:rsidP="4AB15665">
            <w:pPr>
              <w:rPr>
                <w:rFonts w:ascii="Aptos" w:hAnsi="Aptos"/>
                <w:b/>
                <w:bCs/>
                <w:sz w:val="40"/>
                <w:szCs w:val="40"/>
              </w:rPr>
            </w:pPr>
            <w:r w:rsidRPr="4AB15665">
              <w:rPr>
                <w:rFonts w:ascii="Aptos" w:hAnsi="Aptos"/>
                <w:b/>
                <w:bCs/>
                <w:sz w:val="40"/>
                <w:szCs w:val="40"/>
              </w:rPr>
              <w:t>04</w:t>
            </w:r>
            <w:r w:rsidR="4E34D575" w:rsidRPr="4AB15665">
              <w:rPr>
                <w:rFonts w:ascii="Aptos" w:hAnsi="Aptos"/>
                <w:b/>
                <w:bCs/>
                <w:sz w:val="40"/>
                <w:szCs w:val="40"/>
              </w:rPr>
              <w:t xml:space="preserve"> </w:t>
            </w:r>
            <w:r w:rsidR="4E34D575" w:rsidRPr="4AB15665">
              <w:rPr>
                <w:rFonts w:ascii="Aptos" w:hAnsi="Aptos"/>
                <w:b/>
                <w:bCs/>
                <w:sz w:val="28"/>
                <w:szCs w:val="28"/>
              </w:rPr>
              <w:t>Graph</w:t>
            </w:r>
          </w:p>
          <w:p w14:paraId="027A3F5E" w14:textId="77777777" w:rsidR="005F7D75" w:rsidRDefault="003773C0" w:rsidP="003773C0">
            <w:pPr>
              <w:spacing w:line="360" w:lineRule="auto"/>
              <w:jc w:val="center"/>
              <w:rPr>
                <w:rFonts w:ascii="Aptos" w:hAnsi="Aptos"/>
              </w:rPr>
            </w:pPr>
            <w:r w:rsidRPr="003773C0">
              <w:rPr>
                <w:rFonts w:ascii="Aptos" w:hAnsi="Aptos"/>
                <w:noProof/>
                <w:highlight w:val="white"/>
              </w:rPr>
              <w:drawing>
                <wp:inline distT="114300" distB="114300" distL="114300" distR="114300" wp14:anchorId="5B4A2D35" wp14:editId="47B52358">
                  <wp:extent cx="3779520" cy="2209336"/>
                  <wp:effectExtent l="1905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3" cstate="print"/>
                          <a:stretch>
                            <a:fillRect/>
                          </a:stretch>
                        </pic:blipFill>
                        <pic:spPr>
                          <a:xfrm>
                            <a:off x="0" y="0"/>
                            <a:ext cx="3780238" cy="2209756"/>
                          </a:xfrm>
                          <a:prstGeom prst="rect">
                            <a:avLst/>
                          </a:prstGeom>
                        </pic:spPr>
                      </pic:pic>
                    </a:graphicData>
                  </a:graphic>
                </wp:inline>
              </w:drawing>
            </w:r>
          </w:p>
          <w:p w14:paraId="26DD9DA4" w14:textId="77777777" w:rsidR="003773C0" w:rsidRPr="007745BB" w:rsidRDefault="003773C0" w:rsidP="003773C0">
            <w:pPr>
              <w:numPr>
                <w:ilvl w:val="0"/>
                <w:numId w:val="14"/>
              </w:numPr>
              <w:jc w:val="both"/>
              <w:rPr>
                <w:rFonts w:ascii="Aptos" w:hAnsi="Aptos"/>
                <w:sz w:val="20"/>
              </w:rPr>
            </w:pPr>
            <w:r w:rsidRPr="007745BB">
              <w:rPr>
                <w:rFonts w:ascii="Aptos" w:hAnsi="Aptos"/>
                <w:sz w:val="20"/>
              </w:rPr>
              <w:t xml:space="preserve">The findings of Olalere and Harley (2024) have suggested that out of 17 studies, 15 reported that early breastfeeding cessation takes place due to location-related challenges. </w:t>
            </w:r>
          </w:p>
          <w:p w14:paraId="1EF561AB" w14:textId="77777777" w:rsidR="003773C0" w:rsidRPr="007745BB" w:rsidRDefault="003773C0" w:rsidP="003773C0">
            <w:pPr>
              <w:numPr>
                <w:ilvl w:val="0"/>
                <w:numId w:val="14"/>
              </w:numPr>
              <w:jc w:val="both"/>
              <w:rPr>
                <w:rFonts w:ascii="Aptos" w:hAnsi="Aptos"/>
                <w:sz w:val="20"/>
              </w:rPr>
            </w:pPr>
            <w:r w:rsidRPr="007745BB">
              <w:rPr>
                <w:rFonts w:ascii="Aptos" w:hAnsi="Aptos"/>
                <w:sz w:val="20"/>
              </w:rPr>
              <w:t xml:space="preserve">It can include breast pain, swelling, insufficient breast milk, and others. </w:t>
            </w:r>
          </w:p>
          <w:p w14:paraId="46B0935E" w14:textId="77777777" w:rsidR="004215B1" w:rsidRDefault="003773C0" w:rsidP="007745BB">
            <w:pPr>
              <w:numPr>
                <w:ilvl w:val="0"/>
                <w:numId w:val="14"/>
              </w:numPr>
              <w:jc w:val="both"/>
              <w:rPr>
                <w:rFonts w:ascii="Aptos" w:hAnsi="Aptos"/>
                <w:sz w:val="20"/>
              </w:rPr>
            </w:pPr>
            <w:r w:rsidRPr="007745BB">
              <w:rPr>
                <w:rFonts w:ascii="Aptos" w:hAnsi="Aptos"/>
                <w:sz w:val="20"/>
              </w:rPr>
              <w:t xml:space="preserve">A study by Norman </w:t>
            </w:r>
            <w:r w:rsidRPr="007745BB">
              <w:rPr>
                <w:rFonts w:ascii="Aptos" w:hAnsi="Aptos"/>
                <w:i/>
                <w:iCs/>
                <w:sz w:val="20"/>
              </w:rPr>
              <w:t xml:space="preserve">et al. </w:t>
            </w:r>
            <w:r w:rsidRPr="007745BB">
              <w:rPr>
                <w:rFonts w:ascii="Aptos" w:hAnsi="Aptos"/>
                <w:sz w:val="20"/>
              </w:rPr>
              <w:t xml:space="preserve">(2022) found that 46.7% of young mothers in the UK experienced mental health-related issues while breastfeeding. </w:t>
            </w:r>
          </w:p>
          <w:p w14:paraId="7F126A77" w14:textId="77777777" w:rsidR="005F7D75" w:rsidRPr="004215B1" w:rsidRDefault="003773C0" w:rsidP="007745BB">
            <w:pPr>
              <w:numPr>
                <w:ilvl w:val="0"/>
                <w:numId w:val="14"/>
              </w:numPr>
              <w:jc w:val="both"/>
              <w:rPr>
                <w:rFonts w:ascii="Aptos" w:hAnsi="Aptos"/>
                <w:sz w:val="20"/>
              </w:rPr>
            </w:pPr>
            <w:r w:rsidRPr="004215B1">
              <w:rPr>
                <w:rFonts w:ascii="Aptos" w:hAnsi="Aptos"/>
                <w:sz w:val="20"/>
              </w:rPr>
              <w:t>22% reported feeling depressed, 10% felt guilty, and 8% experienced anxiety.</w:t>
            </w:r>
          </w:p>
        </w:tc>
      </w:tr>
      <w:tr w:rsidR="00C31D85" w:rsidRPr="00C31D85" w14:paraId="6E08E3CC" w14:textId="77777777" w:rsidTr="000B402B">
        <w:trPr>
          <w:trHeight w:val="983"/>
        </w:trPr>
        <w:tc>
          <w:tcPr>
            <w:tcW w:w="14616" w:type="dxa"/>
            <w:gridSpan w:val="2"/>
            <w:shd w:val="clear" w:color="auto" w:fill="DEEAF6" w:themeFill="accent5" w:themeFillTint="33"/>
          </w:tcPr>
          <w:p w14:paraId="7CBA2E16" w14:textId="77777777" w:rsidR="00C31D85" w:rsidRDefault="00C31D85" w:rsidP="00AB5409">
            <w:pPr>
              <w:jc w:val="center"/>
              <w:rPr>
                <w:rFonts w:ascii="Aptos" w:hAnsi="Aptos"/>
                <w:b/>
                <w:bCs/>
              </w:rPr>
            </w:pPr>
            <w:r w:rsidRPr="00AB5409">
              <w:rPr>
                <w:rFonts w:ascii="Aptos" w:hAnsi="Aptos"/>
                <w:b/>
                <w:bCs/>
                <w:sz w:val="40"/>
                <w:szCs w:val="40"/>
              </w:rPr>
              <w:t>05</w:t>
            </w:r>
            <w:r w:rsidR="00AB5409" w:rsidRPr="005F7D75">
              <w:rPr>
                <w:rFonts w:ascii="Aptos" w:hAnsi="Aptos"/>
                <w:b/>
                <w:bCs/>
              </w:rPr>
              <w:t>Research Validation and Analysis</w:t>
            </w:r>
          </w:p>
          <w:p w14:paraId="0D870B44" w14:textId="77777777" w:rsidR="003773C0" w:rsidRPr="007745BB" w:rsidRDefault="003773C0" w:rsidP="003773C0">
            <w:pPr>
              <w:numPr>
                <w:ilvl w:val="0"/>
                <w:numId w:val="15"/>
              </w:numPr>
              <w:spacing w:after="0"/>
              <w:jc w:val="both"/>
              <w:rPr>
                <w:rFonts w:ascii="Arial" w:eastAsia="Times New Roman" w:hAnsi="Arial" w:cs="Arial"/>
                <w:color w:val="222222"/>
                <w:sz w:val="20"/>
                <w:szCs w:val="24"/>
                <w:highlight w:val="white"/>
              </w:rPr>
            </w:pPr>
            <w:r w:rsidRPr="007745BB">
              <w:rPr>
                <w:rFonts w:ascii="Arial" w:eastAsia="Times New Roman" w:hAnsi="Arial" w:cs="Arial"/>
                <w:color w:val="222222"/>
                <w:sz w:val="20"/>
                <w:szCs w:val="24"/>
                <w:highlight w:val="white"/>
              </w:rPr>
              <w:t xml:space="preserve">Lachmann </w:t>
            </w:r>
            <w:r w:rsidRPr="007745BB">
              <w:rPr>
                <w:rFonts w:ascii="Arial" w:eastAsia="Times New Roman" w:hAnsi="Arial" w:cs="Arial"/>
                <w:i/>
                <w:iCs/>
                <w:color w:val="222222"/>
                <w:sz w:val="20"/>
                <w:szCs w:val="24"/>
                <w:highlight w:val="white"/>
              </w:rPr>
              <w:t xml:space="preserve">et al. </w:t>
            </w:r>
            <w:r w:rsidRPr="007745BB">
              <w:rPr>
                <w:rFonts w:ascii="Arial" w:eastAsia="Times New Roman" w:hAnsi="Arial" w:cs="Arial"/>
                <w:color w:val="222222"/>
                <w:sz w:val="20"/>
                <w:szCs w:val="24"/>
                <w:highlight w:val="white"/>
              </w:rPr>
              <w:t xml:space="preserve">(2025) have depicted validation in secondary research as a systematic process of </w:t>
            </w:r>
            <w:proofErr w:type="spellStart"/>
            <w:r w:rsidRPr="007745BB">
              <w:rPr>
                <w:rFonts w:ascii="Arial" w:eastAsia="Times New Roman" w:hAnsi="Arial" w:cs="Arial"/>
                <w:color w:val="222222"/>
                <w:sz w:val="20"/>
                <w:szCs w:val="24"/>
                <w:highlight w:val="white"/>
              </w:rPr>
              <w:t>analysing</w:t>
            </w:r>
            <w:proofErr w:type="spellEnd"/>
            <w:r w:rsidRPr="007745BB">
              <w:rPr>
                <w:rFonts w:ascii="Arial" w:eastAsia="Times New Roman" w:hAnsi="Arial" w:cs="Arial"/>
                <w:color w:val="222222"/>
                <w:sz w:val="20"/>
                <w:szCs w:val="24"/>
                <w:highlight w:val="white"/>
              </w:rPr>
              <w:t xml:space="preserve"> existing information from literature to establish reliability. </w:t>
            </w:r>
          </w:p>
          <w:p w14:paraId="10C7E5BB" w14:textId="77777777" w:rsidR="003773C0" w:rsidRPr="007745BB" w:rsidRDefault="003773C0" w:rsidP="003773C0">
            <w:pPr>
              <w:numPr>
                <w:ilvl w:val="0"/>
                <w:numId w:val="15"/>
              </w:numPr>
              <w:spacing w:after="0"/>
              <w:jc w:val="both"/>
              <w:rPr>
                <w:rFonts w:ascii="Arial" w:eastAsia="Times New Roman" w:hAnsi="Arial" w:cs="Arial"/>
                <w:color w:val="222222"/>
                <w:sz w:val="20"/>
                <w:szCs w:val="24"/>
                <w:highlight w:val="white"/>
              </w:rPr>
            </w:pPr>
            <w:r w:rsidRPr="007745BB">
              <w:rPr>
                <w:rFonts w:ascii="Arial" w:eastAsia="Times New Roman" w:hAnsi="Arial" w:cs="Arial"/>
                <w:color w:val="222222"/>
                <w:sz w:val="20"/>
                <w:szCs w:val="24"/>
                <w:highlight w:val="white"/>
              </w:rPr>
              <w:t>Credible information is essential in a dissertation to maintain academic rigor and integrity.</w:t>
            </w:r>
          </w:p>
          <w:p w14:paraId="5FC4E8FC" w14:textId="77777777" w:rsidR="003773C0" w:rsidRPr="007745BB" w:rsidRDefault="003773C0" w:rsidP="003773C0">
            <w:pPr>
              <w:numPr>
                <w:ilvl w:val="0"/>
                <w:numId w:val="15"/>
              </w:numPr>
              <w:spacing w:after="0"/>
              <w:jc w:val="both"/>
              <w:rPr>
                <w:rFonts w:ascii="Arial" w:eastAsia="Times New Roman" w:hAnsi="Arial" w:cs="Arial"/>
                <w:color w:val="222222"/>
                <w:sz w:val="20"/>
                <w:szCs w:val="24"/>
                <w:highlight w:val="white"/>
              </w:rPr>
            </w:pPr>
            <w:r w:rsidRPr="007745BB">
              <w:rPr>
                <w:rFonts w:ascii="Arial" w:eastAsia="Times New Roman" w:hAnsi="Arial" w:cs="Arial"/>
                <w:color w:val="222222"/>
                <w:sz w:val="20"/>
                <w:szCs w:val="24"/>
                <w:highlight w:val="white"/>
              </w:rPr>
              <w:t>Critical examination of research validation will be done using a CRAAP test.</w:t>
            </w:r>
          </w:p>
          <w:p w14:paraId="202AF247" w14:textId="77777777" w:rsidR="007745BB" w:rsidRPr="007745BB" w:rsidRDefault="003773C0" w:rsidP="003773C0">
            <w:pPr>
              <w:numPr>
                <w:ilvl w:val="0"/>
                <w:numId w:val="15"/>
              </w:numPr>
              <w:spacing w:after="0"/>
              <w:jc w:val="both"/>
              <w:rPr>
                <w:rFonts w:ascii="Arial" w:eastAsia="Times New Roman" w:hAnsi="Arial" w:cs="Arial"/>
                <w:color w:val="222222"/>
                <w:sz w:val="20"/>
                <w:szCs w:val="24"/>
                <w:highlight w:val="white"/>
              </w:rPr>
            </w:pPr>
            <w:r w:rsidRPr="007745BB">
              <w:rPr>
                <w:rFonts w:ascii="Arial" w:eastAsia="Times New Roman" w:hAnsi="Arial" w:cs="Arial"/>
                <w:color w:val="222222"/>
                <w:sz w:val="20"/>
                <w:szCs w:val="24"/>
                <w:highlight w:val="white"/>
              </w:rPr>
              <w:t xml:space="preserve">Time, cost efficiency, access to extensive information, and increased accuracy are the benefits of research validation (MacFarlane </w:t>
            </w:r>
            <w:r w:rsidRPr="007745BB">
              <w:rPr>
                <w:rFonts w:ascii="Arial" w:eastAsia="Times New Roman" w:hAnsi="Arial" w:cs="Arial"/>
                <w:i/>
                <w:iCs/>
                <w:color w:val="222222"/>
                <w:sz w:val="20"/>
                <w:szCs w:val="24"/>
                <w:highlight w:val="white"/>
              </w:rPr>
              <w:t xml:space="preserve">et al. </w:t>
            </w:r>
            <w:r w:rsidRPr="007745BB">
              <w:rPr>
                <w:rFonts w:ascii="Arial" w:eastAsia="Times New Roman" w:hAnsi="Arial" w:cs="Arial"/>
                <w:color w:val="222222"/>
                <w:sz w:val="20"/>
                <w:szCs w:val="24"/>
                <w:highlight w:val="white"/>
              </w:rPr>
              <w:t xml:space="preserve">2022). </w:t>
            </w:r>
          </w:p>
          <w:p w14:paraId="2A9D4265" w14:textId="77777777" w:rsidR="00516CC0" w:rsidRPr="007745BB" w:rsidRDefault="003773C0" w:rsidP="003773C0">
            <w:pPr>
              <w:numPr>
                <w:ilvl w:val="0"/>
                <w:numId w:val="15"/>
              </w:numPr>
              <w:spacing w:after="0"/>
              <w:jc w:val="both"/>
              <w:rPr>
                <w:rFonts w:ascii="Arial" w:eastAsia="Times New Roman" w:hAnsi="Arial" w:cs="Arial"/>
                <w:color w:val="222222"/>
                <w:sz w:val="24"/>
                <w:szCs w:val="24"/>
                <w:highlight w:val="white"/>
              </w:rPr>
            </w:pPr>
            <w:r w:rsidRPr="007745BB">
              <w:rPr>
                <w:rFonts w:ascii="Arial" w:eastAsia="Times New Roman" w:hAnsi="Arial" w:cs="Arial"/>
                <w:color w:val="222222"/>
                <w:sz w:val="20"/>
                <w:szCs w:val="24"/>
                <w:highlight w:val="white"/>
              </w:rPr>
              <w:t xml:space="preserve">However, potential outdatedness, data incompatibility, hidden bias, and limited control are the potential limitations of research validation. </w:t>
            </w:r>
            <w:r w:rsidR="00516CC0" w:rsidRPr="007745BB">
              <w:rPr>
                <w:rFonts w:ascii="Aptos" w:hAnsi="Aptos"/>
                <w:lang w:val="en-GB"/>
              </w:rPr>
              <w:t xml:space="preserve"> </w:t>
            </w:r>
          </w:p>
        </w:tc>
      </w:tr>
      <w:tr w:rsidR="00AB5409" w:rsidRPr="00C31D85" w14:paraId="7C11C63A" w14:textId="77777777" w:rsidTr="000B402B">
        <w:trPr>
          <w:trHeight w:val="1856"/>
        </w:trPr>
        <w:tc>
          <w:tcPr>
            <w:tcW w:w="7225" w:type="dxa"/>
            <w:shd w:val="clear" w:color="auto" w:fill="FFE599" w:themeFill="accent4" w:themeFillTint="66"/>
          </w:tcPr>
          <w:p w14:paraId="6617F168" w14:textId="77777777" w:rsidR="00AB5409" w:rsidRDefault="00AB5409" w:rsidP="00C46111">
            <w:pPr>
              <w:rPr>
                <w:rFonts w:ascii="Aptos" w:hAnsi="Aptos"/>
              </w:rPr>
            </w:pPr>
            <w:r w:rsidRPr="00AB5409">
              <w:rPr>
                <w:rFonts w:ascii="Aptos" w:hAnsi="Aptos"/>
                <w:b/>
                <w:bCs/>
                <w:sz w:val="40"/>
                <w:szCs w:val="40"/>
              </w:rPr>
              <w:t>06</w:t>
            </w:r>
            <w:r w:rsidRPr="005F7D75">
              <w:rPr>
                <w:rFonts w:ascii="Aptos" w:hAnsi="Aptos"/>
                <w:b/>
                <w:bCs/>
              </w:rPr>
              <w:t>Inclusion Criteria</w:t>
            </w:r>
          </w:p>
          <w:p w14:paraId="3F951CFD" w14:textId="77777777" w:rsidR="003773C0" w:rsidRPr="007745BB" w:rsidRDefault="003773C0" w:rsidP="003773C0">
            <w:pPr>
              <w:numPr>
                <w:ilvl w:val="0"/>
                <w:numId w:val="16"/>
              </w:numPr>
              <w:spacing w:after="0"/>
              <w:jc w:val="both"/>
              <w:rPr>
                <w:rFonts w:ascii="Arial" w:eastAsia="Times New Roman" w:hAnsi="Arial" w:cs="Arial"/>
                <w:color w:val="222222"/>
                <w:sz w:val="20"/>
                <w:szCs w:val="24"/>
                <w:highlight w:val="white"/>
              </w:rPr>
            </w:pPr>
            <w:r w:rsidRPr="007745BB">
              <w:rPr>
                <w:rFonts w:ascii="Arial" w:eastAsia="Times New Roman" w:hAnsi="Arial" w:cs="Arial"/>
                <w:color w:val="222222"/>
                <w:sz w:val="20"/>
                <w:szCs w:val="24"/>
                <w:highlight w:val="white"/>
              </w:rPr>
              <w:t>Sources are a maximum of 10 years old</w:t>
            </w:r>
          </w:p>
          <w:p w14:paraId="5685F990" w14:textId="77777777" w:rsidR="003773C0" w:rsidRPr="007745BB" w:rsidRDefault="003773C0" w:rsidP="003773C0">
            <w:pPr>
              <w:numPr>
                <w:ilvl w:val="0"/>
                <w:numId w:val="16"/>
              </w:numPr>
              <w:spacing w:after="0"/>
              <w:jc w:val="both"/>
              <w:rPr>
                <w:rFonts w:ascii="Arial" w:eastAsia="Times New Roman" w:hAnsi="Arial" w:cs="Arial"/>
                <w:color w:val="222222"/>
                <w:sz w:val="20"/>
                <w:szCs w:val="24"/>
                <w:highlight w:val="white"/>
              </w:rPr>
            </w:pPr>
            <w:r w:rsidRPr="007745BB">
              <w:rPr>
                <w:rFonts w:ascii="Arial" w:eastAsia="Times New Roman" w:hAnsi="Arial" w:cs="Arial"/>
                <w:color w:val="222222"/>
                <w:sz w:val="20"/>
                <w:szCs w:val="24"/>
                <w:highlight w:val="white"/>
              </w:rPr>
              <w:t>Sources mainly focus on the UK</w:t>
            </w:r>
          </w:p>
          <w:p w14:paraId="6CC3F97A" w14:textId="77777777" w:rsidR="00516CC0" w:rsidRPr="003773C0" w:rsidRDefault="003773C0" w:rsidP="00C46111">
            <w:pPr>
              <w:numPr>
                <w:ilvl w:val="0"/>
                <w:numId w:val="16"/>
              </w:numPr>
              <w:spacing w:after="0"/>
              <w:jc w:val="both"/>
              <w:rPr>
                <w:rFonts w:ascii="Arial" w:eastAsia="Times New Roman" w:hAnsi="Arial" w:cs="Arial"/>
                <w:color w:val="222222"/>
                <w:sz w:val="24"/>
                <w:szCs w:val="24"/>
                <w:highlight w:val="white"/>
              </w:rPr>
            </w:pPr>
            <w:r w:rsidRPr="007745BB">
              <w:rPr>
                <w:rFonts w:ascii="Arial" w:eastAsia="Times New Roman" w:hAnsi="Arial" w:cs="Arial"/>
                <w:color w:val="222222"/>
                <w:sz w:val="20"/>
                <w:szCs w:val="24"/>
                <w:highlight w:val="white"/>
              </w:rPr>
              <w:t>Sources are fully accessible in online databases</w:t>
            </w:r>
            <w:r w:rsidR="00516CC0" w:rsidRPr="007745BB">
              <w:rPr>
                <w:rFonts w:ascii="Aptos" w:hAnsi="Aptos"/>
                <w:sz w:val="18"/>
              </w:rPr>
              <w:t xml:space="preserve"> </w:t>
            </w:r>
          </w:p>
        </w:tc>
        <w:tc>
          <w:tcPr>
            <w:tcW w:w="7391" w:type="dxa"/>
            <w:shd w:val="clear" w:color="auto" w:fill="F7CAAC" w:themeFill="accent2" w:themeFillTint="66"/>
          </w:tcPr>
          <w:p w14:paraId="3546BA4D" w14:textId="77777777" w:rsidR="00AB5409" w:rsidRDefault="00AB5409" w:rsidP="00C46111">
            <w:pPr>
              <w:rPr>
                <w:rFonts w:ascii="Aptos" w:hAnsi="Aptos"/>
              </w:rPr>
            </w:pPr>
            <w:r w:rsidRPr="00AB5409">
              <w:rPr>
                <w:rFonts w:ascii="Aptos" w:hAnsi="Aptos"/>
                <w:b/>
                <w:bCs/>
                <w:sz w:val="40"/>
                <w:szCs w:val="40"/>
              </w:rPr>
              <w:t>07</w:t>
            </w:r>
            <w:r w:rsidRPr="005F7D75">
              <w:rPr>
                <w:rFonts w:ascii="Aptos" w:hAnsi="Aptos"/>
                <w:b/>
                <w:bCs/>
              </w:rPr>
              <w:t>Exclusion Criteria</w:t>
            </w:r>
          </w:p>
          <w:p w14:paraId="7565F4E9" w14:textId="77777777" w:rsidR="003773C0" w:rsidRPr="007745BB" w:rsidRDefault="003773C0" w:rsidP="003773C0">
            <w:pPr>
              <w:numPr>
                <w:ilvl w:val="0"/>
                <w:numId w:val="17"/>
              </w:numPr>
              <w:spacing w:after="0"/>
              <w:jc w:val="both"/>
              <w:rPr>
                <w:rFonts w:ascii="Arial" w:eastAsia="Times New Roman" w:hAnsi="Arial" w:cs="Arial"/>
                <w:color w:val="222222"/>
                <w:sz w:val="20"/>
                <w:szCs w:val="24"/>
                <w:highlight w:val="white"/>
              </w:rPr>
            </w:pPr>
            <w:r w:rsidRPr="007745BB">
              <w:rPr>
                <w:rFonts w:ascii="Arial" w:eastAsia="Times New Roman" w:hAnsi="Arial" w:cs="Arial"/>
                <w:color w:val="222222"/>
                <w:sz w:val="20"/>
                <w:szCs w:val="24"/>
                <w:highlight w:val="white"/>
              </w:rPr>
              <w:t>Sources that are more than 10 years old</w:t>
            </w:r>
          </w:p>
          <w:p w14:paraId="63717FC9" w14:textId="77777777" w:rsidR="003773C0" w:rsidRPr="007745BB" w:rsidRDefault="003773C0" w:rsidP="003773C0">
            <w:pPr>
              <w:numPr>
                <w:ilvl w:val="0"/>
                <w:numId w:val="17"/>
              </w:numPr>
              <w:spacing w:after="0"/>
              <w:jc w:val="both"/>
              <w:rPr>
                <w:rFonts w:ascii="Arial" w:eastAsia="Times New Roman" w:hAnsi="Arial" w:cs="Arial"/>
                <w:color w:val="222222"/>
                <w:sz w:val="20"/>
                <w:szCs w:val="24"/>
                <w:highlight w:val="white"/>
              </w:rPr>
            </w:pPr>
            <w:r w:rsidRPr="007745BB">
              <w:rPr>
                <w:rFonts w:ascii="Arial" w:eastAsia="Times New Roman" w:hAnsi="Arial" w:cs="Arial"/>
                <w:color w:val="222222"/>
                <w:sz w:val="20"/>
                <w:szCs w:val="24"/>
                <w:highlight w:val="white"/>
              </w:rPr>
              <w:t xml:space="preserve">Sources that do not include information on the UK </w:t>
            </w:r>
          </w:p>
          <w:p w14:paraId="14402680" w14:textId="77777777" w:rsidR="00516CC0" w:rsidRPr="003773C0" w:rsidRDefault="003773C0" w:rsidP="00C46111">
            <w:pPr>
              <w:numPr>
                <w:ilvl w:val="0"/>
                <w:numId w:val="17"/>
              </w:numPr>
              <w:spacing w:after="0"/>
              <w:jc w:val="both"/>
              <w:rPr>
                <w:rFonts w:ascii="Arial" w:eastAsia="Times New Roman" w:hAnsi="Arial" w:cs="Arial"/>
                <w:color w:val="222222"/>
                <w:sz w:val="24"/>
                <w:szCs w:val="24"/>
                <w:highlight w:val="white"/>
              </w:rPr>
            </w:pPr>
            <w:r w:rsidRPr="007745BB">
              <w:rPr>
                <w:rFonts w:ascii="Arial" w:eastAsia="Times New Roman" w:hAnsi="Arial" w:cs="Arial"/>
                <w:color w:val="222222"/>
                <w:sz w:val="20"/>
                <w:szCs w:val="24"/>
                <w:highlight w:val="white"/>
              </w:rPr>
              <w:t>Sources that are not accessible online</w:t>
            </w:r>
            <w:r w:rsidR="00516CC0" w:rsidRPr="007745BB">
              <w:rPr>
                <w:rFonts w:ascii="Aptos" w:hAnsi="Aptos"/>
                <w:sz w:val="18"/>
              </w:rPr>
              <w:t xml:space="preserve"> </w:t>
            </w:r>
          </w:p>
        </w:tc>
      </w:tr>
      <w:tr w:rsidR="00C31D85" w:rsidRPr="00C31D85" w14:paraId="13B2D649" w14:textId="77777777" w:rsidTr="00DA0EED">
        <w:trPr>
          <w:trHeight w:val="3435"/>
        </w:trPr>
        <w:tc>
          <w:tcPr>
            <w:tcW w:w="14616" w:type="dxa"/>
            <w:gridSpan w:val="2"/>
            <w:shd w:val="clear" w:color="auto" w:fill="BDD6EE" w:themeFill="accent5" w:themeFillTint="66"/>
          </w:tcPr>
          <w:p w14:paraId="1FC56529" w14:textId="2F24D873" w:rsidR="00C31D85" w:rsidRDefault="00C31D85" w:rsidP="4AB15665">
            <w:pPr>
              <w:jc w:val="center"/>
              <w:rPr>
                <w:rFonts w:ascii="Arial" w:eastAsia="Times New Roman" w:hAnsi="Arial" w:cs="Arial"/>
                <w:color w:val="222222"/>
                <w:sz w:val="20"/>
                <w:szCs w:val="20"/>
                <w:highlight w:val="white"/>
              </w:rPr>
            </w:pPr>
            <w:r w:rsidRPr="4AB15665">
              <w:rPr>
                <w:rFonts w:ascii="Aptos" w:hAnsi="Aptos"/>
                <w:b/>
                <w:bCs/>
                <w:sz w:val="40"/>
                <w:szCs w:val="40"/>
              </w:rPr>
              <w:t>0</w:t>
            </w:r>
            <w:r w:rsidR="00AB5409" w:rsidRPr="4AB15665">
              <w:rPr>
                <w:rFonts w:ascii="Aptos" w:hAnsi="Aptos"/>
                <w:b/>
                <w:bCs/>
                <w:sz w:val="40"/>
                <w:szCs w:val="40"/>
              </w:rPr>
              <w:t>8</w:t>
            </w:r>
            <w:r w:rsidR="00AB5409" w:rsidRPr="4AB15665">
              <w:rPr>
                <w:rFonts w:ascii="Aptos" w:hAnsi="Aptos"/>
                <w:b/>
                <w:bCs/>
              </w:rPr>
              <w:t>Ethical Considerations</w:t>
            </w:r>
          </w:p>
          <w:p w14:paraId="7FBB5CAF" w14:textId="0C7BDE4E" w:rsidR="6F324848" w:rsidRDefault="6F324848" w:rsidP="4AB15665">
            <w:pPr>
              <w:jc w:val="both"/>
              <w:rPr>
                <w:rFonts w:ascii="Arial" w:eastAsia="Arial" w:hAnsi="Arial" w:cs="Arial"/>
                <w:color w:val="222222"/>
                <w:sz w:val="20"/>
                <w:szCs w:val="20"/>
              </w:rPr>
            </w:pPr>
            <w:r w:rsidRPr="4AB15665">
              <w:rPr>
                <w:rFonts w:ascii="Arial" w:eastAsia="Arial" w:hAnsi="Arial" w:cs="Arial"/>
                <w:color w:val="222222"/>
                <w:sz w:val="20"/>
                <w:szCs w:val="20"/>
              </w:rPr>
              <w:t xml:space="preserve">Lachmann </w:t>
            </w:r>
            <w:r w:rsidRPr="4AB15665">
              <w:rPr>
                <w:rFonts w:ascii="Arial" w:eastAsia="Arial" w:hAnsi="Arial" w:cs="Arial"/>
                <w:i/>
                <w:iCs/>
                <w:color w:val="222222"/>
                <w:sz w:val="20"/>
                <w:szCs w:val="20"/>
              </w:rPr>
              <w:t xml:space="preserve">et al. </w:t>
            </w:r>
            <w:r w:rsidRPr="4AB15665">
              <w:rPr>
                <w:rFonts w:ascii="Arial" w:eastAsia="Arial" w:hAnsi="Arial" w:cs="Arial"/>
                <w:color w:val="222222"/>
                <w:sz w:val="20"/>
                <w:szCs w:val="20"/>
              </w:rPr>
              <w:t xml:space="preserve">(2025) have referred to ethics in secondary research as professional standards, legal frameworks, and moral principles to govern existing data to maintain research confidentiality. </w:t>
            </w:r>
          </w:p>
          <w:p w14:paraId="6BDA23C3" w14:textId="77777777" w:rsidR="00F52F83" w:rsidRPr="007745BB" w:rsidRDefault="00200D79" w:rsidP="4AB15665">
            <w:pPr>
              <w:jc w:val="both"/>
              <w:rPr>
                <w:rFonts w:ascii="Arial" w:eastAsia="Times New Roman" w:hAnsi="Arial" w:cs="Arial"/>
                <w:color w:val="222222"/>
                <w:sz w:val="20"/>
                <w:szCs w:val="20"/>
                <w:highlight w:val="white"/>
              </w:rPr>
            </w:pPr>
            <w:r w:rsidRPr="007745BB">
              <w:rPr>
                <w:rFonts w:ascii="Arial" w:eastAsia="Times New Roman" w:hAnsi="Arial" w:cs="Arial"/>
                <w:color w:val="222222"/>
                <w:sz w:val="20"/>
                <w:szCs w:val="20"/>
                <w:highlight w:val="white"/>
              </w:rPr>
              <w:t xml:space="preserve"> </w:t>
            </w:r>
            <w:r w:rsidR="008C1616" w:rsidRPr="007745BB">
              <w:rPr>
                <w:rFonts w:ascii="Aptos" w:hAnsi="Aptos"/>
                <w:noProof/>
                <w:sz w:val="18"/>
              </w:rPr>
              <w:drawing>
                <wp:anchor distT="0" distB="0" distL="114300" distR="114300" simplePos="0" relativeHeight="251658240" behindDoc="1" locked="0" layoutInCell="1" allowOverlap="1" wp14:anchorId="0B19BFB0" wp14:editId="75DB78CF">
                  <wp:simplePos x="0" y="0"/>
                  <wp:positionH relativeFrom="column">
                    <wp:posOffset>156845</wp:posOffset>
                  </wp:positionH>
                  <wp:positionV relativeFrom="paragraph">
                    <wp:posOffset>471170</wp:posOffset>
                  </wp:positionV>
                  <wp:extent cx="8886825" cy="2124075"/>
                  <wp:effectExtent l="25400" t="0" r="611505" b="529590"/>
                  <wp:wrapTight wrapText="bothSides">
                    <wp:wrapPolygon edited="0">
                      <wp:start x="-114" y="239"/>
                      <wp:lineTo x="-114" y="21289"/>
                      <wp:lineTo x="5888" y="23681"/>
                      <wp:lineTo x="4859" y="23681"/>
                      <wp:lineTo x="4859" y="26073"/>
                      <wp:lineTo x="12348" y="27508"/>
                      <wp:lineTo x="4859" y="28226"/>
                      <wp:lineTo x="4859" y="31336"/>
                      <wp:lineTo x="5202" y="31336"/>
                      <wp:lineTo x="21151" y="30618"/>
                      <wp:lineTo x="21266" y="28226"/>
                      <wp:lineTo x="17264" y="27508"/>
                      <wp:lineTo x="24295" y="25355"/>
                      <wp:lineTo x="24238" y="23681"/>
                      <wp:lineTo x="23038" y="19854"/>
                      <wp:lineTo x="22638" y="16027"/>
                      <wp:lineTo x="23095" y="15787"/>
                      <wp:lineTo x="22866" y="14591"/>
                      <wp:lineTo x="21723" y="12199"/>
                      <wp:lineTo x="23266" y="11482"/>
                      <wp:lineTo x="23266" y="9090"/>
                      <wp:lineTo x="21723" y="8372"/>
                      <wp:lineTo x="23781" y="7415"/>
                      <wp:lineTo x="23781" y="5502"/>
                      <wp:lineTo x="21723" y="4545"/>
                      <wp:lineTo x="21723" y="239"/>
                      <wp:lineTo x="-114" y="239"/>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p w14:paraId="2A9AE794" w14:textId="77777777" w:rsidR="00F52F83" w:rsidRPr="00F52F83" w:rsidRDefault="00F52F83" w:rsidP="00F52F83">
            <w:pPr>
              <w:rPr>
                <w:rFonts w:ascii="Aptos" w:hAnsi="Aptos"/>
                <w:lang w:val="en-GB"/>
              </w:rPr>
            </w:pPr>
          </w:p>
        </w:tc>
      </w:tr>
    </w:tbl>
    <w:p w14:paraId="4ED366DD" w14:textId="3FEDFE5C" w:rsidR="00C31D85" w:rsidRDefault="00C31D85" w:rsidP="4AB15665">
      <w:pPr>
        <w:rPr>
          <w:rFonts w:ascii="Arial" w:eastAsia="Times New Roman" w:hAnsi="Arial" w:cs="Arial"/>
          <w:color w:val="222222"/>
          <w:sz w:val="20"/>
          <w:szCs w:val="20"/>
          <w:highlight w:val="white"/>
        </w:rPr>
        <w:sectPr w:rsidR="00C31D85" w:rsidSect="00C31D85">
          <w:pgSz w:w="15840" w:h="12240" w:orient="landscape" w:code="1"/>
          <w:pgMar w:top="720" w:right="720" w:bottom="576" w:left="720" w:header="432" w:footer="288" w:gutter="0"/>
          <w:cols w:space="720"/>
          <w:titlePg/>
          <w:docGrid w:linePitch="360"/>
        </w:sectPr>
      </w:pPr>
    </w:p>
    <w:p w14:paraId="1F1E1CE8" w14:textId="77777777" w:rsidR="00ED1049" w:rsidRDefault="00ED1049" w:rsidP="00C31D85">
      <w:pPr>
        <w:rPr>
          <w:rFonts w:ascii="Arial" w:hAnsi="Arial" w:cs="Arial"/>
          <w:b/>
          <w:bCs/>
          <w:sz w:val="28"/>
          <w:szCs w:val="28"/>
        </w:rPr>
      </w:pPr>
      <w:r w:rsidRPr="00ED1049">
        <w:rPr>
          <w:rFonts w:ascii="Arial" w:hAnsi="Arial" w:cs="Arial"/>
          <w:b/>
          <w:bCs/>
          <w:sz w:val="28"/>
          <w:szCs w:val="28"/>
        </w:rPr>
        <w:t>References</w:t>
      </w:r>
    </w:p>
    <w:p w14:paraId="6147A3FB" w14:textId="77777777" w:rsidR="004215B1" w:rsidRPr="004215B1" w:rsidRDefault="004215B1" w:rsidP="004215B1">
      <w:pPr>
        <w:spacing w:line="360" w:lineRule="auto"/>
        <w:jc w:val="both"/>
        <w:rPr>
          <w:rFonts w:ascii="Arial" w:hAnsi="Arial" w:cs="Arial"/>
        </w:rPr>
      </w:pPr>
      <w:r w:rsidRPr="004215B1">
        <w:rPr>
          <w:rFonts w:ascii="Arial" w:hAnsi="Arial" w:cs="Arial"/>
        </w:rPr>
        <w:t xml:space="preserve">Lachmann, G., Heeren, P., </w:t>
      </w:r>
      <w:proofErr w:type="spellStart"/>
      <w:r w:rsidRPr="004215B1">
        <w:rPr>
          <w:rFonts w:ascii="Arial" w:hAnsi="Arial" w:cs="Arial"/>
        </w:rPr>
        <w:t>Schuster</w:t>
      </w:r>
      <w:proofErr w:type="spellEnd"/>
      <w:r w:rsidRPr="004215B1">
        <w:rPr>
          <w:rFonts w:ascii="Arial" w:hAnsi="Arial" w:cs="Arial"/>
        </w:rPr>
        <w:t xml:space="preserve">, F.S., </w:t>
      </w:r>
      <w:proofErr w:type="spellStart"/>
      <w:r w:rsidRPr="004215B1">
        <w:rPr>
          <w:rFonts w:ascii="Arial" w:hAnsi="Arial" w:cs="Arial"/>
        </w:rPr>
        <w:t>Nyvlt</w:t>
      </w:r>
      <w:proofErr w:type="spellEnd"/>
      <w:r w:rsidRPr="004215B1">
        <w:rPr>
          <w:rFonts w:ascii="Arial" w:hAnsi="Arial" w:cs="Arial"/>
        </w:rPr>
        <w:t xml:space="preserve">, P., Spies, C., Feinkohl, I., Schenk, T., </w:t>
      </w:r>
      <w:proofErr w:type="spellStart"/>
      <w:r w:rsidRPr="004215B1">
        <w:rPr>
          <w:rFonts w:ascii="Arial" w:hAnsi="Arial" w:cs="Arial"/>
        </w:rPr>
        <w:t>Ammouri</w:t>
      </w:r>
      <w:proofErr w:type="spellEnd"/>
      <w:r w:rsidRPr="004215B1">
        <w:rPr>
          <w:rFonts w:ascii="Arial" w:hAnsi="Arial" w:cs="Arial"/>
        </w:rPr>
        <w:t xml:space="preserve">, W., </w:t>
      </w:r>
      <w:proofErr w:type="spellStart"/>
      <w:r w:rsidRPr="004215B1">
        <w:rPr>
          <w:rFonts w:ascii="Arial" w:hAnsi="Arial" w:cs="Arial"/>
        </w:rPr>
        <w:t>Debaugnies</w:t>
      </w:r>
      <w:proofErr w:type="spellEnd"/>
      <w:r w:rsidRPr="004215B1">
        <w:rPr>
          <w:rFonts w:ascii="Arial" w:hAnsi="Arial" w:cs="Arial"/>
        </w:rPr>
        <w:t xml:space="preserve">, F., </w:t>
      </w:r>
      <w:proofErr w:type="spellStart"/>
      <w:r w:rsidRPr="004215B1">
        <w:rPr>
          <w:rFonts w:ascii="Arial" w:hAnsi="Arial" w:cs="Arial"/>
        </w:rPr>
        <w:t>Galicier</w:t>
      </w:r>
      <w:proofErr w:type="spellEnd"/>
      <w:r w:rsidRPr="004215B1">
        <w:rPr>
          <w:rFonts w:ascii="Arial" w:hAnsi="Arial" w:cs="Arial"/>
        </w:rPr>
        <w:t xml:space="preserve">, L. and Jia, Y., (2025). Multicenter validation of secondary </w:t>
      </w:r>
      <w:proofErr w:type="spellStart"/>
      <w:r w:rsidRPr="004215B1">
        <w:rPr>
          <w:rFonts w:ascii="Arial" w:hAnsi="Arial" w:cs="Arial"/>
        </w:rPr>
        <w:t>hemophagocytic</w:t>
      </w:r>
      <w:proofErr w:type="spellEnd"/>
      <w:r w:rsidRPr="004215B1">
        <w:rPr>
          <w:rFonts w:ascii="Arial" w:hAnsi="Arial" w:cs="Arial"/>
        </w:rPr>
        <w:t xml:space="preserve"> </w:t>
      </w:r>
      <w:proofErr w:type="spellStart"/>
      <w:r w:rsidRPr="004215B1">
        <w:rPr>
          <w:rFonts w:ascii="Arial" w:hAnsi="Arial" w:cs="Arial"/>
        </w:rPr>
        <w:t>lymphohistiocytosis</w:t>
      </w:r>
      <w:proofErr w:type="spellEnd"/>
      <w:r w:rsidRPr="004215B1">
        <w:rPr>
          <w:rFonts w:ascii="Arial" w:hAnsi="Arial" w:cs="Arial"/>
        </w:rPr>
        <w:t xml:space="preserve"> diagnostic criteria. </w:t>
      </w:r>
      <w:r w:rsidRPr="004215B1">
        <w:rPr>
          <w:rFonts w:ascii="Arial" w:hAnsi="Arial" w:cs="Arial"/>
          <w:i/>
          <w:iCs/>
        </w:rPr>
        <w:t>Journal of Internal Medicine</w:t>
      </w:r>
      <w:r w:rsidRPr="004215B1">
        <w:rPr>
          <w:rFonts w:ascii="Arial" w:hAnsi="Arial" w:cs="Arial"/>
        </w:rPr>
        <w:t>, </w:t>
      </w:r>
      <w:r w:rsidRPr="004215B1">
        <w:rPr>
          <w:rFonts w:ascii="Arial" w:hAnsi="Arial" w:cs="Arial"/>
          <w:i/>
          <w:iCs/>
        </w:rPr>
        <w:t>297</w:t>
      </w:r>
      <w:r w:rsidRPr="004215B1">
        <w:rPr>
          <w:rFonts w:ascii="Arial" w:hAnsi="Arial" w:cs="Arial"/>
        </w:rPr>
        <w:t xml:space="preserve">(3), pp.312-327. </w:t>
      </w:r>
      <w:proofErr w:type="spellStart"/>
      <w:r w:rsidRPr="004215B1">
        <w:rPr>
          <w:rFonts w:ascii="Arial" w:hAnsi="Arial" w:cs="Arial"/>
        </w:rPr>
        <w:t>doi</w:t>
      </w:r>
      <w:proofErr w:type="spellEnd"/>
      <w:r w:rsidRPr="004215B1">
        <w:rPr>
          <w:rFonts w:ascii="Arial" w:hAnsi="Arial" w:cs="Arial"/>
        </w:rPr>
        <w:t>: 10.1111/</w:t>
      </w:r>
      <w:proofErr w:type="spellStart"/>
      <w:r w:rsidRPr="004215B1">
        <w:rPr>
          <w:rFonts w:ascii="Arial" w:hAnsi="Arial" w:cs="Arial"/>
        </w:rPr>
        <w:t>joim.20065</w:t>
      </w:r>
      <w:proofErr w:type="spellEnd"/>
    </w:p>
    <w:p w14:paraId="146ABAC3" w14:textId="77777777" w:rsidR="004215B1" w:rsidRPr="004215B1" w:rsidRDefault="004215B1" w:rsidP="004215B1">
      <w:pPr>
        <w:spacing w:line="360" w:lineRule="auto"/>
        <w:jc w:val="both"/>
        <w:rPr>
          <w:rFonts w:ascii="Arial" w:hAnsi="Arial" w:cs="Arial"/>
        </w:rPr>
      </w:pPr>
      <w:r w:rsidRPr="004215B1">
        <w:rPr>
          <w:rFonts w:ascii="Arial" w:hAnsi="Arial" w:cs="Arial"/>
        </w:rPr>
        <w:t xml:space="preserve">MacFarlane, A., Russell-Rose, T. and </w:t>
      </w:r>
      <w:proofErr w:type="spellStart"/>
      <w:r w:rsidRPr="004215B1">
        <w:rPr>
          <w:rFonts w:ascii="Arial" w:hAnsi="Arial" w:cs="Arial"/>
        </w:rPr>
        <w:t>Shokraneh</w:t>
      </w:r>
      <w:proofErr w:type="spellEnd"/>
      <w:r w:rsidRPr="004215B1">
        <w:rPr>
          <w:rFonts w:ascii="Arial" w:hAnsi="Arial" w:cs="Arial"/>
        </w:rPr>
        <w:t>, F., (2022). Search strategy formulation for systematic reviews: Issues, challenges and opportunities. </w:t>
      </w:r>
      <w:r w:rsidRPr="004215B1">
        <w:rPr>
          <w:rFonts w:ascii="Arial" w:hAnsi="Arial" w:cs="Arial"/>
          <w:i/>
          <w:iCs/>
        </w:rPr>
        <w:t>Intelligent Systems with Applications</w:t>
      </w:r>
      <w:r w:rsidRPr="004215B1">
        <w:rPr>
          <w:rFonts w:ascii="Arial" w:hAnsi="Arial" w:cs="Arial"/>
        </w:rPr>
        <w:t>, </w:t>
      </w:r>
      <w:r w:rsidRPr="004215B1">
        <w:rPr>
          <w:rFonts w:ascii="Arial" w:hAnsi="Arial" w:cs="Arial"/>
          <w:i/>
          <w:iCs/>
        </w:rPr>
        <w:t>15</w:t>
      </w:r>
      <w:r w:rsidRPr="004215B1">
        <w:rPr>
          <w:rFonts w:ascii="Arial" w:hAnsi="Arial" w:cs="Arial"/>
        </w:rPr>
        <w:t xml:space="preserve">, p.200091. </w:t>
      </w:r>
      <w:hyperlink r:id="rId19" w:history="1">
        <w:r w:rsidRPr="004215B1">
          <w:rPr>
            <w:rStyle w:val="Hyperlink"/>
            <w:rFonts w:ascii="Arial" w:hAnsi="Arial" w:cs="Arial"/>
            <w:color w:val="auto"/>
            <w:u w:val="none"/>
          </w:rPr>
          <w:t>https://doi.org/10.1016/j.iswa.2022.200091</w:t>
        </w:r>
      </w:hyperlink>
    </w:p>
    <w:p w14:paraId="5D8B97DD" w14:textId="77777777" w:rsidR="004215B1" w:rsidRPr="004215B1" w:rsidRDefault="004215B1" w:rsidP="004215B1">
      <w:pPr>
        <w:spacing w:line="360" w:lineRule="auto"/>
        <w:jc w:val="both"/>
        <w:rPr>
          <w:rFonts w:ascii="Arial" w:hAnsi="Arial" w:cs="Arial"/>
        </w:rPr>
      </w:pPr>
      <w:r w:rsidRPr="004215B1">
        <w:rPr>
          <w:rFonts w:ascii="Arial" w:hAnsi="Arial" w:cs="Arial"/>
        </w:rPr>
        <w:t xml:space="preserve">Norman, A., Mortimer, S., Baptie, G., </w:t>
      </w:r>
      <w:proofErr w:type="spellStart"/>
      <w:r w:rsidRPr="004215B1">
        <w:rPr>
          <w:rFonts w:ascii="Arial" w:hAnsi="Arial" w:cs="Arial"/>
        </w:rPr>
        <w:t>Percuklievska</w:t>
      </w:r>
      <w:proofErr w:type="spellEnd"/>
      <w:r w:rsidRPr="004215B1">
        <w:rPr>
          <w:rFonts w:ascii="Arial" w:hAnsi="Arial" w:cs="Arial"/>
        </w:rPr>
        <w:t xml:space="preserve">, N. and Ferrario, H., (2022). Breastfeeding experiences and support: Identifying factors influencing breastfeeding </w:t>
      </w:r>
      <w:proofErr w:type="spellStart"/>
      <w:r w:rsidRPr="004215B1">
        <w:rPr>
          <w:rFonts w:ascii="Arial" w:hAnsi="Arial" w:cs="Arial"/>
        </w:rPr>
        <w:t>behaviour</w:t>
      </w:r>
      <w:proofErr w:type="spellEnd"/>
      <w:r w:rsidRPr="004215B1">
        <w:rPr>
          <w:rFonts w:ascii="Arial" w:hAnsi="Arial" w:cs="Arial"/>
        </w:rPr>
        <w:t xml:space="preserve">. British Journal of Midwifery, 30(4), pp.190-201. </w:t>
      </w:r>
      <w:hyperlink r:id="rId20" w:history="1">
        <w:r w:rsidRPr="004215B1">
          <w:rPr>
            <w:rStyle w:val="Hyperlink"/>
            <w:rFonts w:ascii="Arial" w:hAnsi="Arial" w:cs="Arial"/>
            <w:color w:val="auto"/>
            <w:u w:val="none"/>
          </w:rPr>
          <w:t>https://doi.org/10.12968/bjom.2022.30.4.190</w:t>
        </w:r>
      </w:hyperlink>
    </w:p>
    <w:p w14:paraId="4F4DEEFF" w14:textId="77777777" w:rsidR="004215B1" w:rsidRPr="004215B1" w:rsidRDefault="004215B1" w:rsidP="004215B1">
      <w:pPr>
        <w:spacing w:line="360" w:lineRule="auto"/>
        <w:jc w:val="both"/>
        <w:rPr>
          <w:rFonts w:ascii="Arial" w:hAnsi="Arial" w:cs="Arial"/>
        </w:rPr>
      </w:pPr>
      <w:r w:rsidRPr="004215B1">
        <w:rPr>
          <w:rFonts w:ascii="Arial" w:hAnsi="Arial" w:cs="Arial"/>
        </w:rPr>
        <w:t>Olalere, O. and Harley, C., (2024). Why women discontinue exclusive breastfeeding: a scoping review. </w:t>
      </w:r>
      <w:r w:rsidRPr="004215B1">
        <w:rPr>
          <w:rFonts w:ascii="Arial" w:hAnsi="Arial" w:cs="Arial"/>
          <w:i/>
          <w:iCs/>
        </w:rPr>
        <w:t>British Journal of Midwifery</w:t>
      </w:r>
      <w:r w:rsidRPr="004215B1">
        <w:rPr>
          <w:rFonts w:ascii="Arial" w:hAnsi="Arial" w:cs="Arial"/>
        </w:rPr>
        <w:t>, </w:t>
      </w:r>
      <w:r w:rsidRPr="004215B1">
        <w:rPr>
          <w:rFonts w:ascii="Arial" w:hAnsi="Arial" w:cs="Arial"/>
          <w:i/>
          <w:iCs/>
        </w:rPr>
        <w:t>32</w:t>
      </w:r>
      <w:r w:rsidRPr="004215B1">
        <w:rPr>
          <w:rFonts w:ascii="Arial" w:hAnsi="Arial" w:cs="Arial"/>
        </w:rPr>
        <w:t xml:space="preserve">(12), pp.673-682. </w:t>
      </w:r>
      <w:hyperlink r:id="rId21" w:history="1">
        <w:r w:rsidRPr="004215B1">
          <w:rPr>
            <w:rStyle w:val="Hyperlink"/>
            <w:rFonts w:ascii="Arial" w:hAnsi="Arial" w:cs="Arial"/>
            <w:color w:val="auto"/>
            <w:u w:val="none"/>
          </w:rPr>
          <w:t>https://doi.org/10.12968/bjom.2024.0044</w:t>
        </w:r>
      </w:hyperlink>
    </w:p>
    <w:p w14:paraId="7BD6942F" w14:textId="77777777" w:rsidR="004215B1" w:rsidRPr="004215B1" w:rsidRDefault="004215B1" w:rsidP="004215B1">
      <w:pPr>
        <w:spacing w:line="360" w:lineRule="auto"/>
        <w:rPr>
          <w:rFonts w:ascii="Arial" w:hAnsi="Arial" w:cs="Arial"/>
        </w:rPr>
      </w:pPr>
      <w:r w:rsidRPr="004215B1">
        <w:rPr>
          <w:rFonts w:ascii="Arial" w:hAnsi="Arial" w:cs="Arial"/>
        </w:rPr>
        <w:t>Paynter, R.A., Adam, G.P., Hedden-Gross, A., Twose, C. and Voisin, C., (2025). Systematic Review Search Strategy Development Tools: A Practical Guide for Expert Searchers. </w:t>
      </w:r>
      <w:proofErr w:type="spellStart"/>
      <w:r w:rsidRPr="004215B1">
        <w:rPr>
          <w:rFonts w:ascii="Arial" w:hAnsi="Arial" w:cs="Arial"/>
          <w:i/>
          <w:iCs/>
        </w:rPr>
        <w:t>medRxiv</w:t>
      </w:r>
      <w:proofErr w:type="spellEnd"/>
      <w:r w:rsidRPr="004215B1">
        <w:rPr>
          <w:rFonts w:ascii="Arial" w:hAnsi="Arial" w:cs="Arial"/>
        </w:rPr>
        <w:t xml:space="preserve">, pp.2025-07. </w:t>
      </w:r>
      <w:hyperlink r:id="rId22" w:history="1">
        <w:r w:rsidRPr="004215B1">
          <w:rPr>
            <w:rStyle w:val="Hyperlink"/>
            <w:rFonts w:ascii="Arial" w:hAnsi="Arial" w:cs="Arial"/>
            <w:color w:val="auto"/>
            <w:u w:val="none"/>
          </w:rPr>
          <w:t>https://doi.org/10.1101/2025.07.10.25331296</w:t>
        </w:r>
      </w:hyperlink>
    </w:p>
    <w:p w14:paraId="71FFD053" w14:textId="77777777" w:rsidR="00EB6F36" w:rsidRDefault="00EB6F36" w:rsidP="00C46111">
      <w:pPr>
        <w:rPr>
          <w:rFonts w:ascii="Arial" w:hAnsi="Arial" w:cs="Arial"/>
          <w:sz w:val="24"/>
          <w:szCs w:val="24"/>
        </w:rPr>
      </w:pPr>
    </w:p>
    <w:p w14:paraId="7DE7E6BA" w14:textId="77777777" w:rsidR="00EB6F36" w:rsidRDefault="00EB6F36" w:rsidP="00C46111">
      <w:pPr>
        <w:rPr>
          <w:rFonts w:ascii="Arial" w:hAnsi="Arial" w:cs="Arial"/>
          <w:sz w:val="24"/>
          <w:szCs w:val="24"/>
        </w:rPr>
      </w:pPr>
    </w:p>
    <w:p w14:paraId="448B6109" w14:textId="77777777" w:rsidR="00EB6F36" w:rsidRDefault="00EB6F36" w:rsidP="00C46111">
      <w:pPr>
        <w:rPr>
          <w:noProof/>
        </w:rPr>
      </w:pPr>
    </w:p>
    <w:p w14:paraId="32166CAA" w14:textId="77777777" w:rsidR="005F7D75" w:rsidRDefault="005F7D75" w:rsidP="00C46111">
      <w:pPr>
        <w:rPr>
          <w:noProof/>
        </w:rPr>
      </w:pPr>
    </w:p>
    <w:p w14:paraId="215379CB" w14:textId="77777777" w:rsidR="005F7D75" w:rsidRDefault="005F7D75" w:rsidP="00C46111">
      <w:pPr>
        <w:rPr>
          <w:noProof/>
        </w:rPr>
      </w:pPr>
    </w:p>
    <w:p w14:paraId="1A7437E4" w14:textId="77777777" w:rsidR="005F7D75" w:rsidRDefault="005F7D75" w:rsidP="00C46111">
      <w:pPr>
        <w:rPr>
          <w:noProof/>
        </w:rPr>
      </w:pPr>
    </w:p>
    <w:p w14:paraId="7790E2D1" w14:textId="77777777" w:rsidR="005F7D75" w:rsidRDefault="005F7D75" w:rsidP="00C46111">
      <w:pPr>
        <w:rPr>
          <w:noProof/>
        </w:rPr>
      </w:pPr>
    </w:p>
    <w:p w14:paraId="0C5A6696" w14:textId="77777777" w:rsidR="005F7D75" w:rsidRDefault="005F7D75" w:rsidP="00C46111">
      <w:pPr>
        <w:rPr>
          <w:noProof/>
        </w:rPr>
      </w:pPr>
    </w:p>
    <w:p w14:paraId="031E494F" w14:textId="77777777" w:rsidR="005F7D75" w:rsidRDefault="005F7D75" w:rsidP="00C46111">
      <w:pPr>
        <w:rPr>
          <w:noProof/>
        </w:rPr>
      </w:pPr>
    </w:p>
    <w:p w14:paraId="3BEF13BF" w14:textId="77777777" w:rsidR="005F7D75" w:rsidRDefault="005F7D75" w:rsidP="00C46111">
      <w:pPr>
        <w:rPr>
          <w:noProof/>
        </w:rPr>
      </w:pPr>
    </w:p>
    <w:p w14:paraId="5DD55B22" w14:textId="77777777" w:rsidR="005F7D75" w:rsidRDefault="005F7D75" w:rsidP="00C46111">
      <w:pPr>
        <w:rPr>
          <w:noProof/>
        </w:rPr>
      </w:pPr>
    </w:p>
    <w:p w14:paraId="5D16028A" w14:textId="77777777" w:rsidR="005F7D75" w:rsidRDefault="005F7D75" w:rsidP="00C46111">
      <w:pPr>
        <w:rPr>
          <w:noProof/>
        </w:rPr>
      </w:pPr>
    </w:p>
    <w:p w14:paraId="306C4425" w14:textId="77777777" w:rsidR="005F7D75" w:rsidRDefault="005F7D75" w:rsidP="00C46111">
      <w:pPr>
        <w:rPr>
          <w:noProof/>
        </w:rPr>
      </w:pPr>
    </w:p>
    <w:p w14:paraId="447F1B61" w14:textId="77777777" w:rsidR="00582081" w:rsidRPr="00621EA1" w:rsidRDefault="00582081" w:rsidP="00621EA1">
      <w:pPr>
        <w:spacing w:line="360" w:lineRule="auto"/>
        <w:rPr>
          <w:rFonts w:ascii="Aptos" w:hAnsi="Aptos" w:cs="Arial"/>
          <w:sz w:val="28"/>
          <w:szCs w:val="28"/>
        </w:rPr>
      </w:pPr>
    </w:p>
    <w:sectPr w:rsidR="00582081" w:rsidRPr="00621EA1"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96069" w14:textId="77777777" w:rsidR="00345F49" w:rsidRDefault="00345F49" w:rsidP="00D210FA">
      <w:pPr>
        <w:spacing w:after="0"/>
      </w:pPr>
      <w:r>
        <w:separator/>
      </w:r>
    </w:p>
  </w:endnote>
  <w:endnote w:type="continuationSeparator" w:id="0">
    <w:p w14:paraId="75BC788F" w14:textId="77777777" w:rsidR="00345F49" w:rsidRDefault="00345F4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847C4" w14:textId="77777777" w:rsidR="00345F49" w:rsidRDefault="00345F49" w:rsidP="00D210FA">
      <w:pPr>
        <w:spacing w:after="0"/>
      </w:pPr>
      <w:r>
        <w:separator/>
      </w:r>
    </w:p>
  </w:footnote>
  <w:footnote w:type="continuationSeparator" w:id="0">
    <w:p w14:paraId="563C7468" w14:textId="77777777" w:rsidR="00345F49" w:rsidRDefault="00345F4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BF8188" w14:textId="77777777"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F46C8A" w14:textId="77777777" w:rsidR="008B0F18" w:rsidRDefault="008B0F18">
    <w:pPr>
      <w:pStyle w:val="Header"/>
    </w:pPr>
  </w:p>
  <w:p w14:paraId="75F49A89" w14:textId="77777777"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464508"/>
    <w:multiLevelType w:val="hybridMultilevel"/>
    <w:tmpl w:val="00000000"/>
    <w:lvl w:ilvl="0" w:tplc="CDCCB85E">
      <w:start w:val="1"/>
      <w:numFmt w:val="bullet"/>
      <w:lvlText w:val="●"/>
      <w:lvlJc w:val="left"/>
      <w:pPr>
        <w:ind w:left="720" w:hanging="360"/>
      </w:pPr>
      <w:rPr>
        <w:u w:val="none"/>
      </w:rPr>
    </w:lvl>
    <w:lvl w:ilvl="1" w:tplc="870EBAD0">
      <w:start w:val="1"/>
      <w:numFmt w:val="bullet"/>
      <w:lvlText w:val="○"/>
      <w:lvlJc w:val="left"/>
      <w:pPr>
        <w:ind w:left="1440" w:hanging="360"/>
      </w:pPr>
      <w:rPr>
        <w:u w:val="none"/>
      </w:rPr>
    </w:lvl>
    <w:lvl w:ilvl="2" w:tplc="4BFED34C">
      <w:start w:val="1"/>
      <w:numFmt w:val="bullet"/>
      <w:lvlText w:val="■"/>
      <w:lvlJc w:val="left"/>
      <w:pPr>
        <w:ind w:left="2160" w:hanging="360"/>
      </w:pPr>
      <w:rPr>
        <w:u w:val="none"/>
      </w:rPr>
    </w:lvl>
    <w:lvl w:ilvl="3" w:tplc="845C5478">
      <w:start w:val="1"/>
      <w:numFmt w:val="bullet"/>
      <w:lvlText w:val="●"/>
      <w:lvlJc w:val="left"/>
      <w:pPr>
        <w:ind w:left="2880" w:hanging="360"/>
      </w:pPr>
      <w:rPr>
        <w:u w:val="none"/>
      </w:rPr>
    </w:lvl>
    <w:lvl w:ilvl="4" w:tplc="FBC66A0E">
      <w:start w:val="1"/>
      <w:numFmt w:val="bullet"/>
      <w:lvlText w:val="○"/>
      <w:lvlJc w:val="left"/>
      <w:pPr>
        <w:ind w:left="3600" w:hanging="360"/>
      </w:pPr>
      <w:rPr>
        <w:u w:val="none"/>
      </w:rPr>
    </w:lvl>
    <w:lvl w:ilvl="5" w:tplc="224AE60A">
      <w:start w:val="1"/>
      <w:numFmt w:val="bullet"/>
      <w:lvlText w:val="■"/>
      <w:lvlJc w:val="left"/>
      <w:pPr>
        <w:ind w:left="4320" w:hanging="360"/>
      </w:pPr>
      <w:rPr>
        <w:u w:val="none"/>
      </w:rPr>
    </w:lvl>
    <w:lvl w:ilvl="6" w:tplc="D47C535C">
      <w:start w:val="1"/>
      <w:numFmt w:val="bullet"/>
      <w:lvlText w:val="●"/>
      <w:lvlJc w:val="left"/>
      <w:pPr>
        <w:ind w:left="5040" w:hanging="360"/>
      </w:pPr>
      <w:rPr>
        <w:u w:val="none"/>
      </w:rPr>
    </w:lvl>
    <w:lvl w:ilvl="7" w:tplc="450AE600">
      <w:start w:val="1"/>
      <w:numFmt w:val="bullet"/>
      <w:lvlText w:val="○"/>
      <w:lvlJc w:val="left"/>
      <w:pPr>
        <w:ind w:left="5760" w:hanging="360"/>
      </w:pPr>
      <w:rPr>
        <w:u w:val="none"/>
      </w:rPr>
    </w:lvl>
    <w:lvl w:ilvl="8" w:tplc="2796EA4A">
      <w:start w:val="1"/>
      <w:numFmt w:val="bullet"/>
      <w:lvlText w:val="■"/>
      <w:lvlJc w:val="left"/>
      <w:pPr>
        <w:ind w:left="6480" w:hanging="360"/>
      </w:pPr>
      <w:rPr>
        <w:u w:val="none"/>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0F88895"/>
    <w:multiLevelType w:val="hybridMultilevel"/>
    <w:tmpl w:val="00000000"/>
    <w:lvl w:ilvl="0" w:tplc="280E212C">
      <w:start w:val="1"/>
      <w:numFmt w:val="bullet"/>
      <w:lvlText w:val="●"/>
      <w:lvlJc w:val="left"/>
      <w:pPr>
        <w:ind w:left="720" w:hanging="360"/>
      </w:pPr>
      <w:rPr>
        <w:u w:val="none"/>
      </w:rPr>
    </w:lvl>
    <w:lvl w:ilvl="1" w:tplc="194E4298">
      <w:start w:val="1"/>
      <w:numFmt w:val="bullet"/>
      <w:lvlText w:val="○"/>
      <w:lvlJc w:val="left"/>
      <w:pPr>
        <w:ind w:left="1440" w:hanging="360"/>
      </w:pPr>
      <w:rPr>
        <w:u w:val="none"/>
      </w:rPr>
    </w:lvl>
    <w:lvl w:ilvl="2" w:tplc="5510D444">
      <w:start w:val="1"/>
      <w:numFmt w:val="bullet"/>
      <w:lvlText w:val="■"/>
      <w:lvlJc w:val="left"/>
      <w:pPr>
        <w:ind w:left="2160" w:hanging="360"/>
      </w:pPr>
      <w:rPr>
        <w:u w:val="none"/>
      </w:rPr>
    </w:lvl>
    <w:lvl w:ilvl="3" w:tplc="BBBCAC94">
      <w:start w:val="1"/>
      <w:numFmt w:val="bullet"/>
      <w:lvlText w:val="●"/>
      <w:lvlJc w:val="left"/>
      <w:pPr>
        <w:ind w:left="2880" w:hanging="360"/>
      </w:pPr>
      <w:rPr>
        <w:u w:val="none"/>
      </w:rPr>
    </w:lvl>
    <w:lvl w:ilvl="4" w:tplc="47864AB0">
      <w:start w:val="1"/>
      <w:numFmt w:val="bullet"/>
      <w:lvlText w:val="○"/>
      <w:lvlJc w:val="left"/>
      <w:pPr>
        <w:ind w:left="3600" w:hanging="360"/>
      </w:pPr>
      <w:rPr>
        <w:u w:val="none"/>
      </w:rPr>
    </w:lvl>
    <w:lvl w:ilvl="5" w:tplc="C7F48E62">
      <w:start w:val="1"/>
      <w:numFmt w:val="bullet"/>
      <w:lvlText w:val="■"/>
      <w:lvlJc w:val="left"/>
      <w:pPr>
        <w:ind w:left="4320" w:hanging="360"/>
      </w:pPr>
      <w:rPr>
        <w:u w:val="none"/>
      </w:rPr>
    </w:lvl>
    <w:lvl w:ilvl="6" w:tplc="ED127744">
      <w:start w:val="1"/>
      <w:numFmt w:val="bullet"/>
      <w:lvlText w:val="●"/>
      <w:lvlJc w:val="left"/>
      <w:pPr>
        <w:ind w:left="5040" w:hanging="360"/>
      </w:pPr>
      <w:rPr>
        <w:u w:val="none"/>
      </w:rPr>
    </w:lvl>
    <w:lvl w:ilvl="7" w:tplc="D57CA80A">
      <w:start w:val="1"/>
      <w:numFmt w:val="bullet"/>
      <w:lvlText w:val="○"/>
      <w:lvlJc w:val="left"/>
      <w:pPr>
        <w:ind w:left="5760" w:hanging="360"/>
      </w:pPr>
      <w:rPr>
        <w:u w:val="none"/>
      </w:rPr>
    </w:lvl>
    <w:lvl w:ilvl="8" w:tplc="39C48C94">
      <w:start w:val="1"/>
      <w:numFmt w:val="bullet"/>
      <w:lvlText w:val="■"/>
      <w:lvlJc w:val="left"/>
      <w:pPr>
        <w:ind w:left="6480" w:hanging="360"/>
      </w:pPr>
      <w:rPr>
        <w:u w:val="none"/>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BC322D7"/>
    <w:multiLevelType w:val="hybridMultilevel"/>
    <w:tmpl w:val="00000000"/>
    <w:lvl w:ilvl="0" w:tplc="E3CC8BEC">
      <w:start w:val="1"/>
      <w:numFmt w:val="bullet"/>
      <w:lvlText w:val="●"/>
      <w:lvlJc w:val="left"/>
      <w:pPr>
        <w:ind w:left="720" w:hanging="360"/>
      </w:pPr>
      <w:rPr>
        <w:u w:val="none"/>
      </w:rPr>
    </w:lvl>
    <w:lvl w:ilvl="1" w:tplc="6E46D082">
      <w:start w:val="1"/>
      <w:numFmt w:val="bullet"/>
      <w:lvlText w:val="○"/>
      <w:lvlJc w:val="left"/>
      <w:pPr>
        <w:ind w:left="1440" w:hanging="360"/>
      </w:pPr>
      <w:rPr>
        <w:u w:val="none"/>
      </w:rPr>
    </w:lvl>
    <w:lvl w:ilvl="2" w:tplc="C2BAF62E">
      <w:start w:val="1"/>
      <w:numFmt w:val="bullet"/>
      <w:lvlText w:val="■"/>
      <w:lvlJc w:val="left"/>
      <w:pPr>
        <w:ind w:left="2160" w:hanging="360"/>
      </w:pPr>
      <w:rPr>
        <w:u w:val="none"/>
      </w:rPr>
    </w:lvl>
    <w:lvl w:ilvl="3" w:tplc="E3EEE128">
      <w:start w:val="1"/>
      <w:numFmt w:val="bullet"/>
      <w:lvlText w:val="●"/>
      <w:lvlJc w:val="left"/>
      <w:pPr>
        <w:ind w:left="2880" w:hanging="360"/>
      </w:pPr>
      <w:rPr>
        <w:u w:val="none"/>
      </w:rPr>
    </w:lvl>
    <w:lvl w:ilvl="4" w:tplc="36607734">
      <w:start w:val="1"/>
      <w:numFmt w:val="bullet"/>
      <w:lvlText w:val="○"/>
      <w:lvlJc w:val="left"/>
      <w:pPr>
        <w:ind w:left="3600" w:hanging="360"/>
      </w:pPr>
      <w:rPr>
        <w:u w:val="none"/>
      </w:rPr>
    </w:lvl>
    <w:lvl w:ilvl="5" w:tplc="6CBE402C">
      <w:start w:val="1"/>
      <w:numFmt w:val="bullet"/>
      <w:lvlText w:val="■"/>
      <w:lvlJc w:val="left"/>
      <w:pPr>
        <w:ind w:left="4320" w:hanging="360"/>
      </w:pPr>
      <w:rPr>
        <w:u w:val="none"/>
      </w:rPr>
    </w:lvl>
    <w:lvl w:ilvl="6" w:tplc="6388EED4">
      <w:start w:val="1"/>
      <w:numFmt w:val="bullet"/>
      <w:lvlText w:val="●"/>
      <w:lvlJc w:val="left"/>
      <w:pPr>
        <w:ind w:left="5040" w:hanging="360"/>
      </w:pPr>
      <w:rPr>
        <w:u w:val="none"/>
      </w:rPr>
    </w:lvl>
    <w:lvl w:ilvl="7" w:tplc="ECA4FBA6">
      <w:start w:val="1"/>
      <w:numFmt w:val="bullet"/>
      <w:lvlText w:val="○"/>
      <w:lvlJc w:val="left"/>
      <w:pPr>
        <w:ind w:left="5760" w:hanging="360"/>
      </w:pPr>
      <w:rPr>
        <w:u w:val="none"/>
      </w:rPr>
    </w:lvl>
    <w:lvl w:ilvl="8" w:tplc="AEB6E910">
      <w:start w:val="1"/>
      <w:numFmt w:val="bullet"/>
      <w:lvlText w:val="■"/>
      <w:lvlJc w:val="left"/>
      <w:pPr>
        <w:ind w:left="6480" w:hanging="360"/>
      </w:pPr>
      <w:rPr>
        <w:u w:val="none"/>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2E9D425"/>
    <w:multiLevelType w:val="hybridMultilevel"/>
    <w:tmpl w:val="00000000"/>
    <w:lvl w:ilvl="0" w:tplc="AA30664C">
      <w:start w:val="1"/>
      <w:numFmt w:val="bullet"/>
      <w:lvlText w:val="●"/>
      <w:lvlJc w:val="left"/>
      <w:pPr>
        <w:ind w:left="720" w:hanging="360"/>
      </w:pPr>
      <w:rPr>
        <w:u w:val="none"/>
      </w:rPr>
    </w:lvl>
    <w:lvl w:ilvl="1" w:tplc="E0A6C460">
      <w:start w:val="1"/>
      <w:numFmt w:val="bullet"/>
      <w:lvlText w:val="○"/>
      <w:lvlJc w:val="left"/>
      <w:pPr>
        <w:ind w:left="1440" w:hanging="360"/>
      </w:pPr>
      <w:rPr>
        <w:u w:val="none"/>
      </w:rPr>
    </w:lvl>
    <w:lvl w:ilvl="2" w:tplc="2780C0F6">
      <w:start w:val="1"/>
      <w:numFmt w:val="bullet"/>
      <w:lvlText w:val="■"/>
      <w:lvlJc w:val="left"/>
      <w:pPr>
        <w:ind w:left="2160" w:hanging="360"/>
      </w:pPr>
      <w:rPr>
        <w:u w:val="none"/>
      </w:rPr>
    </w:lvl>
    <w:lvl w:ilvl="3" w:tplc="3E76B71C">
      <w:start w:val="1"/>
      <w:numFmt w:val="bullet"/>
      <w:lvlText w:val="●"/>
      <w:lvlJc w:val="left"/>
      <w:pPr>
        <w:ind w:left="2880" w:hanging="360"/>
      </w:pPr>
      <w:rPr>
        <w:u w:val="none"/>
      </w:rPr>
    </w:lvl>
    <w:lvl w:ilvl="4" w:tplc="3B0C94FA">
      <w:start w:val="1"/>
      <w:numFmt w:val="bullet"/>
      <w:lvlText w:val="○"/>
      <w:lvlJc w:val="left"/>
      <w:pPr>
        <w:ind w:left="3600" w:hanging="360"/>
      </w:pPr>
      <w:rPr>
        <w:u w:val="none"/>
      </w:rPr>
    </w:lvl>
    <w:lvl w:ilvl="5" w:tplc="AAF4D9E0">
      <w:start w:val="1"/>
      <w:numFmt w:val="bullet"/>
      <w:lvlText w:val="■"/>
      <w:lvlJc w:val="left"/>
      <w:pPr>
        <w:ind w:left="4320" w:hanging="360"/>
      </w:pPr>
      <w:rPr>
        <w:u w:val="none"/>
      </w:rPr>
    </w:lvl>
    <w:lvl w:ilvl="6" w:tplc="039E30AE">
      <w:start w:val="1"/>
      <w:numFmt w:val="bullet"/>
      <w:lvlText w:val="●"/>
      <w:lvlJc w:val="left"/>
      <w:pPr>
        <w:ind w:left="5040" w:hanging="360"/>
      </w:pPr>
      <w:rPr>
        <w:u w:val="none"/>
      </w:rPr>
    </w:lvl>
    <w:lvl w:ilvl="7" w:tplc="F6FE39CC">
      <w:start w:val="1"/>
      <w:numFmt w:val="bullet"/>
      <w:lvlText w:val="○"/>
      <w:lvlJc w:val="left"/>
      <w:pPr>
        <w:ind w:left="5760" w:hanging="360"/>
      </w:pPr>
      <w:rPr>
        <w:u w:val="none"/>
      </w:rPr>
    </w:lvl>
    <w:lvl w:ilvl="8" w:tplc="B57832D2">
      <w:start w:val="1"/>
      <w:numFmt w:val="bullet"/>
      <w:lvlText w:val="■"/>
      <w:lvlJc w:val="left"/>
      <w:pPr>
        <w:ind w:left="6480" w:hanging="360"/>
      </w:pPr>
      <w:rPr>
        <w:u w:val="none"/>
      </w:rPr>
    </w:lvl>
  </w:abstractNum>
  <w:abstractNum w:abstractNumId="1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0209348">
    <w:abstractNumId w:val="5"/>
  </w:num>
  <w:num w:numId="2" w16cid:durableId="959842260">
    <w:abstractNumId w:val="4"/>
  </w:num>
  <w:num w:numId="3" w16cid:durableId="1893425943">
    <w:abstractNumId w:val="15"/>
  </w:num>
  <w:num w:numId="4" w16cid:durableId="1500925280">
    <w:abstractNumId w:val="16"/>
  </w:num>
  <w:num w:numId="5" w16cid:durableId="1024093213">
    <w:abstractNumId w:val="9"/>
  </w:num>
  <w:num w:numId="6" w16cid:durableId="1197505685">
    <w:abstractNumId w:val="7"/>
  </w:num>
  <w:num w:numId="7" w16cid:durableId="764158652">
    <w:abstractNumId w:val="12"/>
  </w:num>
  <w:num w:numId="8" w16cid:durableId="528764643">
    <w:abstractNumId w:val="10"/>
  </w:num>
  <w:num w:numId="9" w16cid:durableId="1044253836">
    <w:abstractNumId w:val="2"/>
  </w:num>
  <w:num w:numId="10" w16cid:durableId="907033293">
    <w:abstractNumId w:val="0"/>
  </w:num>
  <w:num w:numId="11" w16cid:durableId="1621299034">
    <w:abstractNumId w:val="6"/>
  </w:num>
  <w:num w:numId="12" w16cid:durableId="655498438">
    <w:abstractNumId w:val="1"/>
  </w:num>
  <w:num w:numId="13" w16cid:durableId="1422994936">
    <w:abstractNumId w:val="14"/>
  </w:num>
  <w:num w:numId="14" w16cid:durableId="683938344">
    <w:abstractNumId w:val="8"/>
  </w:num>
  <w:num w:numId="15" w16cid:durableId="1143306705">
    <w:abstractNumId w:val="11"/>
  </w:num>
  <w:num w:numId="16" w16cid:durableId="393938114">
    <w:abstractNumId w:val="3"/>
  </w:num>
  <w:num w:numId="17" w16cid:durableId="167117900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59E9"/>
    <w:rsid w:val="00023293"/>
    <w:rsid w:val="00024AA3"/>
    <w:rsid w:val="00035FCE"/>
    <w:rsid w:val="00061977"/>
    <w:rsid w:val="00063B85"/>
    <w:rsid w:val="0008782A"/>
    <w:rsid w:val="000A065A"/>
    <w:rsid w:val="000B402B"/>
    <w:rsid w:val="000E56ED"/>
    <w:rsid w:val="00106FC5"/>
    <w:rsid w:val="00120DEC"/>
    <w:rsid w:val="00123C19"/>
    <w:rsid w:val="00127F5A"/>
    <w:rsid w:val="00146211"/>
    <w:rsid w:val="00146F68"/>
    <w:rsid w:val="001552B3"/>
    <w:rsid w:val="001A2DAB"/>
    <w:rsid w:val="001C0EB8"/>
    <w:rsid w:val="001C55B6"/>
    <w:rsid w:val="001D6CC4"/>
    <w:rsid w:val="00200D79"/>
    <w:rsid w:val="00206405"/>
    <w:rsid w:val="002341AD"/>
    <w:rsid w:val="00253267"/>
    <w:rsid w:val="002823CD"/>
    <w:rsid w:val="00287787"/>
    <w:rsid w:val="00291685"/>
    <w:rsid w:val="0029329C"/>
    <w:rsid w:val="002B0A3D"/>
    <w:rsid w:val="002F26AB"/>
    <w:rsid w:val="003007A7"/>
    <w:rsid w:val="00303987"/>
    <w:rsid w:val="003257E1"/>
    <w:rsid w:val="00325DEC"/>
    <w:rsid w:val="00345F49"/>
    <w:rsid w:val="00346FFA"/>
    <w:rsid w:val="00351E51"/>
    <w:rsid w:val="00351F34"/>
    <w:rsid w:val="003773C0"/>
    <w:rsid w:val="00385494"/>
    <w:rsid w:val="0039751B"/>
    <w:rsid w:val="003A3069"/>
    <w:rsid w:val="003B2B27"/>
    <w:rsid w:val="003C20B5"/>
    <w:rsid w:val="003E545F"/>
    <w:rsid w:val="003F03D2"/>
    <w:rsid w:val="003F1E1A"/>
    <w:rsid w:val="004045E5"/>
    <w:rsid w:val="00421496"/>
    <w:rsid w:val="004215B1"/>
    <w:rsid w:val="00422C27"/>
    <w:rsid w:val="0044367C"/>
    <w:rsid w:val="0044412C"/>
    <w:rsid w:val="004642F0"/>
    <w:rsid w:val="00485BB4"/>
    <w:rsid w:val="004C3521"/>
    <w:rsid w:val="00500564"/>
    <w:rsid w:val="0051102B"/>
    <w:rsid w:val="00516CC0"/>
    <w:rsid w:val="00526FEF"/>
    <w:rsid w:val="005475F0"/>
    <w:rsid w:val="00576F7E"/>
    <w:rsid w:val="00582081"/>
    <w:rsid w:val="005838BC"/>
    <w:rsid w:val="005B57E1"/>
    <w:rsid w:val="005E61E0"/>
    <w:rsid w:val="005F0F31"/>
    <w:rsid w:val="005F7D75"/>
    <w:rsid w:val="006024ED"/>
    <w:rsid w:val="006107D3"/>
    <w:rsid w:val="0061793F"/>
    <w:rsid w:val="0062123A"/>
    <w:rsid w:val="00621EA1"/>
    <w:rsid w:val="006605F8"/>
    <w:rsid w:val="006676A1"/>
    <w:rsid w:val="006833BD"/>
    <w:rsid w:val="00694BC8"/>
    <w:rsid w:val="006D2642"/>
    <w:rsid w:val="006E2D42"/>
    <w:rsid w:val="00720FEE"/>
    <w:rsid w:val="00732425"/>
    <w:rsid w:val="00764B6F"/>
    <w:rsid w:val="007745BB"/>
    <w:rsid w:val="00774B76"/>
    <w:rsid w:val="007B06DB"/>
    <w:rsid w:val="007C0103"/>
    <w:rsid w:val="007C7319"/>
    <w:rsid w:val="007D43B3"/>
    <w:rsid w:val="007D4A22"/>
    <w:rsid w:val="007E0158"/>
    <w:rsid w:val="007F20B4"/>
    <w:rsid w:val="007F525E"/>
    <w:rsid w:val="00802FF1"/>
    <w:rsid w:val="0082020E"/>
    <w:rsid w:val="00825B12"/>
    <w:rsid w:val="0082695D"/>
    <w:rsid w:val="0083044C"/>
    <w:rsid w:val="00846694"/>
    <w:rsid w:val="0085182D"/>
    <w:rsid w:val="0085673B"/>
    <w:rsid w:val="00867E5F"/>
    <w:rsid w:val="008709F5"/>
    <w:rsid w:val="00877A91"/>
    <w:rsid w:val="00884E86"/>
    <w:rsid w:val="00890534"/>
    <w:rsid w:val="00891124"/>
    <w:rsid w:val="008927FF"/>
    <w:rsid w:val="008B0F18"/>
    <w:rsid w:val="008B104E"/>
    <w:rsid w:val="008C1616"/>
    <w:rsid w:val="008E3921"/>
    <w:rsid w:val="0090027B"/>
    <w:rsid w:val="00905238"/>
    <w:rsid w:val="0094702A"/>
    <w:rsid w:val="00967DAB"/>
    <w:rsid w:val="00990E76"/>
    <w:rsid w:val="00991A53"/>
    <w:rsid w:val="00996F4E"/>
    <w:rsid w:val="009E302F"/>
    <w:rsid w:val="009F71FE"/>
    <w:rsid w:val="00A27D8D"/>
    <w:rsid w:val="00A31F33"/>
    <w:rsid w:val="00A70A62"/>
    <w:rsid w:val="00A71DA8"/>
    <w:rsid w:val="00A90A7A"/>
    <w:rsid w:val="00A93F2C"/>
    <w:rsid w:val="00AB1210"/>
    <w:rsid w:val="00AB5409"/>
    <w:rsid w:val="00AB770D"/>
    <w:rsid w:val="00AF2088"/>
    <w:rsid w:val="00AF5FB0"/>
    <w:rsid w:val="00B0080A"/>
    <w:rsid w:val="00B0538C"/>
    <w:rsid w:val="00B376E4"/>
    <w:rsid w:val="00B37AB8"/>
    <w:rsid w:val="00B418DE"/>
    <w:rsid w:val="00B47FE7"/>
    <w:rsid w:val="00B64A66"/>
    <w:rsid w:val="00B67824"/>
    <w:rsid w:val="00BE15BA"/>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35EE7"/>
    <w:rsid w:val="00D57231"/>
    <w:rsid w:val="00D87B48"/>
    <w:rsid w:val="00D91203"/>
    <w:rsid w:val="00D94FD1"/>
    <w:rsid w:val="00DA0EED"/>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 w:val="135AAFC7"/>
    <w:rsid w:val="331A3CB3"/>
    <w:rsid w:val="3612A51A"/>
    <w:rsid w:val="4AB15665"/>
    <w:rsid w:val="4E34D575"/>
    <w:rsid w:val="5C1BEA82"/>
    <w:rsid w:val="600E54EA"/>
    <w:rsid w:val="60422482"/>
    <w:rsid w:val="6CC50558"/>
    <w:rsid w:val="6F324848"/>
    <w:rsid w:val="7101B3D6"/>
    <w:rsid w:val="73634F4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38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BalloonText">
    <w:name w:val="Balloon Text"/>
    <w:basedOn w:val="Normal"/>
    <w:link w:val="BalloonTextChar"/>
    <w:uiPriority w:val="99"/>
    <w:semiHidden/>
    <w:unhideWhenUsed/>
    <w:rsid w:val="003773C0"/>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3C0"/>
    <w:rPr>
      <w:rFonts w:ascii="Tahoma" w:hAnsi="Tahoma" w:cs="Tahoma"/>
      <w:sz w:val="16"/>
      <w:szCs w:val="16"/>
    </w:rPr>
  </w:style>
  <w:style w:type="character" w:styleId="Hyperlink">
    <w:name w:val="Hyperlink"/>
    <w:basedOn w:val="DefaultParagraphFont"/>
    <w:uiPriority w:val="99"/>
    <w:unhideWhenUsed/>
    <w:rsid w:val="004215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hyperlink" Target="https://doi.org/10.12968/bjom.2024.0044"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yperlink" Target="https://doi.org/10.12968/bjom.2022.30.4.19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16/j.iswa.2022.20009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hyperlink" Target="https://doi.org/10.1101/2025.07.10.2533129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US"/>
            <a:t>References will be collected from original sources</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US"/>
            <a:t>Sensitive information about any previous participants will be protected</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US" u="none"/>
            <a:t>Only reliable and valid databases will be accessed</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US" u="none"/>
            <a:t>The GDPR of the UK will be included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US"/>
            <a:t>Informed consent would have been considered if the primary method had been used.</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E3AFDA0A-6B17-4905-B9C0-F33F21143E95}"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E9196839-2BB8-4DED-9F86-F8AD998473F3}" type="presOf" srcId="{DED7677A-A811-4E99-A359-AF267F66CB3B}" destId="{4B0BA49E-53FB-4A48-8A53-1DCC68267D3A}" srcOrd="0" destOrd="0"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ACB8443B-FEBC-4C56-BB28-661235F3574E}" type="presOf" srcId="{7634D104-7D93-4DC9-AA78-CFDC22EB2B7D}" destId="{15D7D02F-9806-4A7F-A42D-FE7E83343FED}" srcOrd="0" destOrd="0" presId="urn:microsoft.com/office/officeart/2005/8/layout/hList1"/>
    <dgm:cxn modelId="{F047993C-E79F-4DF4-8E68-009CE95435BF}" srcId="{7634D104-7D93-4DC9-AA78-CFDC22EB2B7D}" destId="{F5AC5549-675B-444B-905D-2F1D9FDC1779}" srcOrd="4" destOrd="0" parTransId="{AC81EE79-FF8C-4405-963A-7F74BE293A69}" sibTransId="{B7249222-7390-4801-8772-10BB94E221D0}"/>
    <dgm:cxn modelId="{81E8ED4A-9C61-4261-A97E-A8FB2B721822}" srcId="{7634D104-7D93-4DC9-AA78-CFDC22EB2B7D}" destId="{DED7677A-A811-4E99-A359-AF267F66CB3B}" srcOrd="3" destOrd="0" parTransId="{F38EF5EE-50CB-434C-B7C2-9D5B46BCDA7A}" sibTransId="{9F4A521B-0AB9-4C49-8D3E-A4522CDAC745}"/>
    <dgm:cxn modelId="{8A48955A-FF8F-4776-99D4-D2F9A35739B0}" srcId="{7634D104-7D93-4DC9-AA78-CFDC22EB2B7D}" destId="{5674B894-A55E-4559-8EA7-028C3F32E4B2}" srcOrd="2" destOrd="0" parTransId="{CF4D6B60-7FC7-4A9C-B7E1-C22EA10EB381}" sibTransId="{94E754A5-C7C4-42B9-A350-BD17338F58B9}"/>
    <dgm:cxn modelId="{CB93FF67-74EB-4163-A9EC-6469F10734D1}" srcId="{7634D104-7D93-4DC9-AA78-CFDC22EB2B7D}" destId="{D2F35989-0D76-4707-8851-E95507DAC780}" srcOrd="1" destOrd="0" parTransId="{95A47F62-7CA1-4144-B825-A44483178729}" sibTransId="{B96B68E4-E5AE-4BB2-A658-AF9FA9406E6C}"/>
    <dgm:cxn modelId="{D376CB72-6880-4CFE-92E7-606FC8F6220C}" type="presOf" srcId="{5674B894-A55E-4559-8EA7-028C3F32E4B2}" destId="{594F44BC-596E-4978-9BF4-2F7DCCF10A7F}"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366E3081-D9EF-4373-ABB2-D88113F1AEA5}" type="presOf" srcId="{7D9AB477-3831-4B66-903C-51888FAB2EF1}" destId="{0426731F-8A3C-42F1-804E-8F6D7BF28D02}" srcOrd="0" destOrd="0" presId="urn:microsoft.com/office/officeart/2005/8/layout/hList1"/>
    <dgm:cxn modelId="{7B9CB682-0DC9-4815-951A-E787AB7CD2FE}" srcId="{5674B894-A55E-4559-8EA7-028C3F32E4B2}" destId="{31ECEDD7-80EF-414B-BE50-B610D566367B}" srcOrd="0" destOrd="0" parTransId="{20439AF7-F994-4596-8154-7958604637F8}" sibTransId="{BAE7B1D5-018D-43C6-93C5-0E28100285E0}"/>
    <dgm:cxn modelId="{DC72DA85-CF91-4467-AE8B-ADC898E1DB56}" type="presOf" srcId="{31ECEDD7-80EF-414B-BE50-B610D566367B}" destId="{B4F89DDA-DC7D-4C4E-967D-E22B07A05DB1}" srcOrd="0" destOrd="0" presId="urn:microsoft.com/office/officeart/2005/8/layout/hList1"/>
    <dgm:cxn modelId="{C85F4592-431B-4FFB-94FC-4F4756C80386}" type="presOf" srcId="{D2F35989-0D76-4707-8851-E95507DAC780}" destId="{0F07604D-46A6-4ADA-B996-B9E43A897BA8}" srcOrd="0" destOrd="0" presId="urn:microsoft.com/office/officeart/2005/8/layout/hList1"/>
    <dgm:cxn modelId="{CE669DA1-B4E5-4BE2-9DA6-3308ED9616CF}" type="presOf" srcId="{D895BCAF-11FD-4161-9460-71155FF594D5}" destId="{5E4A68E9-45A9-433C-B39E-FA98BC5055EA}" srcOrd="0" destOrd="0" presId="urn:microsoft.com/office/officeart/2005/8/layout/hList1"/>
    <dgm:cxn modelId="{8B8AD2B7-27ED-4082-B328-8DC375BFA9F5}" type="presOf" srcId="{B8AA4B07-C565-4CCF-9950-02D7DCC3515C}" destId="{D9C43641-36D4-43D5-A2FD-0F9F6D2C43BC}" srcOrd="0" destOrd="0" presId="urn:microsoft.com/office/officeart/2005/8/layout/hList1"/>
    <dgm:cxn modelId="{3CBFD8BC-A8E0-4D38-94CC-C12A5BD0C98E}" type="presOf" srcId="{F5AC5549-675B-444B-905D-2F1D9FDC1779}" destId="{527B8B4B-D6E7-4EB7-86F6-6A7D2579D756}" srcOrd="0" destOrd="0" presId="urn:microsoft.com/office/officeart/2005/8/layout/hList1"/>
    <dgm:cxn modelId="{E52E6AC5-E0A3-425A-94FD-5FAE08F1005A}"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54E1D1F9-2D03-4A36-ADEB-7EC8EB0F85F9}" srcId="{D2F35989-0D76-4707-8851-E95507DAC780}" destId="{B8AA4B07-C565-4CCF-9950-02D7DCC3515C}" srcOrd="0" destOrd="0" parTransId="{7CE0ECD8-FF60-40FC-834A-69289342858B}" sibTransId="{BA44317E-0141-443D-B3B3-5D8A23F7257D}"/>
    <dgm:cxn modelId="{F55798C8-1A93-4C05-9D67-75612D87F1C0}" type="presParOf" srcId="{15D7D02F-9806-4A7F-A42D-FE7E83343FED}" destId="{060EE54F-9EBC-4508-90E0-A71D8106BA41}" srcOrd="0" destOrd="0" presId="urn:microsoft.com/office/officeart/2005/8/layout/hList1"/>
    <dgm:cxn modelId="{24011F27-0B6F-4D0E-A852-340B73641700}" type="presParOf" srcId="{060EE54F-9EBC-4508-90E0-A71D8106BA41}" destId="{5E4A68E9-45A9-433C-B39E-FA98BC5055EA}" srcOrd="0" destOrd="0" presId="urn:microsoft.com/office/officeart/2005/8/layout/hList1"/>
    <dgm:cxn modelId="{E10AC084-4F29-47F2-A2FB-A31B1B06F72E}" type="presParOf" srcId="{060EE54F-9EBC-4508-90E0-A71D8106BA41}" destId="{0916EB88-9427-4C81-A0D0-B1BC4D25BFB9}" srcOrd="1" destOrd="0" presId="urn:microsoft.com/office/officeart/2005/8/layout/hList1"/>
    <dgm:cxn modelId="{7570486F-BF41-4FB1-8ECD-CD1BD553D64F}" type="presParOf" srcId="{15D7D02F-9806-4A7F-A42D-FE7E83343FED}" destId="{5A8A88A5-B4F4-47DC-BABC-220E75C6B14E}" srcOrd="1" destOrd="0" presId="urn:microsoft.com/office/officeart/2005/8/layout/hList1"/>
    <dgm:cxn modelId="{8B6C780B-0A4B-4DEA-A9A0-01B935ECEDE9}" type="presParOf" srcId="{15D7D02F-9806-4A7F-A42D-FE7E83343FED}" destId="{ABE7DA82-7937-4173-A683-867FD7F4045F}" srcOrd="2" destOrd="0" presId="urn:microsoft.com/office/officeart/2005/8/layout/hList1"/>
    <dgm:cxn modelId="{5EDC48CC-5618-4F00-A3A5-2CFC38535E50}" type="presParOf" srcId="{ABE7DA82-7937-4173-A683-867FD7F4045F}" destId="{0F07604D-46A6-4ADA-B996-B9E43A897BA8}" srcOrd="0" destOrd="0" presId="urn:microsoft.com/office/officeart/2005/8/layout/hList1"/>
    <dgm:cxn modelId="{EE7BEC1A-95C6-4F01-BD2B-8DA90F171A56}" type="presParOf" srcId="{ABE7DA82-7937-4173-A683-867FD7F4045F}" destId="{D9C43641-36D4-43D5-A2FD-0F9F6D2C43BC}" srcOrd="1" destOrd="0" presId="urn:microsoft.com/office/officeart/2005/8/layout/hList1"/>
    <dgm:cxn modelId="{A64A1EED-6878-4CBD-AC0F-1403E2F73FA4}" type="presParOf" srcId="{15D7D02F-9806-4A7F-A42D-FE7E83343FED}" destId="{8D77E0EF-A152-4EF7-A7FC-CC6FAF7F6B43}" srcOrd="3" destOrd="0" presId="urn:microsoft.com/office/officeart/2005/8/layout/hList1"/>
    <dgm:cxn modelId="{172D79E0-0635-498A-947B-E39C30E81640}" type="presParOf" srcId="{15D7D02F-9806-4A7F-A42D-FE7E83343FED}" destId="{D3157F63-FA9E-47B4-8FF4-EE6DAC4A8479}" srcOrd="4" destOrd="0" presId="urn:microsoft.com/office/officeart/2005/8/layout/hList1"/>
    <dgm:cxn modelId="{E303A0BB-A2DC-4F7E-8692-BEBA13ED99D6}" type="presParOf" srcId="{D3157F63-FA9E-47B4-8FF4-EE6DAC4A8479}" destId="{594F44BC-596E-4978-9BF4-2F7DCCF10A7F}" srcOrd="0" destOrd="0" presId="urn:microsoft.com/office/officeart/2005/8/layout/hList1"/>
    <dgm:cxn modelId="{6C5AE5B0-C79C-4B58-B1F2-6548B0093195}" type="presParOf" srcId="{D3157F63-FA9E-47B4-8FF4-EE6DAC4A8479}" destId="{B4F89DDA-DC7D-4C4E-967D-E22B07A05DB1}" srcOrd="1" destOrd="0" presId="urn:microsoft.com/office/officeart/2005/8/layout/hList1"/>
    <dgm:cxn modelId="{C8B87C8A-A794-4578-B711-3F1D72B47A27}" type="presParOf" srcId="{15D7D02F-9806-4A7F-A42D-FE7E83343FED}" destId="{3A60D635-F235-4B71-8993-A550528BFBFB}" srcOrd="5" destOrd="0" presId="urn:microsoft.com/office/officeart/2005/8/layout/hList1"/>
    <dgm:cxn modelId="{599C0849-D36F-43AC-B511-AAF3C7B336AC}" type="presParOf" srcId="{15D7D02F-9806-4A7F-A42D-FE7E83343FED}" destId="{F2A85F99-7F33-46A4-9E84-7525455EC96E}" srcOrd="6" destOrd="0" presId="urn:microsoft.com/office/officeart/2005/8/layout/hList1"/>
    <dgm:cxn modelId="{A00F32FE-2C24-4EF8-920F-FBBAA73E5C4D}" type="presParOf" srcId="{F2A85F99-7F33-46A4-9E84-7525455EC96E}" destId="{4B0BA49E-53FB-4A48-8A53-1DCC68267D3A}" srcOrd="0" destOrd="0" presId="urn:microsoft.com/office/officeart/2005/8/layout/hList1"/>
    <dgm:cxn modelId="{24DC4119-86EA-441A-9180-AA487AC68294}" type="presParOf" srcId="{F2A85F99-7F33-46A4-9E84-7525455EC96E}" destId="{0426731F-8A3C-42F1-804E-8F6D7BF28D02}" srcOrd="1" destOrd="0" presId="urn:microsoft.com/office/officeart/2005/8/layout/hList1"/>
    <dgm:cxn modelId="{7F0BDE76-9D85-438B-A0BD-96C474560EC0}" type="presParOf" srcId="{15D7D02F-9806-4A7F-A42D-FE7E83343FED}" destId="{D9831088-02B0-4486-B332-594DEF4AFDB7}" srcOrd="7" destOrd="0" presId="urn:microsoft.com/office/officeart/2005/8/layout/hList1"/>
    <dgm:cxn modelId="{D2F49772-4A1E-475A-AE09-D103CE7B5A05}" type="presParOf" srcId="{15D7D02F-9806-4A7F-A42D-FE7E83343FED}" destId="{25E0243E-9C63-48E2-BDA9-959F204AC029}" srcOrd="8" destOrd="0" presId="urn:microsoft.com/office/officeart/2005/8/layout/hList1"/>
    <dgm:cxn modelId="{F7203FC1-E7AA-4AEF-879F-0F705D849440}" type="presParOf" srcId="{25E0243E-9C63-48E2-BDA9-959F204AC029}" destId="{527B8B4B-D6E7-4EB7-86F6-6A7D2579D756}" srcOrd="0" destOrd="0" presId="urn:microsoft.com/office/officeart/2005/8/layout/hList1"/>
    <dgm:cxn modelId="{FC5A4D64-6C08-456B-8AA5-01E7BBAC4242}"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63030"/>
          <a:ext cx="1596851" cy="57837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ptos" panose="020B0004020202020204" pitchFamily="34" charset="0"/>
            </a:rPr>
            <a:t>Respect for Intellectual Property:</a:t>
          </a:r>
          <a:endParaRPr lang="en-GB" sz="1100" kern="1200">
            <a:latin typeface="Aptos" panose="020B0004020202020204" pitchFamily="34" charset="0"/>
          </a:endParaRPr>
        </a:p>
      </dsp:txBody>
      <dsp:txXfrm>
        <a:off x="4165" y="63030"/>
        <a:ext cx="1596851" cy="578376"/>
      </dsp:txXfrm>
    </dsp:sp>
    <dsp:sp modelId="{0916EB88-9427-4C81-A0D0-B1BC4D25BFB9}">
      <dsp:nvSpPr>
        <dsp:cNvPr id="0" name=""/>
        <dsp:cNvSpPr/>
      </dsp:nvSpPr>
      <dsp:spPr>
        <a:xfrm>
          <a:off x="4165" y="641407"/>
          <a:ext cx="1596851" cy="141963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US" sz="1100" kern="1200"/>
            <a:t>References will be collected from original sources</a:t>
          </a:r>
          <a:endParaRPr lang="en-GB" sz="1100" kern="1200" dirty="0">
            <a:latin typeface="Aptos" panose="020B0004020202020204" pitchFamily="34" charset="0"/>
          </a:endParaRPr>
        </a:p>
      </dsp:txBody>
      <dsp:txXfrm>
        <a:off x="4165" y="641407"/>
        <a:ext cx="1596851" cy="1419636"/>
      </dsp:txXfrm>
    </dsp:sp>
    <dsp:sp modelId="{0F07604D-46A6-4ADA-B996-B9E43A897BA8}">
      <dsp:nvSpPr>
        <dsp:cNvPr id="0" name=""/>
        <dsp:cNvSpPr/>
      </dsp:nvSpPr>
      <dsp:spPr>
        <a:xfrm>
          <a:off x="1824576" y="63030"/>
          <a:ext cx="1596851" cy="57837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ptos" panose="020B0004020202020204" pitchFamily="34" charset="0"/>
            </a:rPr>
            <a:t>Privacy and Confidentiality:</a:t>
          </a:r>
          <a:endParaRPr lang="en-GB" sz="1100" kern="1200">
            <a:latin typeface="Aptos" panose="020B0004020202020204" pitchFamily="34" charset="0"/>
          </a:endParaRPr>
        </a:p>
      </dsp:txBody>
      <dsp:txXfrm>
        <a:off x="1824576" y="63030"/>
        <a:ext cx="1596851" cy="578376"/>
      </dsp:txXfrm>
    </dsp:sp>
    <dsp:sp modelId="{D9C43641-36D4-43D5-A2FD-0F9F6D2C43BC}">
      <dsp:nvSpPr>
        <dsp:cNvPr id="0" name=""/>
        <dsp:cNvSpPr/>
      </dsp:nvSpPr>
      <dsp:spPr>
        <a:xfrm>
          <a:off x="1824576" y="641407"/>
          <a:ext cx="1596851" cy="141963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US" sz="1100" kern="1200"/>
            <a:t>Sensitive information about any previous participants will be protected</a:t>
          </a:r>
          <a:endParaRPr lang="en-GB" sz="1100" kern="1200">
            <a:latin typeface="Aptos" panose="020B0004020202020204" pitchFamily="34" charset="0"/>
          </a:endParaRPr>
        </a:p>
      </dsp:txBody>
      <dsp:txXfrm>
        <a:off x="1824576" y="641407"/>
        <a:ext cx="1596851" cy="1419636"/>
      </dsp:txXfrm>
    </dsp:sp>
    <dsp:sp modelId="{594F44BC-596E-4978-9BF4-2F7DCCF10A7F}">
      <dsp:nvSpPr>
        <dsp:cNvPr id="0" name=""/>
        <dsp:cNvSpPr/>
      </dsp:nvSpPr>
      <dsp:spPr>
        <a:xfrm>
          <a:off x="3644986" y="63030"/>
          <a:ext cx="1596851" cy="57837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ptos" panose="020B0004020202020204" pitchFamily="34" charset="0"/>
            </a:rPr>
            <a:t>Data Integrity and Reliability:</a:t>
          </a:r>
          <a:r>
            <a:rPr lang="en-GB" sz="1100" kern="1200">
              <a:latin typeface="Aptos" panose="020B0004020202020204" pitchFamily="34" charset="0"/>
            </a:rPr>
            <a:t> </a:t>
          </a:r>
        </a:p>
      </dsp:txBody>
      <dsp:txXfrm>
        <a:off x="3644986" y="63030"/>
        <a:ext cx="1596851" cy="578376"/>
      </dsp:txXfrm>
    </dsp:sp>
    <dsp:sp modelId="{B4F89DDA-DC7D-4C4E-967D-E22B07A05DB1}">
      <dsp:nvSpPr>
        <dsp:cNvPr id="0" name=""/>
        <dsp:cNvSpPr/>
      </dsp:nvSpPr>
      <dsp:spPr>
        <a:xfrm>
          <a:off x="3644986" y="641407"/>
          <a:ext cx="1596851" cy="141963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US" sz="1100" u="none" kern="1200"/>
            <a:t>Only reliable and valid databases will be accessed</a:t>
          </a:r>
          <a:endParaRPr lang="en-GB" sz="1100" kern="1200">
            <a:latin typeface="Aptos" panose="020B0004020202020204" pitchFamily="34" charset="0"/>
          </a:endParaRPr>
        </a:p>
      </dsp:txBody>
      <dsp:txXfrm>
        <a:off x="3644986" y="641407"/>
        <a:ext cx="1596851" cy="1419636"/>
      </dsp:txXfrm>
    </dsp:sp>
    <dsp:sp modelId="{4B0BA49E-53FB-4A48-8A53-1DCC68267D3A}">
      <dsp:nvSpPr>
        <dsp:cNvPr id="0" name=""/>
        <dsp:cNvSpPr/>
      </dsp:nvSpPr>
      <dsp:spPr>
        <a:xfrm>
          <a:off x="5465397" y="63030"/>
          <a:ext cx="1596851" cy="57837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dirty="0">
              <a:latin typeface="Aptos" panose="020B0004020202020204" pitchFamily="34" charset="0"/>
            </a:rPr>
            <a:t>Compliance with Laws and Regulations:</a:t>
          </a:r>
          <a:endParaRPr lang="en-GB" sz="1100" kern="1200" dirty="0">
            <a:latin typeface="Aptos" panose="020B0004020202020204" pitchFamily="34" charset="0"/>
          </a:endParaRPr>
        </a:p>
      </dsp:txBody>
      <dsp:txXfrm>
        <a:off x="5465397" y="63030"/>
        <a:ext cx="1596851" cy="578376"/>
      </dsp:txXfrm>
    </dsp:sp>
    <dsp:sp modelId="{0426731F-8A3C-42F1-804E-8F6D7BF28D02}">
      <dsp:nvSpPr>
        <dsp:cNvPr id="0" name=""/>
        <dsp:cNvSpPr/>
      </dsp:nvSpPr>
      <dsp:spPr>
        <a:xfrm>
          <a:off x="5465397" y="641407"/>
          <a:ext cx="1596851" cy="141963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US" sz="1100" u="none" kern="1200"/>
            <a:t>The GDPR of the UK will be included </a:t>
          </a:r>
          <a:endParaRPr lang="en-GB" sz="1100" kern="1200">
            <a:latin typeface="Aptos" panose="020B0004020202020204" pitchFamily="34" charset="0"/>
          </a:endParaRPr>
        </a:p>
      </dsp:txBody>
      <dsp:txXfrm>
        <a:off x="5465397" y="641407"/>
        <a:ext cx="1596851" cy="1419636"/>
      </dsp:txXfrm>
    </dsp:sp>
    <dsp:sp modelId="{527B8B4B-D6E7-4EB7-86F6-6A7D2579D756}">
      <dsp:nvSpPr>
        <dsp:cNvPr id="0" name=""/>
        <dsp:cNvSpPr/>
      </dsp:nvSpPr>
      <dsp:spPr>
        <a:xfrm>
          <a:off x="7285807" y="63030"/>
          <a:ext cx="1596851" cy="57837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dirty="0">
              <a:latin typeface="Aptos" panose="020B0004020202020204" pitchFamily="34" charset="0"/>
            </a:rPr>
            <a:t>Informed Consent</a:t>
          </a:r>
          <a:endParaRPr lang="en-GB" sz="1100" kern="1200" dirty="0">
            <a:latin typeface="Aptos" panose="020B0004020202020204" pitchFamily="34" charset="0"/>
          </a:endParaRPr>
        </a:p>
      </dsp:txBody>
      <dsp:txXfrm>
        <a:off x="7285807" y="63030"/>
        <a:ext cx="1596851" cy="578376"/>
      </dsp:txXfrm>
    </dsp:sp>
    <dsp:sp modelId="{3FAC58C7-563C-4DE2-B8E2-03C2F5DF4A75}">
      <dsp:nvSpPr>
        <dsp:cNvPr id="0" name=""/>
        <dsp:cNvSpPr/>
      </dsp:nvSpPr>
      <dsp:spPr>
        <a:xfrm>
          <a:off x="7285807" y="641407"/>
          <a:ext cx="1596851" cy="141963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US" sz="1100" kern="1200"/>
            <a:t>Informed consent would have been considered if the primary method had been used.</a:t>
          </a:r>
          <a:endParaRPr lang="en-GB" sz="1100" kern="1200">
            <a:latin typeface="Aptos" panose="020B0004020202020204" pitchFamily="34" charset="0"/>
          </a:endParaRPr>
        </a:p>
      </dsp:txBody>
      <dsp:txXfrm>
        <a:off x="7285807" y="641407"/>
        <a:ext cx="1596851" cy="1419636"/>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5918A089-CD5B-4B49-B59C-0339224FABA6}">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1</Pages>
  <Words>757</Words>
  <Characters>4315</Characters>
  <Application>Microsoft Office Word</Application>
  <DocSecurity>0</DocSecurity>
  <Lines>35</Lines>
  <Paragraphs>10</Paragraphs>
  <ScaleCrop>false</ScaleCrop>
  <Company/>
  <LinksUpToDate>false</LinksUpToDate>
  <CharactersWithSpaces>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2026-03-31T17:36:00Z</dcterms:created>
  <dcterms:modified xsi:type="dcterms:W3CDTF">2026-03-31T17:36:00Z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