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4537A2" w14:textId="556176E4" w:rsidR="005E4BA6" w:rsidRDefault="0019044C" w:rsidP="00321AF5">
      <w:pPr>
        <w:pStyle w:val="Heading"/>
        <w:jc w:val="center"/>
        <w:rPr>
          <w:lang w:val="en-US"/>
        </w:rPr>
      </w:pPr>
      <w:r>
        <w:rPr>
          <w:lang w:val="en-US"/>
        </w:rPr>
        <w:t xml:space="preserve"> </w:t>
      </w:r>
      <w:r w:rsidR="008D7C88">
        <w:rPr>
          <w:lang w:val="en-US"/>
        </w:rPr>
        <w:t>ELECTRIC VEHICLE BUSINESS ENVIRONMENT</w:t>
      </w:r>
    </w:p>
    <w:p w14:paraId="171AF4A7" w14:textId="00286CC2" w:rsidR="00321AF5" w:rsidRDefault="00321AF5" w:rsidP="00321AF5">
      <w:pPr>
        <w:pStyle w:val="BodyA"/>
      </w:pPr>
    </w:p>
    <w:p w14:paraId="06B53F74" w14:textId="77777777" w:rsidR="00777A19" w:rsidRDefault="00321AF5" w:rsidP="00777A19">
      <w:pPr>
        <w:pStyle w:val="BodyA"/>
        <w:ind w:left="2160"/>
        <w:jc w:val="center"/>
        <w:rPr>
          <w:rFonts w:ascii="Georgia" w:hAnsi="Georgia"/>
          <w:sz w:val="28"/>
          <w:szCs w:val="28"/>
        </w:rPr>
      </w:pPr>
      <w:bookmarkStart w:id="0" w:name="_GoBack"/>
      <w:r w:rsidRPr="00777A19">
        <w:rPr>
          <w:rFonts w:ascii="Georgia" w:hAnsi="Georgia"/>
          <w:sz w:val="28"/>
          <w:szCs w:val="28"/>
        </w:rPr>
        <w:t xml:space="preserve">NAME: Iva </w:t>
      </w:r>
      <w:proofErr w:type="spellStart"/>
      <w:r w:rsidR="0007543A" w:rsidRPr="00777A19">
        <w:rPr>
          <w:rFonts w:ascii="Georgia" w:hAnsi="Georgia"/>
          <w:sz w:val="28"/>
          <w:szCs w:val="28"/>
        </w:rPr>
        <w:t>T</w:t>
      </w:r>
      <w:r w:rsidRPr="00777A19">
        <w:rPr>
          <w:rFonts w:ascii="Georgia" w:hAnsi="Georgia"/>
          <w:sz w:val="28"/>
          <w:szCs w:val="28"/>
        </w:rPr>
        <w:t>yufekchieva</w:t>
      </w:r>
      <w:proofErr w:type="spellEnd"/>
    </w:p>
    <w:p w14:paraId="75EFCCB4" w14:textId="29B7AEAF" w:rsidR="0007543A" w:rsidRPr="00777A19" w:rsidRDefault="0007543A" w:rsidP="00777A19">
      <w:pPr>
        <w:pStyle w:val="BodyA"/>
        <w:ind w:left="2160"/>
        <w:jc w:val="center"/>
        <w:rPr>
          <w:rFonts w:ascii="Georgia" w:hAnsi="Georgia"/>
          <w:sz w:val="28"/>
          <w:szCs w:val="28"/>
        </w:rPr>
      </w:pPr>
      <w:r w:rsidRPr="00777A19">
        <w:rPr>
          <w:rFonts w:ascii="Georgia" w:hAnsi="Georgia"/>
          <w:sz w:val="28"/>
          <w:szCs w:val="28"/>
        </w:rPr>
        <w:t>STUDENT NUMBER: 1818050</w:t>
      </w:r>
    </w:p>
    <w:bookmarkEnd w:id="0"/>
    <w:p w14:paraId="7A740283" w14:textId="77777777" w:rsidR="005E4BA6" w:rsidRDefault="005E4BA6" w:rsidP="00BF3609"/>
    <w:p w14:paraId="4F91526D" w14:textId="77777777" w:rsidR="005E4BA6" w:rsidRDefault="005E4BA6" w:rsidP="00BF3609"/>
    <w:p w14:paraId="15140AF9" w14:textId="77777777" w:rsidR="005E4BA6" w:rsidRDefault="005E4BA6" w:rsidP="00BF3609"/>
    <w:p w14:paraId="3CF5B119" w14:textId="77777777" w:rsidR="005E4BA6" w:rsidRDefault="005E4BA6" w:rsidP="00BF3609"/>
    <w:p w14:paraId="3897E03A" w14:textId="77777777" w:rsidR="005E4BA6" w:rsidRDefault="005E4BA6" w:rsidP="00BF3609"/>
    <w:p w14:paraId="3581EA3C" w14:textId="77777777" w:rsidR="005E4BA6" w:rsidRDefault="005E4BA6" w:rsidP="00BF3609"/>
    <w:p w14:paraId="5403DF7B" w14:textId="77777777" w:rsidR="005E4BA6" w:rsidRDefault="005E4BA6" w:rsidP="00BF3609"/>
    <w:p w14:paraId="33A149CD" w14:textId="77777777" w:rsidR="005E4BA6" w:rsidRDefault="005E4BA6" w:rsidP="00BF3609"/>
    <w:p w14:paraId="4D990853" w14:textId="77777777" w:rsidR="005E4BA6" w:rsidRDefault="005E4BA6" w:rsidP="00BF3609"/>
    <w:p w14:paraId="02E1439B" w14:textId="77777777" w:rsidR="005E4BA6" w:rsidRDefault="005E4BA6" w:rsidP="00BF3609"/>
    <w:p w14:paraId="16EB308E" w14:textId="77777777" w:rsidR="005E4BA6" w:rsidRDefault="005E4BA6" w:rsidP="00BF3609"/>
    <w:p w14:paraId="57B2879C" w14:textId="77777777" w:rsidR="005E4BA6" w:rsidRDefault="005E4BA6" w:rsidP="00BF3609"/>
    <w:p w14:paraId="77095C36" w14:textId="77777777" w:rsidR="005E4BA6" w:rsidRDefault="005E4BA6" w:rsidP="00BF3609"/>
    <w:p w14:paraId="3D237D14" w14:textId="77777777" w:rsidR="005E4BA6" w:rsidRDefault="005E4BA6" w:rsidP="00BF3609"/>
    <w:p w14:paraId="15822CAE" w14:textId="6560B1E7" w:rsidR="005E4BA6" w:rsidRDefault="005E4BA6" w:rsidP="00BF3609"/>
    <w:p w14:paraId="4995E739" w14:textId="16D45CA9" w:rsidR="00BF3609" w:rsidRDefault="00BF3609" w:rsidP="00BF3609"/>
    <w:p w14:paraId="6BF388E6" w14:textId="78D7C0A9" w:rsidR="00BF3609" w:rsidRDefault="00BF3609" w:rsidP="00BF3609"/>
    <w:p w14:paraId="0806FCD3" w14:textId="77777777" w:rsidR="00BF3609" w:rsidRDefault="00BF3609" w:rsidP="00BF3609"/>
    <w:p w14:paraId="3DF8BC78" w14:textId="77777777" w:rsidR="005E4BA6" w:rsidRDefault="005E4BA6" w:rsidP="00BF3609"/>
    <w:p w14:paraId="0A631659" w14:textId="7D3B2BD0" w:rsidR="005E4BA6" w:rsidRDefault="005E4BA6" w:rsidP="00BF3609"/>
    <w:p w14:paraId="620CD208" w14:textId="20E26655" w:rsidR="00BF3609" w:rsidRDefault="00BF3609" w:rsidP="00BF3609"/>
    <w:p w14:paraId="287C9429" w14:textId="4E4CB519" w:rsidR="00BF3609" w:rsidRDefault="00BF3609" w:rsidP="00BF3609"/>
    <w:p w14:paraId="6FCC4F81" w14:textId="0C12F663" w:rsidR="00BF3609" w:rsidRDefault="00BF3609" w:rsidP="00BF3609"/>
    <w:p w14:paraId="4E82E471" w14:textId="0E82B0E6" w:rsidR="00BF3609" w:rsidRDefault="00BF3609" w:rsidP="00BF3609"/>
    <w:p w14:paraId="46C925F8" w14:textId="2DC280B3" w:rsidR="00BF3609" w:rsidRDefault="00BF3609" w:rsidP="00BF3609"/>
    <w:p w14:paraId="19D01232" w14:textId="5E56C05C" w:rsidR="00BF3609" w:rsidRDefault="00BF3609" w:rsidP="00BF3609"/>
    <w:p w14:paraId="411E6C1A" w14:textId="472603C0" w:rsidR="00BF3609" w:rsidRDefault="00BF3609" w:rsidP="00BF3609"/>
    <w:p w14:paraId="186AC295" w14:textId="52B77BD6" w:rsidR="00BF3609" w:rsidRDefault="00BF3609" w:rsidP="00BF3609"/>
    <w:p w14:paraId="641692F0" w14:textId="510FE4FE" w:rsidR="00BF3609" w:rsidRDefault="00BF3609" w:rsidP="00BF3609"/>
    <w:p w14:paraId="69D0BC03" w14:textId="07C9B3D5" w:rsidR="00BF3609" w:rsidRDefault="00BF3609" w:rsidP="00BF3609"/>
    <w:p w14:paraId="6004A5B4" w14:textId="2D55D47E" w:rsidR="00BF3609" w:rsidRDefault="00BF3609" w:rsidP="00BF3609"/>
    <w:p w14:paraId="50C5A10B" w14:textId="48BFF079" w:rsidR="00BF3609" w:rsidRDefault="00BF3609" w:rsidP="00BF3609"/>
    <w:p w14:paraId="067924C2" w14:textId="7083CEEF" w:rsidR="00BF3609" w:rsidRDefault="00BF3609" w:rsidP="00BF3609"/>
    <w:p w14:paraId="0BA6AA54" w14:textId="13E1039A" w:rsidR="00BF3609" w:rsidRDefault="00BF3609" w:rsidP="00BF3609"/>
    <w:p w14:paraId="3A53EF6E" w14:textId="4115298D" w:rsidR="00BF3609" w:rsidRDefault="00BF3609" w:rsidP="00BF3609"/>
    <w:p w14:paraId="63E7D0D9" w14:textId="4F4411BD" w:rsidR="00BF3609" w:rsidRDefault="00BF3609" w:rsidP="00BF3609"/>
    <w:p w14:paraId="016951A3" w14:textId="406D82C0" w:rsidR="00BF3609" w:rsidRDefault="00BF3609" w:rsidP="00BF3609"/>
    <w:p w14:paraId="443DE3DB" w14:textId="155B2147" w:rsidR="00BF3609" w:rsidRDefault="00BF3609" w:rsidP="00BF3609"/>
    <w:p w14:paraId="641856AA" w14:textId="14C1A89A" w:rsidR="00BF3609" w:rsidRDefault="00BF3609" w:rsidP="00BF3609"/>
    <w:p w14:paraId="646DE48D" w14:textId="77777777" w:rsidR="00BF3609" w:rsidRDefault="00BF3609" w:rsidP="00BF3609"/>
    <w:p w14:paraId="165D0424" w14:textId="77777777" w:rsidR="005E4BA6" w:rsidRDefault="008D7C88" w:rsidP="00BF3609">
      <w:pPr>
        <w:pStyle w:val="Heading1"/>
      </w:pPr>
      <w:r>
        <w:t>Introduction</w:t>
      </w:r>
    </w:p>
    <w:p w14:paraId="09748836" w14:textId="0B85E4C6" w:rsidR="005E4BA6" w:rsidRDefault="008D7C88">
      <w:pPr>
        <w:pStyle w:val="BodyA"/>
      </w:pPr>
      <w:r>
        <w:t>Vehicle electrification has become a key trend in the automotive sector, boosted by clean energy and climate change concerns and several government policies such as support for zero-emission vehicles and carbon taxes, all which are intended to reduce greenhouse gas emissions. According to Deloitte (2019), EV production will likely reach 35million units by 2030, up from 2million in 2018. Its already stated that EVs have fewer moving parts than ICE vehicles and their assembly requires just as fewer manhours than their gas-powered counterparts. The implications are far reaching. New opportunities that will arise out of this shift include demand for energy and utilities, charging infrastructure, battery life cycle management, and increase in market share for electrical component suppliers. On the other hand, demand for oil will likely lead to de-investment in the oil sector and discontinuation of businesses that supply auto spare parts and ICE components such as the exhaust or fuel systems.</w:t>
      </w:r>
    </w:p>
    <w:p w14:paraId="63A225FB" w14:textId="42FC7E78" w:rsidR="00BF3609" w:rsidRPr="00BF3609" w:rsidRDefault="00BF3609" w:rsidP="00BF3609">
      <w:pPr>
        <w:pStyle w:val="Caption"/>
        <w:keepNext/>
        <w:rPr>
          <w:sz w:val="24"/>
          <w:szCs w:val="24"/>
        </w:rPr>
      </w:pPr>
      <w:r w:rsidRPr="00BF3609">
        <w:rPr>
          <w:sz w:val="24"/>
          <w:szCs w:val="24"/>
        </w:rPr>
        <w:lastRenderedPageBreak/>
        <w:t xml:space="preserve">Figure </w:t>
      </w:r>
      <w:r w:rsidRPr="00BF3609">
        <w:rPr>
          <w:sz w:val="24"/>
          <w:szCs w:val="24"/>
        </w:rPr>
        <w:fldChar w:fldCharType="begin"/>
      </w:r>
      <w:r w:rsidRPr="00BF3609">
        <w:rPr>
          <w:sz w:val="24"/>
          <w:szCs w:val="24"/>
        </w:rPr>
        <w:instrText xml:space="preserve"> SEQ Figure \* ARABIC </w:instrText>
      </w:r>
      <w:r w:rsidRPr="00BF3609">
        <w:rPr>
          <w:sz w:val="24"/>
          <w:szCs w:val="24"/>
        </w:rPr>
        <w:fldChar w:fldCharType="separate"/>
      </w:r>
      <w:r w:rsidR="00934E49">
        <w:rPr>
          <w:noProof/>
          <w:sz w:val="24"/>
          <w:szCs w:val="24"/>
        </w:rPr>
        <w:t>1</w:t>
      </w:r>
      <w:r w:rsidRPr="00BF3609">
        <w:rPr>
          <w:sz w:val="24"/>
          <w:szCs w:val="24"/>
        </w:rPr>
        <w:fldChar w:fldCharType="end"/>
      </w:r>
      <w:r w:rsidRPr="00BF3609">
        <w:rPr>
          <w:sz w:val="24"/>
          <w:szCs w:val="24"/>
        </w:rPr>
        <w:t>: EV global sales since 2010-2017</w:t>
      </w:r>
    </w:p>
    <w:p w14:paraId="7619C0B4" w14:textId="26E449BF" w:rsidR="005E4BA6" w:rsidRDefault="00BF3609" w:rsidP="00BF3609">
      <w:r>
        <w:rPr>
          <w:noProof/>
        </w:rPr>
        <w:drawing>
          <wp:inline distT="0" distB="0" distL="0" distR="0" wp14:anchorId="7E3F35DF" wp14:editId="4A67BE2E">
            <wp:extent cx="5727700" cy="3540125"/>
            <wp:effectExtent l="19050" t="19050" r="25400" b="22225"/>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Screen Shot 2020-01-06 at 10.56.03 AM.png"/>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5727700" cy="3540125"/>
                    </a:xfrm>
                    <a:prstGeom prst="rect">
                      <a:avLst/>
                    </a:prstGeom>
                    <a:ln w="9525" cap="flat">
                      <a:solidFill>
                        <a:srgbClr val="000000"/>
                      </a:solidFill>
                      <a:prstDash val="solid"/>
                      <a:miter lim="400000"/>
                    </a:ln>
                    <a:effectLst/>
                  </pic:spPr>
                </pic:pic>
              </a:graphicData>
            </a:graphic>
          </wp:inline>
        </w:drawing>
      </w:r>
      <w:r w:rsidR="008D7C88">
        <w:t xml:space="preserve"> </w:t>
      </w:r>
    </w:p>
    <w:p w14:paraId="65576560" w14:textId="4CE4C103" w:rsidR="005E4BA6" w:rsidRPr="00BF3609" w:rsidRDefault="008D7C88">
      <w:pPr>
        <w:pStyle w:val="Body"/>
        <w:spacing w:after="240" w:line="480" w:lineRule="auto"/>
        <w:rPr>
          <w:i/>
          <w:iCs/>
          <w:sz w:val="22"/>
          <w:szCs w:val="22"/>
        </w:rPr>
      </w:pPr>
      <w:r>
        <w:rPr>
          <w:i/>
          <w:iCs/>
          <w:sz w:val="22"/>
          <w:szCs w:val="22"/>
          <w:lang w:val="en-US"/>
        </w:rPr>
        <w:t>Source: McKinsey 2019</w:t>
      </w:r>
    </w:p>
    <w:p w14:paraId="64D8F3A2" w14:textId="2CD93381" w:rsidR="005E4BA6" w:rsidRDefault="00BF3609" w:rsidP="00BF3609">
      <w:pPr>
        <w:pStyle w:val="Heading1"/>
      </w:pPr>
      <w:r>
        <w:t xml:space="preserve">PART 1: </w:t>
      </w:r>
      <w:r w:rsidR="008D7C88">
        <w:t>Business environment</w:t>
      </w:r>
    </w:p>
    <w:p w14:paraId="69B31107" w14:textId="59DCB792" w:rsidR="005E4BA6" w:rsidRPr="00BF3609" w:rsidRDefault="008D7C88">
      <w:pPr>
        <w:pStyle w:val="Body"/>
        <w:spacing w:line="480" w:lineRule="auto"/>
      </w:pPr>
      <w:r>
        <w:rPr>
          <w:lang w:val="en-US"/>
        </w:rPr>
        <w:t xml:space="preserve">Business environment sums up all external and internal factors that influence an organizations performance (Worthington and Britton 2014). The business environment is made up of a wide range of influences, political, economic, social, technological, </w:t>
      </w:r>
      <w:proofErr w:type="spellStart"/>
      <w:r>
        <w:rPr>
          <w:lang w:val="en-US"/>
        </w:rPr>
        <w:t>etc</w:t>
      </w:r>
      <w:proofErr w:type="spellEnd"/>
      <w:r>
        <w:rPr>
          <w:lang w:val="en-US"/>
        </w:rPr>
        <w:t xml:space="preserve"> which have potential to impact the day today business activities as illustrated below (Worthington and Britton 2014).</w:t>
      </w:r>
    </w:p>
    <w:p w14:paraId="656D9A58" w14:textId="568D6E84" w:rsidR="005E4BA6" w:rsidRDefault="00BF3609" w:rsidP="00BF3609">
      <w:pPr>
        <w:pStyle w:val="Heading2"/>
      </w:pPr>
      <w:r>
        <w:t xml:space="preserve">A. </w:t>
      </w:r>
      <w:r w:rsidR="008D7C88">
        <w:t>PESTLE Analysis</w:t>
      </w:r>
    </w:p>
    <w:p w14:paraId="38C70ED7" w14:textId="77777777" w:rsidR="005E4BA6" w:rsidRDefault="008D7C88" w:rsidP="00BF3609">
      <w:pPr>
        <w:pStyle w:val="Heading3"/>
      </w:pPr>
      <w:r>
        <w:t>Political environment</w:t>
      </w:r>
    </w:p>
    <w:p w14:paraId="47912506" w14:textId="77777777" w:rsidR="005E4BA6" w:rsidRDefault="008D7C88">
      <w:pPr>
        <w:pStyle w:val="Heading4"/>
      </w:pPr>
      <w:r>
        <w:t>Tough emission targets by several governments</w:t>
      </w:r>
    </w:p>
    <w:p w14:paraId="148CFD50" w14:textId="77777777" w:rsidR="00BF3609" w:rsidRDefault="008D7C88" w:rsidP="00BF3609">
      <w:pPr>
        <w:pStyle w:val="BodyA"/>
      </w:pPr>
      <w:r>
        <w:t xml:space="preserve">In order to reach emission targets, several governments have increased their support for zero emission vehicles through banning diesel engine vehicles, supporting EVs deployment and </w:t>
      </w:r>
      <w:r>
        <w:lastRenderedPageBreak/>
        <w:t>investing in charging infrastructure (Fredriksson et al 2018). Several countries and cities across the world have set tougher emission targets, setting end dates for the sale of diesel engine vehicles. In Europe, Norway, BEVs are set to account for 100% of all new car sales by 2025 while France and the UK have planned to end the sale of diesel vehicles by 2040 (</w:t>
      </w:r>
      <w:proofErr w:type="spellStart"/>
      <w:r>
        <w:t>Hertzke</w:t>
      </w:r>
      <w:proofErr w:type="spellEnd"/>
      <w:r>
        <w:t xml:space="preserve"> et al 2018). Because of this pressure, OEMs are ramping up their EV portfolios in order to meet regulator demand, in fact, incumbent OEMs will produce more than 300 EV models by 2025 (</w:t>
      </w:r>
      <w:proofErr w:type="spellStart"/>
      <w:r>
        <w:t>Tschiesner</w:t>
      </w:r>
      <w:proofErr w:type="spellEnd"/>
      <w:r>
        <w:t xml:space="preserve"> et al 2018).</w:t>
      </w:r>
    </w:p>
    <w:p w14:paraId="7FDEAF0A" w14:textId="2734763F" w:rsidR="00BF3609" w:rsidRPr="00BF3609" w:rsidRDefault="00BF3609" w:rsidP="00BF3609">
      <w:pPr>
        <w:pStyle w:val="Caption"/>
        <w:keepNext/>
        <w:rPr>
          <w:sz w:val="24"/>
          <w:szCs w:val="24"/>
        </w:rPr>
      </w:pPr>
      <w:r w:rsidRPr="00BF3609">
        <w:rPr>
          <w:sz w:val="24"/>
          <w:szCs w:val="24"/>
        </w:rPr>
        <w:t xml:space="preserve">Figure </w:t>
      </w:r>
      <w:r w:rsidRPr="00BF3609">
        <w:rPr>
          <w:sz w:val="24"/>
          <w:szCs w:val="24"/>
        </w:rPr>
        <w:fldChar w:fldCharType="begin"/>
      </w:r>
      <w:r w:rsidRPr="00BF3609">
        <w:rPr>
          <w:sz w:val="24"/>
          <w:szCs w:val="24"/>
        </w:rPr>
        <w:instrText xml:space="preserve"> SEQ Figure \* ARABIC </w:instrText>
      </w:r>
      <w:r w:rsidRPr="00BF3609">
        <w:rPr>
          <w:sz w:val="24"/>
          <w:szCs w:val="24"/>
        </w:rPr>
        <w:fldChar w:fldCharType="separate"/>
      </w:r>
      <w:r w:rsidR="00934E49">
        <w:rPr>
          <w:noProof/>
          <w:sz w:val="24"/>
          <w:szCs w:val="24"/>
        </w:rPr>
        <w:t>2</w:t>
      </w:r>
      <w:r w:rsidRPr="00BF3609">
        <w:rPr>
          <w:sz w:val="24"/>
          <w:szCs w:val="24"/>
        </w:rPr>
        <w:fldChar w:fldCharType="end"/>
      </w:r>
      <w:r w:rsidRPr="00BF3609">
        <w:rPr>
          <w:sz w:val="24"/>
          <w:szCs w:val="24"/>
        </w:rPr>
        <w:t>: Global EV deployment forecasts</w:t>
      </w:r>
    </w:p>
    <w:p w14:paraId="6C1E7225" w14:textId="5F993B83" w:rsidR="005E4BA6" w:rsidRDefault="008D7C88" w:rsidP="00BF3609">
      <w:pPr>
        <w:pStyle w:val="BodyA"/>
      </w:pPr>
      <w:r>
        <w:rPr>
          <w:noProof/>
        </w:rPr>
        <w:drawing>
          <wp:inline distT="0" distB="0" distL="0" distR="0" wp14:anchorId="7D79506C" wp14:editId="1C7F3401">
            <wp:extent cx="5042468" cy="4480357"/>
            <wp:effectExtent l="19050" t="19050" r="25400" b="15875"/>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Screen Shot 2020-01-06 at 11.44.38 AM.png"/>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5042468" cy="4480357"/>
                    </a:xfrm>
                    <a:prstGeom prst="rect">
                      <a:avLst/>
                    </a:prstGeom>
                    <a:ln w="9525" cap="flat">
                      <a:solidFill>
                        <a:srgbClr val="000000"/>
                      </a:solidFill>
                      <a:prstDash val="solid"/>
                      <a:miter lim="400000"/>
                    </a:ln>
                    <a:effectLst/>
                  </pic:spPr>
                </pic:pic>
              </a:graphicData>
            </a:graphic>
          </wp:inline>
        </w:drawing>
      </w:r>
    </w:p>
    <w:p w14:paraId="19A779F4" w14:textId="77777777" w:rsidR="005E4BA6" w:rsidRDefault="005E4BA6">
      <w:pPr>
        <w:pStyle w:val="BodyA"/>
      </w:pPr>
    </w:p>
    <w:p w14:paraId="48FE5690" w14:textId="77777777" w:rsidR="005E4BA6" w:rsidRDefault="008D7C88" w:rsidP="00BF3609">
      <w:pPr>
        <w:pStyle w:val="Heading3"/>
      </w:pPr>
      <w:r>
        <w:lastRenderedPageBreak/>
        <w:t>Economic environment</w:t>
      </w:r>
    </w:p>
    <w:p w14:paraId="604BB2BE" w14:textId="77777777" w:rsidR="005E4BA6" w:rsidRDefault="008D7C88">
      <w:pPr>
        <w:pStyle w:val="Heading4"/>
      </w:pPr>
      <w:r>
        <w:t>Declining battery costs</w:t>
      </w:r>
    </w:p>
    <w:p w14:paraId="53151A75" w14:textId="2DC2580D" w:rsidR="005E4BA6" w:rsidRDefault="008D7C88">
      <w:pPr>
        <w:pStyle w:val="BodyA"/>
      </w:pPr>
      <w:r>
        <w:t>Battery costs, the major cause of EV premium costs are experiencing a major decline through the years, falling by 87% from above $1,100 per kilowatt-hour in 2010, to $156/kWh in 2019 (Scott 2019). As noted by several analysts, the average price will continue to go down, reaching an average of at leas</w:t>
      </w:r>
      <w:r w:rsidR="007C081B">
        <w:t>t</w:t>
      </w:r>
      <w:r>
        <w:t xml:space="preserve"> $100/kWh by 2023 (Scott 2019). This decline has been</w:t>
      </w:r>
      <w:r w:rsidR="007C081B">
        <w:t xml:space="preserve"> a</w:t>
      </w:r>
      <w:r>
        <w:t xml:space="preserve"> result of scaling up of manufacturing capacities, as manufacturers continue to see bigger orders as the electric vehicle continues to grow and high energy density cathodes increasingly become commonplace (</w:t>
      </w:r>
      <w:proofErr w:type="spellStart"/>
      <w:r>
        <w:t>Tschiesner</w:t>
      </w:r>
      <w:proofErr w:type="spellEnd"/>
      <w:r>
        <w:t xml:space="preserve"> et al 2018). Declining battery costs, introduction of new pack designs as well as declining manufacturing costs will continue to drive prices down, making EVs more affordable. </w:t>
      </w:r>
    </w:p>
    <w:p w14:paraId="10274D51" w14:textId="594DD71F" w:rsidR="00BF3609" w:rsidRPr="00BF3609" w:rsidRDefault="00BF3609" w:rsidP="00BF3609">
      <w:pPr>
        <w:pStyle w:val="Caption"/>
        <w:keepNext/>
        <w:rPr>
          <w:sz w:val="24"/>
          <w:szCs w:val="24"/>
        </w:rPr>
      </w:pPr>
      <w:r w:rsidRPr="00BF3609">
        <w:rPr>
          <w:sz w:val="24"/>
          <w:szCs w:val="24"/>
        </w:rPr>
        <w:t xml:space="preserve">Figure </w:t>
      </w:r>
      <w:r w:rsidRPr="00BF3609">
        <w:rPr>
          <w:sz w:val="24"/>
          <w:szCs w:val="24"/>
        </w:rPr>
        <w:fldChar w:fldCharType="begin"/>
      </w:r>
      <w:r w:rsidRPr="00BF3609">
        <w:rPr>
          <w:sz w:val="24"/>
          <w:szCs w:val="24"/>
        </w:rPr>
        <w:instrText xml:space="preserve"> SEQ Figure \* ARABIC </w:instrText>
      </w:r>
      <w:r w:rsidRPr="00BF3609">
        <w:rPr>
          <w:sz w:val="24"/>
          <w:szCs w:val="24"/>
        </w:rPr>
        <w:fldChar w:fldCharType="separate"/>
      </w:r>
      <w:r w:rsidR="00934E49">
        <w:rPr>
          <w:noProof/>
          <w:sz w:val="24"/>
          <w:szCs w:val="24"/>
        </w:rPr>
        <w:t>3</w:t>
      </w:r>
      <w:r w:rsidRPr="00BF3609">
        <w:rPr>
          <w:sz w:val="24"/>
          <w:szCs w:val="24"/>
        </w:rPr>
        <w:fldChar w:fldCharType="end"/>
      </w:r>
      <w:r w:rsidRPr="00BF3609">
        <w:rPr>
          <w:sz w:val="24"/>
          <w:szCs w:val="24"/>
        </w:rPr>
        <w:t>: Declining car battery costs</w:t>
      </w:r>
    </w:p>
    <w:p w14:paraId="38099403" w14:textId="4EC51B83" w:rsidR="005E4BA6" w:rsidRPr="00BF3609" w:rsidRDefault="008D7C88">
      <w:pPr>
        <w:pStyle w:val="BodyA"/>
        <w:rPr>
          <w:i/>
          <w:iCs/>
        </w:rPr>
      </w:pPr>
      <w:r>
        <w:rPr>
          <w:noProof/>
        </w:rPr>
        <w:drawing>
          <wp:inline distT="0" distB="0" distL="0" distR="0" wp14:anchorId="0F579983" wp14:editId="5A2C0442">
            <wp:extent cx="5727700" cy="2996539"/>
            <wp:effectExtent l="19050" t="19050" r="25400" b="1397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Screen Shot 2020-01-06 at 12.21.08 PM.png"/>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727700" cy="2996539"/>
                    </a:xfrm>
                    <a:prstGeom prst="rect">
                      <a:avLst/>
                    </a:prstGeom>
                    <a:ln w="9525" cap="flat">
                      <a:solidFill>
                        <a:srgbClr val="000000"/>
                      </a:solidFill>
                      <a:prstDash val="solid"/>
                      <a:miter lim="400000"/>
                    </a:ln>
                    <a:effectLst/>
                  </pic:spPr>
                </pic:pic>
              </a:graphicData>
            </a:graphic>
          </wp:inline>
        </w:drawing>
      </w:r>
      <w:r w:rsidRPr="00BF3609">
        <w:rPr>
          <w:i/>
          <w:iCs/>
        </w:rPr>
        <w:t>Source: Bloomberg 2019</w:t>
      </w:r>
    </w:p>
    <w:p w14:paraId="627FF8E0" w14:textId="77777777" w:rsidR="005E4BA6" w:rsidRDefault="008D7C88" w:rsidP="00BF3609">
      <w:pPr>
        <w:pStyle w:val="Heading3"/>
      </w:pPr>
      <w:r>
        <w:t>Legal environment</w:t>
      </w:r>
    </w:p>
    <w:p w14:paraId="627B95A5" w14:textId="659BF317" w:rsidR="005E4BA6" w:rsidRDefault="008D7C88">
      <w:pPr>
        <w:pStyle w:val="BodyA"/>
      </w:pPr>
      <w:r>
        <w:t xml:space="preserve">Several governments have come up with policies and regulations in order to encourage the drive towards electrification. City access restrictions, fuel economy and emission targets, </w:t>
      </w:r>
      <w:r>
        <w:lastRenderedPageBreak/>
        <w:t>financial incentives are some of the policies put in place by governments to create a favorable environment for EVs adoption (</w:t>
      </w:r>
      <w:proofErr w:type="spellStart"/>
      <w:r>
        <w:t>Albrahim</w:t>
      </w:r>
      <w:proofErr w:type="spellEnd"/>
      <w:r>
        <w:t xml:space="preserve"> et al 2019; Deloitte 2019). </w:t>
      </w:r>
    </w:p>
    <w:p w14:paraId="3A28C6D7" w14:textId="77777777" w:rsidR="005E4BA6" w:rsidRDefault="008D7C88" w:rsidP="00BF3609">
      <w:pPr>
        <w:pStyle w:val="Heading3"/>
      </w:pPr>
      <w:r>
        <w:t>Environmental issues</w:t>
      </w:r>
    </w:p>
    <w:p w14:paraId="4960EF29" w14:textId="0D1A2903" w:rsidR="005E4BA6" w:rsidRDefault="008D7C88">
      <w:pPr>
        <w:pStyle w:val="BodyA"/>
      </w:pPr>
      <w:r>
        <w:t>The biggest driver for EV adoption up to date is climate change and the evolution of CO2 regulations globally. From the beginning of 2020 all car manufacturers in Europe will need to meet stricter regulations on how much carbon dioxide should be emitted. Failure to meet these regulations</w:t>
      </w:r>
      <w:r w:rsidR="007C081B">
        <w:t xml:space="preserve"> will lead to </w:t>
      </w:r>
      <w:r>
        <w:t>penalties of about €34 billion in penalties (</w:t>
      </w:r>
      <w:r w:rsidR="00FE791C" w:rsidRPr="00FE791C">
        <w:rPr>
          <w:rFonts w:eastAsia="Times New Roman"/>
          <w:lang w:val="en-GB"/>
        </w:rPr>
        <w:t>Dawson</w:t>
      </w:r>
      <w:r w:rsidR="00FE791C">
        <w:t xml:space="preserve"> </w:t>
      </w:r>
      <w:r w:rsidR="00FE791C" w:rsidRPr="00FE791C">
        <w:rPr>
          <w:rFonts w:eastAsia="Times New Roman"/>
          <w:lang w:val="en-GB"/>
        </w:rPr>
        <w:t xml:space="preserve">and </w:t>
      </w:r>
      <w:proofErr w:type="spellStart"/>
      <w:r w:rsidR="00FE791C" w:rsidRPr="00FE791C">
        <w:rPr>
          <w:rFonts w:eastAsia="Times New Roman"/>
          <w:lang w:val="en-GB"/>
        </w:rPr>
        <w:t>Sachgau</w:t>
      </w:r>
      <w:proofErr w:type="spellEnd"/>
      <w:r w:rsidR="00FE791C">
        <w:t xml:space="preserve"> </w:t>
      </w:r>
      <w:r w:rsidR="00FE791C" w:rsidRPr="00FE791C">
        <w:rPr>
          <w:rFonts w:eastAsia="Times New Roman"/>
          <w:lang w:val="en-GB"/>
        </w:rPr>
        <w:t>2019</w:t>
      </w:r>
      <w:r>
        <w:t xml:space="preserve">). </w:t>
      </w:r>
    </w:p>
    <w:p w14:paraId="0BCE8587" w14:textId="115BBD1E" w:rsidR="00BF3609" w:rsidRPr="00BF3609" w:rsidRDefault="00BF3609" w:rsidP="00BF3609">
      <w:pPr>
        <w:pStyle w:val="Caption"/>
        <w:keepNext/>
        <w:rPr>
          <w:sz w:val="24"/>
          <w:szCs w:val="24"/>
        </w:rPr>
      </w:pPr>
      <w:r w:rsidRPr="00BF3609">
        <w:rPr>
          <w:sz w:val="24"/>
          <w:szCs w:val="24"/>
        </w:rPr>
        <w:t xml:space="preserve">Figure </w:t>
      </w:r>
      <w:r w:rsidRPr="00BF3609">
        <w:rPr>
          <w:sz w:val="24"/>
          <w:szCs w:val="24"/>
        </w:rPr>
        <w:fldChar w:fldCharType="begin"/>
      </w:r>
      <w:r w:rsidRPr="00BF3609">
        <w:rPr>
          <w:sz w:val="24"/>
          <w:szCs w:val="24"/>
        </w:rPr>
        <w:instrText xml:space="preserve"> SEQ Figure \* ARABIC </w:instrText>
      </w:r>
      <w:r w:rsidRPr="00BF3609">
        <w:rPr>
          <w:sz w:val="24"/>
          <w:szCs w:val="24"/>
        </w:rPr>
        <w:fldChar w:fldCharType="separate"/>
      </w:r>
      <w:r w:rsidR="00934E49">
        <w:rPr>
          <w:noProof/>
          <w:sz w:val="24"/>
          <w:szCs w:val="24"/>
        </w:rPr>
        <w:t>4</w:t>
      </w:r>
      <w:r w:rsidRPr="00BF3609">
        <w:rPr>
          <w:sz w:val="24"/>
          <w:szCs w:val="24"/>
        </w:rPr>
        <w:fldChar w:fldCharType="end"/>
      </w:r>
      <w:r w:rsidRPr="00BF3609">
        <w:rPr>
          <w:sz w:val="24"/>
          <w:szCs w:val="24"/>
        </w:rPr>
        <w:t>: Likely fines for automakers</w:t>
      </w:r>
    </w:p>
    <w:p w14:paraId="41E48460" w14:textId="0934CCE2" w:rsidR="005E4BA6" w:rsidRPr="00BF3609" w:rsidRDefault="008D7C88">
      <w:pPr>
        <w:pStyle w:val="BodyA"/>
        <w:rPr>
          <w:i/>
          <w:iCs/>
          <w:sz w:val="20"/>
          <w:szCs w:val="20"/>
        </w:rPr>
      </w:pPr>
      <w:r>
        <w:rPr>
          <w:b/>
          <w:bCs/>
          <w:i/>
          <w:iCs/>
          <w:noProof/>
          <w:sz w:val="20"/>
          <w:szCs w:val="20"/>
        </w:rPr>
        <w:drawing>
          <wp:inline distT="0" distB="0" distL="0" distR="0" wp14:anchorId="222DF415" wp14:editId="04E24AB2">
            <wp:extent cx="5332096" cy="3749808"/>
            <wp:effectExtent l="19050" t="19050" r="20955" b="22225"/>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Screen Shot 2020-01-06 at 2.01.22 PM.png"/>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332096" cy="3749808"/>
                    </a:xfrm>
                    <a:prstGeom prst="rect">
                      <a:avLst/>
                    </a:prstGeom>
                    <a:ln w="9525" cap="flat">
                      <a:solidFill>
                        <a:srgbClr val="000000"/>
                      </a:solidFill>
                      <a:prstDash val="solid"/>
                      <a:miter lim="400000"/>
                    </a:ln>
                    <a:effectLst/>
                  </pic:spPr>
                </pic:pic>
              </a:graphicData>
            </a:graphic>
          </wp:inline>
        </w:drawing>
      </w:r>
      <w:r w:rsidR="00BF3609" w:rsidRPr="00BF3609">
        <w:rPr>
          <w:i/>
          <w:iCs/>
          <w:sz w:val="20"/>
          <w:szCs w:val="20"/>
        </w:rPr>
        <w:t>Source: Bloomberg 2019</w:t>
      </w:r>
    </w:p>
    <w:p w14:paraId="4FA6614A" w14:textId="77777777" w:rsidR="00BF3609" w:rsidRDefault="00BF3609">
      <w:pPr>
        <w:pStyle w:val="BodyA"/>
      </w:pPr>
    </w:p>
    <w:p w14:paraId="76B71DE7" w14:textId="33CC73CE" w:rsidR="005E4BA6" w:rsidRDefault="008D7C88">
      <w:pPr>
        <w:pStyle w:val="BodyA"/>
        <w:rPr>
          <w:color w:val="auto"/>
        </w:rPr>
      </w:pPr>
      <w:r>
        <w:t xml:space="preserve">As shown in the </w:t>
      </w:r>
      <w:r w:rsidR="00BF3609">
        <w:t>fig above</w:t>
      </w:r>
      <w:r>
        <w:t xml:space="preserve">, Volkswagen AG, is threatened by the largest penalties of about 9 billion euros followed by PSA and Renault Group. On the other hand, Central London in </w:t>
      </w:r>
      <w:r>
        <w:lastRenderedPageBreak/>
        <w:t xml:space="preserve">2019 launched </w:t>
      </w:r>
      <w:r w:rsidR="00BF3609">
        <w:t>ultra-low</w:t>
      </w:r>
      <w:r>
        <w:t xml:space="preserve"> emission zones where by vehicles driving through London must meet new, tighter emission standards or pay a daily charge of at least £12.50 to travel within </w:t>
      </w:r>
      <w:r w:rsidRPr="00D23B63">
        <w:rPr>
          <w:color w:val="auto"/>
        </w:rPr>
        <w:t>the area (</w:t>
      </w:r>
      <w:r w:rsidR="00D23B63" w:rsidRPr="00D23B63">
        <w:rPr>
          <w:rStyle w:val="Hyperlink0"/>
          <w:color w:val="auto"/>
          <w:u w:val="none"/>
        </w:rPr>
        <w:t>L</w:t>
      </w:r>
      <w:r w:rsidRPr="00D23B63">
        <w:rPr>
          <w:rStyle w:val="Hyperlink0"/>
          <w:color w:val="auto"/>
          <w:u w:val="none"/>
        </w:rPr>
        <w:t>ondon.gov</w:t>
      </w:r>
      <w:r w:rsidRPr="00D23B63">
        <w:rPr>
          <w:color w:val="auto"/>
        </w:rPr>
        <w:t xml:space="preserve"> 2020). </w:t>
      </w:r>
    </w:p>
    <w:p w14:paraId="458381B3" w14:textId="61137E07" w:rsidR="007817B9" w:rsidRDefault="007817B9">
      <w:pPr>
        <w:pStyle w:val="BodyA"/>
        <w:rPr>
          <w:color w:val="auto"/>
        </w:rPr>
      </w:pPr>
    </w:p>
    <w:p w14:paraId="43D6AFC1" w14:textId="77777777" w:rsidR="007817B9" w:rsidRPr="00D23B63" w:rsidRDefault="007817B9">
      <w:pPr>
        <w:pStyle w:val="BodyA"/>
        <w:rPr>
          <w:color w:val="auto"/>
        </w:rPr>
      </w:pPr>
    </w:p>
    <w:p w14:paraId="17201514" w14:textId="6F673EA3" w:rsidR="005E4BA6" w:rsidRDefault="000754F9" w:rsidP="00BF3609">
      <w:pPr>
        <w:pStyle w:val="Heading2"/>
      </w:pPr>
      <w:r>
        <w:t xml:space="preserve">B. </w:t>
      </w:r>
      <w:r w:rsidR="008D7C88">
        <w:t>Porters Five Forces</w:t>
      </w:r>
    </w:p>
    <w:p w14:paraId="7F63B7F5" w14:textId="77777777" w:rsidR="005E4BA6" w:rsidRDefault="008D7C88" w:rsidP="00BF3609">
      <w:pPr>
        <w:pStyle w:val="Heading3"/>
      </w:pPr>
      <w:r>
        <w:t>Threat of entry (High)</w:t>
      </w:r>
    </w:p>
    <w:p w14:paraId="2F95258B" w14:textId="161517D4" w:rsidR="005E4BA6" w:rsidRDefault="008D7C88">
      <w:pPr>
        <w:pStyle w:val="BodyA"/>
      </w:pPr>
      <w:r>
        <w:t xml:space="preserve">As noted by (Worthington and Britton 2014; Johnson et al 2017), the ease with which an industry can be entered determines the degree of competition.  High barriers are however good for incumbents because they protect them from competition from new entrants. Incumbents in the automobile have been protected by scale and experience, legislations, economies of scale, capital requirements etc. However, with the drive to electrification, the barriers have been eroded, leaving the industry vulnerable to high competition. Different governments have set up </w:t>
      </w:r>
      <w:r w:rsidR="00BF3609">
        <w:t>regulation, that</w:t>
      </w:r>
      <w:r>
        <w:t xml:space="preserve"> have opened the door for new entrants, on top of that, EVs require fewer manufacturing components, something that has made it easy for </w:t>
      </w:r>
      <w:r w:rsidR="00BF3609">
        <w:t>well-funded</w:t>
      </w:r>
      <w:r>
        <w:t xml:space="preserve"> tech companies </w:t>
      </w:r>
      <w:r w:rsidR="00BF3609">
        <w:t>without</w:t>
      </w:r>
      <w:r>
        <w:t xml:space="preserve"> scale or experience to enter the industry and compete (Fredriksson et al 2018). </w:t>
      </w:r>
    </w:p>
    <w:p w14:paraId="07CE22EF" w14:textId="77777777" w:rsidR="005E4BA6" w:rsidRDefault="008D7C88" w:rsidP="00BF3609">
      <w:pPr>
        <w:pStyle w:val="Heading3"/>
      </w:pPr>
      <w:r>
        <w:t>Threat of substitute (High)</w:t>
      </w:r>
    </w:p>
    <w:p w14:paraId="0A1EF1B6" w14:textId="77777777" w:rsidR="005E4BA6" w:rsidRDefault="008D7C88">
      <w:pPr>
        <w:pStyle w:val="BodyA"/>
      </w:pPr>
      <w:r>
        <w:t xml:space="preserve">According to Grant (2016), the price that consumers are willing to pay for a product is highly dependent on the availability of accessible substitutes. In the case of EVs, the closest competitors are recent car models that have been built to comply to emission standards. These cars emit lower emissions which makes them acceptable, on top of that, they are cheaper than EVs which makes them more affordable for consumers. </w:t>
      </w:r>
    </w:p>
    <w:p w14:paraId="602B8026" w14:textId="6B46998A" w:rsidR="005E4BA6" w:rsidRDefault="008D7C88" w:rsidP="00BF3609">
      <w:pPr>
        <w:pStyle w:val="Heading3"/>
      </w:pPr>
      <w:r>
        <w:lastRenderedPageBreak/>
        <w:t>Bargaining power of buyers</w:t>
      </w:r>
      <w:r w:rsidR="00BF3609">
        <w:t xml:space="preserve"> (High)</w:t>
      </w:r>
    </w:p>
    <w:p w14:paraId="7FE01202" w14:textId="77777777" w:rsidR="005E4BA6" w:rsidRDefault="008D7C88">
      <w:pPr>
        <w:pStyle w:val="BodyA"/>
      </w:pPr>
      <w:r>
        <w:t xml:space="preserve">The extent to which customers are price sensitive highly depends of the intensity of competitiveness in an industry (Grant 2016). As competition in the automobile industry continues to intensify the consumer will gain more bargaining power, forcing EV manufacturers to push down their costs. As noted by analysts, EV supply will exceed demand by 2030, giving buyers more bargaining power, considering that some OEMs and new entrants will be forced out of the market (Deloitte 2019). </w:t>
      </w:r>
    </w:p>
    <w:p w14:paraId="521FDF9F" w14:textId="6839C232" w:rsidR="005E4BA6" w:rsidRDefault="008D7C88" w:rsidP="00BF3609">
      <w:pPr>
        <w:pStyle w:val="Heading3"/>
      </w:pPr>
      <w:r>
        <w:t>Bargaining power of suppliers</w:t>
      </w:r>
      <w:r w:rsidR="00BF3609">
        <w:t xml:space="preserve"> (High)</w:t>
      </w:r>
    </w:p>
    <w:p w14:paraId="2BD2AB35" w14:textId="7EF224B3" w:rsidR="005E4BA6" w:rsidRDefault="008D7C88">
      <w:pPr>
        <w:pStyle w:val="BodyA"/>
      </w:pPr>
      <w:r>
        <w:t xml:space="preserve">The major determinant of supplier bargaining power is the ease with which an industry can switch from one supplier to another (Johnson 2017). Being new technology on the market, suppliers of EV components are still few and manufacturers are currently highly dependent on them.  This can be evidenced by delays in the supply chain of European countries which were as a result in delays of battery suppliers (McKinsey 2019). </w:t>
      </w:r>
    </w:p>
    <w:p w14:paraId="4BFEDEEE" w14:textId="51FC4C77" w:rsidR="005E4BA6" w:rsidRDefault="008D7C88" w:rsidP="00BF3609">
      <w:pPr>
        <w:pStyle w:val="Heading3"/>
      </w:pPr>
      <w:r>
        <w:t>Competitive rivalry</w:t>
      </w:r>
      <w:r w:rsidR="00BF3609">
        <w:t xml:space="preserve"> (High)</w:t>
      </w:r>
    </w:p>
    <w:p w14:paraId="0BBB1FAA" w14:textId="037F484A" w:rsidR="005E4BA6" w:rsidRDefault="008D7C88">
      <w:pPr>
        <w:pStyle w:val="Body"/>
        <w:spacing w:line="480" w:lineRule="auto"/>
      </w:pPr>
      <w:r>
        <w:rPr>
          <w:lang w:val="en-US"/>
        </w:rPr>
        <w:t>The EV industry is highly competitive, characterized by high barriers to entry and exit. With the drive to electrification, growing acceptance and favorable legal environment, many new companies both incumbents and new have the market to claim a part of the growing market. As shown below, supply is forecast to exceed demand by at least 14 million units (Deloitte 2019).</w:t>
      </w:r>
    </w:p>
    <w:p w14:paraId="52D267F7" w14:textId="7F157440" w:rsidR="00BF3609" w:rsidRPr="00BF3609" w:rsidRDefault="00BF3609" w:rsidP="00BF3609">
      <w:pPr>
        <w:pStyle w:val="Caption"/>
        <w:keepNext/>
        <w:rPr>
          <w:sz w:val="24"/>
          <w:szCs w:val="24"/>
        </w:rPr>
      </w:pPr>
      <w:r w:rsidRPr="00BF3609">
        <w:rPr>
          <w:sz w:val="24"/>
          <w:szCs w:val="24"/>
        </w:rPr>
        <w:lastRenderedPageBreak/>
        <w:t xml:space="preserve">Figure </w:t>
      </w:r>
      <w:r w:rsidRPr="00BF3609">
        <w:rPr>
          <w:sz w:val="24"/>
          <w:szCs w:val="24"/>
        </w:rPr>
        <w:fldChar w:fldCharType="begin"/>
      </w:r>
      <w:r w:rsidRPr="00BF3609">
        <w:rPr>
          <w:sz w:val="24"/>
          <w:szCs w:val="24"/>
        </w:rPr>
        <w:instrText xml:space="preserve"> SEQ Figure \* ARABIC </w:instrText>
      </w:r>
      <w:r w:rsidRPr="00BF3609">
        <w:rPr>
          <w:sz w:val="24"/>
          <w:szCs w:val="24"/>
        </w:rPr>
        <w:fldChar w:fldCharType="separate"/>
      </w:r>
      <w:r w:rsidR="00934E49">
        <w:rPr>
          <w:noProof/>
          <w:sz w:val="24"/>
          <w:szCs w:val="24"/>
        </w:rPr>
        <w:t>5</w:t>
      </w:r>
      <w:r w:rsidRPr="00BF3609">
        <w:rPr>
          <w:sz w:val="24"/>
          <w:szCs w:val="24"/>
        </w:rPr>
        <w:fldChar w:fldCharType="end"/>
      </w:r>
      <w:r w:rsidRPr="00BF3609">
        <w:rPr>
          <w:sz w:val="24"/>
          <w:szCs w:val="24"/>
        </w:rPr>
        <w:t>: The gap between EVs supply and demand</w:t>
      </w:r>
    </w:p>
    <w:p w14:paraId="1F67DFDC" w14:textId="77777777" w:rsidR="005E4BA6" w:rsidRDefault="008D7C88">
      <w:pPr>
        <w:pStyle w:val="Body"/>
        <w:spacing w:line="480" w:lineRule="auto"/>
      </w:pPr>
      <w:r>
        <w:rPr>
          <w:noProof/>
        </w:rPr>
        <w:drawing>
          <wp:inline distT="0" distB="0" distL="0" distR="0" wp14:anchorId="4088EB3B" wp14:editId="3A0EE6A6">
            <wp:extent cx="5727700" cy="4420041"/>
            <wp:effectExtent l="19050" t="19050" r="25400" b="19050"/>
            <wp:docPr id="1073741831" name="officeArt object"/>
            <wp:cNvGraphicFramePr/>
            <a:graphic xmlns:a="http://schemas.openxmlformats.org/drawingml/2006/main">
              <a:graphicData uri="http://schemas.openxmlformats.org/drawingml/2006/picture">
                <pic:pic xmlns:pic="http://schemas.openxmlformats.org/drawingml/2006/picture">
                  <pic:nvPicPr>
                    <pic:cNvPr id="1073741831" name="Screen Shot 2020-01-06 at 3.46.43 PM.png"/>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727700" cy="4420041"/>
                    </a:xfrm>
                    <a:prstGeom prst="rect">
                      <a:avLst/>
                    </a:prstGeom>
                    <a:ln w="9525" cap="flat">
                      <a:solidFill>
                        <a:srgbClr val="000000"/>
                      </a:solidFill>
                      <a:prstDash val="solid"/>
                      <a:miter lim="400000"/>
                    </a:ln>
                    <a:effectLst/>
                  </pic:spPr>
                </pic:pic>
              </a:graphicData>
            </a:graphic>
          </wp:inline>
        </w:drawing>
      </w:r>
    </w:p>
    <w:p w14:paraId="6F03BA4F" w14:textId="77777777" w:rsidR="005E4BA6" w:rsidRPr="00BF3609" w:rsidRDefault="008D7C88">
      <w:pPr>
        <w:pStyle w:val="Body"/>
        <w:spacing w:line="480" w:lineRule="auto"/>
        <w:rPr>
          <w:i/>
          <w:iCs/>
        </w:rPr>
      </w:pPr>
      <w:r w:rsidRPr="00BF3609">
        <w:rPr>
          <w:i/>
          <w:iCs/>
          <w:lang w:val="en-US"/>
        </w:rPr>
        <w:t>Source: Deloitte 2019</w:t>
      </w:r>
    </w:p>
    <w:p w14:paraId="7D0F5C29" w14:textId="77777777" w:rsidR="005E4BA6" w:rsidRDefault="008D7C88" w:rsidP="00BF3609">
      <w:pPr>
        <w:pStyle w:val="Heading2"/>
      </w:pPr>
      <w:r>
        <w:t>Conclusion</w:t>
      </w:r>
    </w:p>
    <w:p w14:paraId="514F8DA6" w14:textId="77777777" w:rsidR="005E4BA6" w:rsidRDefault="008D7C88">
      <w:pPr>
        <w:pStyle w:val="BodyA"/>
      </w:pPr>
      <w:r>
        <w:t xml:space="preserve">The EV industry has through recent years experienced strong growth, surpassing a million units in 2017 and forecast to grow further. This growth will be as a result of a favorable environment including a number of favorable laws and regulations, improving technology, growing acceptance as well as growing climate change concerns. However, Porters Five Forces analysis has shown that all the five forces are high. As already noted above, in an industry where all the forces are high, there will be high competition, less profitability, making it less attractive.   </w:t>
      </w:r>
    </w:p>
    <w:p w14:paraId="73FA03C6" w14:textId="2AE02DCE" w:rsidR="005E4BA6" w:rsidRDefault="000754F9" w:rsidP="00BF3609">
      <w:pPr>
        <w:pStyle w:val="Heading2"/>
      </w:pPr>
      <w:r>
        <w:lastRenderedPageBreak/>
        <w:t xml:space="preserve">C. </w:t>
      </w:r>
      <w:r w:rsidR="008D7C88">
        <w:t>Organizational change</w:t>
      </w:r>
    </w:p>
    <w:p w14:paraId="596FC767" w14:textId="1330BF8B" w:rsidR="005E4BA6" w:rsidRDefault="008D7C88">
      <w:pPr>
        <w:pStyle w:val="BodyA"/>
      </w:pPr>
      <w:r>
        <w:t xml:space="preserve">In order to succeed in the global environment characterized by ever changing </w:t>
      </w:r>
      <w:r w:rsidR="00BB2500">
        <w:t>technology,</w:t>
      </w:r>
      <w:r>
        <w:t xml:space="preserve"> an organization should always be ready to adopt to change (Mullin</w:t>
      </w:r>
      <w:r w:rsidR="005B3AFA">
        <w:t>s</w:t>
      </w:r>
      <w:r>
        <w:t xml:space="preserve"> 201</w:t>
      </w:r>
      <w:r w:rsidR="005B3AFA">
        <w:t>6</w:t>
      </w:r>
      <w:r>
        <w:t>). Huczynski and Buchana</w:t>
      </w:r>
      <w:r w:rsidR="00BB2500">
        <w:t>n</w:t>
      </w:r>
      <w:r>
        <w:t xml:space="preserve"> (2013) have also noted technology as the most notable feature of environmental change. </w:t>
      </w:r>
      <w:r w:rsidR="005B3AFA">
        <w:t>Whereas</w:t>
      </w:r>
      <w:r>
        <w:t xml:space="preserve"> it comes with major threats, it also comes with opportunities. Other than impacting the general structure, technology also impacts work organization and design of jobs (Huczynski and Buchanan 2013). </w:t>
      </w:r>
    </w:p>
    <w:p w14:paraId="304199A7" w14:textId="23EF236F" w:rsidR="005E4BA6" w:rsidRDefault="008D7C88">
      <w:pPr>
        <w:pStyle w:val="BodyA"/>
      </w:pPr>
      <w:r>
        <w:t xml:space="preserve">The EV drive and growth will have a major impact on the supply chain of traditional OEMs which are traditionally based on combustion engines. Unlike ICE vehicles, EVs require fewer manufacturing components which will require fewer number of employees and costs. However, traditional OEMs will face major challenges shifting to EVS. Other that experienced supply chain </w:t>
      </w:r>
      <w:r w:rsidR="00362DC7">
        <w:t>and value</w:t>
      </w:r>
      <w:r>
        <w:t xml:space="preserve"> chain disruptions, some of them may even experience closure and job losses due to failure to adopt. </w:t>
      </w:r>
    </w:p>
    <w:p w14:paraId="5FB07056" w14:textId="77777777" w:rsidR="005E4BA6" w:rsidRDefault="008D7C88">
      <w:pPr>
        <w:pStyle w:val="BodyA"/>
      </w:pPr>
      <w:r>
        <w:t>In order to avoid failure, manufacturers must change their strategy to adapt to the technological changes and impact.</w:t>
      </w:r>
    </w:p>
    <w:p w14:paraId="0ED276D3" w14:textId="50310559" w:rsidR="005E4BA6" w:rsidRDefault="008D7C88">
      <w:pPr>
        <w:pStyle w:val="BodyA"/>
      </w:pPr>
      <w:r>
        <w:t>Given the forecast challenges, partnerships will become an even bigger success factor. OEMs should forge partnerships between new tech companies which are well funded in order to share costs.</w:t>
      </w:r>
      <w:r w:rsidR="00BB2500">
        <w:t xml:space="preserve"> </w:t>
      </w:r>
      <w:r>
        <w:t>Through partnerships, car manufactures will be able to share technology and platforms, while reducing their costs in an emerging market that is proving vital for future mobility.</w:t>
      </w:r>
    </w:p>
    <w:p w14:paraId="57069800" w14:textId="71720C44" w:rsidR="00934E49" w:rsidRPr="00934E49" w:rsidRDefault="00934E49" w:rsidP="00934E49">
      <w:pPr>
        <w:pStyle w:val="Caption"/>
        <w:keepNext/>
        <w:rPr>
          <w:sz w:val="24"/>
          <w:szCs w:val="24"/>
        </w:rPr>
      </w:pPr>
      <w:r w:rsidRPr="00934E49">
        <w:rPr>
          <w:sz w:val="24"/>
          <w:szCs w:val="24"/>
        </w:rPr>
        <w:lastRenderedPageBreak/>
        <w:t xml:space="preserve">Figure </w:t>
      </w:r>
      <w:r w:rsidRPr="00934E49">
        <w:rPr>
          <w:sz w:val="24"/>
          <w:szCs w:val="24"/>
        </w:rPr>
        <w:fldChar w:fldCharType="begin"/>
      </w:r>
      <w:r w:rsidRPr="00934E49">
        <w:rPr>
          <w:sz w:val="24"/>
          <w:szCs w:val="24"/>
        </w:rPr>
        <w:instrText xml:space="preserve"> SEQ Figure \* ARABIC </w:instrText>
      </w:r>
      <w:r w:rsidRPr="00934E49">
        <w:rPr>
          <w:sz w:val="24"/>
          <w:szCs w:val="24"/>
        </w:rPr>
        <w:fldChar w:fldCharType="separate"/>
      </w:r>
      <w:r w:rsidRPr="00934E49">
        <w:rPr>
          <w:noProof/>
          <w:sz w:val="24"/>
          <w:szCs w:val="24"/>
        </w:rPr>
        <w:t>6</w:t>
      </w:r>
      <w:r w:rsidRPr="00934E49">
        <w:rPr>
          <w:sz w:val="24"/>
          <w:szCs w:val="24"/>
        </w:rPr>
        <w:fldChar w:fldCharType="end"/>
      </w:r>
      <w:r w:rsidRPr="00934E49">
        <w:rPr>
          <w:sz w:val="24"/>
          <w:szCs w:val="24"/>
        </w:rPr>
        <w:t>: Areas where most companies are partnering</w:t>
      </w:r>
    </w:p>
    <w:p w14:paraId="3B253F7D" w14:textId="1B974BF3" w:rsidR="005E4BA6" w:rsidRPr="0095267D" w:rsidRDefault="008D7C88" w:rsidP="00934E49">
      <w:pPr>
        <w:rPr>
          <w:i/>
          <w:iCs/>
        </w:rPr>
      </w:pPr>
      <w:r>
        <w:rPr>
          <w:noProof/>
        </w:rPr>
        <w:drawing>
          <wp:inline distT="0" distB="0" distL="0" distR="0" wp14:anchorId="3E1BF7AD" wp14:editId="6B35EE88">
            <wp:extent cx="5882512" cy="3248204"/>
            <wp:effectExtent l="19050" t="19050" r="23495" b="9525"/>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Screen Shot 2020-01-06 at 4.48.22 PM.png"/>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882512" cy="3248204"/>
                    </a:xfrm>
                    <a:prstGeom prst="rect">
                      <a:avLst/>
                    </a:prstGeom>
                    <a:ln w="9525" cap="flat">
                      <a:solidFill>
                        <a:srgbClr val="000000"/>
                      </a:solidFill>
                      <a:prstDash val="solid"/>
                      <a:miter lim="400000"/>
                    </a:ln>
                    <a:effectLst/>
                  </pic:spPr>
                </pic:pic>
              </a:graphicData>
            </a:graphic>
          </wp:inline>
        </w:drawing>
      </w:r>
      <w:r>
        <w:t xml:space="preserve"> </w:t>
      </w:r>
      <w:r w:rsidR="00E50E70" w:rsidRPr="0095267D">
        <w:rPr>
          <w:i/>
          <w:iCs/>
        </w:rPr>
        <w:t xml:space="preserve">Source: </w:t>
      </w:r>
      <w:proofErr w:type="spellStart"/>
      <w:r w:rsidR="0095267D" w:rsidRPr="0095267D">
        <w:rPr>
          <w:i/>
          <w:iCs/>
        </w:rPr>
        <w:t>Autovista</w:t>
      </w:r>
      <w:proofErr w:type="spellEnd"/>
      <w:r w:rsidR="0095267D" w:rsidRPr="0095267D">
        <w:rPr>
          <w:i/>
          <w:iCs/>
        </w:rPr>
        <w:t xml:space="preserve"> 2019</w:t>
      </w:r>
    </w:p>
    <w:p w14:paraId="16917F5F" w14:textId="71801331" w:rsidR="005E4BA6" w:rsidRDefault="008D7C88">
      <w:pPr>
        <w:pStyle w:val="BodyA"/>
      </w:pPr>
      <w:r>
        <w:t xml:space="preserve"> </w:t>
      </w:r>
    </w:p>
    <w:p w14:paraId="32B17E28" w14:textId="685D5DBB" w:rsidR="00A603D3" w:rsidRPr="00420169" w:rsidRDefault="008D7C88">
      <w:pPr>
        <w:pStyle w:val="BodyA"/>
        <w:rPr>
          <w:color w:val="auto"/>
        </w:rPr>
      </w:pPr>
      <w:r>
        <w:t xml:space="preserve">There have already been notable partnerships between Ford and Volkswagen working, Toyota working with Suzuki, Mazda and Subaru and BMW with Jaguar Land Rover </w:t>
      </w:r>
      <w:r w:rsidRPr="00420169">
        <w:rPr>
          <w:color w:val="auto"/>
        </w:rPr>
        <w:t>(</w:t>
      </w:r>
      <w:r w:rsidR="00420169">
        <w:rPr>
          <w:rStyle w:val="Hyperlink0"/>
          <w:color w:val="auto"/>
          <w:u w:val="none"/>
        </w:rPr>
        <w:t>A</w:t>
      </w:r>
      <w:r w:rsidRPr="00420169">
        <w:rPr>
          <w:rStyle w:val="Hyperlink0"/>
          <w:color w:val="auto"/>
          <w:u w:val="none"/>
        </w:rPr>
        <w:t>utovist</w:t>
      </w:r>
      <w:r w:rsidR="00420169">
        <w:rPr>
          <w:rStyle w:val="Hyperlink0"/>
          <w:color w:val="auto"/>
          <w:u w:val="none"/>
        </w:rPr>
        <w:t>a</w:t>
      </w:r>
      <w:r w:rsidRPr="00420169">
        <w:rPr>
          <w:rStyle w:val="Hyperlink0"/>
          <w:color w:val="auto"/>
          <w:u w:val="none"/>
        </w:rPr>
        <w:t>.com</w:t>
      </w:r>
      <w:r w:rsidRPr="00420169">
        <w:rPr>
          <w:color w:val="auto"/>
        </w:rPr>
        <w:t xml:space="preserve"> 2019). </w:t>
      </w:r>
    </w:p>
    <w:p w14:paraId="5B7A5748" w14:textId="77777777" w:rsidR="005E4BA6" w:rsidRDefault="008D7C88" w:rsidP="00BF3609">
      <w:pPr>
        <w:pStyle w:val="Heading2"/>
      </w:pPr>
      <w:r>
        <w:t>Conclusion</w:t>
      </w:r>
    </w:p>
    <w:p w14:paraId="7F73535F" w14:textId="7325F82A" w:rsidR="005E4BA6" w:rsidRDefault="008D7C88">
      <w:pPr>
        <w:pStyle w:val="BodyA"/>
      </w:pPr>
      <w:r>
        <w:t xml:space="preserve">As per the findings, </w:t>
      </w:r>
      <w:r w:rsidR="002E063D">
        <w:t>EV</w:t>
      </w:r>
      <w:r>
        <w:t xml:space="preserve"> growth has been boosted by a favorable environment including a number of favorable laws and regulations, improving technology, growing acceptance as well as growing climate change concerns. However, Porters Five Forces analysis has shown that all the five forces are high. </w:t>
      </w:r>
      <w:r w:rsidR="002E063D">
        <w:t>Any</w:t>
      </w:r>
      <w:r>
        <w:t xml:space="preserve"> industry where all the forces are high, there will be high competition, less profitability, making it less attractive. In fact, analysts have noted that by 2030, supply will surpass demand, lowering profitability. As a result, a number of EV manufacturers especially startups will be forced out of the market </w:t>
      </w:r>
      <w:r w:rsidR="002E063D">
        <w:t>leading to consolidation.</w:t>
      </w:r>
      <w:r>
        <w:t xml:space="preserve"> </w:t>
      </w:r>
    </w:p>
    <w:p w14:paraId="74C20C68" w14:textId="1DE1921D" w:rsidR="00A603D3" w:rsidRDefault="008D7C88">
      <w:pPr>
        <w:pStyle w:val="BodyA"/>
      </w:pPr>
      <w:r>
        <w:lastRenderedPageBreak/>
        <w:t>However, this technological change thou</w:t>
      </w:r>
      <w:r w:rsidR="002E063D">
        <w:t>gh</w:t>
      </w:r>
      <w:r>
        <w:t xml:space="preserve"> accompanied with lots of opportunities is also a major threat especially to the supply chains of OEMs who have to shift their whole manufacturing systems. </w:t>
      </w:r>
    </w:p>
    <w:p w14:paraId="22E4C880" w14:textId="77777777" w:rsidR="005E4BA6" w:rsidRDefault="008D7C88" w:rsidP="00BF3609">
      <w:pPr>
        <w:pStyle w:val="Heading1"/>
        <w:rPr>
          <w:rFonts w:eastAsia="Times New Roman" w:cs="Times New Roman"/>
        </w:rPr>
      </w:pPr>
      <w:r>
        <w:rPr>
          <w:lang w:val="de-DE"/>
        </w:rPr>
        <w:t xml:space="preserve">PART 2 </w:t>
      </w:r>
      <w:r>
        <w:t xml:space="preserve">– New </w:t>
      </w:r>
      <w:r w:rsidRPr="00BF3609">
        <w:t>opportunities</w:t>
      </w:r>
      <w:r>
        <w:t xml:space="preserve"> </w:t>
      </w:r>
    </w:p>
    <w:p w14:paraId="3DECA57A" w14:textId="493A52C4" w:rsidR="005E4BA6" w:rsidRDefault="008D7C88" w:rsidP="00BF3609">
      <w:pPr>
        <w:pStyle w:val="Heading2"/>
        <w:rPr>
          <w:rFonts w:eastAsia="Times New Roman" w:cs="Times New Roman"/>
        </w:rPr>
      </w:pPr>
      <w:r>
        <w:t xml:space="preserve">A. </w:t>
      </w:r>
      <w:r w:rsidRPr="00BF3609">
        <w:t>Porters</w:t>
      </w:r>
      <w:r>
        <w:t xml:space="preserve"> generic value chain &amp; conclusion (adapted to electric vehicles)</w:t>
      </w:r>
    </w:p>
    <w:p w14:paraId="3A94FE08" w14:textId="77777777" w:rsidR="005E4BA6" w:rsidRDefault="008D7C88">
      <w:pPr>
        <w:pStyle w:val="Body"/>
        <w:spacing w:after="240" w:line="480" w:lineRule="auto"/>
      </w:pPr>
      <w:r>
        <w:rPr>
          <w:lang w:val="en-US"/>
        </w:rPr>
        <w:t xml:space="preserve">Porters value chain refers to a set of activities that firms undertake when adding value to a product or service. </w:t>
      </w:r>
    </w:p>
    <w:p w14:paraId="00E2420A" w14:textId="77777777" w:rsidR="005E4BA6" w:rsidRDefault="008D7C88">
      <w:pPr>
        <w:pStyle w:val="Caption"/>
        <w:keepNext/>
        <w:rPr>
          <w:color w:val="000000"/>
          <w:sz w:val="24"/>
          <w:szCs w:val="24"/>
          <w:u w:color="000000"/>
        </w:rPr>
      </w:pPr>
      <w:r>
        <w:rPr>
          <w:color w:val="000000"/>
          <w:sz w:val="24"/>
          <w:szCs w:val="24"/>
          <w:u w:color="000000"/>
        </w:rPr>
        <w:t>Figure 9: Porters generic value chain</w:t>
      </w:r>
    </w:p>
    <w:p w14:paraId="030C37E7" w14:textId="77777777" w:rsidR="005E4BA6" w:rsidRDefault="008D7C88">
      <w:pPr>
        <w:pStyle w:val="Body"/>
        <w:spacing w:after="240" w:line="480" w:lineRule="auto"/>
      </w:pPr>
      <w:r>
        <w:rPr>
          <w:noProof/>
        </w:rPr>
        <w:drawing>
          <wp:inline distT="0" distB="0" distL="0" distR="0" wp14:anchorId="687BB671" wp14:editId="5E5ACD1E">
            <wp:extent cx="4343400" cy="1990725"/>
            <wp:effectExtent l="0" t="0" r="0" b="9525"/>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image1.png"/>
                    <pic:cNvPicPr>
                      <a:picLocks noChangeAspect="1"/>
                    </pic:cNvPicPr>
                  </pic:nvPicPr>
                  <pic:blipFill>
                    <a:blip r:embed="rId12"/>
                    <a:stretch>
                      <a:fillRect/>
                    </a:stretch>
                  </pic:blipFill>
                  <pic:spPr>
                    <a:xfrm>
                      <a:off x="0" y="0"/>
                      <a:ext cx="4343400" cy="1990725"/>
                    </a:xfrm>
                    <a:prstGeom prst="rect">
                      <a:avLst/>
                    </a:prstGeom>
                    <a:ln w="12700" cap="flat">
                      <a:noFill/>
                      <a:miter lim="400000"/>
                    </a:ln>
                    <a:effectLst/>
                  </pic:spPr>
                </pic:pic>
              </a:graphicData>
            </a:graphic>
          </wp:inline>
        </w:drawing>
      </w:r>
    </w:p>
    <w:p w14:paraId="06C94A3A" w14:textId="77777777" w:rsidR="005E4BA6" w:rsidRDefault="008D7C88">
      <w:pPr>
        <w:pStyle w:val="Body"/>
        <w:spacing w:after="240" w:line="480" w:lineRule="auto"/>
        <w:rPr>
          <w:i/>
          <w:iCs/>
        </w:rPr>
      </w:pPr>
      <w:r>
        <w:rPr>
          <w:i/>
          <w:iCs/>
          <w:lang w:val="fr-FR"/>
        </w:rPr>
        <w:t>Source: Grant 2016</w:t>
      </w:r>
    </w:p>
    <w:p w14:paraId="43623F80" w14:textId="4742E2C5" w:rsidR="005E4BA6" w:rsidRDefault="008D7C88">
      <w:pPr>
        <w:pStyle w:val="Body"/>
        <w:spacing w:after="240" w:line="480" w:lineRule="auto"/>
      </w:pPr>
      <w:r>
        <w:rPr>
          <w:lang w:val="en-US"/>
        </w:rPr>
        <w:t>Unlike traditional ICE vehicles, EVs require a different value chain and processes to support them. The move towards electrification of the automobile industry will eliminating a lot of the traditional sets of activities that have been an integral part of the ICE vehicle value chain, with new activities and processes as shown in table below;</w:t>
      </w:r>
    </w:p>
    <w:p w14:paraId="28EF3624" w14:textId="77777777" w:rsidR="005E4BA6" w:rsidRDefault="008D7C88">
      <w:pPr>
        <w:pStyle w:val="Body"/>
        <w:spacing w:after="240" w:line="480" w:lineRule="auto"/>
      </w:pPr>
      <w:r>
        <w:rPr>
          <w:rFonts w:ascii="Arial Unicode MS" w:eastAsia="Arial Unicode MS" w:hAnsi="Arial Unicode MS" w:cs="Arial Unicode MS"/>
        </w:rPr>
        <w:br w:type="page"/>
      </w:r>
    </w:p>
    <w:p w14:paraId="5C413D3D" w14:textId="77777777" w:rsidR="00A603D3" w:rsidRDefault="00A603D3">
      <w:pPr>
        <w:pStyle w:val="Body"/>
        <w:widowControl w:val="0"/>
        <w:spacing w:after="240"/>
        <w:sectPr w:rsidR="00A603D3">
          <w:footerReference w:type="default" r:id="rId13"/>
          <w:pgSz w:w="11900" w:h="16840"/>
          <w:pgMar w:top="1440" w:right="1440" w:bottom="1440" w:left="1440" w:header="708" w:footer="708" w:gutter="0"/>
          <w:cols w:space="720"/>
        </w:sectPr>
      </w:pPr>
    </w:p>
    <w:tbl>
      <w:tblPr>
        <w:tblStyle w:val="ListTable1Light-Accent51"/>
        <w:tblW w:w="138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74"/>
        <w:gridCol w:w="2440"/>
        <w:gridCol w:w="2977"/>
        <w:gridCol w:w="2126"/>
        <w:gridCol w:w="2410"/>
        <w:gridCol w:w="3231"/>
      </w:tblGrid>
      <w:tr w:rsidR="00A603D3" w:rsidRPr="00A603D3" w14:paraId="7ED93C2C" w14:textId="77777777" w:rsidTr="00965ECC">
        <w:trPr>
          <w:cnfStyle w:val="100000000000" w:firstRow="1" w:lastRow="0" w:firstColumn="0" w:lastColumn="0" w:oddVBand="0" w:evenVBand="0" w:oddHBand="0" w:evenHBand="0" w:firstRowFirstColumn="0" w:firstRowLastColumn="0" w:lastRowFirstColumn="0" w:lastRowLastColumn="0"/>
          <w:trHeight w:hRule="exact" w:val="454"/>
        </w:trPr>
        <w:tc>
          <w:tcPr>
            <w:cnfStyle w:val="001000000000" w:firstRow="0" w:lastRow="0" w:firstColumn="1" w:lastColumn="0" w:oddVBand="0" w:evenVBand="0" w:oddHBand="0" w:evenHBand="0" w:firstRowFirstColumn="0" w:firstRowLastColumn="0" w:lastRowFirstColumn="0" w:lastRowLastColumn="0"/>
            <w:tcW w:w="13858" w:type="dxa"/>
            <w:gridSpan w:val="6"/>
            <w:shd w:val="clear" w:color="auto" w:fill="0070C0"/>
          </w:tcPr>
          <w:p w14:paraId="79C46811" w14:textId="737BE085" w:rsidR="00A603D3" w:rsidRPr="00A603D3" w:rsidRDefault="00A603D3" w:rsidP="00A603D3">
            <w:pPr>
              <w:spacing w:line="360" w:lineRule="auto"/>
              <w:jc w:val="center"/>
              <w:rPr>
                <w:sz w:val="32"/>
                <w:szCs w:val="32"/>
                <w:lang w:val="en-GB"/>
              </w:rPr>
            </w:pPr>
            <w:r w:rsidRPr="00A603D3">
              <w:rPr>
                <w:color w:val="FFFFFF"/>
                <w:sz w:val="32"/>
                <w:szCs w:val="32"/>
                <w:lang w:val="en-GB"/>
              </w:rPr>
              <w:lastRenderedPageBreak/>
              <w:t>Industry V</w:t>
            </w:r>
            <w:r w:rsidRPr="00A603D3">
              <w:rPr>
                <w:noProof/>
                <w:color w:val="FFFFFF"/>
                <w:sz w:val="32"/>
                <w:szCs w:val="32"/>
                <w:lang w:val="en-GB"/>
              </w:rPr>
              <w:t>alue Chain of Electric Vehicles</w:t>
            </w:r>
          </w:p>
        </w:tc>
      </w:tr>
      <w:tr w:rsidR="00A603D3" w:rsidRPr="00A603D3" w14:paraId="06AEC678" w14:textId="77777777" w:rsidTr="00A603D3">
        <w:trPr>
          <w:cnfStyle w:val="000000100000" w:firstRow="0" w:lastRow="0" w:firstColumn="0" w:lastColumn="0" w:oddVBand="0" w:evenVBand="0" w:oddHBand="1" w:evenHBand="0" w:firstRowFirstColumn="0" w:firstRowLastColumn="0" w:lastRowFirstColumn="0" w:lastRowLastColumn="0"/>
          <w:trHeight w:hRule="exact" w:val="567"/>
        </w:trPr>
        <w:tc>
          <w:tcPr>
            <w:cnfStyle w:val="001000000000" w:firstRow="0" w:lastRow="0" w:firstColumn="1" w:lastColumn="0" w:oddVBand="0" w:evenVBand="0" w:oddHBand="0" w:evenHBand="0" w:firstRowFirstColumn="0" w:firstRowLastColumn="0" w:lastRowFirstColumn="0" w:lastRowLastColumn="0"/>
            <w:tcW w:w="674" w:type="dxa"/>
            <w:vMerge w:val="restart"/>
            <w:shd w:val="clear" w:color="auto" w:fill="0070C0"/>
            <w:textDirection w:val="btLr"/>
          </w:tcPr>
          <w:p w14:paraId="6EE668AE" w14:textId="77777777" w:rsidR="00A603D3" w:rsidRPr="00A603D3" w:rsidRDefault="00A603D3" w:rsidP="00A603D3">
            <w:pPr>
              <w:spacing w:line="360" w:lineRule="auto"/>
              <w:ind w:left="113" w:right="113"/>
              <w:rPr>
                <w:color w:val="FFFFFF"/>
                <w:sz w:val="28"/>
                <w:szCs w:val="28"/>
                <w:lang w:val="en-GB"/>
              </w:rPr>
            </w:pPr>
            <w:r w:rsidRPr="00A603D3">
              <w:rPr>
                <w:color w:val="FFFFFF"/>
                <w:sz w:val="28"/>
                <w:szCs w:val="28"/>
                <w:lang w:val="en-GB"/>
              </w:rPr>
              <w:t xml:space="preserve">  SUPPORT ACTIVITIES</w:t>
            </w:r>
          </w:p>
        </w:tc>
        <w:tc>
          <w:tcPr>
            <w:tcW w:w="13184" w:type="dxa"/>
            <w:gridSpan w:val="5"/>
            <w:shd w:val="clear" w:color="auto" w:fill="FFFFFF"/>
          </w:tcPr>
          <w:p w14:paraId="184ACF6D" w14:textId="2B598C5C" w:rsidR="00A603D3" w:rsidRPr="00A603D3" w:rsidRDefault="00A603D3" w:rsidP="00A603D3">
            <w:pPr>
              <w:spacing w:after="120"/>
              <w:cnfStyle w:val="000000100000" w:firstRow="0" w:lastRow="0" w:firstColumn="0" w:lastColumn="0" w:oddVBand="0" w:evenVBand="0" w:oddHBand="1" w:evenHBand="0" w:firstRowFirstColumn="0" w:firstRowLastColumn="0" w:lastRowFirstColumn="0" w:lastRowLastColumn="0"/>
              <w:rPr>
                <w:lang w:val="en-GB"/>
              </w:rPr>
            </w:pPr>
            <w:r w:rsidRPr="00A603D3">
              <w:rPr>
                <w:b/>
                <w:lang w:val="en-GB"/>
              </w:rPr>
              <w:t>Firm infrastructure</w:t>
            </w:r>
            <w:r w:rsidRPr="00A603D3">
              <w:rPr>
                <w:b/>
                <w:noProof/>
                <w:lang w:val="en-GB"/>
              </w:rPr>
              <w:t xml:space="preserve">- </w:t>
            </w:r>
            <w:r w:rsidRPr="00A603D3">
              <w:rPr>
                <w:lang w:val="en-GB"/>
              </w:rPr>
              <w:t>EV OEMs especially those taking the purpose built rather conversion strategy will need to develop new infrastructure that handles electrical components, and battery technology. Old ICE vehicle structures will be eliminated.</w:t>
            </w:r>
          </w:p>
          <w:p w14:paraId="090457F3" w14:textId="77777777" w:rsidR="00A603D3" w:rsidRPr="00A603D3" w:rsidRDefault="00A603D3" w:rsidP="00A603D3">
            <w:pPr>
              <w:spacing w:line="360" w:lineRule="auto"/>
              <w:cnfStyle w:val="000000100000" w:firstRow="0" w:lastRow="0" w:firstColumn="0" w:lastColumn="0" w:oddVBand="0" w:evenVBand="0" w:oddHBand="1" w:evenHBand="0" w:firstRowFirstColumn="0" w:firstRowLastColumn="0" w:lastRowFirstColumn="0" w:lastRowLastColumn="0"/>
              <w:rPr>
                <w:b/>
                <w:noProof/>
                <w:lang w:val="en-GB"/>
              </w:rPr>
            </w:pPr>
          </w:p>
        </w:tc>
      </w:tr>
      <w:tr w:rsidR="00A603D3" w:rsidRPr="00A603D3" w14:paraId="268DF47A" w14:textId="77777777" w:rsidTr="00A603D3">
        <w:trPr>
          <w:trHeight w:val="530"/>
        </w:trPr>
        <w:tc>
          <w:tcPr>
            <w:cnfStyle w:val="001000000000" w:firstRow="0" w:lastRow="0" w:firstColumn="1" w:lastColumn="0" w:oddVBand="0" w:evenVBand="0" w:oddHBand="0" w:evenHBand="0" w:firstRowFirstColumn="0" w:firstRowLastColumn="0" w:lastRowFirstColumn="0" w:lastRowLastColumn="0"/>
            <w:tcW w:w="674" w:type="dxa"/>
            <w:vMerge/>
            <w:shd w:val="clear" w:color="auto" w:fill="0070C0"/>
            <w:textDirection w:val="btLr"/>
          </w:tcPr>
          <w:p w14:paraId="7A009E1E" w14:textId="77777777" w:rsidR="00A603D3" w:rsidRPr="00A603D3" w:rsidRDefault="00A603D3" w:rsidP="00A603D3">
            <w:pPr>
              <w:spacing w:line="360" w:lineRule="auto"/>
              <w:ind w:left="113" w:right="113"/>
              <w:rPr>
                <w:sz w:val="28"/>
                <w:szCs w:val="28"/>
                <w:lang w:val="en-GB"/>
              </w:rPr>
            </w:pPr>
          </w:p>
        </w:tc>
        <w:tc>
          <w:tcPr>
            <w:tcW w:w="13184" w:type="dxa"/>
            <w:gridSpan w:val="5"/>
            <w:shd w:val="clear" w:color="auto" w:fill="FFFFFF"/>
          </w:tcPr>
          <w:p w14:paraId="04BECB67" w14:textId="6EBB6758" w:rsidR="00A603D3" w:rsidRPr="00A603D3" w:rsidRDefault="00A603D3" w:rsidP="00A603D3">
            <w:pPr>
              <w:spacing w:after="120"/>
              <w:cnfStyle w:val="000000000000" w:firstRow="0" w:lastRow="0" w:firstColumn="0" w:lastColumn="0" w:oddVBand="0" w:evenVBand="0" w:oddHBand="0" w:evenHBand="0" w:firstRowFirstColumn="0" w:firstRowLastColumn="0" w:lastRowFirstColumn="0" w:lastRowLastColumn="0"/>
              <w:rPr>
                <w:szCs w:val="22"/>
                <w:lang w:val="en-GB"/>
              </w:rPr>
            </w:pPr>
            <w:r w:rsidRPr="00A603D3">
              <w:rPr>
                <w:b/>
                <w:lang w:val="en-GB"/>
              </w:rPr>
              <w:t xml:space="preserve">Human Resource Management- </w:t>
            </w:r>
            <w:r w:rsidRPr="00A603D3">
              <w:rPr>
                <w:lang w:val="en-GB"/>
              </w:rPr>
              <w:t>The dawn of Electric Vehicles will require specialist knowledge in cell design, AI, and chemical engineering since the battery will be the biggest source of value for EVs, as it makes up 50% of its cost.</w:t>
            </w:r>
          </w:p>
        </w:tc>
      </w:tr>
      <w:tr w:rsidR="00A603D3" w:rsidRPr="00A603D3" w14:paraId="0D1A3F5D" w14:textId="77777777" w:rsidTr="00A603D3">
        <w:trPr>
          <w:cnfStyle w:val="000000100000" w:firstRow="0" w:lastRow="0" w:firstColumn="0" w:lastColumn="0" w:oddVBand="0" w:evenVBand="0" w:oddHBand="1" w:evenHBand="0" w:firstRowFirstColumn="0" w:firstRowLastColumn="0" w:lastRowFirstColumn="0" w:lastRowLastColumn="0"/>
          <w:trHeight w:val="601"/>
        </w:trPr>
        <w:tc>
          <w:tcPr>
            <w:cnfStyle w:val="001000000000" w:firstRow="0" w:lastRow="0" w:firstColumn="1" w:lastColumn="0" w:oddVBand="0" w:evenVBand="0" w:oddHBand="0" w:evenHBand="0" w:firstRowFirstColumn="0" w:firstRowLastColumn="0" w:lastRowFirstColumn="0" w:lastRowLastColumn="0"/>
            <w:tcW w:w="674" w:type="dxa"/>
            <w:vMerge/>
            <w:shd w:val="clear" w:color="auto" w:fill="0070C0"/>
          </w:tcPr>
          <w:p w14:paraId="2EE8BFCB" w14:textId="77777777" w:rsidR="00A603D3" w:rsidRPr="00A603D3" w:rsidRDefault="00A603D3" w:rsidP="00A603D3">
            <w:pPr>
              <w:spacing w:line="360" w:lineRule="auto"/>
              <w:rPr>
                <w:lang w:val="en-GB"/>
              </w:rPr>
            </w:pPr>
          </w:p>
        </w:tc>
        <w:tc>
          <w:tcPr>
            <w:tcW w:w="13184" w:type="dxa"/>
            <w:gridSpan w:val="5"/>
            <w:shd w:val="clear" w:color="auto" w:fill="FFFFFF"/>
          </w:tcPr>
          <w:p w14:paraId="32128F8F" w14:textId="77777777" w:rsidR="00A603D3" w:rsidRPr="00A603D3" w:rsidRDefault="00A603D3" w:rsidP="00A603D3">
            <w:pPr>
              <w:spacing w:after="120"/>
              <w:cnfStyle w:val="000000100000" w:firstRow="0" w:lastRow="0" w:firstColumn="0" w:lastColumn="0" w:oddVBand="0" w:evenVBand="0" w:oddHBand="1" w:evenHBand="0" w:firstRowFirstColumn="0" w:firstRowLastColumn="0" w:lastRowFirstColumn="0" w:lastRowLastColumn="0"/>
              <w:rPr>
                <w:lang w:val="en-GB"/>
              </w:rPr>
            </w:pPr>
            <w:r w:rsidRPr="00A603D3">
              <w:rPr>
                <w:b/>
                <w:noProof/>
                <w:lang w:val="en-GB"/>
              </w:rPr>
              <w:t>Technology development</w:t>
            </w:r>
            <w:r w:rsidRPr="00A603D3">
              <w:rPr>
                <w:b/>
                <w:lang w:val="en-GB"/>
              </w:rPr>
              <w:t xml:space="preserve">- </w:t>
            </w:r>
            <w:r w:rsidRPr="00A603D3">
              <w:rPr>
                <w:szCs w:val="22"/>
                <w:lang w:val="en-GB"/>
              </w:rPr>
              <w:t>The technology of EVs revolves around battery development, since the battery takes up 50% of EV vehicle development costs. To reduce costs, OEMs that take the conversion route may outsource expensive battery production and retain in-vehicle software and electronics capabilities inhouse while those on a purpose-built model may retain battery production.</w:t>
            </w:r>
          </w:p>
        </w:tc>
      </w:tr>
      <w:tr w:rsidR="00A603D3" w:rsidRPr="00A603D3" w14:paraId="4B4B4DEA" w14:textId="77777777" w:rsidTr="00A603D3">
        <w:trPr>
          <w:trHeight w:val="601"/>
        </w:trPr>
        <w:tc>
          <w:tcPr>
            <w:cnfStyle w:val="001000000000" w:firstRow="0" w:lastRow="0" w:firstColumn="1" w:lastColumn="0" w:oddVBand="0" w:evenVBand="0" w:oddHBand="0" w:evenHBand="0" w:firstRowFirstColumn="0" w:firstRowLastColumn="0" w:lastRowFirstColumn="0" w:lastRowLastColumn="0"/>
            <w:tcW w:w="674" w:type="dxa"/>
            <w:vMerge/>
            <w:shd w:val="clear" w:color="auto" w:fill="0070C0"/>
          </w:tcPr>
          <w:p w14:paraId="42FD812A" w14:textId="77777777" w:rsidR="00A603D3" w:rsidRPr="00A603D3" w:rsidRDefault="00A603D3" w:rsidP="00A603D3">
            <w:pPr>
              <w:spacing w:line="360" w:lineRule="auto"/>
              <w:rPr>
                <w:lang w:val="en-GB"/>
              </w:rPr>
            </w:pPr>
          </w:p>
        </w:tc>
        <w:tc>
          <w:tcPr>
            <w:tcW w:w="13184" w:type="dxa"/>
            <w:gridSpan w:val="5"/>
            <w:shd w:val="clear" w:color="auto" w:fill="FFFFFF"/>
          </w:tcPr>
          <w:p w14:paraId="125112CF" w14:textId="77777777" w:rsidR="00A603D3" w:rsidRPr="00A603D3" w:rsidRDefault="00A603D3" w:rsidP="00A603D3">
            <w:pPr>
              <w:spacing w:after="120"/>
              <w:cnfStyle w:val="000000000000" w:firstRow="0" w:lastRow="0" w:firstColumn="0" w:lastColumn="0" w:oddVBand="0" w:evenVBand="0" w:oddHBand="0" w:evenHBand="0" w:firstRowFirstColumn="0" w:firstRowLastColumn="0" w:lastRowFirstColumn="0" w:lastRowLastColumn="0"/>
              <w:rPr>
                <w:szCs w:val="22"/>
                <w:lang w:val="en-GB"/>
              </w:rPr>
            </w:pPr>
            <w:r w:rsidRPr="00A603D3">
              <w:rPr>
                <w:b/>
                <w:lang w:val="en-GB"/>
              </w:rPr>
              <w:t xml:space="preserve">Procurement- </w:t>
            </w:r>
            <w:r w:rsidRPr="00A603D3">
              <w:rPr>
                <w:lang w:val="en-GB"/>
              </w:rPr>
              <w:t>EVs have fewer moving parts (20) compared to ICE vehicles (2000). This will mean procurement will be drastically reduced to fewer component suppliers and raw material producers who will take up a powerful role in the new EV value chain.</w:t>
            </w:r>
          </w:p>
        </w:tc>
      </w:tr>
      <w:tr w:rsidR="00A603D3" w:rsidRPr="00A603D3" w14:paraId="475F5B10" w14:textId="77777777" w:rsidTr="00965ECC">
        <w:trPr>
          <w:cnfStyle w:val="000000100000" w:firstRow="0" w:lastRow="0" w:firstColumn="0" w:lastColumn="0" w:oddVBand="0" w:evenVBand="0" w:oddHBand="1" w:evenHBand="0" w:firstRowFirstColumn="0" w:firstRowLastColumn="0" w:lastRowFirstColumn="0" w:lastRowLastColumn="0"/>
          <w:trHeight w:hRule="exact" w:val="680"/>
        </w:trPr>
        <w:tc>
          <w:tcPr>
            <w:cnfStyle w:val="001000000000" w:firstRow="0" w:lastRow="0" w:firstColumn="1" w:lastColumn="0" w:oddVBand="0" w:evenVBand="0" w:oddHBand="0" w:evenHBand="0" w:firstRowFirstColumn="0" w:firstRowLastColumn="0" w:lastRowFirstColumn="0" w:lastRowLastColumn="0"/>
            <w:tcW w:w="674" w:type="dxa"/>
            <w:vMerge/>
            <w:shd w:val="clear" w:color="auto" w:fill="0070C0"/>
          </w:tcPr>
          <w:p w14:paraId="22F8E51F" w14:textId="77777777" w:rsidR="00A603D3" w:rsidRPr="00A603D3" w:rsidRDefault="00A603D3" w:rsidP="00A603D3">
            <w:pPr>
              <w:spacing w:line="360" w:lineRule="auto"/>
              <w:rPr>
                <w:lang w:val="en-GB"/>
              </w:rPr>
            </w:pPr>
          </w:p>
        </w:tc>
        <w:tc>
          <w:tcPr>
            <w:tcW w:w="2440" w:type="dxa"/>
            <w:shd w:val="clear" w:color="auto" w:fill="0070C0"/>
          </w:tcPr>
          <w:p w14:paraId="417AAB4E" w14:textId="77777777" w:rsidR="00A603D3" w:rsidRPr="00A603D3" w:rsidRDefault="00A603D3" w:rsidP="00A603D3">
            <w:pPr>
              <w:spacing w:line="360" w:lineRule="auto"/>
              <w:jc w:val="center"/>
              <w:cnfStyle w:val="000000100000" w:firstRow="0" w:lastRow="0" w:firstColumn="0" w:lastColumn="0" w:oddVBand="0" w:evenVBand="0" w:oddHBand="1" w:evenHBand="0" w:firstRowFirstColumn="0" w:firstRowLastColumn="0" w:lastRowFirstColumn="0" w:lastRowLastColumn="0"/>
              <w:rPr>
                <w:b/>
                <w:color w:val="FFFFFF"/>
                <w:lang w:val="en-GB"/>
              </w:rPr>
            </w:pPr>
            <w:r w:rsidRPr="00A603D3">
              <w:rPr>
                <w:b/>
                <w:color w:val="FFFFFF"/>
                <w:lang w:val="en-GB"/>
              </w:rPr>
              <w:t>Inbound Logistics</w:t>
            </w:r>
          </w:p>
        </w:tc>
        <w:tc>
          <w:tcPr>
            <w:tcW w:w="2977" w:type="dxa"/>
            <w:shd w:val="clear" w:color="auto" w:fill="0070C0"/>
          </w:tcPr>
          <w:p w14:paraId="1A0AAF66" w14:textId="77777777" w:rsidR="00A603D3" w:rsidRPr="00A603D3" w:rsidRDefault="00A603D3" w:rsidP="00A603D3">
            <w:pPr>
              <w:spacing w:line="360" w:lineRule="auto"/>
              <w:jc w:val="center"/>
              <w:cnfStyle w:val="000000100000" w:firstRow="0" w:lastRow="0" w:firstColumn="0" w:lastColumn="0" w:oddVBand="0" w:evenVBand="0" w:oddHBand="1" w:evenHBand="0" w:firstRowFirstColumn="0" w:firstRowLastColumn="0" w:lastRowFirstColumn="0" w:lastRowLastColumn="0"/>
              <w:rPr>
                <w:b/>
                <w:color w:val="FFFFFF"/>
                <w:lang w:val="en-GB"/>
              </w:rPr>
            </w:pPr>
            <w:r w:rsidRPr="00A603D3">
              <w:rPr>
                <w:b/>
                <w:color w:val="FFFFFF"/>
                <w:lang w:val="en-GB"/>
              </w:rPr>
              <w:t>Operations</w:t>
            </w:r>
          </w:p>
        </w:tc>
        <w:tc>
          <w:tcPr>
            <w:tcW w:w="2126" w:type="dxa"/>
            <w:shd w:val="clear" w:color="auto" w:fill="0070C0"/>
          </w:tcPr>
          <w:p w14:paraId="26F78A4A" w14:textId="77777777" w:rsidR="00A603D3" w:rsidRPr="00A603D3" w:rsidRDefault="00A603D3" w:rsidP="00A603D3">
            <w:pPr>
              <w:spacing w:line="360" w:lineRule="auto"/>
              <w:jc w:val="center"/>
              <w:cnfStyle w:val="000000100000" w:firstRow="0" w:lastRow="0" w:firstColumn="0" w:lastColumn="0" w:oddVBand="0" w:evenVBand="0" w:oddHBand="1" w:evenHBand="0" w:firstRowFirstColumn="0" w:firstRowLastColumn="0" w:lastRowFirstColumn="0" w:lastRowLastColumn="0"/>
              <w:rPr>
                <w:b/>
                <w:color w:val="FFFFFF"/>
                <w:lang w:val="en-GB"/>
              </w:rPr>
            </w:pPr>
            <w:r w:rsidRPr="00A603D3">
              <w:rPr>
                <w:b/>
                <w:color w:val="FFFFFF"/>
                <w:lang w:val="en-GB"/>
              </w:rPr>
              <w:t>Outbound Logistics</w:t>
            </w:r>
          </w:p>
        </w:tc>
        <w:tc>
          <w:tcPr>
            <w:tcW w:w="2410" w:type="dxa"/>
            <w:shd w:val="clear" w:color="auto" w:fill="0070C0"/>
          </w:tcPr>
          <w:p w14:paraId="0180EF23" w14:textId="77777777" w:rsidR="00A603D3" w:rsidRPr="00A603D3" w:rsidRDefault="00A603D3" w:rsidP="00A603D3">
            <w:pPr>
              <w:spacing w:line="360" w:lineRule="auto"/>
              <w:jc w:val="center"/>
              <w:cnfStyle w:val="000000100000" w:firstRow="0" w:lastRow="0" w:firstColumn="0" w:lastColumn="0" w:oddVBand="0" w:evenVBand="0" w:oddHBand="1" w:evenHBand="0" w:firstRowFirstColumn="0" w:firstRowLastColumn="0" w:lastRowFirstColumn="0" w:lastRowLastColumn="0"/>
              <w:rPr>
                <w:b/>
                <w:color w:val="FFFFFF"/>
                <w:lang w:val="en-GB"/>
              </w:rPr>
            </w:pPr>
            <w:r w:rsidRPr="00A603D3">
              <w:rPr>
                <w:b/>
                <w:color w:val="FFFFFF"/>
                <w:lang w:val="en-GB"/>
              </w:rPr>
              <w:t>Marketing &amp; Sales</w:t>
            </w:r>
          </w:p>
        </w:tc>
        <w:tc>
          <w:tcPr>
            <w:tcW w:w="3231" w:type="dxa"/>
            <w:shd w:val="clear" w:color="auto" w:fill="0070C0"/>
          </w:tcPr>
          <w:p w14:paraId="4A62B24F" w14:textId="77777777" w:rsidR="00A603D3" w:rsidRPr="00A603D3" w:rsidRDefault="00A603D3" w:rsidP="00A603D3">
            <w:pPr>
              <w:spacing w:line="360" w:lineRule="auto"/>
              <w:jc w:val="center"/>
              <w:cnfStyle w:val="000000100000" w:firstRow="0" w:lastRow="0" w:firstColumn="0" w:lastColumn="0" w:oddVBand="0" w:evenVBand="0" w:oddHBand="1" w:evenHBand="0" w:firstRowFirstColumn="0" w:firstRowLastColumn="0" w:lastRowFirstColumn="0" w:lastRowLastColumn="0"/>
              <w:rPr>
                <w:b/>
                <w:color w:val="FFFFFF"/>
                <w:lang w:val="en-GB"/>
              </w:rPr>
            </w:pPr>
            <w:r w:rsidRPr="00A603D3">
              <w:rPr>
                <w:b/>
                <w:color w:val="FFFFFF"/>
                <w:lang w:val="en-GB"/>
              </w:rPr>
              <w:t>Service</w:t>
            </w:r>
          </w:p>
        </w:tc>
      </w:tr>
      <w:tr w:rsidR="00A603D3" w:rsidRPr="00A603D3" w14:paraId="1D8D82A3" w14:textId="77777777" w:rsidTr="00965ECC">
        <w:trPr>
          <w:trHeight w:val="2485"/>
        </w:trPr>
        <w:tc>
          <w:tcPr>
            <w:cnfStyle w:val="001000000000" w:firstRow="0" w:lastRow="0" w:firstColumn="1" w:lastColumn="0" w:oddVBand="0" w:evenVBand="0" w:oddHBand="0" w:evenHBand="0" w:firstRowFirstColumn="0" w:firstRowLastColumn="0" w:lastRowFirstColumn="0" w:lastRowLastColumn="0"/>
            <w:tcW w:w="674" w:type="dxa"/>
            <w:shd w:val="clear" w:color="auto" w:fill="0070C0"/>
          </w:tcPr>
          <w:p w14:paraId="30355C5D" w14:textId="77777777" w:rsidR="00A603D3" w:rsidRPr="00A603D3" w:rsidRDefault="00A603D3" w:rsidP="00A603D3">
            <w:pPr>
              <w:spacing w:line="360" w:lineRule="auto"/>
              <w:rPr>
                <w:lang w:val="en-GB"/>
              </w:rPr>
            </w:pPr>
          </w:p>
        </w:tc>
        <w:tc>
          <w:tcPr>
            <w:tcW w:w="2440" w:type="dxa"/>
          </w:tcPr>
          <w:p w14:paraId="0A2536AD" w14:textId="77777777" w:rsidR="00A603D3" w:rsidRPr="00A603D3" w:rsidRDefault="00A603D3" w:rsidP="00A603D3">
            <w:pPr>
              <w:cnfStyle w:val="000000000000" w:firstRow="0" w:lastRow="0" w:firstColumn="0" w:lastColumn="0" w:oddVBand="0" w:evenVBand="0" w:oddHBand="0" w:evenHBand="0" w:firstRowFirstColumn="0" w:firstRowLastColumn="0" w:lastRowFirstColumn="0" w:lastRowLastColumn="0"/>
              <w:rPr>
                <w:rFonts w:cs="Arial"/>
                <w:lang w:val="en-GB"/>
              </w:rPr>
            </w:pPr>
            <w:r w:rsidRPr="00A603D3">
              <w:rPr>
                <w:lang w:val="en-GB"/>
              </w:rPr>
              <w:t>Since EVs have on average less moving components than ICE vehicles, inbound logistics will be determined by whether vehicle design is based on conversion or purpose-built model.</w:t>
            </w:r>
          </w:p>
        </w:tc>
        <w:tc>
          <w:tcPr>
            <w:tcW w:w="2977" w:type="dxa"/>
          </w:tcPr>
          <w:p w14:paraId="50AF4AFC" w14:textId="77777777" w:rsidR="00A603D3" w:rsidRPr="00A603D3" w:rsidRDefault="00A603D3" w:rsidP="00A603D3">
            <w:pPr>
              <w:spacing w:after="120"/>
              <w:cnfStyle w:val="000000000000" w:firstRow="0" w:lastRow="0" w:firstColumn="0" w:lastColumn="0" w:oddVBand="0" w:evenVBand="0" w:oddHBand="0" w:evenHBand="0" w:firstRowFirstColumn="0" w:firstRowLastColumn="0" w:lastRowFirstColumn="0" w:lastRowLastColumn="0"/>
              <w:rPr>
                <w:lang w:val="en-GB"/>
              </w:rPr>
            </w:pPr>
            <w:r w:rsidRPr="00A603D3">
              <w:rPr>
                <w:lang w:val="en-GB"/>
              </w:rPr>
              <w:t>The production plant of a typical EV plant that’s taken the purpose-built model is likely to be smaller with fewer operations compared to that of a conversion plant which keeps most of the production processes of a traditional ICE car.</w:t>
            </w:r>
          </w:p>
        </w:tc>
        <w:tc>
          <w:tcPr>
            <w:tcW w:w="2126" w:type="dxa"/>
          </w:tcPr>
          <w:p w14:paraId="6FDC91F7" w14:textId="77777777" w:rsidR="00A603D3" w:rsidRPr="00A603D3" w:rsidRDefault="00A603D3" w:rsidP="00A603D3">
            <w:pPr>
              <w:spacing w:after="120"/>
              <w:cnfStyle w:val="000000000000" w:firstRow="0" w:lastRow="0" w:firstColumn="0" w:lastColumn="0" w:oddVBand="0" w:evenVBand="0" w:oddHBand="0" w:evenHBand="0" w:firstRowFirstColumn="0" w:firstRowLastColumn="0" w:lastRowFirstColumn="0" w:lastRowLastColumn="0"/>
              <w:rPr>
                <w:rFonts w:cs="Arial"/>
                <w:lang w:val="en-GB"/>
              </w:rPr>
            </w:pPr>
            <w:r w:rsidRPr="00A603D3">
              <w:rPr>
                <w:rFonts w:cs="Arial"/>
                <w:lang w:val="en-GB"/>
              </w:rPr>
              <w:t>If companies rely more on company owned retail and repair services due to complex nature of EVs, warehousing may become a crucial value activity.</w:t>
            </w:r>
          </w:p>
        </w:tc>
        <w:tc>
          <w:tcPr>
            <w:tcW w:w="2410" w:type="dxa"/>
          </w:tcPr>
          <w:p w14:paraId="7BD8AA90" w14:textId="77777777" w:rsidR="00A603D3" w:rsidRPr="00A603D3" w:rsidRDefault="00A603D3" w:rsidP="00A603D3">
            <w:pPr>
              <w:spacing w:after="120"/>
              <w:cnfStyle w:val="000000000000" w:firstRow="0" w:lastRow="0" w:firstColumn="0" w:lastColumn="0" w:oddVBand="0" w:evenVBand="0" w:oddHBand="0" w:evenHBand="0" w:firstRowFirstColumn="0" w:firstRowLastColumn="0" w:lastRowFirstColumn="0" w:lastRowLastColumn="0"/>
              <w:rPr>
                <w:bCs/>
                <w:lang w:val="en-GB"/>
              </w:rPr>
            </w:pPr>
            <w:r w:rsidRPr="00A603D3">
              <w:rPr>
                <w:bCs/>
                <w:lang w:val="en-GB"/>
              </w:rPr>
              <w:t>Traditional dealer networks will face decline as sales &amp; marketing moves online &amp; towards company operated EV retail stores as in the case of Tesla.</w:t>
            </w:r>
          </w:p>
        </w:tc>
        <w:tc>
          <w:tcPr>
            <w:tcW w:w="3231" w:type="dxa"/>
          </w:tcPr>
          <w:p w14:paraId="42143DA4" w14:textId="77777777" w:rsidR="00A603D3" w:rsidRPr="00A603D3" w:rsidRDefault="00A603D3" w:rsidP="00A603D3">
            <w:pPr>
              <w:spacing w:after="120"/>
              <w:cnfStyle w:val="000000000000" w:firstRow="0" w:lastRow="0" w:firstColumn="0" w:lastColumn="0" w:oddVBand="0" w:evenVBand="0" w:oddHBand="0" w:evenHBand="0" w:firstRowFirstColumn="0" w:firstRowLastColumn="0" w:lastRowFirstColumn="0" w:lastRowLastColumn="0"/>
              <w:rPr>
                <w:lang w:val="en-GB"/>
              </w:rPr>
            </w:pPr>
            <w:r w:rsidRPr="00A603D3">
              <w:rPr>
                <w:lang w:val="en-GB"/>
              </w:rPr>
              <w:t>Traditional services such as gas stations, and after-market spare parts dealers will no longer be main service providers, to be replaced with charging stations and company-operated retail stores and online services that will play a more leading role.</w:t>
            </w:r>
          </w:p>
        </w:tc>
      </w:tr>
      <w:tr w:rsidR="00A603D3" w:rsidRPr="00A603D3" w14:paraId="2A4472C1" w14:textId="77777777" w:rsidTr="00965ECC">
        <w:trPr>
          <w:cnfStyle w:val="000000100000" w:firstRow="0" w:lastRow="0" w:firstColumn="0" w:lastColumn="0" w:oddVBand="0" w:evenVBand="0" w:oddHBand="1" w:evenHBand="0" w:firstRowFirstColumn="0" w:firstRowLastColumn="0" w:lastRowFirstColumn="0" w:lastRowLastColumn="0"/>
          <w:trHeight w:val="454"/>
        </w:trPr>
        <w:tc>
          <w:tcPr>
            <w:cnfStyle w:val="001000000000" w:firstRow="0" w:lastRow="0" w:firstColumn="1" w:lastColumn="0" w:oddVBand="0" w:evenVBand="0" w:oddHBand="0" w:evenHBand="0" w:firstRowFirstColumn="0" w:firstRowLastColumn="0" w:lastRowFirstColumn="0" w:lastRowLastColumn="0"/>
            <w:tcW w:w="13858" w:type="dxa"/>
            <w:gridSpan w:val="6"/>
            <w:shd w:val="clear" w:color="auto" w:fill="0070C0"/>
          </w:tcPr>
          <w:p w14:paraId="58D97AAF" w14:textId="77777777" w:rsidR="00A603D3" w:rsidRPr="00A603D3" w:rsidRDefault="00A603D3" w:rsidP="00A603D3">
            <w:pPr>
              <w:spacing w:line="360" w:lineRule="auto"/>
              <w:jc w:val="center"/>
              <w:rPr>
                <w:color w:val="FFFFFF"/>
                <w:sz w:val="28"/>
                <w:szCs w:val="28"/>
                <w:lang w:val="en-GB"/>
              </w:rPr>
            </w:pPr>
            <w:r w:rsidRPr="00A603D3">
              <w:rPr>
                <w:color w:val="FFFFFF"/>
                <w:sz w:val="28"/>
                <w:szCs w:val="28"/>
                <w:lang w:val="en-GB"/>
              </w:rPr>
              <w:t>PRIMARY ACTIVITIES</w:t>
            </w:r>
          </w:p>
        </w:tc>
      </w:tr>
    </w:tbl>
    <w:p w14:paraId="6DC01795" w14:textId="72613F9B" w:rsidR="005E4BA6" w:rsidRDefault="00A603D3">
      <w:pPr>
        <w:pStyle w:val="Body"/>
        <w:widowControl w:val="0"/>
        <w:spacing w:after="240"/>
      </w:pPr>
      <w:r>
        <w:rPr>
          <w:noProof/>
        </w:rPr>
        <mc:AlternateContent>
          <mc:Choice Requires="wps">
            <w:drawing>
              <wp:anchor distT="0" distB="0" distL="0" distR="0" simplePos="0" relativeHeight="251667456" behindDoc="0" locked="0" layoutInCell="1" allowOverlap="1" wp14:anchorId="099DC597" wp14:editId="1C56003D">
                <wp:simplePos x="0" y="0"/>
                <wp:positionH relativeFrom="column">
                  <wp:posOffset>8791575</wp:posOffset>
                </wp:positionH>
                <wp:positionV relativeFrom="line">
                  <wp:posOffset>-4834890</wp:posOffset>
                </wp:positionV>
                <wp:extent cx="762000" cy="4819650"/>
                <wp:effectExtent l="0" t="0" r="38100" b="19050"/>
                <wp:wrapNone/>
                <wp:docPr id="1073741834" name="officeArt object"/>
                <wp:cNvGraphicFramePr/>
                <a:graphic xmlns:a="http://schemas.openxmlformats.org/drawingml/2006/main">
                  <a:graphicData uri="http://schemas.microsoft.com/office/word/2010/wordprocessingShape">
                    <wps:wsp>
                      <wps:cNvSpPr/>
                      <wps:spPr>
                        <a:xfrm>
                          <a:off x="0" y="0"/>
                          <a:ext cx="762000" cy="481965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0800" y="0"/>
                              </a:lnTo>
                              <a:lnTo>
                                <a:pt x="21600" y="10800"/>
                              </a:lnTo>
                              <a:lnTo>
                                <a:pt x="10800" y="21600"/>
                              </a:lnTo>
                              <a:lnTo>
                                <a:pt x="0" y="21600"/>
                              </a:lnTo>
                              <a:close/>
                            </a:path>
                          </a:pathLst>
                        </a:custGeom>
                        <a:solidFill>
                          <a:srgbClr val="0070C0"/>
                        </a:solidFill>
                        <a:ln w="12700" cap="flat">
                          <a:solidFill>
                            <a:srgbClr val="32538F"/>
                          </a:solidFill>
                          <a:prstDash val="solid"/>
                          <a:miter lim="800000"/>
                        </a:ln>
                        <a:effectLst/>
                      </wps:spPr>
                      <wps:bodyPr/>
                    </wps:wsp>
                  </a:graphicData>
                </a:graphic>
                <wp14:sizeRelV relativeFrom="margin">
                  <wp14:pctHeight>0</wp14:pctHeight>
                </wp14:sizeRelV>
              </wp:anchor>
            </w:drawing>
          </mc:Choice>
          <mc:Fallback>
            <w:pict>
              <v:shape w14:anchorId="3A781BE7" id="officeArt object" o:spid="_x0000_s1026" style="position:absolute;margin-left:692.25pt;margin-top:-380.7pt;width:60pt;height:379.5pt;z-index:251667456;visibility:visible;mso-wrap-style:square;mso-height-percent:0;mso-wrap-distance-left:0;mso-wrap-distance-top:0;mso-wrap-distance-right:0;mso-wrap-distance-bottom:0;mso-position-horizontal:absolute;mso-position-horizontal-relative:text;mso-position-vertical:absolute;mso-position-vertical-relative:line;mso-height-percent:0;mso-height-relative:margin;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" path="m,l10800,,21600,10800,10800,21600,,21600,,xe" fillcolor="#0070c0" strokecolor="#32538f" strokeweight="1pt">
                <v:stroke joinstyle="miter"/>
                <v:path arrowok="t" o:extrusionok="f" o:connecttype="custom" o:connectlocs="381000,2409825;381000,2409825;381000,2409825;381000,2409825" o:connectangles="0,90,180,270"/>
                <w10:wrap anchory="line"/>
              </v:shape>
            </w:pict>
          </mc:Fallback>
        </mc:AlternateContent>
      </w:r>
    </w:p>
    <w:p w14:paraId="7D55A2BD" w14:textId="77F65EBD" w:rsidR="005E4BA6" w:rsidRDefault="008D7C88">
      <w:pPr>
        <w:pStyle w:val="Body"/>
        <w:spacing w:after="120" w:line="360" w:lineRule="auto"/>
        <w:rPr>
          <w:rFonts w:ascii="Arial Unicode MS" w:eastAsia="Arial Unicode MS" w:hAnsi="Arial Unicode MS" w:cs="Arial Unicode MS"/>
        </w:rPr>
      </w:pPr>
      <w:r>
        <w:rPr>
          <w:rFonts w:ascii="Arial Unicode MS" w:eastAsia="Arial Unicode MS" w:hAnsi="Arial Unicode MS" w:cs="Arial Unicode MS"/>
        </w:rPr>
        <w:br w:type="page"/>
      </w:r>
    </w:p>
    <w:p w14:paraId="705A7351" w14:textId="77777777" w:rsidR="00A603D3" w:rsidRDefault="00A603D3">
      <w:pPr>
        <w:pStyle w:val="Body"/>
        <w:spacing w:after="120" w:line="360" w:lineRule="auto"/>
        <w:sectPr w:rsidR="00A603D3" w:rsidSect="00A603D3">
          <w:pgSz w:w="16840" w:h="11900" w:orient="landscape"/>
          <w:pgMar w:top="1440" w:right="1440" w:bottom="1440" w:left="1440" w:header="708" w:footer="708" w:gutter="0"/>
          <w:cols w:space="720"/>
          <w:docGrid w:linePitch="326"/>
        </w:sectPr>
      </w:pPr>
    </w:p>
    <w:p w14:paraId="54EB5B0C" w14:textId="6410B772" w:rsidR="00A603D3" w:rsidRDefault="00A603D3">
      <w:pPr>
        <w:pStyle w:val="Body"/>
        <w:spacing w:after="120" w:line="360" w:lineRule="auto"/>
      </w:pPr>
    </w:p>
    <w:p w14:paraId="5951375A" w14:textId="77777777" w:rsidR="005E4BA6" w:rsidRDefault="008D7C88" w:rsidP="00BF3609">
      <w:pPr>
        <w:pStyle w:val="Heading2"/>
        <w:rPr>
          <w:rFonts w:eastAsia="Times New Roman" w:cs="Times New Roman"/>
        </w:rPr>
      </w:pPr>
      <w:r>
        <w:t>B. New business opportunities</w:t>
      </w:r>
    </w:p>
    <w:p w14:paraId="1BC559EE" w14:textId="77777777" w:rsidR="005E4BA6" w:rsidRDefault="008D7C88">
      <w:pPr>
        <w:pStyle w:val="Body"/>
        <w:spacing w:after="240" w:line="480" w:lineRule="auto"/>
      </w:pPr>
      <w:r>
        <w:rPr>
          <w:lang w:val="en-US"/>
        </w:rPr>
        <w:t>The electrification of the automobile industry is forecasted to bring about entire new business opportunities, new production techniques and a transformation of the entire supply chain, leading to challenges as well as new business opportunities for entrepreneurs and business executives in the auto industry and outside of it.</w:t>
      </w:r>
    </w:p>
    <w:p w14:paraId="7D17B7F4" w14:textId="77777777" w:rsidR="005E4BA6" w:rsidRDefault="008D7C88" w:rsidP="00BF3609">
      <w:pPr>
        <w:pStyle w:val="Heading3"/>
        <w:rPr>
          <w:rFonts w:eastAsia="Times New Roman" w:cs="Times New Roman"/>
        </w:rPr>
      </w:pPr>
      <w:r>
        <w:t>Utilities</w:t>
      </w:r>
    </w:p>
    <w:p w14:paraId="11F90A33" w14:textId="77777777" w:rsidR="005E4BA6" w:rsidRDefault="008D7C88">
      <w:pPr>
        <w:pStyle w:val="Body"/>
        <w:spacing w:after="240" w:line="480" w:lineRule="auto"/>
      </w:pPr>
      <w:r>
        <w:rPr>
          <w:lang w:val="en-US"/>
        </w:rPr>
        <w:t xml:space="preserve">A study by the Boston Consulting Group estimates that the rise of EVs and the general electrification of the transportation sector could create $3 billion to $10 billion in new value for US utilities through 2030. This comprises massive opportunities for investment in grid infrastructure especially distribution and new product and service markets that will support EVs in terms of meeting capacity and energy demands that charging systems will need (Baker et al 2019). According to Eggert (2019), the emergence of EVs is already improving the balance sheet of cash strapped utilities in places such as California (which accounts for half of US EV sales) where high EV uptake has been shown to increase utility revenue, and even reducing electric energy costs for everyone. </w:t>
      </w:r>
    </w:p>
    <w:p w14:paraId="1A08F210" w14:textId="77777777" w:rsidR="005E4BA6" w:rsidRDefault="008D7C88" w:rsidP="00BF3609">
      <w:pPr>
        <w:pStyle w:val="Heading3"/>
        <w:rPr>
          <w:rFonts w:eastAsia="Times New Roman" w:cs="Times New Roman"/>
        </w:rPr>
      </w:pPr>
      <w:r>
        <w:t>Charging infrastructure providers</w:t>
      </w:r>
    </w:p>
    <w:p w14:paraId="643B17BE" w14:textId="77777777" w:rsidR="005E4BA6" w:rsidRDefault="008D7C88">
      <w:pPr>
        <w:pStyle w:val="Body"/>
        <w:spacing w:after="240" w:line="480" w:lineRule="auto"/>
      </w:pPr>
      <w:r>
        <w:rPr>
          <w:lang w:val="en-US"/>
        </w:rPr>
        <w:t xml:space="preserve">Utilities will also be presented with opportunities to invest in EV operations and maintenance including the installation, operation, maintenance, and servicing of EV charging points; the provision of smart software and grid solutions for energy management and fleet routing; and consulting services (Baker et al 2019; Business Insider 2019). This is why more than 15 pioneering US utilities with 18million customers are already investing hundreds of millions of dollars in new charging stations across the US. Some utilities—including </w:t>
      </w:r>
      <w:proofErr w:type="spellStart"/>
      <w:r>
        <w:rPr>
          <w:lang w:val="en-US"/>
        </w:rPr>
        <w:t>Innogy</w:t>
      </w:r>
      <w:proofErr w:type="spellEnd"/>
      <w:r>
        <w:rPr>
          <w:lang w:val="en-US"/>
        </w:rPr>
        <w:t xml:space="preserve">, </w:t>
      </w:r>
      <w:proofErr w:type="spellStart"/>
      <w:r>
        <w:rPr>
          <w:lang w:val="en-US"/>
        </w:rPr>
        <w:t>Enel</w:t>
      </w:r>
      <w:proofErr w:type="spellEnd"/>
      <w:r>
        <w:rPr>
          <w:lang w:val="en-US"/>
        </w:rPr>
        <w:t xml:space="preserve">, </w:t>
      </w:r>
      <w:proofErr w:type="spellStart"/>
      <w:r>
        <w:rPr>
          <w:lang w:val="en-US"/>
        </w:rPr>
        <w:t>E.On</w:t>
      </w:r>
      <w:proofErr w:type="spellEnd"/>
      <w:r>
        <w:rPr>
          <w:lang w:val="en-US"/>
        </w:rPr>
        <w:t xml:space="preserve">, and </w:t>
      </w:r>
      <w:proofErr w:type="spellStart"/>
      <w:r>
        <w:rPr>
          <w:lang w:val="en-US"/>
        </w:rPr>
        <w:t>Vattenfall</w:t>
      </w:r>
      <w:proofErr w:type="spellEnd"/>
      <w:r>
        <w:rPr>
          <w:lang w:val="en-US"/>
        </w:rPr>
        <w:t xml:space="preserve">—are already emerging as end-to-end owners and operators of charging infrastructure, covering installation, operations, maintenance, and service (Baker et al 2019). </w:t>
      </w:r>
      <w:r>
        <w:rPr>
          <w:lang w:val="en-US"/>
        </w:rPr>
        <w:lastRenderedPageBreak/>
        <w:t xml:space="preserve">Nevertheless, majority of utilities in the US </w:t>
      </w:r>
      <w:r>
        <w:t xml:space="preserve">– </w:t>
      </w:r>
      <w:r>
        <w:rPr>
          <w:lang w:val="en-US"/>
        </w:rPr>
        <w:t xml:space="preserve">at least 359, are still either unprepared or uncertain when it comes to investment in the EV space, meaning opportunities still abound in this space (Eggert 2019). </w:t>
      </w:r>
    </w:p>
    <w:p w14:paraId="4A0ABC40" w14:textId="77777777" w:rsidR="005E4BA6" w:rsidRDefault="008D7C88" w:rsidP="00BF3609">
      <w:pPr>
        <w:pStyle w:val="Heading3"/>
        <w:rPr>
          <w:rFonts w:eastAsia="Times New Roman" w:cs="Times New Roman"/>
        </w:rPr>
      </w:pPr>
      <w:r>
        <w:t>Battery life cycle management</w:t>
      </w:r>
    </w:p>
    <w:p w14:paraId="18E4B021" w14:textId="77777777" w:rsidR="005E4BA6" w:rsidRDefault="008D7C88">
      <w:pPr>
        <w:pStyle w:val="Body"/>
        <w:spacing w:after="240" w:line="480" w:lineRule="auto"/>
      </w:pPr>
      <w:r>
        <w:rPr>
          <w:lang w:val="en-US"/>
        </w:rPr>
        <w:t>When an EV battery reaches the end of its useful first life, manufacturers have three options: they can dispose of it, recycle the valuable metals, or reuse it (McKinsey 2019). EV Batteries today don</w:t>
      </w:r>
      <w:r>
        <w:t>’</w:t>
      </w:r>
      <w:r>
        <w:rPr>
          <w:lang w:val="en-US"/>
        </w:rPr>
        <w:t>t last as long as the vehicles they power, an issue that necessitates a system for the distribution and installation of replacement battery units, and a plan to deal with the millions of used batteries coming back from customers.</w:t>
      </w:r>
      <w:r>
        <w:rPr>
          <w:rFonts w:ascii="Arial" w:hAnsi="Arial"/>
          <w:color w:val="444444"/>
          <w:u w:color="444444"/>
        </w:rPr>
        <w:t xml:space="preserve"> </w:t>
      </w:r>
      <w:r>
        <w:rPr>
          <w:lang w:val="en-US"/>
        </w:rPr>
        <w:t>Eventually, such batteries will need to be either disposed of, recycled or reused to reduce potentially dangerous and polluting toxic waste, and to recover valuable raw material such as cobalt and lithium. The reuse of such critical materials is expected to become an important business opportunity since they can also be used to hedge against future fluctuations in their prices (Ward 2017).</w:t>
      </w:r>
    </w:p>
    <w:p w14:paraId="1845A367" w14:textId="0E89C139" w:rsidR="005E4BA6" w:rsidRDefault="008D7C88">
      <w:pPr>
        <w:pStyle w:val="Body"/>
        <w:spacing w:after="240" w:line="480" w:lineRule="auto"/>
      </w:pPr>
      <w:r>
        <w:rPr>
          <w:lang w:val="en-US"/>
        </w:rPr>
        <w:t>Other forms of battery recycling also present big opportunities. Th</w:t>
      </w:r>
      <w:r w:rsidR="002E063D">
        <w:rPr>
          <w:lang w:val="en-US"/>
        </w:rPr>
        <w:t>e</w:t>
      </w:r>
      <w:r>
        <w:rPr>
          <w:lang w:val="en-US"/>
        </w:rPr>
        <w:t xml:space="preserve"> typical lithium ion battery lasts for just 7 years of use before its </w:t>
      </w:r>
      <w:r w:rsidR="002E063D">
        <w:rPr>
          <w:lang w:val="en-US"/>
        </w:rPr>
        <w:t>changed</w:t>
      </w:r>
      <w:r>
        <w:rPr>
          <w:lang w:val="en-US"/>
        </w:rPr>
        <w:t xml:space="preserve">. Only 5% of li-ion batteries are recycled at present, </w:t>
      </w:r>
      <w:r w:rsidR="002E063D">
        <w:rPr>
          <w:lang w:val="en-US"/>
        </w:rPr>
        <w:t>meaning</w:t>
      </w:r>
      <w:r>
        <w:rPr>
          <w:lang w:val="en-US"/>
        </w:rPr>
        <w:t xml:space="preserve"> 11million tons of li-ion batteries will be discarded by 2030</w:t>
      </w:r>
      <w:r w:rsidR="002E063D">
        <w:rPr>
          <w:lang w:val="en-US"/>
        </w:rPr>
        <w:t>.</w:t>
      </w:r>
      <w:r>
        <w:rPr>
          <w:lang w:val="en-US"/>
        </w:rPr>
        <w:t xml:space="preserve"> </w:t>
      </w:r>
      <w:r w:rsidR="002E063D">
        <w:rPr>
          <w:lang w:val="en-US"/>
        </w:rPr>
        <w:t xml:space="preserve">But they can be instead be recycled for </w:t>
      </w:r>
      <w:r>
        <w:rPr>
          <w:lang w:val="en-US"/>
        </w:rPr>
        <w:t>valuable raw materials such as cobalt and lithium that go into making them (</w:t>
      </w:r>
      <w:proofErr w:type="spellStart"/>
      <w:r>
        <w:rPr>
          <w:lang w:val="en-US"/>
        </w:rPr>
        <w:t>Simlett</w:t>
      </w:r>
      <w:proofErr w:type="spellEnd"/>
      <w:r>
        <w:rPr>
          <w:lang w:val="en-US"/>
        </w:rPr>
        <w:t xml:space="preserve"> 2019). </w:t>
      </w:r>
    </w:p>
    <w:p w14:paraId="429A6FD9" w14:textId="7A456C09" w:rsidR="005E4BA6" w:rsidRDefault="002E063D">
      <w:pPr>
        <w:pStyle w:val="Body"/>
        <w:spacing w:after="240" w:line="480" w:lineRule="auto"/>
      </w:pPr>
      <w:r>
        <w:rPr>
          <w:lang w:val="en-US"/>
        </w:rPr>
        <w:t>Batteries that</w:t>
      </w:r>
      <w:r w:rsidR="008D7C88">
        <w:rPr>
          <w:lang w:val="en-US"/>
        </w:rPr>
        <w:t xml:space="preserve"> cannot be recycled due to the chemical nature of their makeup </w:t>
      </w:r>
      <w:r>
        <w:rPr>
          <w:lang w:val="en-US"/>
        </w:rPr>
        <w:t xml:space="preserve">can be </w:t>
      </w:r>
      <w:r w:rsidR="008D7C88">
        <w:rPr>
          <w:lang w:val="en-US"/>
        </w:rPr>
        <w:t xml:space="preserve">repurposed for second-life reuse serving less-demanding applications, such as stationary energy-storage services. McKinsey (2019) notes </w:t>
      </w:r>
      <w:r>
        <w:rPr>
          <w:lang w:val="en-US"/>
        </w:rPr>
        <w:t>that the market for</w:t>
      </w:r>
      <w:r w:rsidR="008D7C88">
        <w:rPr>
          <w:lang w:val="en-US"/>
        </w:rPr>
        <w:t xml:space="preserve"> second-life-battery supply for stationary applications </w:t>
      </w:r>
      <w:r>
        <w:rPr>
          <w:lang w:val="en-US"/>
        </w:rPr>
        <w:t>might reach $30billion by 2030</w:t>
      </w:r>
      <w:r w:rsidR="008D7C88">
        <w:rPr>
          <w:lang w:val="en-US"/>
        </w:rPr>
        <w:t xml:space="preserve"> (see figure below). </w:t>
      </w:r>
    </w:p>
    <w:p w14:paraId="39C1B1F9" w14:textId="77777777" w:rsidR="005E4BA6" w:rsidRDefault="008D7C88">
      <w:pPr>
        <w:pStyle w:val="Caption"/>
        <w:keepNext/>
        <w:rPr>
          <w:color w:val="000000"/>
          <w:sz w:val="24"/>
          <w:szCs w:val="24"/>
          <w:u w:color="000000"/>
        </w:rPr>
      </w:pPr>
      <w:r>
        <w:rPr>
          <w:color w:val="000000"/>
          <w:sz w:val="24"/>
          <w:szCs w:val="24"/>
          <w:u w:color="000000"/>
        </w:rPr>
        <w:lastRenderedPageBreak/>
        <w:t>Figure 10: Second-lie lithium-ion battery supply</w:t>
      </w:r>
    </w:p>
    <w:p w14:paraId="56D564A3" w14:textId="77777777" w:rsidR="005E4BA6" w:rsidRDefault="008D7C88">
      <w:pPr>
        <w:pStyle w:val="Body"/>
        <w:spacing w:after="240" w:line="480" w:lineRule="auto"/>
        <w:rPr>
          <w:i/>
          <w:iCs/>
        </w:rPr>
      </w:pPr>
      <w:r>
        <w:rPr>
          <w:noProof/>
        </w:rPr>
        <w:drawing>
          <wp:inline distT="0" distB="0" distL="0" distR="0" wp14:anchorId="372DC5C2" wp14:editId="720882DC">
            <wp:extent cx="5724525" cy="3095625"/>
            <wp:effectExtent l="0" t="0" r="0" b="0"/>
            <wp:docPr id="1073741835" name="officeArt object"/>
            <wp:cNvGraphicFramePr/>
            <a:graphic xmlns:a="http://schemas.openxmlformats.org/drawingml/2006/main">
              <a:graphicData uri="http://schemas.openxmlformats.org/drawingml/2006/picture">
                <pic:pic xmlns:pic="http://schemas.openxmlformats.org/drawingml/2006/picture">
                  <pic:nvPicPr>
                    <pic:cNvPr id="1073741835" name="image2.png"/>
                    <pic:cNvPicPr>
                      <a:picLocks noChangeAspect="1"/>
                    </pic:cNvPicPr>
                  </pic:nvPicPr>
                  <pic:blipFill>
                    <a:blip r:embed="rId14"/>
                    <a:stretch>
                      <a:fillRect/>
                    </a:stretch>
                  </pic:blipFill>
                  <pic:spPr>
                    <a:xfrm>
                      <a:off x="0" y="0"/>
                      <a:ext cx="5724525" cy="3095625"/>
                    </a:xfrm>
                    <a:prstGeom prst="rect">
                      <a:avLst/>
                    </a:prstGeom>
                    <a:ln w="9525" cap="flat">
                      <a:solidFill>
                        <a:schemeClr val="accent1"/>
                      </a:solidFill>
                      <a:prstDash val="solid"/>
                      <a:round/>
                    </a:ln>
                    <a:effectLst/>
                  </pic:spPr>
                </pic:pic>
              </a:graphicData>
            </a:graphic>
          </wp:inline>
        </w:drawing>
      </w:r>
      <w:r>
        <w:rPr>
          <w:i/>
          <w:iCs/>
          <w:lang w:val="en-US"/>
        </w:rPr>
        <w:t>Source: McKinsey 2019</w:t>
      </w:r>
    </w:p>
    <w:p w14:paraId="5382B07C" w14:textId="77777777" w:rsidR="005E4BA6" w:rsidRDefault="008D7C88" w:rsidP="00BF3609">
      <w:pPr>
        <w:pStyle w:val="Heading3"/>
        <w:rPr>
          <w:rFonts w:eastAsia="Times New Roman" w:cs="Times New Roman"/>
        </w:rPr>
      </w:pPr>
      <w:r>
        <w:t>Supply of electrical components</w:t>
      </w:r>
    </w:p>
    <w:p w14:paraId="57B954C5" w14:textId="77777777" w:rsidR="005E4BA6" w:rsidRDefault="008D7C88">
      <w:pPr>
        <w:pStyle w:val="Body"/>
        <w:spacing w:after="240" w:line="480" w:lineRule="auto"/>
      </w:pPr>
      <w:r>
        <w:rPr>
          <w:lang w:val="en-US"/>
        </w:rPr>
        <w:t>The critical role that electrical components will play in the industry also means that suppliers of electronic and electric car components will see some of the largest increases in market size in the future (Deloitte 2019).</w:t>
      </w:r>
    </w:p>
    <w:p w14:paraId="7BF5ED98" w14:textId="77777777" w:rsidR="005E4BA6" w:rsidRDefault="008D7C88" w:rsidP="00BF3609">
      <w:pPr>
        <w:pStyle w:val="Heading2"/>
        <w:rPr>
          <w:rFonts w:eastAsia="Times New Roman" w:cs="Times New Roman"/>
        </w:rPr>
      </w:pPr>
      <w:r>
        <w:t>C. Discontinued businesses</w:t>
      </w:r>
    </w:p>
    <w:p w14:paraId="24A8CCDE" w14:textId="73F32EDF" w:rsidR="005E4BA6" w:rsidRDefault="008D7C88">
      <w:pPr>
        <w:pStyle w:val="Body"/>
        <w:spacing w:after="240" w:line="480" w:lineRule="auto"/>
      </w:pPr>
      <w:r>
        <w:rPr>
          <w:lang w:val="en-US"/>
        </w:rPr>
        <w:t xml:space="preserve">One of the businesses analysts reckon will continue to see decline in demand and divestment is the oil sector. </w:t>
      </w:r>
      <w:r w:rsidR="002E063D">
        <w:rPr>
          <w:lang w:val="en-US"/>
        </w:rPr>
        <w:t>The</w:t>
      </w:r>
      <w:r>
        <w:rPr>
          <w:lang w:val="en-US"/>
        </w:rPr>
        <w:t xml:space="preserve"> electrification of transport is already having an impact on global oil consumption as they hasten the slow but steady decline in petroleum consumption. According to Murtaugh (2019), electric transportation could displace as much as 6.4million barrels per day of oil demand by 2040 with fuel efficiency from improvements in ICE vehicles erasing another 7.5million barrels per day.  Currently, a lot of such displacement is being driven by the electrification of public transport such as electric buses in places such as China where analysts predict oil demand will peak as early as 2025 as drivers forego petroleum-</w:t>
      </w:r>
      <w:proofErr w:type="spellStart"/>
      <w:r>
        <w:rPr>
          <w:lang w:val="en-US"/>
        </w:rPr>
        <w:t>fuelled</w:t>
      </w:r>
      <w:proofErr w:type="spellEnd"/>
      <w:r>
        <w:rPr>
          <w:lang w:val="en-US"/>
        </w:rPr>
        <w:t xml:space="preserve"> </w:t>
      </w:r>
      <w:r>
        <w:rPr>
          <w:lang w:val="en-US"/>
        </w:rPr>
        <w:lastRenderedPageBreak/>
        <w:t xml:space="preserve">transport in </w:t>
      </w:r>
      <w:proofErr w:type="spellStart"/>
      <w:r>
        <w:rPr>
          <w:lang w:val="en-US"/>
        </w:rPr>
        <w:t>favour</w:t>
      </w:r>
      <w:proofErr w:type="spellEnd"/>
      <w:r>
        <w:rPr>
          <w:lang w:val="en-US"/>
        </w:rPr>
        <w:t xml:space="preserve"> of electrified vehicles (Murtaugh 2019). The International Energy Agency (IEA) estimates global oil demand to peak by 2030 (Sharma 2019).</w:t>
      </w:r>
    </w:p>
    <w:p w14:paraId="7AC822CF" w14:textId="77777777" w:rsidR="005E4BA6" w:rsidRDefault="008D7C88">
      <w:pPr>
        <w:pStyle w:val="Body"/>
        <w:spacing w:after="240" w:line="480" w:lineRule="auto"/>
      </w:pPr>
      <w:r>
        <w:rPr>
          <w:lang w:val="en-US"/>
        </w:rPr>
        <w:t xml:space="preserve">Nevertheless, while most analysts agree that demand for oil is likely to decline, many do not anticipate the total collapse of the sector. For instance, Sharma (2019) sees the decline in demand for oil as an OECD market issue, arguing that demand will still be driven by countries in the developing world where EV uptake is likely to remain nascent, </w:t>
      </w:r>
      <w:proofErr w:type="spellStart"/>
      <w:r>
        <w:rPr>
          <w:lang w:val="en-US"/>
        </w:rPr>
        <w:t>atleast</w:t>
      </w:r>
      <w:proofErr w:type="spellEnd"/>
      <w:r>
        <w:rPr>
          <w:lang w:val="en-US"/>
        </w:rPr>
        <w:t xml:space="preserve"> for the foreseeable future. </w:t>
      </w:r>
    </w:p>
    <w:p w14:paraId="6AEC47F2" w14:textId="77777777" w:rsidR="005E4BA6" w:rsidRDefault="008D7C88">
      <w:pPr>
        <w:pStyle w:val="Body"/>
        <w:spacing w:after="240" w:line="480" w:lineRule="auto"/>
      </w:pPr>
      <w:r>
        <w:rPr>
          <w:lang w:val="en-US"/>
        </w:rPr>
        <w:t>In fact, McKinsey (2018) argue that even as ICE vehicles become more efficient and less predominant and EV presence on roads increases as a proportion of vehicles on roads, demand for crude-oil will continue to grow globally. The projected demand is expected to come from a variety of sources, including industries such as chemicals and aviation; developing nations, notably China, India and other emerging markets; and the sale of more automobiles globally, including more ICE-powered automobiles, and hence more vehicle miles traveled worldwide.</w:t>
      </w:r>
    </w:p>
    <w:p w14:paraId="05910CB9" w14:textId="77777777" w:rsidR="005E4BA6" w:rsidRDefault="008D7C88">
      <w:pPr>
        <w:pStyle w:val="Body"/>
        <w:spacing w:after="240" w:line="480" w:lineRule="auto"/>
      </w:pPr>
      <w:r>
        <w:rPr>
          <w:lang w:val="en-US"/>
        </w:rPr>
        <w:t xml:space="preserve">EVs are stated to have less than 20 moving parts compared to ICE cars that have around 2,000 moving parts. It already takes 40 percent fewer hours to assemble an electric motor and battery than a traditional internal-combustion engine and transmission (Dawson et al 2019). The low volume of components will affect many businesses. Suppliers who manufacture internal combustion engine components such as the exhaust or fuel systems. will lose out. EVs use a lot of IT and electronic components, since they are computers on wheels. This will </w:t>
      </w:r>
      <w:proofErr w:type="spellStart"/>
      <w:r>
        <w:rPr>
          <w:lang w:val="en-US"/>
        </w:rPr>
        <w:t>favour</w:t>
      </w:r>
      <w:proofErr w:type="spellEnd"/>
      <w:r>
        <w:rPr>
          <w:lang w:val="en-US"/>
        </w:rPr>
        <w:t xml:space="preserve"> suppliers with the technology to supply such modern systems. While large suppliers with financial backing and technical capabilities may likely adapt, smaller players may perish. Only those suppliers who take the necessary steps will survive and succeed (Eisenstein 2019). Other sectors anticipated to see business discontinuation include the aftermarket and maintenance sector which includes auto spare parts sector. With less parts to </w:t>
      </w:r>
      <w:r>
        <w:rPr>
          <w:lang w:val="en-US"/>
        </w:rPr>
        <w:lastRenderedPageBreak/>
        <w:t xml:space="preserve">deal in, and less maintenance, many businesses in aftermarket sector may also cease operations (Deloitte 2019). </w:t>
      </w:r>
    </w:p>
    <w:p w14:paraId="28A1C7C9" w14:textId="77777777" w:rsidR="005E4BA6" w:rsidRDefault="008D7C88" w:rsidP="00BF3609">
      <w:pPr>
        <w:pStyle w:val="Heading2"/>
        <w:rPr>
          <w:rFonts w:eastAsia="Times New Roman" w:cs="Times New Roman"/>
        </w:rPr>
      </w:pPr>
      <w:r>
        <w:rPr>
          <w:lang w:val="it-IT"/>
        </w:rPr>
        <w:t>Conclusion</w:t>
      </w:r>
    </w:p>
    <w:p w14:paraId="617A34CC" w14:textId="77777777" w:rsidR="005E4BA6" w:rsidRDefault="008D7C88">
      <w:pPr>
        <w:pStyle w:val="Body"/>
        <w:spacing w:after="240" w:line="480" w:lineRule="auto"/>
      </w:pPr>
      <w:r>
        <w:rPr>
          <w:lang w:val="en-US"/>
        </w:rPr>
        <w:t xml:space="preserve">The shift to electric vehicles from the combustion engine is transforming the automotive value chain in ways that few can predict or even anticipate. According to Deloitte (2019), EV production will likely reach 35million units by 2030, up from 2million in 2018. Its already stated that EVs have fewer moving parts than ICE vehicles and their assembly requires just as fewer manhours than their gas-powered counterparts. The implications are far reaching. New opportunities that will arise out of this shift include demand for energy and utilities, charging infrastructure, battery life cycle management, and increase in market share for electrical component suppliers. On the </w:t>
      </w:r>
      <w:proofErr w:type="spellStart"/>
      <w:r>
        <w:rPr>
          <w:lang w:val="en-US"/>
        </w:rPr>
        <w:t>otherhand</w:t>
      </w:r>
      <w:proofErr w:type="spellEnd"/>
      <w:r>
        <w:rPr>
          <w:lang w:val="en-US"/>
        </w:rPr>
        <w:t>, demand for oil will likely lead to de-investment in the oil sector and discontinuation of businesses that supply auto spare parts and ICE components such as the exhaust or fuel systems.</w:t>
      </w:r>
    </w:p>
    <w:p w14:paraId="28485A97" w14:textId="77777777" w:rsidR="005E4BA6" w:rsidRDefault="005E4BA6" w:rsidP="00BF3609"/>
    <w:p w14:paraId="7AC81C95" w14:textId="77777777" w:rsidR="005E4BA6" w:rsidRDefault="005E4BA6" w:rsidP="00BF3609"/>
    <w:p w14:paraId="69FD7624" w14:textId="77777777" w:rsidR="005E4BA6" w:rsidRDefault="005E4BA6" w:rsidP="00BF3609"/>
    <w:p w14:paraId="3BAA2037" w14:textId="77777777" w:rsidR="005E4BA6" w:rsidRDefault="005E4BA6" w:rsidP="00BF3609"/>
    <w:p w14:paraId="08A2AF5B" w14:textId="77777777" w:rsidR="005E4BA6" w:rsidRDefault="005E4BA6" w:rsidP="00BF3609"/>
    <w:p w14:paraId="642DF393" w14:textId="77777777" w:rsidR="005E4BA6" w:rsidRDefault="005E4BA6" w:rsidP="00BF3609"/>
    <w:p w14:paraId="51E62D1C" w14:textId="77777777" w:rsidR="005E4BA6" w:rsidRDefault="005E4BA6" w:rsidP="00BF3609"/>
    <w:p w14:paraId="065D7BCB" w14:textId="535A13E0" w:rsidR="005E4BA6" w:rsidRDefault="005E4BA6" w:rsidP="00BF3609"/>
    <w:p w14:paraId="41B963BF" w14:textId="00347B65" w:rsidR="002E063D" w:rsidRDefault="002E063D" w:rsidP="00BF3609"/>
    <w:p w14:paraId="786E7F78" w14:textId="421D1E20" w:rsidR="002E063D" w:rsidRDefault="002E063D" w:rsidP="00BF3609"/>
    <w:p w14:paraId="72197954" w14:textId="56508533" w:rsidR="002E063D" w:rsidRDefault="002E063D" w:rsidP="00BF3609"/>
    <w:p w14:paraId="6A12CEC4" w14:textId="6E931BDA" w:rsidR="002E063D" w:rsidRDefault="002E063D" w:rsidP="00BF3609"/>
    <w:p w14:paraId="1CA0748E" w14:textId="52A436E3" w:rsidR="002E063D" w:rsidRDefault="002E063D" w:rsidP="00BF3609"/>
    <w:p w14:paraId="00DA915D" w14:textId="5C0749AA" w:rsidR="002E063D" w:rsidRDefault="002E063D" w:rsidP="00BF3609"/>
    <w:p w14:paraId="1EA1F765" w14:textId="77777777" w:rsidR="002E063D" w:rsidRDefault="002E063D" w:rsidP="00BF3609"/>
    <w:p w14:paraId="2896D1FE" w14:textId="437B0675" w:rsidR="005E4BA6" w:rsidRPr="00BF3609" w:rsidRDefault="008D7C88" w:rsidP="00BF3609">
      <w:pPr>
        <w:pStyle w:val="Heading"/>
        <w:rPr>
          <w:rFonts w:ascii="Times New Roman" w:eastAsia="Times New Roman" w:hAnsi="Times New Roman" w:cs="Times New Roman"/>
        </w:rPr>
      </w:pPr>
      <w:r>
        <w:rPr>
          <w:rFonts w:ascii="Times New Roman" w:hAnsi="Times New Roman"/>
          <w:lang w:val="en-US"/>
        </w:rPr>
        <w:t xml:space="preserve">Part 3 </w:t>
      </w:r>
      <w:r>
        <w:rPr>
          <w:rFonts w:ascii="Times New Roman" w:hAnsi="Times New Roman"/>
        </w:rPr>
        <w:t xml:space="preserve">– </w:t>
      </w:r>
      <w:r>
        <w:rPr>
          <w:rFonts w:ascii="Times New Roman" w:hAnsi="Times New Roman"/>
          <w:lang w:val="it-IT"/>
        </w:rPr>
        <w:t>Conclusion</w:t>
      </w:r>
    </w:p>
    <w:p w14:paraId="3D02CA4D" w14:textId="77777777" w:rsidR="005E4BA6" w:rsidRDefault="008D7C88">
      <w:pPr>
        <w:pStyle w:val="BodyA"/>
      </w:pPr>
      <w:r>
        <w:t xml:space="preserve">The EV industry has in current years experienced strong growth, surpassing a million units in 2017 and forecast to grow further. As per the findings, this growth has been boosted by a favorable environment including a number of favorable laws and regulations, improving </w:t>
      </w:r>
      <w:r>
        <w:lastRenderedPageBreak/>
        <w:t>technology, growing acceptance as well as growing climate change concerns. However, Porters Five Forces analysis has shown that all the five forces are high which makes it less attractive and profitable. As a result, a number of EV manufacturers especially startups will be forced out of the market in order to avoid losses. Never the less, if manufactures and suppliers in someway mange to turn industry challenges into opportunities, they will be able to become successful and enjoy profits.</w:t>
      </w:r>
    </w:p>
    <w:p w14:paraId="2F17BB53" w14:textId="5D860357" w:rsidR="005E4BA6" w:rsidRDefault="008D7C88">
      <w:pPr>
        <w:pStyle w:val="Body"/>
        <w:spacing w:after="240" w:line="480" w:lineRule="auto"/>
      </w:pPr>
      <w:r>
        <w:rPr>
          <w:lang w:val="en-US"/>
        </w:rPr>
        <w:t>EV production will likely reach 35million units by 2030, up from 2million in 2018. Its already stated that EVs have fewer moving parts than ICE vehicles and their assembly requires just as fewer manhours than their gas-powered counterparts. The implications are far reaching. New opportunities that will arise out of this shift include demand for energy and utilities, charging infrastructure, battery life cycle management, and increase in market share for electrical component suppliers. On the other hand, demand for oil will likely lead to de-investment in the oil sector and discontinuation of businesses that supply auto spare parts and ICE components such as the exhaust or fuel systems.</w:t>
      </w:r>
    </w:p>
    <w:p w14:paraId="3C7A2057" w14:textId="77777777" w:rsidR="005E4BA6" w:rsidRDefault="005E4BA6">
      <w:pPr>
        <w:pStyle w:val="Body"/>
        <w:spacing w:after="240" w:line="480" w:lineRule="auto"/>
      </w:pPr>
    </w:p>
    <w:p w14:paraId="3437847F" w14:textId="77777777" w:rsidR="005E4BA6" w:rsidRDefault="005E4BA6">
      <w:pPr>
        <w:pStyle w:val="Body"/>
        <w:spacing w:after="240" w:line="480" w:lineRule="auto"/>
      </w:pPr>
    </w:p>
    <w:p w14:paraId="50E2BC46" w14:textId="77777777" w:rsidR="005E4BA6" w:rsidRDefault="005E4BA6">
      <w:pPr>
        <w:pStyle w:val="Body"/>
        <w:spacing w:after="240" w:line="480" w:lineRule="auto"/>
      </w:pPr>
    </w:p>
    <w:p w14:paraId="255DB5DA" w14:textId="77777777" w:rsidR="005E4BA6" w:rsidRDefault="005E4BA6">
      <w:pPr>
        <w:pStyle w:val="BodyA"/>
      </w:pPr>
    </w:p>
    <w:p w14:paraId="385C063C" w14:textId="77777777" w:rsidR="005E4BA6" w:rsidRDefault="005E4BA6">
      <w:pPr>
        <w:pStyle w:val="BodyA"/>
      </w:pPr>
    </w:p>
    <w:p w14:paraId="3C7EE727" w14:textId="54DC9C60" w:rsidR="00C71FD4" w:rsidRDefault="008D7C88" w:rsidP="005B3AFA">
      <w:pPr>
        <w:pStyle w:val="Heading1"/>
      </w:pPr>
      <w:r>
        <w:lastRenderedPageBreak/>
        <w:t xml:space="preserve">References </w:t>
      </w:r>
    </w:p>
    <w:p w14:paraId="29FF2B06" w14:textId="3B16F988" w:rsidR="00C71FD4" w:rsidRDefault="008D7C88">
      <w:pPr>
        <w:pStyle w:val="BodyA"/>
      </w:pPr>
      <w:proofErr w:type="spellStart"/>
      <w:r>
        <w:t>Albrahim</w:t>
      </w:r>
      <w:proofErr w:type="spellEnd"/>
      <w:r>
        <w:t xml:space="preserve">, M., Zahrani, A.A., Arora, A. et al (2019) “An overview of key evolutions in the light-duty vehicle sector and their impact on oil demand” </w:t>
      </w:r>
      <w:r w:rsidRPr="00C71FD4">
        <w:rPr>
          <w:i/>
          <w:iCs/>
        </w:rPr>
        <w:t>Energy Transit</w:t>
      </w:r>
      <w:r>
        <w:t xml:space="preserve"> 3</w:t>
      </w:r>
      <w:r w:rsidR="00C71FD4">
        <w:t>:</w:t>
      </w:r>
      <w:r>
        <w:t xml:space="preserve"> 81–103 doi:10.1007/s41825-019-00017-7 </w:t>
      </w:r>
    </w:p>
    <w:p w14:paraId="7ECEDFD4" w14:textId="6B08AFF6" w:rsidR="005E4BA6" w:rsidRPr="00C71FD4" w:rsidRDefault="008D7C88">
      <w:pPr>
        <w:pStyle w:val="BodyA"/>
        <w:rPr>
          <w:color w:val="auto"/>
        </w:rPr>
      </w:pPr>
      <w:proofErr w:type="spellStart"/>
      <w:r>
        <w:t>Autovista</w:t>
      </w:r>
      <w:proofErr w:type="spellEnd"/>
      <w:r>
        <w:t xml:space="preserve"> Group (2019) “EV </w:t>
      </w:r>
      <w:r w:rsidRPr="00C71FD4">
        <w:rPr>
          <w:i/>
          <w:iCs/>
        </w:rPr>
        <w:t>collaboration is essential in today’s market</w:t>
      </w:r>
      <w:r>
        <w:t xml:space="preserve">” </w:t>
      </w:r>
      <w:r w:rsidRPr="00C71FD4">
        <w:rPr>
          <w:rStyle w:val="Hyperlink0"/>
          <w:color w:val="auto"/>
          <w:u w:val="none"/>
        </w:rPr>
        <w:t>https://autovistagroup.com/news-and-insights/ev-collaboration-essential-todays-market</w:t>
      </w:r>
      <w:r w:rsidRPr="00C71FD4">
        <w:rPr>
          <w:color w:val="auto"/>
        </w:rPr>
        <w:t xml:space="preserve"> </w:t>
      </w:r>
    </w:p>
    <w:p w14:paraId="616DCF7C" w14:textId="77777777" w:rsidR="005E4BA6" w:rsidRDefault="008D7C88">
      <w:pPr>
        <w:pStyle w:val="Body"/>
        <w:spacing w:after="240" w:line="480" w:lineRule="auto"/>
      </w:pPr>
      <w:r>
        <w:rPr>
          <w:lang w:val="it-IT"/>
        </w:rPr>
        <w:t xml:space="preserve">Baker, T., Aibino, S., Belsito, E., Aubert, G. (2019) </w:t>
      </w:r>
      <w:r>
        <w:rPr>
          <w:lang w:val="de-DE"/>
        </w:rPr>
        <w:t>“</w:t>
      </w:r>
      <w:r>
        <w:rPr>
          <w:lang w:val="en-US"/>
        </w:rPr>
        <w:t>Electric Vehicles Are a Multibillion-Dollar Opportunity for Utilities</w:t>
      </w:r>
      <w:r>
        <w:t xml:space="preserve">” </w:t>
      </w:r>
      <w:r>
        <w:rPr>
          <w:i/>
          <w:iCs/>
          <w:lang w:val="fr-FR"/>
        </w:rPr>
        <w:t>BCG</w:t>
      </w:r>
      <w:r>
        <w:rPr>
          <w:lang w:val="en-US"/>
        </w:rPr>
        <w:t xml:space="preserve"> [Online] at https://www.bcg.com/publications/2019/electric-vehicles-multibillion-dollar-opportunity-utilities.aspx</w:t>
      </w:r>
    </w:p>
    <w:p w14:paraId="16140E20" w14:textId="460C1B83" w:rsidR="00C71FD4" w:rsidRDefault="00C71FD4" w:rsidP="00C71FD4">
      <w:pPr>
        <w:pStyle w:val="BodyA"/>
      </w:pPr>
      <w:r>
        <w:t xml:space="preserve">Bullard Nathaniel (2019) “Electric Car Price Tag Shrinks Along With Battery Cost” </w:t>
      </w:r>
      <w:r w:rsidRPr="00C71FD4">
        <w:rPr>
          <w:i/>
          <w:iCs/>
        </w:rPr>
        <w:t>Bloomberg</w:t>
      </w:r>
      <w:r>
        <w:t xml:space="preserve"> [Online] at </w:t>
      </w:r>
      <w:r w:rsidRPr="00C71FD4">
        <w:rPr>
          <w:rStyle w:val="Hyperlink0"/>
          <w:color w:val="auto"/>
          <w:u w:val="none"/>
        </w:rPr>
        <w:t>https://www.bloomberg.com/opinion/articles/2019-04-12/electric-vehicle-battery-shrinks-and-so-does-the-total-cost</w:t>
      </w:r>
      <w:r w:rsidRPr="00C71FD4">
        <w:rPr>
          <w:color w:val="auto"/>
        </w:rPr>
        <w:t xml:space="preserve"> </w:t>
      </w:r>
    </w:p>
    <w:p w14:paraId="4CBDB178" w14:textId="1F51897C" w:rsidR="005E4BA6" w:rsidRDefault="008D7C88">
      <w:pPr>
        <w:pStyle w:val="Body"/>
        <w:spacing w:after="240" w:line="480" w:lineRule="auto"/>
      </w:pPr>
      <w:r>
        <w:t xml:space="preserve">Business Insider (2019) </w:t>
      </w:r>
      <w:r>
        <w:rPr>
          <w:lang w:val="de-DE"/>
        </w:rPr>
        <w:t>“</w:t>
      </w:r>
      <w:r>
        <w:rPr>
          <w:i/>
          <w:iCs/>
          <w:lang w:val="en-US"/>
        </w:rPr>
        <w:t>Electric vehicle study sees opportunity for utilities</w:t>
      </w:r>
      <w:r>
        <w:t xml:space="preserve">” </w:t>
      </w:r>
      <w:r>
        <w:rPr>
          <w:lang w:val="en-US"/>
        </w:rPr>
        <w:t>[Online] at https://www.businessinsider.com/electric-vehicle-study-sees-opportunity-for-utilities-2019-4?IR=T</w:t>
      </w:r>
    </w:p>
    <w:p w14:paraId="244E383D" w14:textId="77777777" w:rsidR="005E4BA6" w:rsidRDefault="008D7C88">
      <w:pPr>
        <w:pStyle w:val="Body"/>
        <w:spacing w:after="240" w:line="480" w:lineRule="auto"/>
      </w:pPr>
      <w:r>
        <w:rPr>
          <w:lang w:val="en-US"/>
        </w:rPr>
        <w:t xml:space="preserve">Dawson, C., Naughton, K., &amp; Coppola, G. (2019) </w:t>
      </w:r>
      <w:r>
        <w:rPr>
          <w:lang w:val="de-DE"/>
        </w:rPr>
        <w:t>“</w:t>
      </w:r>
      <w:r>
        <w:rPr>
          <w:lang w:val="en-US"/>
        </w:rPr>
        <w:t>Auto workers fear EVs will be job killers</w:t>
      </w:r>
      <w:r>
        <w:t xml:space="preserve">” </w:t>
      </w:r>
      <w:r>
        <w:rPr>
          <w:i/>
          <w:iCs/>
          <w:lang w:val="en-US"/>
        </w:rPr>
        <w:t xml:space="preserve">Auto News </w:t>
      </w:r>
      <w:r>
        <w:rPr>
          <w:lang w:val="en-US"/>
        </w:rPr>
        <w:t>[Online] at https://www.autonews.com/manufacturing/auto-workers-fear-evs-will-be-job-killers</w:t>
      </w:r>
    </w:p>
    <w:p w14:paraId="54C72F13" w14:textId="533A2812" w:rsidR="00FE791C" w:rsidRDefault="00FE791C">
      <w:pPr>
        <w:pStyle w:val="Body"/>
        <w:spacing w:after="240" w:line="480" w:lineRule="auto"/>
      </w:pPr>
      <w:r w:rsidRPr="00FE791C">
        <w:t>Dawson</w:t>
      </w:r>
      <w:r>
        <w:t>,</w:t>
      </w:r>
      <w:r w:rsidRPr="00FE791C">
        <w:t xml:space="preserve"> C</w:t>
      </w:r>
      <w:r>
        <w:t>.,</w:t>
      </w:r>
      <w:r w:rsidRPr="00FE791C">
        <w:t xml:space="preserve"> and </w:t>
      </w:r>
      <w:proofErr w:type="spellStart"/>
      <w:r w:rsidRPr="00FE791C">
        <w:t>Sachgau</w:t>
      </w:r>
      <w:proofErr w:type="spellEnd"/>
      <w:r>
        <w:t>,</w:t>
      </w:r>
      <w:r w:rsidRPr="00FE791C">
        <w:t xml:space="preserve"> O</w:t>
      </w:r>
      <w:r>
        <w:t>.</w:t>
      </w:r>
      <w:r w:rsidRPr="00FE791C">
        <w:t xml:space="preserve"> (2019) “Europe's Tough Emissions Rules Come With $39 </w:t>
      </w:r>
      <w:r w:rsidRPr="00FE791C">
        <w:rPr>
          <w:color w:val="auto"/>
        </w:rPr>
        <w:t xml:space="preserve">Billion Threat” </w:t>
      </w:r>
      <w:r w:rsidRPr="00FE791C">
        <w:rPr>
          <w:i/>
          <w:iCs/>
          <w:color w:val="auto"/>
        </w:rPr>
        <w:t>Bloomberg</w:t>
      </w:r>
      <w:r w:rsidRPr="00FE791C">
        <w:rPr>
          <w:color w:val="auto"/>
        </w:rPr>
        <w:t xml:space="preserve"> [Online] at </w:t>
      </w:r>
      <w:hyperlink r:id="rId15" w:tgtFrame="_blank" w:history="1">
        <w:r w:rsidRPr="00FE791C">
          <w:rPr>
            <w:rStyle w:val="Hyperlink"/>
            <w:color w:val="auto"/>
            <w:u w:val="none"/>
          </w:rPr>
          <w:t>https://www.bloomberg.com/news/articles/2019-06-26/europe-s-tough-new-emissions-rules-come-with-39-billion-threat</w:t>
        </w:r>
      </w:hyperlink>
    </w:p>
    <w:p w14:paraId="67D0485C" w14:textId="6A8A4007" w:rsidR="005E4BA6" w:rsidRDefault="008D7C88">
      <w:pPr>
        <w:pStyle w:val="Body"/>
        <w:spacing w:after="240" w:line="480" w:lineRule="auto"/>
      </w:pPr>
      <w:r>
        <w:lastRenderedPageBreak/>
        <w:t xml:space="preserve">Deloitte (2019) </w:t>
      </w:r>
      <w:r>
        <w:rPr>
          <w:lang w:val="de-DE"/>
        </w:rPr>
        <w:t>“</w:t>
      </w:r>
      <w:r w:rsidRPr="00C75D3A">
        <w:rPr>
          <w:i/>
          <w:iCs/>
          <w:lang w:val="en-US"/>
        </w:rPr>
        <w:t>New markets. New entrants. New challenges: Battery electric vehicles</w:t>
      </w:r>
      <w:r>
        <w:t xml:space="preserve">” </w:t>
      </w:r>
      <w:r>
        <w:rPr>
          <w:lang w:val="en-US"/>
        </w:rPr>
        <w:t>[Online] at https://www2.deloitte.com/content/dam/Deloitte/uk/Documents/manufacturing/deloitte-uk-battery-electric-vehicles.pdf</w:t>
      </w:r>
    </w:p>
    <w:p w14:paraId="3C74E736" w14:textId="77777777" w:rsidR="005E4BA6" w:rsidRDefault="008D7C88">
      <w:pPr>
        <w:pStyle w:val="Body"/>
        <w:spacing w:after="240" w:line="480" w:lineRule="auto"/>
      </w:pPr>
      <w:r>
        <w:rPr>
          <w:lang w:val="nl-NL"/>
        </w:rPr>
        <w:t xml:space="preserve">Eggert, Anthony (2019) </w:t>
      </w:r>
      <w:r>
        <w:rPr>
          <w:lang w:val="de-DE"/>
        </w:rPr>
        <w:t>“</w:t>
      </w:r>
      <w:r>
        <w:rPr>
          <w:lang w:val="en-US"/>
        </w:rPr>
        <w:t>Utilities Rev Up the Electric Vehicle Renaissance</w:t>
      </w:r>
      <w:r>
        <w:t xml:space="preserve">” </w:t>
      </w:r>
      <w:r>
        <w:rPr>
          <w:i/>
          <w:iCs/>
        </w:rPr>
        <w:t>Forbes</w:t>
      </w:r>
      <w:r>
        <w:rPr>
          <w:lang w:val="en-US"/>
        </w:rPr>
        <w:t xml:space="preserve"> [Online] at https://www.forbes.com/sites/anthonyeggert/2019/03/05/utilities-rev-up-the-electric-vehicle-renaissance/#baaae16209e1</w:t>
      </w:r>
    </w:p>
    <w:p w14:paraId="2D50E316" w14:textId="7E547C2D" w:rsidR="00C71FD4" w:rsidRDefault="008D7C88">
      <w:pPr>
        <w:pStyle w:val="Body"/>
        <w:spacing w:after="240" w:line="480" w:lineRule="auto"/>
      </w:pPr>
      <w:r>
        <w:t xml:space="preserve">Eisenstein, Paul (2019) </w:t>
      </w:r>
      <w:r>
        <w:rPr>
          <w:lang w:val="de-DE"/>
        </w:rPr>
        <w:t>“</w:t>
      </w:r>
      <w:r>
        <w:rPr>
          <w:lang w:val="en-US"/>
        </w:rPr>
        <w:t>Electric vehicles pose 'real risk' for autoworkers, with fewer parts — and jobs — required</w:t>
      </w:r>
      <w:r>
        <w:t xml:space="preserve">” </w:t>
      </w:r>
      <w:r>
        <w:rPr>
          <w:i/>
          <w:iCs/>
          <w:lang w:val="en-US"/>
        </w:rPr>
        <w:t>NBC News</w:t>
      </w:r>
      <w:r>
        <w:rPr>
          <w:lang w:val="en-US"/>
        </w:rPr>
        <w:t xml:space="preserve"> [Online] at https://www.nbcnews.com/business/autos/electric-vehicles-pose-real-risk-autoworkers-halving-number-people-required-n1060426</w:t>
      </w:r>
    </w:p>
    <w:p w14:paraId="3BC5DCBC" w14:textId="35AB9A00" w:rsidR="00C71FD4" w:rsidRPr="00C71FD4" w:rsidRDefault="00C71FD4" w:rsidP="00C71FD4">
      <w:pPr>
        <w:pStyle w:val="BodyA"/>
        <w:rPr>
          <w:color w:val="auto"/>
        </w:rPr>
      </w:pPr>
      <w:r>
        <w:t xml:space="preserve">Fredriksson, G., Roth, A., </w:t>
      </w:r>
      <w:proofErr w:type="spellStart"/>
      <w:r>
        <w:t>Tagliapietra</w:t>
      </w:r>
      <w:proofErr w:type="spellEnd"/>
      <w:r>
        <w:t xml:space="preserve">, S. and </w:t>
      </w:r>
      <w:proofErr w:type="spellStart"/>
      <w:r>
        <w:t>Veugelers</w:t>
      </w:r>
      <w:proofErr w:type="spellEnd"/>
      <w:r>
        <w:t xml:space="preserve">, R. (2018) “Is the European automotive industry ready for the global electric vehicle revolution?” </w:t>
      </w:r>
      <w:r w:rsidRPr="00C71FD4">
        <w:rPr>
          <w:i/>
          <w:iCs/>
        </w:rPr>
        <w:t>Policy Contribution</w:t>
      </w:r>
      <w:r>
        <w:t xml:space="preserve">, </w:t>
      </w:r>
      <w:r w:rsidRPr="00C71FD4">
        <w:rPr>
          <w:color w:val="auto"/>
        </w:rPr>
        <w:t xml:space="preserve">Issue No. 26 [Online] at </w:t>
      </w:r>
      <w:r w:rsidRPr="00C71FD4">
        <w:rPr>
          <w:rStyle w:val="Hyperlink0"/>
          <w:color w:val="auto"/>
          <w:u w:val="none"/>
        </w:rPr>
        <w:t>https://bruegel.org/wp-content/uploads/2018/12/PC-26_2018_1.pdf</w:t>
      </w:r>
      <w:r w:rsidRPr="00C71FD4">
        <w:rPr>
          <w:color w:val="auto"/>
        </w:rPr>
        <w:t xml:space="preserve"> </w:t>
      </w:r>
    </w:p>
    <w:p w14:paraId="551ABD31" w14:textId="03F7EF5D" w:rsidR="00C71FD4" w:rsidRDefault="00C71FD4" w:rsidP="00C71FD4">
      <w:pPr>
        <w:pStyle w:val="BodyA"/>
      </w:pPr>
      <w:r>
        <w:t>Grant, M. Robert (2016) “</w:t>
      </w:r>
      <w:r>
        <w:rPr>
          <w:i/>
          <w:iCs/>
        </w:rPr>
        <w:t>Contemporary Strategy Analysis: Text and cases edition</w:t>
      </w:r>
      <w:r>
        <w:t>” 9</w:t>
      </w:r>
      <w:r>
        <w:rPr>
          <w:vertAlign w:val="superscript"/>
        </w:rPr>
        <w:t>th</w:t>
      </w:r>
      <w:r>
        <w:t xml:space="preserve"> ed., John Wiley.</w:t>
      </w:r>
    </w:p>
    <w:p w14:paraId="67933565" w14:textId="2A3ADB9E" w:rsidR="005B3AFA" w:rsidRDefault="005B3AFA" w:rsidP="00C71FD4">
      <w:pPr>
        <w:pStyle w:val="BodyA"/>
      </w:pPr>
      <w:proofErr w:type="spellStart"/>
      <w:r>
        <w:t>Hertzke</w:t>
      </w:r>
      <w:proofErr w:type="spellEnd"/>
      <w:r>
        <w:t xml:space="preserve"> P, Muller N, </w:t>
      </w:r>
      <w:proofErr w:type="spellStart"/>
      <w:r>
        <w:t>Schaufuss</w:t>
      </w:r>
      <w:proofErr w:type="spellEnd"/>
      <w:r>
        <w:t xml:space="preserve"> P, Schenk S and Wu T (2018) “The Global Electric Vehicle Is Amped Up and On The Rise” M</w:t>
      </w:r>
      <w:r w:rsidRPr="006E29EE">
        <w:rPr>
          <w:i/>
          <w:iCs/>
        </w:rPr>
        <w:t>cKinsey</w:t>
      </w:r>
      <w:r>
        <w:t xml:space="preserve"> [Online] at </w:t>
      </w:r>
      <w:r w:rsidRPr="005B3AFA">
        <w:rPr>
          <w:rStyle w:val="Hyperlink0"/>
          <w:color w:val="auto"/>
          <w:u w:val="none"/>
        </w:rPr>
        <w:t>https://www.mckinsey.com/~/media/McKinsey/Industries/Automotive%20and%20Assembly/Our%20Insights/The-global-electric-vehicle-market-is-amped-up-and-on-the-rise-web-final.ashx</w:t>
      </w:r>
      <w:r w:rsidRPr="005B3AFA">
        <w:rPr>
          <w:color w:val="auto"/>
        </w:rPr>
        <w:t xml:space="preserve"> </w:t>
      </w:r>
    </w:p>
    <w:p w14:paraId="70809647" w14:textId="65472EDC" w:rsidR="00C71FD4" w:rsidRDefault="00C71FD4" w:rsidP="00C71FD4">
      <w:pPr>
        <w:pStyle w:val="BodyA"/>
      </w:pPr>
      <w:r>
        <w:t>Huczynski, A., and Buchanan, D. (2013) “</w:t>
      </w:r>
      <w:r w:rsidRPr="00A01939">
        <w:rPr>
          <w:i/>
          <w:iCs/>
        </w:rPr>
        <w:t>Organizational Behavior</w:t>
      </w:r>
      <w:r>
        <w:t>” 8</w:t>
      </w:r>
      <w:r w:rsidR="00C75D3A" w:rsidRPr="00C75D3A">
        <w:rPr>
          <w:vertAlign w:val="superscript"/>
        </w:rPr>
        <w:t>th</w:t>
      </w:r>
      <w:r>
        <w:t xml:space="preserve"> edition, Pearson Education.</w:t>
      </w:r>
    </w:p>
    <w:p w14:paraId="22D11055" w14:textId="59553013" w:rsidR="00C71FD4" w:rsidRPr="00C71FD4" w:rsidRDefault="00C71FD4" w:rsidP="00C71FD4">
      <w:pPr>
        <w:pStyle w:val="BodyA"/>
        <w:rPr>
          <w:rStyle w:val="Hyperlink0"/>
          <w:color w:val="000000"/>
          <w:u w:val="none" w:color="000000"/>
        </w:rPr>
      </w:pPr>
      <w:r>
        <w:lastRenderedPageBreak/>
        <w:t xml:space="preserve">Johnson, G., Scholes, K., </w:t>
      </w:r>
      <w:proofErr w:type="spellStart"/>
      <w:r>
        <w:t>Regner</w:t>
      </w:r>
      <w:proofErr w:type="spellEnd"/>
      <w:r>
        <w:t>, P., Angwin, D., and Whittington, R. (2017) “</w:t>
      </w:r>
      <w:r>
        <w:rPr>
          <w:i/>
          <w:iCs/>
        </w:rPr>
        <w:t>Exploring strategy: Text and cases</w:t>
      </w:r>
      <w:r>
        <w:t>” 11</w:t>
      </w:r>
      <w:r>
        <w:rPr>
          <w:vertAlign w:val="superscript"/>
        </w:rPr>
        <w:t>th</w:t>
      </w:r>
      <w:r>
        <w:t xml:space="preserve"> ed., Pearson Education</w:t>
      </w:r>
    </w:p>
    <w:p w14:paraId="2272A82D" w14:textId="277085FD" w:rsidR="00C71FD4" w:rsidRPr="00C71FD4" w:rsidRDefault="00C71FD4" w:rsidP="00C71FD4">
      <w:pPr>
        <w:pStyle w:val="BodyA"/>
        <w:rPr>
          <w:color w:val="auto"/>
        </w:rPr>
      </w:pPr>
      <w:r>
        <w:rPr>
          <w:rStyle w:val="Hyperlink0"/>
          <w:color w:val="auto"/>
          <w:u w:val="none"/>
        </w:rPr>
        <w:t>L</w:t>
      </w:r>
      <w:r w:rsidRPr="00C71FD4">
        <w:rPr>
          <w:rStyle w:val="Hyperlink0"/>
          <w:color w:val="auto"/>
          <w:u w:val="none"/>
        </w:rPr>
        <w:t>ondon.com</w:t>
      </w:r>
      <w:r w:rsidRPr="00C71FD4">
        <w:rPr>
          <w:color w:val="auto"/>
        </w:rPr>
        <w:t xml:space="preserve"> (2020) “</w:t>
      </w:r>
      <w:r w:rsidRPr="00C71FD4">
        <w:rPr>
          <w:i/>
          <w:iCs/>
          <w:color w:val="auto"/>
        </w:rPr>
        <w:t>The Mayor's Ultra Low Emission Zone for London</w:t>
      </w:r>
      <w:r w:rsidRPr="00C71FD4">
        <w:rPr>
          <w:color w:val="auto"/>
        </w:rPr>
        <w:t xml:space="preserve">” [Online] at </w:t>
      </w:r>
      <w:r w:rsidRPr="00C71FD4">
        <w:rPr>
          <w:rStyle w:val="Hyperlink0"/>
          <w:color w:val="auto"/>
          <w:u w:val="none"/>
        </w:rPr>
        <w:t>https://www.london.gov.uk/what-we-do/environment/pollution-and-air-quality/mayors-ultra-low-emission-zone-london</w:t>
      </w:r>
      <w:r w:rsidRPr="00C71FD4">
        <w:rPr>
          <w:color w:val="auto"/>
        </w:rPr>
        <w:t xml:space="preserve"> </w:t>
      </w:r>
    </w:p>
    <w:p w14:paraId="2A2DE4B3" w14:textId="1012206D" w:rsidR="005E4BA6" w:rsidRDefault="008D7C88">
      <w:pPr>
        <w:pStyle w:val="Body"/>
        <w:spacing w:after="240" w:line="480" w:lineRule="auto"/>
      </w:pPr>
      <w:r>
        <w:t xml:space="preserve">McKinsey (2018) </w:t>
      </w:r>
      <w:r>
        <w:rPr>
          <w:lang w:val="de-DE"/>
        </w:rPr>
        <w:t>“</w:t>
      </w:r>
      <w:r>
        <w:rPr>
          <w:i/>
          <w:iCs/>
          <w:lang w:val="en-US"/>
        </w:rPr>
        <w:t>Three surprising resource implications from the rise of electric vehicles</w:t>
      </w:r>
      <w:r>
        <w:t xml:space="preserve">” </w:t>
      </w:r>
      <w:r>
        <w:rPr>
          <w:lang w:val="en-US"/>
        </w:rPr>
        <w:t>[Online] at https://www.mckinsey.com/industries/automotive-and-assembly/our-insights/three-surprising-resource-implications-from-the-rise-of-electric-vehicles#</w:t>
      </w:r>
    </w:p>
    <w:p w14:paraId="3DAB67B1" w14:textId="4ECB4CB7" w:rsidR="005E4BA6" w:rsidRDefault="008D7C88">
      <w:pPr>
        <w:pStyle w:val="Body"/>
        <w:spacing w:after="240" w:line="480" w:lineRule="auto"/>
      </w:pPr>
      <w:r>
        <w:t xml:space="preserve">McKinsey (2019) </w:t>
      </w:r>
      <w:r>
        <w:rPr>
          <w:lang w:val="de-DE"/>
        </w:rPr>
        <w:t>“</w:t>
      </w:r>
      <w:r>
        <w:rPr>
          <w:i/>
          <w:iCs/>
          <w:lang w:val="en-US"/>
        </w:rPr>
        <w:t>Second-life EV batteries: The newest value pool in energy storage</w:t>
      </w:r>
      <w:r>
        <w:t xml:space="preserve">” </w:t>
      </w:r>
      <w:r>
        <w:rPr>
          <w:lang w:val="en-US"/>
        </w:rPr>
        <w:t>[Online] at https://www.mckinsey.com/industries/automotive-and-assembly/our-insights/second-life-ev-batteries-the-newest-value-pool-in-energy-storage</w:t>
      </w:r>
    </w:p>
    <w:p w14:paraId="07A8BE9B" w14:textId="26CFF031" w:rsidR="00C71FD4" w:rsidRPr="00C71FD4" w:rsidRDefault="00C71FD4">
      <w:pPr>
        <w:pStyle w:val="Body"/>
        <w:spacing w:after="240" w:line="480" w:lineRule="auto"/>
      </w:pPr>
      <w:r>
        <w:t>McKinsey (2019a) “</w:t>
      </w:r>
      <w:r>
        <w:rPr>
          <w:i/>
          <w:iCs/>
          <w:lang w:val="en-US"/>
        </w:rPr>
        <w:t>Expanding electric-vehicle adoption despite early growing pains</w:t>
      </w:r>
      <w:r>
        <w:t xml:space="preserve">” </w:t>
      </w:r>
      <w:r w:rsidRPr="00C71FD4">
        <w:rPr>
          <w:color w:val="auto"/>
        </w:rPr>
        <w:t xml:space="preserve">[Online] at </w:t>
      </w:r>
      <w:r w:rsidRPr="00C71FD4">
        <w:rPr>
          <w:rStyle w:val="Hyperlink0"/>
          <w:color w:val="auto"/>
          <w:u w:val="none"/>
        </w:rPr>
        <w:t>https://www.mckinsey.com/industries/automotive-and-assembly/our-insights/expanding-electric-vehicle-adoption-despite-early-growing-pains</w:t>
      </w:r>
    </w:p>
    <w:p w14:paraId="1661DB1B" w14:textId="635C0F9B" w:rsidR="00C71FD4" w:rsidRDefault="00C71FD4" w:rsidP="00C71FD4">
      <w:pPr>
        <w:pStyle w:val="BodyA"/>
      </w:pPr>
      <w:r>
        <w:t>Mullins, Laurie, J. (2016) “</w:t>
      </w:r>
      <w:r w:rsidRPr="00C75D3A">
        <w:rPr>
          <w:i/>
          <w:iCs/>
        </w:rPr>
        <w:t>Management and Organizational Behavior</w:t>
      </w:r>
      <w:r>
        <w:t>” 11</w:t>
      </w:r>
      <w:r w:rsidR="00C75D3A" w:rsidRPr="00C75D3A">
        <w:rPr>
          <w:vertAlign w:val="superscript"/>
        </w:rPr>
        <w:t>th</w:t>
      </w:r>
      <w:r>
        <w:t xml:space="preserve"> Edition; Pearson Education. </w:t>
      </w:r>
    </w:p>
    <w:p w14:paraId="73B5C1C5" w14:textId="0DE146B2" w:rsidR="005E4BA6" w:rsidRDefault="008D7C88">
      <w:pPr>
        <w:pStyle w:val="Body"/>
        <w:spacing w:after="240" w:line="480" w:lineRule="auto"/>
      </w:pPr>
      <w:r>
        <w:rPr>
          <w:lang w:val="en-US"/>
        </w:rPr>
        <w:t xml:space="preserve">Murtaugh, Dan (2019) </w:t>
      </w:r>
      <w:r>
        <w:rPr>
          <w:lang w:val="de-DE"/>
        </w:rPr>
        <w:t>“</w:t>
      </w:r>
      <w:r>
        <w:rPr>
          <w:lang w:val="en-US"/>
        </w:rPr>
        <w:t xml:space="preserve">How Much Oil Is Displaced by Electric Vehicles? Not Much, So Far </w:t>
      </w:r>
      <w:r>
        <w:rPr>
          <w:i/>
          <w:iCs/>
        </w:rPr>
        <w:t>Bloomberg</w:t>
      </w:r>
      <w:r>
        <w:rPr>
          <w:lang w:val="en-US"/>
        </w:rPr>
        <w:t xml:space="preserve"> [Online] at https://www.bloomberg.com/news/articles/2019-03-19/how-much-oil-is-displaced-by-electric-vehicles-not-much-so-far</w:t>
      </w:r>
    </w:p>
    <w:p w14:paraId="13D24BFC" w14:textId="05B9CE4E" w:rsidR="00C71FD4" w:rsidRDefault="00C71FD4">
      <w:pPr>
        <w:pStyle w:val="Body"/>
        <w:spacing w:after="240" w:line="480" w:lineRule="auto"/>
      </w:pPr>
      <w:r>
        <w:rPr>
          <w:lang w:val="en-US"/>
        </w:rPr>
        <w:t>Porter</w:t>
      </w:r>
      <w:r>
        <w:t>,</w:t>
      </w:r>
      <w:r>
        <w:rPr>
          <w:lang w:val="en-US"/>
        </w:rPr>
        <w:t xml:space="preserve"> </w:t>
      </w:r>
      <w:r>
        <w:t xml:space="preserve">E. </w:t>
      </w:r>
      <w:r>
        <w:rPr>
          <w:lang w:val="en-US"/>
        </w:rPr>
        <w:t>M</w:t>
      </w:r>
      <w:proofErr w:type="spellStart"/>
      <w:r>
        <w:t>ichael</w:t>
      </w:r>
      <w:proofErr w:type="spellEnd"/>
      <w:r>
        <w:rPr>
          <w:lang w:val="en-US"/>
        </w:rPr>
        <w:t>. (1980) “</w:t>
      </w:r>
      <w:r w:rsidRPr="00C71FD4">
        <w:rPr>
          <w:i/>
          <w:iCs/>
        </w:rPr>
        <w:t xml:space="preserve">Competitive Strategy: Techniques for </w:t>
      </w:r>
      <w:proofErr w:type="spellStart"/>
      <w:r w:rsidRPr="00C71FD4">
        <w:rPr>
          <w:i/>
          <w:iCs/>
        </w:rPr>
        <w:t>analyzing</w:t>
      </w:r>
      <w:proofErr w:type="spellEnd"/>
      <w:r w:rsidRPr="00C71FD4">
        <w:rPr>
          <w:i/>
          <w:iCs/>
        </w:rPr>
        <w:t xml:space="preserve"> industries and competitors</w:t>
      </w:r>
      <w:r>
        <w:t xml:space="preserve">” Free </w:t>
      </w:r>
      <w:r>
        <w:rPr>
          <w:lang w:val="en-US"/>
        </w:rPr>
        <w:t>Press, p. 5.</w:t>
      </w:r>
    </w:p>
    <w:p w14:paraId="334B4863" w14:textId="21135B8C" w:rsidR="00C71FD4" w:rsidRDefault="00C71FD4" w:rsidP="00C71FD4">
      <w:pPr>
        <w:pStyle w:val="BodyA"/>
      </w:pPr>
      <w:r>
        <w:lastRenderedPageBreak/>
        <w:t xml:space="preserve">Scott, Mike (2019) “Battery Factories Power Up To Cut Costs And Drive Electric Car Revolution” </w:t>
      </w:r>
      <w:r w:rsidRPr="00A603D3">
        <w:rPr>
          <w:i/>
          <w:iCs/>
        </w:rPr>
        <w:t>Forbes</w:t>
      </w:r>
      <w:r>
        <w:t xml:space="preserve"> [Online] at </w:t>
      </w:r>
      <w:r w:rsidRPr="00C71FD4">
        <w:rPr>
          <w:rStyle w:val="Hyperlink0"/>
          <w:color w:val="auto"/>
          <w:u w:val="none"/>
        </w:rPr>
        <w:t>https://www.forbes.com/sites/mikescott/2019/12/13/battery-production-powers-up-as-costs-head-towards-100kwh/#42cb61023466</w:t>
      </w:r>
      <w:r w:rsidRPr="00C71FD4">
        <w:rPr>
          <w:color w:val="auto"/>
        </w:rPr>
        <w:t xml:space="preserve"> </w:t>
      </w:r>
    </w:p>
    <w:p w14:paraId="1ED7A5EB" w14:textId="739B990C" w:rsidR="005E4BA6" w:rsidRDefault="008D7C88">
      <w:pPr>
        <w:pStyle w:val="Body"/>
        <w:spacing w:after="240" w:line="480" w:lineRule="auto"/>
      </w:pPr>
      <w:r>
        <w:t xml:space="preserve">Sharma, Gaurav (2019) </w:t>
      </w:r>
      <w:r>
        <w:rPr>
          <w:lang w:val="de-DE"/>
        </w:rPr>
        <w:t>“</w:t>
      </w:r>
      <w:r>
        <w:rPr>
          <w:lang w:val="en-US"/>
        </w:rPr>
        <w:t>Are Electric Vehicles Really About To Plateau Oil Demand?</w:t>
      </w:r>
      <w:r>
        <w:t xml:space="preserve">” </w:t>
      </w:r>
      <w:r>
        <w:rPr>
          <w:i/>
          <w:iCs/>
        </w:rPr>
        <w:t>Forbes</w:t>
      </w:r>
      <w:r>
        <w:rPr>
          <w:lang w:val="en-US"/>
        </w:rPr>
        <w:t xml:space="preserve"> [Online] at https://www.forbes.com/sites/gauravsharma/2019/11/25/are-electric-vehicles-really-about-to-plateau-oil-demand/#59874f73b13f</w:t>
      </w:r>
    </w:p>
    <w:p w14:paraId="5204EBE1" w14:textId="77777777" w:rsidR="005E4BA6" w:rsidRDefault="008D7C88">
      <w:pPr>
        <w:pStyle w:val="Body"/>
        <w:spacing w:after="240" w:line="480" w:lineRule="auto"/>
      </w:pPr>
      <w:proofErr w:type="spellStart"/>
      <w:r>
        <w:t>Simlett</w:t>
      </w:r>
      <w:proofErr w:type="spellEnd"/>
      <w:r>
        <w:t xml:space="preserve">, J., Mortier, T., &amp; </w:t>
      </w:r>
      <w:proofErr w:type="spellStart"/>
      <w:r>
        <w:t>Valsan</w:t>
      </w:r>
      <w:proofErr w:type="spellEnd"/>
      <w:r>
        <w:t xml:space="preserve">, A. (2019) </w:t>
      </w:r>
      <w:r>
        <w:rPr>
          <w:lang w:val="de-DE"/>
        </w:rPr>
        <w:t>“</w:t>
      </w:r>
      <w:r>
        <w:rPr>
          <w:lang w:val="en-US"/>
        </w:rPr>
        <w:t>Why the EV battery life cycle is more important than the battery life</w:t>
      </w:r>
      <w:r>
        <w:t xml:space="preserve">” </w:t>
      </w:r>
      <w:r>
        <w:rPr>
          <w:i/>
          <w:iCs/>
          <w:lang w:val="en-US"/>
        </w:rPr>
        <w:t>Ernst &amp; Young</w:t>
      </w:r>
      <w:r>
        <w:rPr>
          <w:lang w:val="en-US"/>
        </w:rPr>
        <w:t xml:space="preserve"> [Online] at https://www.ey.com/en_gl/automotive-transportation/why-the-ev-battery-life-cycle-is-more-important-than-the-battery-life</w:t>
      </w:r>
    </w:p>
    <w:p w14:paraId="197082C8" w14:textId="1F951556" w:rsidR="00C71FD4" w:rsidRDefault="00C71FD4" w:rsidP="00C71FD4">
      <w:pPr>
        <w:pStyle w:val="BodyA"/>
      </w:pPr>
      <w:proofErr w:type="spellStart"/>
      <w:r>
        <w:t>Tschiesner</w:t>
      </w:r>
      <w:proofErr w:type="spellEnd"/>
      <w:r>
        <w:t xml:space="preserve"> A, </w:t>
      </w:r>
      <w:proofErr w:type="spellStart"/>
      <w:r>
        <w:t>Timo</w:t>
      </w:r>
      <w:proofErr w:type="spellEnd"/>
      <w:r>
        <w:t xml:space="preserve"> </w:t>
      </w:r>
      <w:proofErr w:type="spellStart"/>
      <w:r>
        <w:t>Möller</w:t>
      </w:r>
      <w:proofErr w:type="spellEnd"/>
      <w:r>
        <w:t xml:space="preserve"> T, </w:t>
      </w:r>
      <w:proofErr w:type="spellStart"/>
      <w:r>
        <w:t>Kässer</w:t>
      </w:r>
      <w:proofErr w:type="spellEnd"/>
      <w:r>
        <w:t xml:space="preserve"> M, </w:t>
      </w:r>
      <w:proofErr w:type="spellStart"/>
      <w:r>
        <w:t>Schaufuss</w:t>
      </w:r>
      <w:proofErr w:type="spellEnd"/>
      <w:r>
        <w:t xml:space="preserve"> P, and </w:t>
      </w:r>
      <w:proofErr w:type="spellStart"/>
      <w:r>
        <w:t>Kley</w:t>
      </w:r>
      <w:proofErr w:type="spellEnd"/>
      <w:r>
        <w:t xml:space="preserve"> F,. (2018) “Mastering new mobility” </w:t>
      </w:r>
      <w:r w:rsidRPr="00C71FD4">
        <w:rPr>
          <w:i/>
          <w:iCs/>
        </w:rPr>
        <w:t>McKinsey</w:t>
      </w:r>
      <w:r>
        <w:t xml:space="preserve"> [Online] at </w:t>
      </w:r>
      <w:r w:rsidRPr="00C71FD4">
        <w:rPr>
          <w:rStyle w:val="Hyperlink0"/>
          <w:color w:val="auto"/>
          <w:u w:val="none"/>
        </w:rPr>
        <w:t>https://www.mckinsey.de/~/media/McKinsey/Locations/Europe%20and%20Middle%20East/Deutschland/News/Presse/2019/2019-09-09%Mastering_new_mobility_September%202019.ashx</w:t>
      </w:r>
      <w:r w:rsidRPr="00C71FD4">
        <w:rPr>
          <w:color w:val="auto"/>
        </w:rPr>
        <w:t xml:space="preserve"> </w:t>
      </w:r>
    </w:p>
    <w:p w14:paraId="21DA09D5" w14:textId="5E20552D" w:rsidR="005E4BA6" w:rsidRDefault="008D7C88">
      <w:pPr>
        <w:pStyle w:val="Body"/>
        <w:spacing w:after="240" w:line="480" w:lineRule="auto"/>
      </w:pPr>
      <w:r>
        <w:rPr>
          <w:lang w:val="en-US"/>
        </w:rPr>
        <w:t xml:space="preserve">Ward, Jonathan (2017) </w:t>
      </w:r>
      <w:r>
        <w:rPr>
          <w:lang w:val="de-DE"/>
        </w:rPr>
        <w:t>“</w:t>
      </w:r>
      <w:r>
        <w:rPr>
          <w:lang w:val="en-US"/>
        </w:rPr>
        <w:t>EV supply chains: Shifting currents</w:t>
      </w:r>
      <w:r>
        <w:t xml:space="preserve">” </w:t>
      </w:r>
      <w:r>
        <w:rPr>
          <w:i/>
          <w:iCs/>
          <w:lang w:val="en-US"/>
        </w:rPr>
        <w:t>Automotive Logistics</w:t>
      </w:r>
      <w:r>
        <w:rPr>
          <w:lang w:val="en-US"/>
        </w:rPr>
        <w:t xml:space="preserve"> [Online] at https://www.automotivelogistics.media/ev-supply-chains-shifting-currents/18168.article</w:t>
      </w:r>
    </w:p>
    <w:p w14:paraId="523960B1" w14:textId="2887B82E" w:rsidR="005E4BA6" w:rsidRDefault="00C71FD4">
      <w:pPr>
        <w:pStyle w:val="BodyA"/>
      </w:pPr>
      <w:r>
        <w:t xml:space="preserve">Worthington, I., and Britton, C. (2014) “The </w:t>
      </w:r>
      <w:r w:rsidRPr="00A603D3">
        <w:rPr>
          <w:i/>
          <w:iCs/>
        </w:rPr>
        <w:t>Business Environment</w:t>
      </w:r>
      <w:r>
        <w:t xml:space="preserve">” 7 </w:t>
      </w:r>
      <w:proofErr w:type="spellStart"/>
      <w:r>
        <w:t>th</w:t>
      </w:r>
      <w:proofErr w:type="spellEnd"/>
      <w:r>
        <w:t xml:space="preserve"> ed., Pearson Education.</w:t>
      </w:r>
    </w:p>
    <w:sectPr w:rsidR="005E4BA6" w:rsidSect="00A603D3">
      <w:pgSz w:w="11900" w:h="16840"/>
      <w:pgMar w:top="1440" w:right="1440" w:bottom="1440" w:left="1440" w:header="708" w:footer="708"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336BCC" w14:textId="77777777" w:rsidR="008D7C88" w:rsidRDefault="008D7C88">
      <w:r>
        <w:separator/>
      </w:r>
    </w:p>
  </w:endnote>
  <w:endnote w:type="continuationSeparator" w:id="0">
    <w:p w14:paraId="0D305927" w14:textId="77777777" w:rsidR="008D7C88" w:rsidRDefault="008D7C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Helvetica">
    <w:altName w:val="Sylfaen"/>
    <w:panose1 w:val="020B05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1577274"/>
      <w:docPartObj>
        <w:docPartGallery w:val="Page Numbers (Bottom of Page)"/>
        <w:docPartUnique/>
      </w:docPartObj>
    </w:sdtPr>
    <w:sdtEndPr>
      <w:rPr>
        <w:noProof/>
      </w:rPr>
    </w:sdtEndPr>
    <w:sdtContent>
      <w:p w14:paraId="3CF8FFE1" w14:textId="57B05672" w:rsidR="00850D37" w:rsidRDefault="00850D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2384F1" w14:textId="77777777" w:rsidR="005E4BA6" w:rsidRDefault="005E4BA6">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1F9FFC" w14:textId="77777777" w:rsidR="008D7C88" w:rsidRDefault="008D7C88">
      <w:r>
        <w:separator/>
      </w:r>
    </w:p>
  </w:footnote>
  <w:footnote w:type="continuationSeparator" w:id="0">
    <w:p w14:paraId="2F798DD8" w14:textId="77777777" w:rsidR="008D7C88" w:rsidRDefault="008D7C8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K3NDWwNDM0MjUxNjZW0lEKTi0uzszPAykwrAUADlzmCiwAAAA="/>
  </w:docVars>
  <w:rsids>
    <w:rsidRoot w:val="005E4BA6"/>
    <w:rsid w:val="00040813"/>
    <w:rsid w:val="00064A32"/>
    <w:rsid w:val="0007543A"/>
    <w:rsid w:val="000754F9"/>
    <w:rsid w:val="0019044C"/>
    <w:rsid w:val="002E063D"/>
    <w:rsid w:val="00321AF5"/>
    <w:rsid w:val="00323EE8"/>
    <w:rsid w:val="00343B49"/>
    <w:rsid w:val="00362DC7"/>
    <w:rsid w:val="00420169"/>
    <w:rsid w:val="0045366E"/>
    <w:rsid w:val="00587117"/>
    <w:rsid w:val="005B3AFA"/>
    <w:rsid w:val="005E4BA6"/>
    <w:rsid w:val="00654B98"/>
    <w:rsid w:val="006E29EE"/>
    <w:rsid w:val="00777A19"/>
    <w:rsid w:val="007817B9"/>
    <w:rsid w:val="007C081B"/>
    <w:rsid w:val="00850D37"/>
    <w:rsid w:val="008D7C88"/>
    <w:rsid w:val="00934E49"/>
    <w:rsid w:val="0095267D"/>
    <w:rsid w:val="009F795B"/>
    <w:rsid w:val="00A01939"/>
    <w:rsid w:val="00A3143D"/>
    <w:rsid w:val="00A603D3"/>
    <w:rsid w:val="00B477A7"/>
    <w:rsid w:val="00BB2500"/>
    <w:rsid w:val="00BF3609"/>
    <w:rsid w:val="00C71FD4"/>
    <w:rsid w:val="00C75D3A"/>
    <w:rsid w:val="00D23B63"/>
    <w:rsid w:val="00E50E70"/>
    <w:rsid w:val="00FE7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82C2F"/>
  <w15:docId w15:val="{F3BC8BB0-AE59-483E-B835-A3C9241260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Heading"/>
    <w:next w:val="Normal"/>
    <w:link w:val="Heading1Char"/>
    <w:uiPriority w:val="9"/>
    <w:qFormat/>
    <w:rsid w:val="00BF3609"/>
    <w:rPr>
      <w:rFonts w:ascii="Times New Roman" w:hAnsi="Times New Roman"/>
      <w:lang w:val="en-US"/>
    </w:rPr>
  </w:style>
  <w:style w:type="paragraph" w:styleId="Heading2">
    <w:name w:val="heading 2"/>
    <w:next w:val="BodyA"/>
    <w:uiPriority w:val="9"/>
    <w:unhideWhenUsed/>
    <w:qFormat/>
    <w:rsid w:val="00BF3609"/>
    <w:pPr>
      <w:keepNext/>
      <w:keepLines/>
      <w:spacing w:before="200" w:line="480" w:lineRule="auto"/>
      <w:outlineLvl w:val="1"/>
    </w:pPr>
    <w:rPr>
      <w:rFonts w:eastAsia="Georgia" w:cs="Georgia"/>
      <w:b/>
      <w:bCs/>
      <w:color w:val="000000"/>
      <w:sz w:val="26"/>
      <w:szCs w:val="26"/>
      <w:u w:color="000000"/>
      <w:lang w:val="en-US"/>
    </w:rPr>
  </w:style>
  <w:style w:type="paragraph" w:styleId="Heading3">
    <w:name w:val="heading 3"/>
    <w:next w:val="BodyA"/>
    <w:uiPriority w:val="9"/>
    <w:unhideWhenUsed/>
    <w:qFormat/>
    <w:rsid w:val="00BF3609"/>
    <w:pPr>
      <w:keepNext/>
      <w:keepLines/>
      <w:spacing w:before="200" w:line="480" w:lineRule="auto"/>
      <w:outlineLvl w:val="2"/>
    </w:pPr>
    <w:rPr>
      <w:rFonts w:cs="Arial Unicode MS"/>
      <w:b/>
      <w:bCs/>
      <w:i/>
      <w:iCs/>
      <w:color w:val="002060"/>
      <w:sz w:val="24"/>
      <w:szCs w:val="24"/>
      <w:u w:color="002060"/>
      <w:lang w:val="nl-NL"/>
    </w:rPr>
  </w:style>
  <w:style w:type="paragraph" w:styleId="Heading4">
    <w:name w:val="heading 4"/>
    <w:next w:val="BodyA"/>
    <w:uiPriority w:val="9"/>
    <w:unhideWhenUsed/>
    <w:qFormat/>
    <w:pPr>
      <w:keepNext/>
      <w:keepLines/>
      <w:spacing w:before="200" w:line="480" w:lineRule="auto"/>
      <w:outlineLvl w:val="3"/>
    </w:pPr>
    <w:rPr>
      <w:rFonts w:ascii="Calibri Light" w:eastAsia="Calibri Light" w:hAnsi="Calibri Light" w:cs="Calibri Light"/>
      <w:b/>
      <w:bCs/>
      <w:i/>
      <w:iCs/>
      <w:color w:val="44546A"/>
      <w:sz w:val="24"/>
      <w:szCs w:val="24"/>
      <w:u w:color="44546A"/>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Helvetica" w:cs="Arial Unicode MS"/>
      <w:color w:val="000000"/>
      <w:sz w:val="24"/>
      <w:szCs w:val="24"/>
    </w:rPr>
  </w:style>
  <w:style w:type="paragraph" w:customStyle="1" w:styleId="Heading">
    <w:name w:val="Heading"/>
    <w:next w:val="BodyA"/>
    <w:pPr>
      <w:keepNext/>
      <w:keepLines/>
      <w:spacing w:before="480" w:line="480" w:lineRule="auto"/>
      <w:outlineLvl w:val="0"/>
    </w:pPr>
    <w:rPr>
      <w:rFonts w:ascii="Georgia" w:hAnsi="Georgia" w:cs="Arial Unicode MS"/>
      <w:b/>
      <w:bCs/>
      <w:caps/>
      <w:color w:val="000000"/>
      <w:sz w:val="28"/>
      <w:szCs w:val="28"/>
      <w:u w:color="000000"/>
      <w:lang w:val="fr-FR"/>
    </w:rPr>
  </w:style>
  <w:style w:type="paragraph" w:customStyle="1" w:styleId="BodyA">
    <w:name w:val="Body A"/>
    <w:pPr>
      <w:spacing w:after="240" w:line="480" w:lineRule="auto"/>
    </w:pPr>
    <w:rPr>
      <w:rFonts w:cs="Arial Unicode MS"/>
      <w:color w:val="000000"/>
      <w:sz w:val="24"/>
      <w:szCs w:val="24"/>
      <w:u w:color="000000"/>
      <w:lang w:val="en-US"/>
    </w:rPr>
  </w:style>
  <w:style w:type="paragraph" w:customStyle="1" w:styleId="Body">
    <w:name w:val="Body"/>
    <w:rPr>
      <w:rFonts w:eastAsia="Times New Roman"/>
      <w:color w:val="000000"/>
      <w:sz w:val="24"/>
      <w:szCs w:val="24"/>
      <w:u w:color="000000"/>
    </w:rPr>
  </w:style>
  <w:style w:type="character" w:customStyle="1" w:styleId="Hyperlink0">
    <w:name w:val="Hyperlink.0"/>
    <w:basedOn w:val="Hyperlink"/>
    <w:rPr>
      <w:color w:val="0000FF"/>
      <w:u w:val="single" w:color="0000FF"/>
    </w:rPr>
  </w:style>
  <w:style w:type="paragraph" w:customStyle="1" w:styleId="Default">
    <w:name w:val="Default"/>
    <w:rPr>
      <w:rFonts w:ascii="Helvetica" w:hAnsi="Helvetica" w:cs="Arial Unicode MS"/>
      <w:color w:val="000000"/>
      <w:sz w:val="22"/>
      <w:szCs w:val="22"/>
      <w:lang w:val="en-US"/>
    </w:rPr>
  </w:style>
  <w:style w:type="paragraph" w:styleId="Caption">
    <w:name w:val="caption"/>
    <w:next w:val="Body"/>
    <w:pPr>
      <w:spacing w:after="200"/>
    </w:pPr>
    <w:rPr>
      <w:rFonts w:cs="Arial Unicode MS"/>
      <w:i/>
      <w:iCs/>
      <w:color w:val="44546A"/>
      <w:sz w:val="18"/>
      <w:szCs w:val="18"/>
      <w:u w:color="44546A"/>
      <w:lang w:val="en-US"/>
    </w:rPr>
  </w:style>
  <w:style w:type="character" w:customStyle="1" w:styleId="Heading1Char">
    <w:name w:val="Heading 1 Char"/>
    <w:basedOn w:val="DefaultParagraphFont"/>
    <w:link w:val="Heading1"/>
    <w:uiPriority w:val="9"/>
    <w:rsid w:val="00BF3609"/>
    <w:rPr>
      <w:rFonts w:cs="Arial Unicode MS"/>
      <w:b/>
      <w:bCs/>
      <w:caps/>
      <w:color w:val="000000"/>
      <w:sz w:val="28"/>
      <w:szCs w:val="28"/>
      <w:u w:color="000000"/>
      <w:lang w:val="en-US"/>
    </w:rPr>
  </w:style>
  <w:style w:type="table" w:customStyle="1" w:styleId="ListTable1Light-Accent51">
    <w:name w:val="List Table 1 Light - Accent 51"/>
    <w:basedOn w:val="TableNormal"/>
    <w:next w:val="ListTable1Light-Accent5"/>
    <w:uiPriority w:val="46"/>
    <w:rsid w:val="00A603D3"/>
    <w:pPr>
      <w:pBdr>
        <w:top w:val="none" w:sz="0" w:space="0" w:color="auto"/>
        <w:left w:val="none" w:sz="0" w:space="0" w:color="auto"/>
        <w:bottom w:val="none" w:sz="0" w:space="0" w:color="auto"/>
        <w:right w:val="none" w:sz="0" w:space="0" w:color="auto"/>
        <w:between w:val="none" w:sz="0" w:space="0" w:color="auto"/>
        <w:bar w:val="none" w:sz="0" w:color="auto"/>
      </w:pBdr>
    </w:pPr>
    <w:rPr>
      <w:rFonts w:ascii="Calibri" w:eastAsia="Calibri" w:hAnsi="Calibri"/>
      <w:sz w:val="22"/>
      <w:szCs w:val="22"/>
      <w:bdr w:val="none" w:sz="0" w:space="0" w:color="auto"/>
      <w:lang w:eastAsia="en-US"/>
    </w:rPr>
    <w:tblPr>
      <w:tblStyleRowBandSize w:val="1"/>
      <w:tblStyleColBandSize w:val="1"/>
    </w:tblPr>
    <w:tblStylePr w:type="firstRow">
      <w:rPr>
        <w:b/>
        <w:bCs/>
      </w:rPr>
      <w:tblPr/>
      <w:tcPr>
        <w:tcBorders>
          <w:bottom w:val="single" w:sz="4" w:space="0" w:color="9CC2E5"/>
        </w:tcBorders>
      </w:tcPr>
    </w:tblStylePr>
    <w:tblStylePr w:type="lastRow">
      <w:rPr>
        <w:b/>
        <w:bCs/>
      </w:rPr>
      <w:tblPr/>
      <w:tcPr>
        <w:tcBorders>
          <w:top w:val="single" w:sz="4" w:space="0" w:color="9CC2E5"/>
        </w:tcBorders>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 w:type="table" w:styleId="ListTable1Light-Accent5">
    <w:name w:val="List Table 1 Light Accent 5"/>
    <w:basedOn w:val="TableNormal"/>
    <w:uiPriority w:val="46"/>
    <w:rsid w:val="00A603D3"/>
    <w:tblPr>
      <w:tblStyleRowBandSize w:val="1"/>
      <w:tblStyleColBandSize w:val="1"/>
    </w:tblPr>
    <w:tblStylePr w:type="firstRow">
      <w:rPr>
        <w:b/>
        <w:bCs/>
      </w:rPr>
      <w:tblPr/>
      <w:tcPr>
        <w:tcBorders>
          <w:bottom w:val="single" w:sz="4" w:space="0" w:color="9CC2E5" w:themeColor="accent5" w:themeTint="99"/>
        </w:tcBorders>
      </w:tcPr>
    </w:tblStylePr>
    <w:tblStylePr w:type="lastRow">
      <w:rPr>
        <w:b/>
        <w:bCs/>
      </w:rPr>
      <w:tblPr/>
      <w:tcPr>
        <w:tcBorders>
          <w:top w:val="sing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Header">
    <w:name w:val="header"/>
    <w:basedOn w:val="Normal"/>
    <w:link w:val="HeaderChar"/>
    <w:uiPriority w:val="99"/>
    <w:unhideWhenUsed/>
    <w:rsid w:val="00850D37"/>
    <w:pPr>
      <w:tabs>
        <w:tab w:val="center" w:pos="4513"/>
        <w:tab w:val="right" w:pos="9026"/>
      </w:tabs>
    </w:pPr>
  </w:style>
  <w:style w:type="character" w:customStyle="1" w:styleId="HeaderChar">
    <w:name w:val="Header Char"/>
    <w:basedOn w:val="DefaultParagraphFont"/>
    <w:link w:val="Header"/>
    <w:uiPriority w:val="99"/>
    <w:rsid w:val="00850D37"/>
    <w:rPr>
      <w:sz w:val="24"/>
      <w:szCs w:val="24"/>
      <w:lang w:val="en-US" w:eastAsia="en-US"/>
    </w:rPr>
  </w:style>
  <w:style w:type="paragraph" w:styleId="Footer">
    <w:name w:val="footer"/>
    <w:basedOn w:val="Normal"/>
    <w:link w:val="FooterChar"/>
    <w:uiPriority w:val="99"/>
    <w:unhideWhenUsed/>
    <w:rsid w:val="00850D37"/>
    <w:pPr>
      <w:tabs>
        <w:tab w:val="center" w:pos="4513"/>
        <w:tab w:val="right" w:pos="9026"/>
      </w:tabs>
    </w:pPr>
  </w:style>
  <w:style w:type="character" w:customStyle="1" w:styleId="FooterChar">
    <w:name w:val="Footer Char"/>
    <w:basedOn w:val="DefaultParagraphFont"/>
    <w:link w:val="Footer"/>
    <w:uiPriority w:val="99"/>
    <w:rsid w:val="00850D37"/>
    <w:rPr>
      <w:sz w:val="24"/>
      <w:szCs w:val="24"/>
      <w:lang w:val="en-US" w:eastAsia="en-US"/>
    </w:rPr>
  </w:style>
  <w:style w:type="character" w:styleId="UnresolvedMention">
    <w:name w:val="Unresolved Mention"/>
    <w:basedOn w:val="DefaultParagraphFont"/>
    <w:uiPriority w:val="99"/>
    <w:semiHidden/>
    <w:unhideWhenUsed/>
    <w:rsid w:val="00FE79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86054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footer" Target="footer1.xml" /><Relationship Id="rId3" Type="http://schemas.openxmlformats.org/officeDocument/2006/relationships/webSettings" Target="webSettings.xml" /><Relationship Id="rId7" Type="http://schemas.openxmlformats.org/officeDocument/2006/relationships/image" Target="media/image2.png" /><Relationship Id="rId12" Type="http://schemas.openxmlformats.org/officeDocument/2006/relationships/image" Target="media/image7.png" /><Relationship Id="rId17" Type="http://schemas.openxmlformats.org/officeDocument/2006/relationships/theme" Target="theme/theme1.xml" /><Relationship Id="rId2" Type="http://schemas.openxmlformats.org/officeDocument/2006/relationships/settings" Target="settings.xml" /><Relationship Id="rId16" Type="http://schemas.openxmlformats.org/officeDocument/2006/relationships/fontTable" Target="fontTable.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image" Target="media/image6.png" /><Relationship Id="rId5" Type="http://schemas.openxmlformats.org/officeDocument/2006/relationships/endnotes" Target="endnotes.xml" /><Relationship Id="rId15" Type="http://schemas.openxmlformats.org/officeDocument/2006/relationships/hyperlink" Target="https://www.bloomberg.com/news/articles/2019-06-26/europe-s-tough-new-emissions-rules-come-with-39-billion-threat" TargetMode="External" /><Relationship Id="rId10" Type="http://schemas.openxmlformats.org/officeDocument/2006/relationships/image" Target="media/image5.png"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image" Target="media/image8.png" /></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Times New Roman"/>
        <a:ea typeface="Times New Roman"/>
        <a:cs typeface="Times New Roman"/>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23</Pages>
  <Words>4292</Words>
  <Characters>24470</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HRUS GORCHINOV</cp:lastModifiedBy>
  <cp:revision>2</cp:revision>
  <dcterms:created xsi:type="dcterms:W3CDTF">2020-01-06T22:26:00Z</dcterms:created>
  <dcterms:modified xsi:type="dcterms:W3CDTF">2020-01-06T22:26:00Z</dcterms:modified>
</cp:coreProperties>
</file>