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8108F" w:rsidRDefault="00A8108F">
      <w:pPr>
        <w:spacing w:line="360" w:lineRule="auto"/>
        <w:jc w:val="both"/>
        <w:rPr>
          <w:rFonts w:ascii="Arial" w:eastAsia="Arial" w:hAnsi="Arial" w:cs="Arial"/>
          <w:b/>
        </w:rPr>
      </w:pPr>
    </w:p>
    <w:p w14:paraId="00000002" w14:textId="77777777" w:rsidR="00A8108F" w:rsidRDefault="00A8108F">
      <w:pPr>
        <w:spacing w:line="360" w:lineRule="auto"/>
        <w:jc w:val="both"/>
        <w:rPr>
          <w:rFonts w:ascii="Arial" w:eastAsia="Arial" w:hAnsi="Arial" w:cs="Arial"/>
          <w:b/>
        </w:rPr>
      </w:pPr>
    </w:p>
    <w:p w14:paraId="00000003" w14:textId="77777777" w:rsidR="00A8108F" w:rsidRDefault="00C841A9">
      <w:pPr>
        <w:spacing w:line="360" w:lineRule="auto"/>
        <w:jc w:val="both"/>
        <w:rPr>
          <w:rFonts w:ascii="Arial" w:eastAsia="Arial" w:hAnsi="Arial" w:cs="Arial"/>
          <w:b/>
        </w:rPr>
      </w:pPr>
      <w:r>
        <w:rPr>
          <w:rFonts w:ascii="Arial" w:eastAsia="Arial" w:hAnsi="Arial" w:cs="Arial"/>
          <w:b/>
        </w:rPr>
        <w:t xml:space="preserve"> </w:t>
      </w:r>
    </w:p>
    <w:p w14:paraId="00000004" w14:textId="77777777" w:rsidR="00A8108F" w:rsidRDefault="00C841A9">
      <w:pPr>
        <w:spacing w:line="360" w:lineRule="auto"/>
        <w:jc w:val="both"/>
        <w:rPr>
          <w:rFonts w:ascii="Arial" w:eastAsia="Arial" w:hAnsi="Arial" w:cs="Arial"/>
          <w:b/>
        </w:rPr>
      </w:pPr>
      <w:r>
        <w:rPr>
          <w:rFonts w:ascii="Arial" w:eastAsia="Arial" w:hAnsi="Arial" w:cs="Arial"/>
          <w:b/>
        </w:rPr>
        <w:t xml:space="preserve"> </w:t>
      </w:r>
    </w:p>
    <w:p w14:paraId="00000005" w14:textId="77777777" w:rsidR="00A8108F" w:rsidRDefault="00A8108F">
      <w:pPr>
        <w:spacing w:line="360" w:lineRule="auto"/>
        <w:jc w:val="both"/>
        <w:rPr>
          <w:rFonts w:ascii="Arial" w:eastAsia="Arial" w:hAnsi="Arial" w:cs="Arial"/>
          <w:b/>
        </w:rPr>
      </w:pPr>
    </w:p>
    <w:p w14:paraId="00000006" w14:textId="77777777" w:rsidR="00A8108F" w:rsidRDefault="00C841A9">
      <w:pPr>
        <w:spacing w:line="360" w:lineRule="auto"/>
        <w:jc w:val="both"/>
        <w:rPr>
          <w:rFonts w:ascii="Arial" w:eastAsia="Arial" w:hAnsi="Arial" w:cs="Arial"/>
          <w:b/>
        </w:rPr>
      </w:pPr>
      <w:r>
        <w:rPr>
          <w:rFonts w:ascii="Arial" w:eastAsia="Arial" w:hAnsi="Arial" w:cs="Arial"/>
          <w:b/>
        </w:rPr>
        <w:t xml:space="preserve"> </w:t>
      </w:r>
    </w:p>
    <w:p w14:paraId="00000007" w14:textId="77777777" w:rsidR="00A8108F" w:rsidRDefault="00C841A9">
      <w:pPr>
        <w:spacing w:line="360" w:lineRule="auto"/>
        <w:jc w:val="both"/>
        <w:rPr>
          <w:rFonts w:ascii="Arial" w:eastAsia="Arial" w:hAnsi="Arial" w:cs="Arial"/>
          <w:b/>
        </w:rPr>
      </w:pPr>
      <w:r>
        <w:rPr>
          <w:rFonts w:ascii="Arial" w:eastAsia="Arial" w:hAnsi="Arial" w:cs="Arial"/>
          <w:b/>
        </w:rPr>
        <w:t xml:space="preserve"> </w:t>
      </w:r>
    </w:p>
    <w:p w14:paraId="00000008" w14:textId="77777777" w:rsidR="00A8108F" w:rsidRDefault="00A8108F">
      <w:pPr>
        <w:spacing w:line="360" w:lineRule="auto"/>
        <w:jc w:val="both"/>
        <w:rPr>
          <w:rFonts w:ascii="Arial" w:eastAsia="Arial" w:hAnsi="Arial" w:cs="Arial"/>
          <w:b/>
        </w:rPr>
      </w:pPr>
    </w:p>
    <w:p w14:paraId="00000009" w14:textId="77777777" w:rsidR="00A8108F" w:rsidRDefault="00A8108F">
      <w:pPr>
        <w:spacing w:line="360" w:lineRule="auto"/>
        <w:jc w:val="center"/>
        <w:rPr>
          <w:rFonts w:ascii="Arial" w:eastAsia="Arial" w:hAnsi="Arial" w:cs="Arial"/>
          <w:b/>
        </w:rPr>
      </w:pPr>
    </w:p>
    <w:p w14:paraId="0000000A" w14:textId="77777777" w:rsidR="00A8108F" w:rsidRDefault="00C841A9">
      <w:pPr>
        <w:spacing w:line="360" w:lineRule="auto"/>
        <w:jc w:val="center"/>
        <w:rPr>
          <w:rFonts w:ascii="Arial" w:eastAsia="Arial" w:hAnsi="Arial" w:cs="Arial"/>
          <w:b/>
        </w:rPr>
      </w:pPr>
      <w:r>
        <w:rPr>
          <w:rFonts w:ascii="Arial" w:eastAsia="Arial" w:hAnsi="Arial" w:cs="Arial"/>
          <w:b/>
        </w:rPr>
        <w:t>Name: Malika Ali</w:t>
      </w:r>
    </w:p>
    <w:p w14:paraId="0000000B" w14:textId="77777777" w:rsidR="00A8108F" w:rsidRDefault="00C841A9">
      <w:pPr>
        <w:spacing w:line="360" w:lineRule="auto"/>
        <w:jc w:val="center"/>
        <w:rPr>
          <w:rFonts w:ascii="Arial" w:eastAsia="Arial" w:hAnsi="Arial" w:cs="Arial"/>
          <w:b/>
        </w:rPr>
      </w:pPr>
      <w:r>
        <w:rPr>
          <w:rFonts w:ascii="Arial" w:eastAsia="Arial" w:hAnsi="Arial" w:cs="Arial"/>
          <w:b/>
        </w:rPr>
        <w:t>Student Number: 2026355</w:t>
      </w:r>
    </w:p>
    <w:p w14:paraId="0000000C" w14:textId="77777777" w:rsidR="00A8108F" w:rsidRDefault="00C841A9">
      <w:pPr>
        <w:spacing w:line="360" w:lineRule="auto"/>
        <w:jc w:val="center"/>
        <w:rPr>
          <w:rFonts w:ascii="Arial" w:eastAsia="Arial" w:hAnsi="Arial" w:cs="Arial"/>
          <w:b/>
        </w:rPr>
      </w:pPr>
      <w:r>
        <w:rPr>
          <w:rFonts w:ascii="Arial" w:eastAsia="Arial" w:hAnsi="Arial" w:cs="Arial"/>
          <w:b/>
        </w:rPr>
        <w:t>Module Code: BMHP5004_BIRM</w:t>
      </w:r>
    </w:p>
    <w:p w14:paraId="0000000D" w14:textId="77777777" w:rsidR="00A8108F" w:rsidRDefault="00C841A9">
      <w:pPr>
        <w:spacing w:line="360" w:lineRule="auto"/>
        <w:jc w:val="center"/>
        <w:rPr>
          <w:rFonts w:ascii="Arial" w:eastAsia="Arial" w:hAnsi="Arial" w:cs="Arial"/>
          <w:b/>
        </w:rPr>
      </w:pPr>
      <w:r>
        <w:rPr>
          <w:rFonts w:ascii="Arial" w:eastAsia="Arial" w:hAnsi="Arial" w:cs="Arial"/>
          <w:b/>
        </w:rPr>
        <w:t xml:space="preserve">Lecturer Name:  Dr </w:t>
      </w:r>
      <w:proofErr w:type="spellStart"/>
      <w:r>
        <w:rPr>
          <w:rFonts w:ascii="Arial" w:eastAsia="Arial" w:hAnsi="Arial" w:cs="Arial"/>
          <w:b/>
        </w:rPr>
        <w:t>Crisford</w:t>
      </w:r>
      <w:proofErr w:type="spellEnd"/>
      <w:r>
        <w:rPr>
          <w:rFonts w:ascii="Arial" w:eastAsia="Arial" w:hAnsi="Arial" w:cs="Arial"/>
          <w:b/>
        </w:rPr>
        <w:t xml:space="preserve"> </w:t>
      </w:r>
      <w:proofErr w:type="spellStart"/>
      <w:r>
        <w:rPr>
          <w:rFonts w:ascii="Arial" w:eastAsia="Arial" w:hAnsi="Arial" w:cs="Arial"/>
          <w:b/>
        </w:rPr>
        <w:t>Chogugudza</w:t>
      </w:r>
      <w:proofErr w:type="spellEnd"/>
    </w:p>
    <w:p w14:paraId="0000000E" w14:textId="77777777" w:rsidR="00A8108F" w:rsidRDefault="00A8108F">
      <w:pPr>
        <w:spacing w:line="360" w:lineRule="auto"/>
        <w:jc w:val="both"/>
        <w:rPr>
          <w:rFonts w:ascii="Arial" w:eastAsia="Arial" w:hAnsi="Arial" w:cs="Arial"/>
          <w:b/>
        </w:rPr>
      </w:pPr>
    </w:p>
    <w:p w14:paraId="0000000F" w14:textId="77777777" w:rsidR="00A8108F" w:rsidRDefault="00A8108F">
      <w:pPr>
        <w:spacing w:line="360" w:lineRule="auto"/>
        <w:jc w:val="both"/>
        <w:rPr>
          <w:rFonts w:ascii="Arial" w:eastAsia="Arial" w:hAnsi="Arial" w:cs="Arial"/>
          <w:b/>
        </w:rPr>
      </w:pPr>
    </w:p>
    <w:p w14:paraId="00000010" w14:textId="77777777" w:rsidR="00A8108F" w:rsidRDefault="00A8108F">
      <w:pPr>
        <w:spacing w:line="360" w:lineRule="auto"/>
        <w:jc w:val="both"/>
        <w:rPr>
          <w:rFonts w:ascii="Arial" w:eastAsia="Arial" w:hAnsi="Arial" w:cs="Arial"/>
          <w:b/>
        </w:rPr>
      </w:pPr>
    </w:p>
    <w:p w14:paraId="00000011" w14:textId="77777777" w:rsidR="00A8108F" w:rsidRDefault="00A8108F">
      <w:pPr>
        <w:spacing w:line="360" w:lineRule="auto"/>
        <w:jc w:val="both"/>
        <w:rPr>
          <w:rFonts w:ascii="Arial" w:eastAsia="Arial" w:hAnsi="Arial" w:cs="Arial"/>
          <w:b/>
        </w:rPr>
      </w:pPr>
    </w:p>
    <w:p w14:paraId="00000012" w14:textId="77777777" w:rsidR="00A8108F" w:rsidRDefault="00A8108F">
      <w:pPr>
        <w:spacing w:line="360" w:lineRule="auto"/>
        <w:jc w:val="both"/>
        <w:rPr>
          <w:rFonts w:ascii="Arial" w:eastAsia="Arial" w:hAnsi="Arial" w:cs="Arial"/>
          <w:b/>
        </w:rPr>
      </w:pPr>
    </w:p>
    <w:p w14:paraId="00000013" w14:textId="77777777" w:rsidR="00A8108F" w:rsidRDefault="00A8108F">
      <w:pPr>
        <w:spacing w:line="360" w:lineRule="auto"/>
        <w:jc w:val="both"/>
        <w:rPr>
          <w:rFonts w:ascii="Arial" w:eastAsia="Arial" w:hAnsi="Arial" w:cs="Arial"/>
          <w:b/>
        </w:rPr>
      </w:pPr>
    </w:p>
    <w:p w14:paraId="00000014" w14:textId="77777777" w:rsidR="00A8108F" w:rsidRDefault="00A8108F">
      <w:pPr>
        <w:spacing w:line="360" w:lineRule="auto"/>
        <w:jc w:val="both"/>
        <w:rPr>
          <w:rFonts w:ascii="Arial" w:eastAsia="Arial" w:hAnsi="Arial" w:cs="Arial"/>
          <w:b/>
        </w:rPr>
      </w:pPr>
    </w:p>
    <w:p w14:paraId="00000015" w14:textId="77777777" w:rsidR="00A8108F" w:rsidRDefault="00A8108F">
      <w:pPr>
        <w:spacing w:line="360" w:lineRule="auto"/>
        <w:jc w:val="both"/>
        <w:rPr>
          <w:rFonts w:ascii="Arial" w:eastAsia="Arial" w:hAnsi="Arial" w:cs="Arial"/>
          <w:b/>
        </w:rPr>
      </w:pPr>
    </w:p>
    <w:p w14:paraId="00000016" w14:textId="77777777" w:rsidR="00A8108F" w:rsidRDefault="00A8108F">
      <w:pPr>
        <w:spacing w:line="360" w:lineRule="auto"/>
        <w:jc w:val="both"/>
        <w:rPr>
          <w:rFonts w:ascii="Arial" w:eastAsia="Arial" w:hAnsi="Arial" w:cs="Arial"/>
          <w:b/>
        </w:rPr>
      </w:pPr>
    </w:p>
    <w:p w14:paraId="00000017" w14:textId="77777777" w:rsidR="00A8108F" w:rsidRDefault="00A8108F">
      <w:pPr>
        <w:spacing w:line="360" w:lineRule="auto"/>
        <w:jc w:val="both"/>
        <w:rPr>
          <w:rFonts w:ascii="Arial" w:eastAsia="Arial" w:hAnsi="Arial" w:cs="Arial"/>
          <w:b/>
        </w:rPr>
      </w:pPr>
    </w:p>
    <w:p w14:paraId="00000018" w14:textId="77777777" w:rsidR="00A8108F" w:rsidRDefault="00A8108F">
      <w:pPr>
        <w:spacing w:line="360" w:lineRule="auto"/>
        <w:jc w:val="both"/>
        <w:rPr>
          <w:rFonts w:ascii="Arial" w:eastAsia="Arial" w:hAnsi="Arial" w:cs="Arial"/>
          <w:b/>
        </w:rPr>
      </w:pPr>
    </w:p>
    <w:p w14:paraId="00000019" w14:textId="77777777" w:rsidR="00A8108F" w:rsidRDefault="00A8108F">
      <w:pPr>
        <w:spacing w:line="360" w:lineRule="auto"/>
        <w:jc w:val="both"/>
        <w:rPr>
          <w:rFonts w:ascii="Arial" w:eastAsia="Arial" w:hAnsi="Arial" w:cs="Arial"/>
          <w:b/>
        </w:rPr>
      </w:pPr>
    </w:p>
    <w:p w14:paraId="0000001A" w14:textId="77777777" w:rsidR="00A8108F" w:rsidRDefault="00A8108F">
      <w:pPr>
        <w:spacing w:line="360" w:lineRule="auto"/>
        <w:jc w:val="both"/>
        <w:rPr>
          <w:rFonts w:ascii="Arial" w:eastAsia="Arial" w:hAnsi="Arial" w:cs="Arial"/>
          <w:b/>
        </w:rPr>
      </w:pPr>
    </w:p>
    <w:p w14:paraId="0000001B" w14:textId="77777777" w:rsidR="00A8108F" w:rsidRDefault="00A8108F">
      <w:pPr>
        <w:spacing w:line="360" w:lineRule="auto"/>
        <w:jc w:val="both"/>
        <w:rPr>
          <w:rFonts w:ascii="Arial" w:eastAsia="Arial" w:hAnsi="Arial" w:cs="Arial"/>
          <w:b/>
        </w:rPr>
      </w:pPr>
    </w:p>
    <w:p w14:paraId="0000001C" w14:textId="77777777" w:rsidR="00A8108F" w:rsidRDefault="00A8108F">
      <w:pPr>
        <w:spacing w:line="360" w:lineRule="auto"/>
        <w:jc w:val="both"/>
        <w:rPr>
          <w:rFonts w:ascii="Arial" w:eastAsia="Arial" w:hAnsi="Arial" w:cs="Arial"/>
          <w:b/>
        </w:rPr>
      </w:pPr>
    </w:p>
    <w:p w14:paraId="0000001D" w14:textId="77777777" w:rsidR="00A8108F" w:rsidRDefault="00A8108F">
      <w:pPr>
        <w:spacing w:line="360" w:lineRule="auto"/>
        <w:jc w:val="both"/>
        <w:rPr>
          <w:rFonts w:ascii="Arial" w:eastAsia="Arial" w:hAnsi="Arial" w:cs="Arial"/>
          <w:b/>
        </w:rPr>
      </w:pPr>
    </w:p>
    <w:p w14:paraId="0000001E" w14:textId="77777777" w:rsidR="00A8108F" w:rsidRDefault="00A8108F">
      <w:pPr>
        <w:spacing w:line="360" w:lineRule="auto"/>
        <w:jc w:val="both"/>
        <w:rPr>
          <w:rFonts w:ascii="Arial" w:eastAsia="Arial" w:hAnsi="Arial" w:cs="Arial"/>
          <w:b/>
        </w:rPr>
      </w:pPr>
    </w:p>
    <w:p w14:paraId="0000001F" w14:textId="77777777" w:rsidR="00A8108F" w:rsidRDefault="00A8108F">
      <w:pPr>
        <w:spacing w:line="360" w:lineRule="auto"/>
        <w:jc w:val="both"/>
        <w:rPr>
          <w:rFonts w:ascii="Arial" w:eastAsia="Arial" w:hAnsi="Arial" w:cs="Arial"/>
          <w:b/>
        </w:rPr>
      </w:pPr>
    </w:p>
    <w:p w14:paraId="00000020" w14:textId="77777777" w:rsidR="00A8108F" w:rsidRDefault="00A8108F">
      <w:pPr>
        <w:spacing w:line="360" w:lineRule="auto"/>
        <w:jc w:val="both"/>
        <w:rPr>
          <w:rFonts w:ascii="Arial" w:eastAsia="Arial" w:hAnsi="Arial" w:cs="Arial"/>
        </w:rPr>
      </w:pPr>
    </w:p>
    <w:p w14:paraId="00000021" w14:textId="77777777" w:rsidR="00A8108F" w:rsidRDefault="00C841A9">
      <w:pPr>
        <w:keepNext/>
        <w:keepLines/>
        <w:pBdr>
          <w:top w:val="nil"/>
          <w:left w:val="nil"/>
          <w:bottom w:val="nil"/>
          <w:right w:val="nil"/>
          <w:between w:val="nil"/>
        </w:pBdr>
        <w:spacing w:before="240" w:after="0"/>
        <w:rPr>
          <w:color w:val="2F5496"/>
          <w:sz w:val="32"/>
          <w:szCs w:val="32"/>
        </w:rPr>
      </w:pPr>
      <w:r>
        <w:rPr>
          <w:color w:val="2F5496"/>
          <w:sz w:val="32"/>
          <w:szCs w:val="32"/>
        </w:rPr>
        <w:t>Contents</w:t>
      </w:r>
    </w:p>
    <w:sdt>
      <w:sdtPr>
        <w:id w:val="-436996474"/>
        <w:docPartObj>
          <w:docPartGallery w:val="Table of Contents"/>
          <w:docPartUnique/>
        </w:docPartObj>
      </w:sdtPr>
      <w:sdtEndPr/>
      <w:sdtContent>
        <w:p w14:paraId="00000022" w14:textId="77777777" w:rsidR="00A8108F" w:rsidRDefault="00C841A9">
          <w:pPr>
            <w:pBdr>
              <w:top w:val="nil"/>
              <w:left w:val="nil"/>
              <w:bottom w:val="nil"/>
              <w:right w:val="nil"/>
              <w:between w:val="nil"/>
            </w:pBdr>
            <w:tabs>
              <w:tab w:val="right" w:pos="9016"/>
            </w:tabs>
            <w:spacing w:after="100"/>
            <w:rPr>
              <w:color w:val="000000"/>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0000023" w14:textId="77777777" w:rsidR="00A8108F" w:rsidRDefault="00997D39">
          <w:pPr>
            <w:pBdr>
              <w:top w:val="nil"/>
              <w:left w:val="nil"/>
              <w:bottom w:val="nil"/>
              <w:right w:val="nil"/>
              <w:between w:val="nil"/>
            </w:pBdr>
            <w:tabs>
              <w:tab w:val="right" w:pos="9016"/>
            </w:tabs>
            <w:spacing w:after="100"/>
            <w:rPr>
              <w:color w:val="000000"/>
            </w:rPr>
          </w:pPr>
          <w:hyperlink w:anchor="_heading=h.30j0zll">
            <w:r w:rsidR="00C841A9">
              <w:rPr>
                <w:color w:val="000000"/>
              </w:rPr>
              <w:t>Childhood wellbeing:</w:t>
            </w:r>
            <w:r w:rsidR="00C841A9">
              <w:rPr>
                <w:color w:val="000000"/>
              </w:rPr>
              <w:tab/>
              <w:t>3</w:t>
            </w:r>
          </w:hyperlink>
        </w:p>
        <w:p w14:paraId="00000024" w14:textId="77777777" w:rsidR="00A8108F" w:rsidRDefault="00997D39">
          <w:pPr>
            <w:pBdr>
              <w:top w:val="nil"/>
              <w:left w:val="nil"/>
              <w:bottom w:val="nil"/>
              <w:right w:val="nil"/>
              <w:between w:val="nil"/>
            </w:pBdr>
            <w:tabs>
              <w:tab w:val="right" w:pos="9016"/>
            </w:tabs>
            <w:spacing w:after="100"/>
            <w:rPr>
              <w:color w:val="000000"/>
            </w:rPr>
          </w:pPr>
          <w:hyperlink w:anchor="_heading=h.1fob9te">
            <w:r w:rsidR="00C841A9">
              <w:rPr>
                <w:color w:val="000000"/>
              </w:rPr>
              <w:t>Roles of multi-disciplinary services:</w:t>
            </w:r>
            <w:r w:rsidR="00C841A9">
              <w:rPr>
                <w:color w:val="000000"/>
              </w:rPr>
              <w:tab/>
              <w:t>3</w:t>
            </w:r>
          </w:hyperlink>
        </w:p>
        <w:p w14:paraId="00000025" w14:textId="77777777" w:rsidR="00A8108F" w:rsidRDefault="00997D39">
          <w:pPr>
            <w:pBdr>
              <w:top w:val="nil"/>
              <w:left w:val="nil"/>
              <w:bottom w:val="nil"/>
              <w:right w:val="nil"/>
              <w:between w:val="nil"/>
            </w:pBdr>
            <w:tabs>
              <w:tab w:val="right" w:pos="9016"/>
            </w:tabs>
            <w:spacing w:after="100"/>
            <w:rPr>
              <w:color w:val="000000"/>
            </w:rPr>
          </w:pPr>
          <w:hyperlink w:anchor="_heading=h.3znysh7">
            <w:r w:rsidR="00C841A9">
              <w:rPr>
                <w:color w:val="000000"/>
              </w:rPr>
              <w:t>Improvements required to meet the wellbeing needs:</w:t>
            </w:r>
            <w:r w:rsidR="00C841A9">
              <w:rPr>
                <w:color w:val="000000"/>
              </w:rPr>
              <w:tab/>
              <w:t>4</w:t>
            </w:r>
          </w:hyperlink>
        </w:p>
        <w:p w14:paraId="00000026" w14:textId="77777777" w:rsidR="00A8108F" w:rsidRDefault="00997D39">
          <w:pPr>
            <w:pBdr>
              <w:top w:val="nil"/>
              <w:left w:val="nil"/>
              <w:bottom w:val="nil"/>
              <w:right w:val="nil"/>
              <w:between w:val="nil"/>
            </w:pBdr>
            <w:tabs>
              <w:tab w:val="right" w:pos="9016"/>
            </w:tabs>
            <w:spacing w:after="100"/>
            <w:rPr>
              <w:color w:val="000000"/>
            </w:rPr>
          </w:pPr>
          <w:hyperlink w:anchor="_heading=h.2et92p0">
            <w:r w:rsidR="00C841A9">
              <w:rPr>
                <w:color w:val="000000"/>
              </w:rPr>
              <w:t>Conclusion:</w:t>
            </w:r>
            <w:r w:rsidR="00C841A9">
              <w:rPr>
                <w:color w:val="000000"/>
              </w:rPr>
              <w:tab/>
              <w:t>5</w:t>
            </w:r>
          </w:hyperlink>
        </w:p>
        <w:p w14:paraId="00000027" w14:textId="77777777" w:rsidR="00A8108F" w:rsidRDefault="00C841A9">
          <w:r>
            <w:fldChar w:fldCharType="end"/>
          </w:r>
        </w:p>
      </w:sdtContent>
    </w:sdt>
    <w:p w14:paraId="00000028" w14:textId="77777777" w:rsidR="00A8108F" w:rsidRDefault="00C841A9">
      <w:pPr>
        <w:rPr>
          <w:rFonts w:ascii="Arial" w:eastAsia="Arial" w:hAnsi="Arial" w:cs="Arial"/>
        </w:rPr>
      </w:pPr>
      <w:r>
        <w:br w:type="page"/>
      </w:r>
    </w:p>
    <w:p w14:paraId="00000029" w14:textId="77777777" w:rsidR="00A8108F" w:rsidRDefault="00C841A9">
      <w:pPr>
        <w:pStyle w:val="Heading1"/>
      </w:pPr>
      <w:bookmarkStart w:id="0" w:name="_heading=h.gjdgxs" w:colFirst="0" w:colLast="0"/>
      <w:bookmarkEnd w:id="0"/>
      <w:r>
        <w:lastRenderedPageBreak/>
        <w:t>Introduction:</w:t>
      </w:r>
    </w:p>
    <w:p w14:paraId="0000002A" w14:textId="77777777" w:rsidR="00A8108F" w:rsidRDefault="00A8108F"/>
    <w:p w14:paraId="0000002B" w14:textId="77777777" w:rsidR="00A8108F" w:rsidRDefault="00C841A9">
      <w:pPr>
        <w:spacing w:line="360" w:lineRule="auto"/>
        <w:jc w:val="both"/>
        <w:rPr>
          <w:rFonts w:ascii="Arial" w:eastAsia="Arial" w:hAnsi="Arial" w:cs="Arial"/>
        </w:rPr>
      </w:pPr>
      <w:r>
        <w:rPr>
          <w:rFonts w:ascii="Arial" w:eastAsia="Arial" w:hAnsi="Arial" w:cs="Arial"/>
        </w:rPr>
        <w:t xml:space="preserve">Childhood wellbeing or children’s wellbeing is a mixture of their mental, social, emotional, and physical health. Overall wellbeing of the child is affected by all these elements. It is essential for carers, educators, and especially parents to help create a good sense of wellbeing in the child as early as possible (Carranza, 2020). A child’s wellbeing is directly dependent on their relationship with their family. </w:t>
      </w:r>
    </w:p>
    <w:p w14:paraId="0000002C" w14:textId="77777777" w:rsidR="00A8108F" w:rsidRDefault="00C841A9">
      <w:pPr>
        <w:pStyle w:val="Heading1"/>
      </w:pPr>
      <w:bookmarkStart w:id="1" w:name="_heading=h.30j0zll" w:colFirst="0" w:colLast="0"/>
      <w:bookmarkEnd w:id="1"/>
      <w:r>
        <w:t>Childhood wellbeing:</w:t>
      </w:r>
    </w:p>
    <w:p w14:paraId="0000002D" w14:textId="77777777" w:rsidR="00A8108F" w:rsidRDefault="00A8108F"/>
    <w:p w14:paraId="0000002E" w14:textId="77777777" w:rsidR="00A8108F" w:rsidRDefault="00C841A9">
      <w:pPr>
        <w:spacing w:line="360" w:lineRule="auto"/>
        <w:jc w:val="both"/>
        <w:rPr>
          <w:rFonts w:ascii="Arial" w:eastAsia="Arial" w:hAnsi="Arial" w:cs="Arial"/>
        </w:rPr>
      </w:pPr>
      <w:r>
        <w:rPr>
          <w:rFonts w:ascii="Arial" w:eastAsia="Arial" w:hAnsi="Arial" w:cs="Arial"/>
        </w:rPr>
        <w:t xml:space="preserve">Studies show that individuals that belong to a lower socioeconomic class have a lesser attachment to their siblings, which leads to many consequences, such as drug use, anxiety, and depression. Belonging to a lower socioeconomic class places enormous stress on most parent which hampers the wellbeing of the entire family, including the children. When parents </w:t>
      </w:r>
      <w:proofErr w:type="gramStart"/>
      <w:r>
        <w:rPr>
          <w:rFonts w:ascii="Arial" w:eastAsia="Arial" w:hAnsi="Arial" w:cs="Arial"/>
        </w:rPr>
        <w:t>are able to</w:t>
      </w:r>
      <w:proofErr w:type="gramEnd"/>
      <w:r>
        <w:rPr>
          <w:rFonts w:ascii="Arial" w:eastAsia="Arial" w:hAnsi="Arial" w:cs="Arial"/>
        </w:rPr>
        <w:t xml:space="preserve"> fulfill their children’s basic necessities, they feel inadequate, whereas the child feels that no one cares for them (Thomas, Liu and </w:t>
      </w:r>
      <w:proofErr w:type="spellStart"/>
      <w:r>
        <w:rPr>
          <w:rFonts w:ascii="Arial" w:eastAsia="Arial" w:hAnsi="Arial" w:cs="Arial"/>
        </w:rPr>
        <w:t>Umberson</w:t>
      </w:r>
      <w:proofErr w:type="spellEnd"/>
      <w:r>
        <w:rPr>
          <w:rFonts w:ascii="Arial" w:eastAsia="Arial" w:hAnsi="Arial" w:cs="Arial"/>
        </w:rPr>
        <w:t xml:space="preserve">, 2017). Many studies show that children belonging to different age groups have different reasons linked to sense of wellbeing. Children of eight years of age were more concerned with relationships with friends and freedom. Whereas in children of age twelve, their wellbeing was linked more to performing well in school. Children of seven years of age had their sense of wellbeing less dependent on parents, socio-economic, and family-related factors, rather their wellbeing was more dependent on feeling safe from bullying, social exclusion, and their relationships with family and friends (Andresen, Bradshaw and Kosher, 2018). </w:t>
      </w:r>
    </w:p>
    <w:p w14:paraId="0000002F" w14:textId="77777777" w:rsidR="00A8108F" w:rsidRDefault="00C841A9">
      <w:pPr>
        <w:pStyle w:val="Heading1"/>
        <w:rPr>
          <w:rFonts w:ascii="Arial" w:eastAsia="Arial" w:hAnsi="Arial" w:cs="Arial"/>
        </w:rPr>
      </w:pPr>
      <w:bookmarkStart w:id="2" w:name="_heading=h.1fob9te" w:colFirst="0" w:colLast="0"/>
      <w:bookmarkEnd w:id="2"/>
      <w:r>
        <w:t>Roles of multi-disciplinary services:</w:t>
      </w:r>
    </w:p>
    <w:p w14:paraId="00000030" w14:textId="77777777" w:rsidR="00A8108F" w:rsidRDefault="00C841A9">
      <w:pPr>
        <w:spacing w:line="360" w:lineRule="auto"/>
        <w:jc w:val="both"/>
        <w:rPr>
          <w:rFonts w:ascii="Arial" w:eastAsia="Arial" w:hAnsi="Arial" w:cs="Arial"/>
        </w:rPr>
      </w:pPr>
      <w:r>
        <w:rPr>
          <w:rFonts w:ascii="Arial" w:eastAsia="Arial" w:hAnsi="Arial" w:cs="Arial"/>
        </w:rPr>
        <w:t xml:space="preserve">Measures such as the </w:t>
      </w:r>
      <w:r>
        <w:rPr>
          <w:rFonts w:ascii="Arial" w:eastAsia="Arial" w:hAnsi="Arial" w:cs="Arial"/>
          <w:color w:val="000000"/>
          <w:highlight w:val="white"/>
        </w:rPr>
        <w:t xml:space="preserve">New Economics Foundation’s Happy Planet Index tend to focus on how </w:t>
      </w:r>
      <w:r>
        <w:rPr>
          <w:rFonts w:ascii="Arial" w:eastAsia="Arial" w:hAnsi="Arial" w:cs="Arial"/>
          <w:highlight w:val="white"/>
        </w:rPr>
        <w:t>the</w:t>
      </w:r>
      <w:r>
        <w:rPr>
          <w:rFonts w:ascii="Arial" w:eastAsia="Arial" w:hAnsi="Arial" w:cs="Arial"/>
          <w:color w:val="000000"/>
          <w:highlight w:val="white"/>
        </w:rPr>
        <w:t xml:space="preserve"> environment of children tends to affect family well-being and how closely tied well-being of children is to healthy and functioning relationships within their family. Government policy makers tend to focus on the needs of children as well as on improving the quality of life while keeping a focus on social inclusion as well. Studies have shown that income inequality has been negatively linked with well-being and social exclusion which includes children living in relative poverty has shown to impact children well-being as well dramatically negatively. </w:t>
      </w:r>
    </w:p>
    <w:p w14:paraId="00000031" w14:textId="77777777" w:rsidR="00A8108F" w:rsidRDefault="00A8108F">
      <w:pPr>
        <w:spacing w:line="360" w:lineRule="auto"/>
        <w:jc w:val="both"/>
        <w:rPr>
          <w:rFonts w:ascii="Arial" w:eastAsia="Arial" w:hAnsi="Arial" w:cs="Arial"/>
        </w:rPr>
      </w:pPr>
    </w:p>
    <w:p w14:paraId="00000032" w14:textId="77777777" w:rsidR="00A8108F" w:rsidRDefault="00C841A9">
      <w:pPr>
        <w:spacing w:line="360" w:lineRule="auto"/>
        <w:jc w:val="both"/>
        <w:rPr>
          <w:rFonts w:ascii="Arial" w:eastAsia="Arial" w:hAnsi="Arial" w:cs="Arial"/>
        </w:rPr>
      </w:pPr>
      <w:r>
        <w:rPr>
          <w:rFonts w:ascii="Arial" w:eastAsia="Arial" w:hAnsi="Arial" w:cs="Arial"/>
        </w:rPr>
        <w:t xml:space="preserve">The five major areas of children and family wellbeing are: family relationship, socioeconomic status, health and safety, social inclusion, and religion/ spirituality. The common assessment framework assesses children’s wellbeing by looking at their health, education, emotional and </w:t>
      </w:r>
      <w:r>
        <w:rPr>
          <w:rFonts w:ascii="Arial" w:eastAsia="Arial" w:hAnsi="Arial" w:cs="Arial"/>
        </w:rPr>
        <w:lastRenderedPageBreak/>
        <w:t xml:space="preserve">behavioral development, identity, family and social relationships, self-care skills, and social presentation (Evans, 2021). The issues faced by Family A of the case study were non-payment of rent, financial instability, domestic violence, potential alcohol problems and parenting issues. The main agencies that were involved with Family A were Connexions, Metropolitan Police, the children’s schools, </w:t>
      </w:r>
      <w:proofErr w:type="spellStart"/>
      <w:r>
        <w:rPr>
          <w:rFonts w:ascii="Arial" w:eastAsia="Arial" w:hAnsi="Arial" w:cs="Arial"/>
        </w:rPr>
        <w:t>Neighbourhood</w:t>
      </w:r>
      <w:proofErr w:type="spellEnd"/>
      <w:r>
        <w:rPr>
          <w:rFonts w:ascii="Arial" w:eastAsia="Arial" w:hAnsi="Arial" w:cs="Arial"/>
        </w:rPr>
        <w:t xml:space="preserve"> Services, child and adolescent mental health services, and the Anti-Social </w:t>
      </w:r>
      <w:proofErr w:type="spellStart"/>
      <w:r>
        <w:rPr>
          <w:rFonts w:ascii="Arial" w:eastAsia="Arial" w:hAnsi="Arial" w:cs="Arial"/>
        </w:rPr>
        <w:t>Behaviour</w:t>
      </w:r>
      <w:proofErr w:type="spellEnd"/>
      <w:r>
        <w:rPr>
          <w:rFonts w:ascii="Arial" w:eastAsia="Arial" w:hAnsi="Arial" w:cs="Arial"/>
        </w:rPr>
        <w:t xml:space="preserve"> Team. The initial referral of Family A was made by the anti-social </w:t>
      </w:r>
      <w:proofErr w:type="spellStart"/>
      <w:r>
        <w:rPr>
          <w:rFonts w:ascii="Arial" w:eastAsia="Arial" w:hAnsi="Arial" w:cs="Arial"/>
        </w:rPr>
        <w:t>behaviour</w:t>
      </w:r>
      <w:proofErr w:type="spellEnd"/>
      <w:r>
        <w:rPr>
          <w:rFonts w:ascii="Arial" w:eastAsia="Arial" w:hAnsi="Arial" w:cs="Arial"/>
        </w:rPr>
        <w:t xml:space="preserve"> team which recommended to monitor the rent payments, suggested parents to take parenting classes and counselling in case of domestic violence. The children were suggested to get Connexons support and get more involved in extracurricular activities. It was also suggested that they get counselling if they witness any form of domestic abuse. </w:t>
      </w:r>
      <w:proofErr w:type="spellStart"/>
      <w:r>
        <w:rPr>
          <w:rFonts w:ascii="Arial" w:eastAsia="Arial" w:hAnsi="Arial" w:cs="Arial"/>
        </w:rPr>
        <w:t>Jobcentre</w:t>
      </w:r>
      <w:proofErr w:type="spellEnd"/>
      <w:r>
        <w:rPr>
          <w:rFonts w:ascii="Arial" w:eastAsia="Arial" w:hAnsi="Arial" w:cs="Arial"/>
        </w:rPr>
        <w:t xml:space="preserve"> Plus was also contacted to help the parents get training in order to get a good job. After these multi-disciplinary services intervened, the family benefitted. The children had better behavior and attendance in schools, the family was saved from eviction, and the mother became more thoughtful of her parenting and joined a parenting class being offered at the school she worked at. The sense of well-being in the son improved as shown by his improved behavior. The mother was able to get another job. The relationship between the father and the daughter was bad which led to the separation of the parents.</w:t>
      </w:r>
    </w:p>
    <w:p w14:paraId="00000033" w14:textId="77777777" w:rsidR="00A8108F" w:rsidRDefault="00C841A9">
      <w:pPr>
        <w:pStyle w:val="Heading1"/>
      </w:pPr>
      <w:bookmarkStart w:id="3" w:name="_heading=h.3znysh7" w:colFirst="0" w:colLast="0"/>
      <w:bookmarkEnd w:id="3"/>
      <w:r>
        <w:t>Improvements required to meet the wellbeing needs:</w:t>
      </w:r>
    </w:p>
    <w:p w14:paraId="00000034" w14:textId="77777777" w:rsidR="00A8108F" w:rsidRDefault="00A8108F"/>
    <w:p w14:paraId="00000035" w14:textId="77777777" w:rsidR="00A8108F" w:rsidRDefault="00C841A9">
      <w:pPr>
        <w:spacing w:after="172" w:line="360" w:lineRule="auto"/>
        <w:ind w:left="18" w:right="3"/>
        <w:jc w:val="both"/>
        <w:rPr>
          <w:rFonts w:ascii="Arial" w:eastAsia="Arial" w:hAnsi="Arial" w:cs="Arial"/>
        </w:rPr>
      </w:pPr>
      <w:r>
        <w:rPr>
          <w:rFonts w:ascii="Arial" w:eastAsia="Arial" w:hAnsi="Arial" w:cs="Arial"/>
        </w:rPr>
        <w:t>There is improvement needed on behalf of the multidisciplinary teams involved with in the case in order to avoid aggressive incidents like the one that occurred between the father and the daughter it will not take place. Schools play an important role in the development of children and in monitoring their health as well, which is why the local authorities should involve the school and enforce a positive protective role to monitor the well-being of the children and provide them with a safe space to speak without the influence of their parents. The adolescent’s relationship with teachers and their peers should also be closely monitored so that any discrepancies may be noted and dealt with accordingly. The school climate should prove to be a positive asset for the children as well. The neighborhood services should have followed up with the mother in order to catch and be aware of signs of domestic abuse and violence against the mother and the children and consequently members of the Metropolitan Police should have kept a check on the progression (</w:t>
      </w:r>
      <w:proofErr w:type="spellStart"/>
      <w:r>
        <w:rPr>
          <w:rFonts w:ascii="Arial" w:eastAsia="Arial" w:hAnsi="Arial" w:cs="Arial"/>
        </w:rPr>
        <w:t>Cott</w:t>
      </w:r>
      <w:proofErr w:type="spellEnd"/>
      <w:r>
        <w:rPr>
          <w:rFonts w:ascii="Arial" w:eastAsia="Arial" w:hAnsi="Arial" w:cs="Arial"/>
        </w:rPr>
        <w:t xml:space="preserve">, 1997). Parental engagement with the children should also have been monitored so that any indications of violence against children or factors impacting the well-being of children could have been caught early on. Efforts should have therefore been made to improve the relationship between the children and the parents and increase positive family support so that the children would feel more supported and have an easier time communicating with authorities as well as their parents. </w:t>
      </w:r>
      <w:r>
        <w:rPr>
          <w:rFonts w:ascii="Arial" w:eastAsia="Arial" w:hAnsi="Arial" w:cs="Arial"/>
        </w:rPr>
        <w:lastRenderedPageBreak/>
        <w:t>Several interventions should have been conducted individually with the children and the parents so that there was better assessment of any disruption within the household and any physical alterations could have been avoided and their root cause being narrowed down.</w:t>
      </w:r>
    </w:p>
    <w:p w14:paraId="00000036" w14:textId="77777777" w:rsidR="00A8108F" w:rsidRDefault="00A8108F">
      <w:pPr>
        <w:spacing w:after="172" w:line="360" w:lineRule="auto"/>
        <w:ind w:left="18" w:right="3"/>
        <w:jc w:val="both"/>
        <w:rPr>
          <w:rFonts w:ascii="Arial" w:eastAsia="Arial" w:hAnsi="Arial" w:cs="Arial"/>
        </w:rPr>
      </w:pPr>
    </w:p>
    <w:p w14:paraId="00000037" w14:textId="77777777" w:rsidR="00A8108F" w:rsidRDefault="00C841A9">
      <w:pPr>
        <w:pStyle w:val="Heading1"/>
      </w:pPr>
      <w:bookmarkStart w:id="4" w:name="_heading=h.2et92p0" w:colFirst="0" w:colLast="0"/>
      <w:bookmarkEnd w:id="4"/>
      <w:r>
        <w:t>Conclusion:</w:t>
      </w:r>
    </w:p>
    <w:p w14:paraId="00000038" w14:textId="77777777" w:rsidR="00A8108F" w:rsidRDefault="00C841A9">
      <w:pPr>
        <w:spacing w:line="360" w:lineRule="auto"/>
        <w:jc w:val="both"/>
        <w:rPr>
          <w:rFonts w:ascii="Arial" w:eastAsia="Arial" w:hAnsi="Arial" w:cs="Arial"/>
        </w:rPr>
      </w:pPr>
      <w:r>
        <w:rPr>
          <w:rFonts w:ascii="Arial" w:eastAsia="Arial" w:hAnsi="Arial" w:cs="Arial"/>
        </w:rPr>
        <w:t xml:space="preserve">Wellbeing is the continuous existence of positive attributes. </w:t>
      </w:r>
      <w:r>
        <w:rPr>
          <w:rFonts w:ascii="Arial" w:eastAsia="Arial" w:hAnsi="Arial" w:cs="Arial"/>
          <w:color w:val="000000"/>
          <w:highlight w:val="white"/>
        </w:rPr>
        <w:t xml:space="preserve">Child well-being has been associated with the child's relationship with their parents, and how well the children have been doing at school as well as measuring antisocial behavior of children. Child well-being is also dependent upon how well the parents tend to get along with each other even if they belong to a broken family, which is why studies have shown that familial conflict has been associated highly with child and happiness. </w:t>
      </w:r>
    </w:p>
    <w:p w14:paraId="00000039" w14:textId="77777777" w:rsidR="00A8108F" w:rsidRDefault="00A8108F">
      <w:pPr>
        <w:spacing w:after="172" w:line="360" w:lineRule="auto"/>
        <w:ind w:left="18" w:right="3"/>
        <w:jc w:val="both"/>
        <w:rPr>
          <w:rFonts w:ascii="Arial" w:eastAsia="Arial" w:hAnsi="Arial" w:cs="Arial"/>
        </w:rPr>
      </w:pPr>
    </w:p>
    <w:p w14:paraId="0000003A" w14:textId="77777777" w:rsidR="00A8108F" w:rsidRDefault="00C841A9">
      <w:pPr>
        <w:spacing w:after="240" w:line="360" w:lineRule="auto"/>
        <w:jc w:val="both"/>
        <w:rPr>
          <w:rFonts w:ascii="Times New Roman" w:eastAsia="Times New Roman" w:hAnsi="Times New Roman" w:cs="Times New Roman"/>
          <w:sz w:val="36"/>
          <w:szCs w:val="36"/>
        </w:rPr>
      </w:pPr>
      <w:r>
        <w:rPr>
          <w:rFonts w:ascii="Times New Roman" w:eastAsia="Times New Roman" w:hAnsi="Times New Roman" w:cs="Times New Roman"/>
          <w:sz w:val="36"/>
          <w:szCs w:val="36"/>
        </w:rPr>
        <w:t>Reference list</w:t>
      </w:r>
    </w:p>
    <w:p w14:paraId="0000003B" w14:textId="77777777" w:rsidR="00A8108F" w:rsidRDefault="00C841A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Andresen, S., Bradshaw, J. and Kosher, H. (2018). Young Children’s Perceptions of their Lives and Well-Being. </w:t>
      </w:r>
      <w:r>
        <w:rPr>
          <w:rFonts w:ascii="Times New Roman" w:eastAsia="Times New Roman" w:hAnsi="Times New Roman" w:cs="Times New Roman"/>
          <w:i/>
          <w:sz w:val="24"/>
          <w:szCs w:val="24"/>
        </w:rPr>
        <w:t>Child Indicators Research</w:t>
      </w:r>
      <w:r>
        <w:rPr>
          <w:rFonts w:ascii="Times New Roman" w:eastAsia="Times New Roman" w:hAnsi="Times New Roman" w:cs="Times New Roman"/>
          <w:sz w:val="24"/>
          <w:szCs w:val="24"/>
        </w:rPr>
        <w:t>, [online] 12(1), pp.1–7. doi:10.1007/s12187-018-9551-6.</w:t>
      </w:r>
    </w:p>
    <w:p w14:paraId="0000003C" w14:textId="77777777" w:rsidR="00A8108F" w:rsidRDefault="00C841A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Carranza, M. (2020). </w:t>
      </w:r>
      <w:r>
        <w:rPr>
          <w:rFonts w:ascii="Times New Roman" w:eastAsia="Times New Roman" w:hAnsi="Times New Roman" w:cs="Times New Roman"/>
          <w:i/>
          <w:sz w:val="24"/>
          <w:szCs w:val="24"/>
        </w:rPr>
        <w:t>Key Indicators of a Child’s Well-being | Children’s Bureau</w:t>
      </w:r>
      <w:r>
        <w:rPr>
          <w:rFonts w:ascii="Times New Roman" w:eastAsia="Times New Roman" w:hAnsi="Times New Roman" w:cs="Times New Roman"/>
          <w:sz w:val="24"/>
          <w:szCs w:val="24"/>
        </w:rPr>
        <w:t>. [online] Child Abuse Prevention, Treatment &amp; Welfare Services | Children’s Bureau. Available at: https://www.all4kids.org/news/blog/key-indicators-of-a-childs-well-being/#:~:text=Child%20Wellbeing%20Definition&amp;text=This%20broad%20definition%20can%20easily [Accessed 21 Jul. 2022].</w:t>
      </w:r>
    </w:p>
    <w:p w14:paraId="0000003D" w14:textId="77777777" w:rsidR="00A8108F" w:rsidRDefault="00C841A9">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Cott</w:t>
      </w:r>
      <w:proofErr w:type="spellEnd"/>
      <w:r>
        <w:rPr>
          <w:rFonts w:ascii="Times New Roman" w:eastAsia="Times New Roman" w:hAnsi="Times New Roman" w:cs="Times New Roman"/>
          <w:sz w:val="24"/>
          <w:szCs w:val="24"/>
        </w:rPr>
        <w:t xml:space="preserve">, C. (1997). ‘We decide, you carry it out’: A social network analysis of multidisciplinary long-term care teams. </w:t>
      </w:r>
      <w:r>
        <w:rPr>
          <w:rFonts w:ascii="Times New Roman" w:eastAsia="Times New Roman" w:hAnsi="Times New Roman" w:cs="Times New Roman"/>
          <w:i/>
          <w:sz w:val="24"/>
          <w:szCs w:val="24"/>
        </w:rPr>
        <w:t>Social Science &amp; Medicine</w:t>
      </w:r>
      <w:r>
        <w:rPr>
          <w:rFonts w:ascii="Times New Roman" w:eastAsia="Times New Roman" w:hAnsi="Times New Roman" w:cs="Times New Roman"/>
          <w:sz w:val="24"/>
          <w:szCs w:val="24"/>
        </w:rPr>
        <w:t>, 45(9), pp.1411–1421. doi:10.1016/s0277-9536(97)00066-x.</w:t>
      </w:r>
    </w:p>
    <w:p w14:paraId="0000003E" w14:textId="77777777" w:rsidR="00A8108F" w:rsidRDefault="00C841A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Evans, M. (2021). </w:t>
      </w:r>
      <w:r>
        <w:rPr>
          <w:rFonts w:ascii="Times New Roman" w:eastAsia="Times New Roman" w:hAnsi="Times New Roman" w:cs="Times New Roman"/>
          <w:i/>
          <w:sz w:val="24"/>
          <w:szCs w:val="24"/>
        </w:rPr>
        <w:t>What Is the Common Assessment Framework? | Explained (2021)</w:t>
      </w:r>
      <w:r>
        <w:rPr>
          <w:rFonts w:ascii="Times New Roman" w:eastAsia="Times New Roman" w:hAnsi="Times New Roman" w:cs="Times New Roman"/>
          <w:sz w:val="24"/>
          <w:szCs w:val="24"/>
        </w:rPr>
        <w:t>. [online] Learning Ladders Education. Available at: https://www.learningladders.info/news/common-assessment-framework/.</w:t>
      </w:r>
    </w:p>
    <w:p w14:paraId="0000003F" w14:textId="77777777" w:rsidR="00A8108F" w:rsidRDefault="00C841A9">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Thomas, P.A., Liu, H. and </w:t>
      </w:r>
      <w:proofErr w:type="spellStart"/>
      <w:r>
        <w:rPr>
          <w:rFonts w:ascii="Times New Roman" w:eastAsia="Times New Roman" w:hAnsi="Times New Roman" w:cs="Times New Roman"/>
          <w:sz w:val="24"/>
          <w:szCs w:val="24"/>
        </w:rPr>
        <w:t>Umberson</w:t>
      </w:r>
      <w:proofErr w:type="spellEnd"/>
      <w:r>
        <w:rPr>
          <w:rFonts w:ascii="Times New Roman" w:eastAsia="Times New Roman" w:hAnsi="Times New Roman" w:cs="Times New Roman"/>
          <w:sz w:val="24"/>
          <w:szCs w:val="24"/>
        </w:rPr>
        <w:t xml:space="preserve">, D. (2017). Family Relationships and Well-Being. </w:t>
      </w:r>
      <w:r>
        <w:rPr>
          <w:rFonts w:ascii="Times New Roman" w:eastAsia="Times New Roman" w:hAnsi="Times New Roman" w:cs="Times New Roman"/>
          <w:i/>
          <w:sz w:val="24"/>
          <w:szCs w:val="24"/>
        </w:rPr>
        <w:t>Innovation in Aging</w:t>
      </w:r>
      <w:r>
        <w:rPr>
          <w:rFonts w:ascii="Times New Roman" w:eastAsia="Times New Roman" w:hAnsi="Times New Roman" w:cs="Times New Roman"/>
          <w:sz w:val="24"/>
          <w:szCs w:val="24"/>
        </w:rPr>
        <w:t>, [online] 1(3), pp.1–11. doi:10.1093/</w:t>
      </w:r>
      <w:proofErr w:type="spellStart"/>
      <w:r>
        <w:rPr>
          <w:rFonts w:ascii="Times New Roman" w:eastAsia="Times New Roman" w:hAnsi="Times New Roman" w:cs="Times New Roman"/>
          <w:sz w:val="24"/>
          <w:szCs w:val="24"/>
        </w:rPr>
        <w:t>geroni</w:t>
      </w:r>
      <w:proofErr w:type="spellEnd"/>
      <w:r>
        <w:rPr>
          <w:rFonts w:ascii="Times New Roman" w:eastAsia="Times New Roman" w:hAnsi="Times New Roman" w:cs="Times New Roman"/>
          <w:sz w:val="24"/>
          <w:szCs w:val="24"/>
        </w:rPr>
        <w:t>/igx025.</w:t>
      </w:r>
    </w:p>
    <w:p w14:paraId="00000040" w14:textId="77777777" w:rsidR="00A8108F" w:rsidRDefault="00A8108F">
      <w:pPr>
        <w:spacing w:after="172" w:line="360" w:lineRule="auto"/>
        <w:ind w:left="18" w:right="3"/>
        <w:jc w:val="both"/>
        <w:rPr>
          <w:rFonts w:ascii="Arial" w:eastAsia="Arial" w:hAnsi="Arial" w:cs="Arial"/>
        </w:rPr>
      </w:pPr>
    </w:p>
    <w:p w14:paraId="00000041" w14:textId="77777777" w:rsidR="00A8108F" w:rsidRDefault="00A8108F">
      <w:pPr>
        <w:spacing w:line="360" w:lineRule="auto"/>
        <w:jc w:val="both"/>
        <w:rPr>
          <w:rFonts w:ascii="Arial" w:eastAsia="Arial" w:hAnsi="Arial" w:cs="Arial"/>
        </w:rPr>
      </w:pPr>
    </w:p>
    <w:p w14:paraId="00000042" w14:textId="77777777" w:rsidR="00A8108F" w:rsidRDefault="00A8108F">
      <w:pPr>
        <w:spacing w:line="360" w:lineRule="auto"/>
        <w:jc w:val="both"/>
        <w:rPr>
          <w:rFonts w:ascii="Arial" w:eastAsia="Arial" w:hAnsi="Arial" w:cs="Arial"/>
          <w:b/>
        </w:rPr>
      </w:pPr>
    </w:p>
    <w:sectPr w:rsidR="00A8108F">
      <w:headerReference w:type="default" r:id="rId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37853" w14:textId="77777777" w:rsidR="00AF58F3" w:rsidRDefault="00C841A9">
      <w:pPr>
        <w:spacing w:after="0" w:line="240" w:lineRule="auto"/>
      </w:pPr>
      <w:r>
        <w:separator/>
      </w:r>
    </w:p>
  </w:endnote>
  <w:endnote w:type="continuationSeparator" w:id="0">
    <w:p w14:paraId="7F281AA5" w14:textId="77777777" w:rsidR="00AF58F3" w:rsidRDefault="00C84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2CAB1F" w14:textId="77777777" w:rsidR="00AF58F3" w:rsidRDefault="00C841A9">
      <w:pPr>
        <w:spacing w:after="0" w:line="240" w:lineRule="auto"/>
      </w:pPr>
      <w:r>
        <w:separator/>
      </w:r>
    </w:p>
  </w:footnote>
  <w:footnote w:type="continuationSeparator" w:id="0">
    <w:p w14:paraId="41CD08DF" w14:textId="77777777" w:rsidR="00AF58F3" w:rsidRDefault="00C841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3" w14:textId="2AA4EF7F" w:rsidR="00A8108F" w:rsidRDefault="00C841A9">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00000044" w14:textId="77777777" w:rsidR="00A8108F" w:rsidRDefault="00A8108F">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08F"/>
    <w:rsid w:val="00997D39"/>
    <w:rsid w:val="00A8108F"/>
    <w:rsid w:val="00AF58F3"/>
    <w:rsid w:val="00C841A9"/>
    <w:rsid w:val="00D60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B8AC0"/>
  <w15:docId w15:val="{7616A0CE-61FE-DB49-B829-E96ABB492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2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next w:val="Normal"/>
    <w:link w:val="Heading2Char"/>
    <w:uiPriority w:val="9"/>
    <w:semiHidden/>
    <w:unhideWhenUsed/>
    <w:qFormat/>
    <w:rsid w:val="00B34E4B"/>
    <w:pPr>
      <w:keepNext/>
      <w:keepLines/>
      <w:spacing w:after="65" w:line="256" w:lineRule="auto"/>
      <w:ind w:left="33" w:hanging="10"/>
      <w:outlineLvl w:val="1"/>
    </w:pPr>
    <w:rPr>
      <w:rFonts w:ascii="Arial" w:eastAsia="Arial" w:hAnsi="Arial" w:cs="Arial"/>
      <w:b/>
      <w:color w:val="FF8507"/>
      <w:sz w:val="34"/>
      <w:lang w:val="en-GB" w:eastAsia="zh-CN"/>
    </w:rPr>
  </w:style>
  <w:style w:type="paragraph" w:styleId="Heading3">
    <w:name w:val="heading 3"/>
    <w:next w:val="Normal"/>
    <w:link w:val="Heading3Char"/>
    <w:uiPriority w:val="9"/>
    <w:semiHidden/>
    <w:unhideWhenUsed/>
    <w:qFormat/>
    <w:rsid w:val="00B34E4B"/>
    <w:pPr>
      <w:keepNext/>
      <w:keepLines/>
      <w:spacing w:after="50" w:line="256" w:lineRule="auto"/>
      <w:ind w:left="16" w:hanging="10"/>
      <w:outlineLvl w:val="2"/>
    </w:pPr>
    <w:rPr>
      <w:rFonts w:ascii="Arial" w:eastAsia="Arial" w:hAnsi="Arial" w:cs="Arial"/>
      <w:b/>
      <w:color w:val="FF8507"/>
      <w:sz w:val="26"/>
      <w:lang w:val="en-GB" w:eastAsia="zh-CN"/>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2Char">
    <w:name w:val="Heading 2 Char"/>
    <w:basedOn w:val="DefaultParagraphFont"/>
    <w:link w:val="Heading2"/>
    <w:uiPriority w:val="9"/>
    <w:semiHidden/>
    <w:rsid w:val="00B34E4B"/>
    <w:rPr>
      <w:rFonts w:ascii="Arial" w:eastAsia="Arial" w:hAnsi="Arial" w:cs="Arial"/>
      <w:b/>
      <w:color w:val="FF8507"/>
      <w:sz w:val="34"/>
      <w:lang w:val="en-GB" w:eastAsia="zh-CN"/>
    </w:rPr>
  </w:style>
  <w:style w:type="character" w:customStyle="1" w:styleId="Heading3Char">
    <w:name w:val="Heading 3 Char"/>
    <w:basedOn w:val="DefaultParagraphFont"/>
    <w:link w:val="Heading3"/>
    <w:uiPriority w:val="9"/>
    <w:semiHidden/>
    <w:rsid w:val="00B34E4B"/>
    <w:rPr>
      <w:rFonts w:ascii="Arial" w:eastAsia="Arial" w:hAnsi="Arial" w:cs="Arial"/>
      <w:b/>
      <w:color w:val="FF8507"/>
      <w:sz w:val="26"/>
      <w:lang w:val="en-GB" w:eastAsia="zh-CN"/>
    </w:rPr>
  </w:style>
  <w:style w:type="paragraph" w:styleId="ListParagraph">
    <w:name w:val="List Paragraph"/>
    <w:basedOn w:val="Normal"/>
    <w:uiPriority w:val="34"/>
    <w:qFormat/>
    <w:rsid w:val="007F3D18"/>
    <w:pPr>
      <w:ind w:left="720"/>
      <w:contextualSpacing/>
    </w:pPr>
  </w:style>
  <w:style w:type="paragraph" w:styleId="NormalWeb">
    <w:name w:val="Normal (Web)"/>
    <w:basedOn w:val="Normal"/>
    <w:uiPriority w:val="99"/>
    <w:semiHidden/>
    <w:unhideWhenUsed/>
    <w:rsid w:val="005547A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fb">
    <w:name w:val="ffb"/>
    <w:basedOn w:val="DefaultParagraphFont"/>
    <w:rsid w:val="005268E1"/>
  </w:style>
  <w:style w:type="paragraph" w:styleId="Header">
    <w:name w:val="header"/>
    <w:basedOn w:val="Normal"/>
    <w:link w:val="HeaderChar"/>
    <w:uiPriority w:val="99"/>
    <w:unhideWhenUsed/>
    <w:rsid w:val="00733D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3D57"/>
  </w:style>
  <w:style w:type="paragraph" w:styleId="Footer">
    <w:name w:val="footer"/>
    <w:basedOn w:val="Normal"/>
    <w:link w:val="FooterChar"/>
    <w:uiPriority w:val="99"/>
    <w:unhideWhenUsed/>
    <w:rsid w:val="00733D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3D57"/>
  </w:style>
  <w:style w:type="character" w:customStyle="1" w:styleId="Heading1Char">
    <w:name w:val="Heading 1 Char"/>
    <w:basedOn w:val="DefaultParagraphFont"/>
    <w:link w:val="Heading1"/>
    <w:uiPriority w:val="9"/>
    <w:rsid w:val="005062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6D7C"/>
    <w:pPr>
      <w:outlineLvl w:val="9"/>
    </w:pPr>
  </w:style>
  <w:style w:type="paragraph" w:styleId="TOC1">
    <w:name w:val="toc 1"/>
    <w:basedOn w:val="Normal"/>
    <w:next w:val="Normal"/>
    <w:autoRedefine/>
    <w:uiPriority w:val="39"/>
    <w:unhideWhenUsed/>
    <w:rsid w:val="004D6D7C"/>
    <w:pPr>
      <w:spacing w:after="100"/>
    </w:pPr>
  </w:style>
  <w:style w:type="character" w:styleId="Hyperlink">
    <w:name w:val="Hyperlink"/>
    <w:basedOn w:val="DefaultParagraphFont"/>
    <w:uiPriority w:val="99"/>
    <w:unhideWhenUsed/>
    <w:rsid w:val="004D6D7C"/>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znZABOADV/is60U5QI2HBvjDjKw==">AMUW2mVxjRHw61jr3GXaRkDgPg74n8ABTqowL4F3QMVI9eWvI2BmROf4BXtxRWdlIXkpfAOyoUQgGSMIx3D/qoQM+PJqC8FXoVxjE86ss3R2kpq+aZmJ8nUhkNnwcX3LZPOmILlq68VOdBjCW0agCsS7/0XOhg6he9I/rA8K54k/hDuLaLAXvAehnvbi3uyVp4Ouc8AvtXj/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1212</Words>
  <Characters>6913</Characters>
  <Application>Microsoft Office Word</Application>
  <DocSecurity>0</DocSecurity>
  <Lines>57</Lines>
  <Paragraphs>16</Paragraphs>
  <ScaleCrop>false</ScaleCrop>
  <Company/>
  <LinksUpToDate>false</LinksUpToDate>
  <CharactersWithSpaces>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Hareem Rashid</dc:creator>
  <cp:lastModifiedBy>Malika Ali (2026355)</cp:lastModifiedBy>
  <cp:revision>2</cp:revision>
  <dcterms:created xsi:type="dcterms:W3CDTF">2022-08-09T09:06:00Z</dcterms:created>
  <dcterms:modified xsi:type="dcterms:W3CDTF">2022-08-09T09:06:00Z</dcterms:modified>
</cp:coreProperties>
</file>