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A98" w:rsidRPr="00DA7559" w:rsidRDefault="00FF2A98">
      <w:pPr>
        <w:pStyle w:val="normal0"/>
        <w:jc w:val="center"/>
        <w:rPr>
          <w:b/>
          <w:color w:val="000000" w:themeColor="text1"/>
          <w:sz w:val="32"/>
          <w:szCs w:val="32"/>
          <w:lang w:val="en-GB"/>
        </w:rPr>
      </w:pPr>
    </w:p>
    <w:p w:rsidR="00330055" w:rsidRPr="00DA7559" w:rsidRDefault="00330055">
      <w:pPr>
        <w:pStyle w:val="normal0"/>
        <w:jc w:val="center"/>
        <w:rPr>
          <w:b/>
          <w:color w:val="000000" w:themeColor="text1"/>
          <w:sz w:val="32"/>
          <w:szCs w:val="32"/>
          <w:lang w:val="en-GB"/>
        </w:rPr>
      </w:pPr>
    </w:p>
    <w:p w:rsidR="00330055" w:rsidRPr="00DA7559" w:rsidRDefault="00330055">
      <w:pPr>
        <w:pStyle w:val="normal0"/>
        <w:jc w:val="center"/>
        <w:rPr>
          <w:b/>
          <w:color w:val="000000" w:themeColor="text1"/>
          <w:sz w:val="32"/>
          <w:szCs w:val="32"/>
          <w:lang w:val="en-GB"/>
        </w:rPr>
      </w:pPr>
    </w:p>
    <w:p w:rsidR="00330055" w:rsidRPr="00DA7559" w:rsidRDefault="00330055">
      <w:pPr>
        <w:pStyle w:val="normal0"/>
        <w:jc w:val="center"/>
        <w:rPr>
          <w:b/>
          <w:color w:val="000000" w:themeColor="text1"/>
          <w:sz w:val="32"/>
          <w:szCs w:val="32"/>
          <w:lang w:val="en-GB"/>
        </w:rPr>
      </w:pPr>
    </w:p>
    <w:p w:rsidR="00FF2A98" w:rsidRPr="00DA7559" w:rsidRDefault="00FF2A98">
      <w:pPr>
        <w:pStyle w:val="normal0"/>
        <w:jc w:val="center"/>
        <w:rPr>
          <w:b/>
          <w:color w:val="000000" w:themeColor="text1"/>
          <w:sz w:val="32"/>
          <w:szCs w:val="32"/>
          <w:lang w:val="en-GB"/>
        </w:rPr>
      </w:pPr>
    </w:p>
    <w:p w:rsidR="00FF2A98" w:rsidRPr="00DA7559" w:rsidRDefault="00FF2A98">
      <w:pPr>
        <w:pStyle w:val="normal0"/>
        <w:jc w:val="center"/>
        <w:rPr>
          <w:b/>
          <w:color w:val="000000" w:themeColor="text1"/>
          <w:sz w:val="32"/>
          <w:szCs w:val="32"/>
          <w:lang w:val="en-GB"/>
        </w:rPr>
      </w:pPr>
    </w:p>
    <w:p w:rsidR="00FF2A98" w:rsidRPr="00DA7559" w:rsidRDefault="00BD65BB">
      <w:pPr>
        <w:pStyle w:val="normal0"/>
        <w:jc w:val="center"/>
        <w:rPr>
          <w:b/>
          <w:color w:val="000000" w:themeColor="text1"/>
          <w:sz w:val="32"/>
          <w:szCs w:val="32"/>
          <w:lang w:val="en-GB"/>
        </w:rPr>
      </w:pPr>
      <w:r w:rsidRPr="00DA7559">
        <w:rPr>
          <w:b/>
          <w:color w:val="000000" w:themeColor="text1"/>
          <w:sz w:val="32"/>
          <w:szCs w:val="32"/>
          <w:lang w:val="en-GB"/>
        </w:rPr>
        <w:t>ACCOUNTING FUNDAMENTALS</w:t>
      </w:r>
      <w:r w:rsidRPr="00DA7559">
        <w:rPr>
          <w:color w:val="000000" w:themeColor="text1"/>
          <w:lang w:val="en-GB"/>
        </w:rPr>
        <w:br w:type="page"/>
      </w:r>
    </w:p>
    <w:p w:rsidR="00FF2A98" w:rsidRPr="00DA7559" w:rsidRDefault="00BD65BB">
      <w:pPr>
        <w:pStyle w:val="normal0"/>
        <w:jc w:val="center"/>
        <w:rPr>
          <w:b/>
          <w:color w:val="000000" w:themeColor="text1"/>
          <w:lang w:val="en-GB"/>
        </w:rPr>
      </w:pPr>
      <w:r w:rsidRPr="00DA7559">
        <w:rPr>
          <w:b/>
          <w:color w:val="000000" w:themeColor="text1"/>
          <w:lang w:val="en-GB"/>
        </w:rPr>
        <w:lastRenderedPageBreak/>
        <w:t>Table of Contents</w:t>
      </w:r>
    </w:p>
    <w:p w:rsidR="00FA6669" w:rsidRDefault="00E310C7">
      <w:pPr>
        <w:pStyle w:val="TOC1"/>
        <w:tabs>
          <w:tab w:val="right" w:leader="dot" w:pos="9019"/>
        </w:tabs>
        <w:rPr>
          <w:rFonts w:asciiTheme="minorHAnsi" w:eastAsiaTheme="minorEastAsia" w:hAnsiTheme="minorHAnsi" w:cstheme="minorBidi"/>
          <w:noProof/>
          <w:sz w:val="22"/>
          <w:szCs w:val="22"/>
        </w:rPr>
      </w:pPr>
      <w:r w:rsidRPr="00DA7559">
        <w:rPr>
          <w:color w:val="000000" w:themeColor="text1"/>
          <w:lang w:val="en-GB"/>
        </w:rPr>
        <w:fldChar w:fldCharType="begin"/>
      </w:r>
      <w:r w:rsidR="006D2ABD" w:rsidRPr="00DA7559">
        <w:rPr>
          <w:color w:val="000000" w:themeColor="text1"/>
          <w:lang w:val="en-GB"/>
        </w:rPr>
        <w:instrText xml:space="preserve"> TOC \o "1-3" \h \z \u </w:instrText>
      </w:r>
      <w:r w:rsidRPr="00DA7559">
        <w:rPr>
          <w:color w:val="000000" w:themeColor="text1"/>
          <w:lang w:val="en-GB"/>
        </w:rPr>
        <w:fldChar w:fldCharType="separate"/>
      </w:r>
      <w:hyperlink w:anchor="_Toc112259803" w:history="1">
        <w:r w:rsidR="00FA6669" w:rsidRPr="008F38E0">
          <w:rPr>
            <w:rStyle w:val="Hyperlink"/>
            <w:noProof/>
          </w:rPr>
          <w:t>Introduction</w:t>
        </w:r>
        <w:r w:rsidR="00FA6669">
          <w:rPr>
            <w:noProof/>
            <w:webHidden/>
          </w:rPr>
          <w:tab/>
        </w:r>
        <w:r w:rsidR="00FA6669">
          <w:rPr>
            <w:noProof/>
            <w:webHidden/>
          </w:rPr>
          <w:fldChar w:fldCharType="begin"/>
        </w:r>
        <w:r w:rsidR="00FA6669">
          <w:rPr>
            <w:noProof/>
            <w:webHidden/>
          </w:rPr>
          <w:instrText xml:space="preserve"> PAGEREF _Toc112259803 \h </w:instrText>
        </w:r>
        <w:r w:rsidR="00FA6669">
          <w:rPr>
            <w:noProof/>
            <w:webHidden/>
          </w:rPr>
        </w:r>
        <w:r w:rsidR="00FA6669">
          <w:rPr>
            <w:noProof/>
            <w:webHidden/>
          </w:rPr>
          <w:fldChar w:fldCharType="separate"/>
        </w:r>
        <w:r w:rsidR="00FA6669">
          <w:rPr>
            <w:noProof/>
            <w:webHidden/>
          </w:rPr>
          <w:t>2</w:t>
        </w:r>
        <w:r w:rsidR="00FA6669">
          <w:rPr>
            <w:noProof/>
            <w:webHidden/>
          </w:rPr>
          <w:fldChar w:fldCharType="end"/>
        </w:r>
      </w:hyperlink>
    </w:p>
    <w:p w:rsidR="00FA6669" w:rsidRDefault="00FA6669">
      <w:pPr>
        <w:pStyle w:val="TOC1"/>
        <w:tabs>
          <w:tab w:val="right" w:leader="dot" w:pos="9019"/>
        </w:tabs>
        <w:rPr>
          <w:rFonts w:asciiTheme="minorHAnsi" w:eastAsiaTheme="minorEastAsia" w:hAnsiTheme="minorHAnsi" w:cstheme="minorBidi"/>
          <w:noProof/>
          <w:sz w:val="22"/>
          <w:szCs w:val="22"/>
        </w:rPr>
      </w:pPr>
      <w:hyperlink w:anchor="_Toc112259804" w:history="1">
        <w:r w:rsidRPr="008F38E0">
          <w:rPr>
            <w:rStyle w:val="Hyperlink"/>
            <w:noProof/>
          </w:rPr>
          <w:t>Question 1</w:t>
        </w:r>
        <w:r>
          <w:rPr>
            <w:noProof/>
            <w:webHidden/>
          </w:rPr>
          <w:tab/>
        </w:r>
        <w:r>
          <w:rPr>
            <w:noProof/>
            <w:webHidden/>
          </w:rPr>
          <w:fldChar w:fldCharType="begin"/>
        </w:r>
        <w:r>
          <w:rPr>
            <w:noProof/>
            <w:webHidden/>
          </w:rPr>
          <w:instrText xml:space="preserve"> PAGEREF _Toc112259804 \h </w:instrText>
        </w:r>
        <w:r>
          <w:rPr>
            <w:noProof/>
            <w:webHidden/>
          </w:rPr>
        </w:r>
        <w:r>
          <w:rPr>
            <w:noProof/>
            <w:webHidden/>
          </w:rPr>
          <w:fldChar w:fldCharType="separate"/>
        </w:r>
        <w:r>
          <w:rPr>
            <w:noProof/>
            <w:webHidden/>
          </w:rPr>
          <w:t>2</w:t>
        </w:r>
        <w:r>
          <w:rPr>
            <w:noProof/>
            <w:webHidden/>
          </w:rPr>
          <w:fldChar w:fldCharType="end"/>
        </w:r>
      </w:hyperlink>
    </w:p>
    <w:p w:rsidR="00FA6669" w:rsidRDefault="00FA6669">
      <w:pPr>
        <w:pStyle w:val="TOC1"/>
        <w:tabs>
          <w:tab w:val="right" w:leader="dot" w:pos="9019"/>
        </w:tabs>
        <w:rPr>
          <w:rFonts w:asciiTheme="minorHAnsi" w:eastAsiaTheme="minorEastAsia" w:hAnsiTheme="minorHAnsi" w:cstheme="minorBidi"/>
          <w:noProof/>
          <w:sz w:val="22"/>
          <w:szCs w:val="22"/>
        </w:rPr>
      </w:pPr>
      <w:hyperlink w:anchor="_Toc112259805" w:history="1">
        <w:r w:rsidRPr="008F38E0">
          <w:rPr>
            <w:rStyle w:val="Hyperlink"/>
            <w:noProof/>
          </w:rPr>
          <w:t>a) Financial Statements: Income Statement and Balance Sheet</w:t>
        </w:r>
        <w:r>
          <w:rPr>
            <w:noProof/>
            <w:webHidden/>
          </w:rPr>
          <w:tab/>
        </w:r>
        <w:r>
          <w:rPr>
            <w:noProof/>
            <w:webHidden/>
          </w:rPr>
          <w:fldChar w:fldCharType="begin"/>
        </w:r>
        <w:r>
          <w:rPr>
            <w:noProof/>
            <w:webHidden/>
          </w:rPr>
          <w:instrText xml:space="preserve"> PAGEREF _Toc112259805 \h </w:instrText>
        </w:r>
        <w:r>
          <w:rPr>
            <w:noProof/>
            <w:webHidden/>
          </w:rPr>
        </w:r>
        <w:r>
          <w:rPr>
            <w:noProof/>
            <w:webHidden/>
          </w:rPr>
          <w:fldChar w:fldCharType="separate"/>
        </w:r>
        <w:r>
          <w:rPr>
            <w:noProof/>
            <w:webHidden/>
          </w:rPr>
          <w:t>2</w:t>
        </w:r>
        <w:r>
          <w:rPr>
            <w:noProof/>
            <w:webHidden/>
          </w:rPr>
          <w:fldChar w:fldCharType="end"/>
        </w:r>
      </w:hyperlink>
    </w:p>
    <w:p w:rsidR="00FA6669" w:rsidRDefault="00FA6669">
      <w:pPr>
        <w:pStyle w:val="TOC1"/>
        <w:tabs>
          <w:tab w:val="right" w:leader="dot" w:pos="9019"/>
        </w:tabs>
        <w:rPr>
          <w:rFonts w:asciiTheme="minorHAnsi" w:eastAsiaTheme="minorEastAsia" w:hAnsiTheme="minorHAnsi" w:cstheme="minorBidi"/>
          <w:noProof/>
          <w:sz w:val="22"/>
          <w:szCs w:val="22"/>
        </w:rPr>
      </w:pPr>
      <w:hyperlink w:anchor="_Toc112259806" w:history="1">
        <w:r w:rsidRPr="008F38E0">
          <w:rPr>
            <w:rStyle w:val="Hyperlink"/>
            <w:noProof/>
          </w:rPr>
          <w:t>b) Reason for balancing the statement of financial position</w:t>
        </w:r>
        <w:r>
          <w:rPr>
            <w:noProof/>
            <w:webHidden/>
          </w:rPr>
          <w:tab/>
        </w:r>
        <w:r>
          <w:rPr>
            <w:noProof/>
            <w:webHidden/>
          </w:rPr>
          <w:fldChar w:fldCharType="begin"/>
        </w:r>
        <w:r>
          <w:rPr>
            <w:noProof/>
            <w:webHidden/>
          </w:rPr>
          <w:instrText xml:space="preserve"> PAGEREF _Toc112259806 \h </w:instrText>
        </w:r>
        <w:r>
          <w:rPr>
            <w:noProof/>
            <w:webHidden/>
          </w:rPr>
        </w:r>
        <w:r>
          <w:rPr>
            <w:noProof/>
            <w:webHidden/>
          </w:rPr>
          <w:fldChar w:fldCharType="separate"/>
        </w:r>
        <w:r>
          <w:rPr>
            <w:noProof/>
            <w:webHidden/>
          </w:rPr>
          <w:t>7</w:t>
        </w:r>
        <w:r>
          <w:rPr>
            <w:noProof/>
            <w:webHidden/>
          </w:rPr>
          <w:fldChar w:fldCharType="end"/>
        </w:r>
      </w:hyperlink>
    </w:p>
    <w:p w:rsidR="00FA6669" w:rsidRDefault="00FA6669">
      <w:pPr>
        <w:pStyle w:val="TOC1"/>
        <w:tabs>
          <w:tab w:val="right" w:leader="dot" w:pos="9019"/>
        </w:tabs>
        <w:rPr>
          <w:rFonts w:asciiTheme="minorHAnsi" w:eastAsiaTheme="minorEastAsia" w:hAnsiTheme="minorHAnsi" w:cstheme="minorBidi"/>
          <w:noProof/>
          <w:sz w:val="22"/>
          <w:szCs w:val="22"/>
        </w:rPr>
      </w:pPr>
      <w:hyperlink w:anchor="_Toc112259807" w:history="1">
        <w:r w:rsidRPr="008F38E0">
          <w:rPr>
            <w:rStyle w:val="Hyperlink"/>
            <w:noProof/>
          </w:rPr>
          <w:t>Question 2</w:t>
        </w:r>
        <w:r>
          <w:rPr>
            <w:noProof/>
            <w:webHidden/>
          </w:rPr>
          <w:tab/>
        </w:r>
        <w:r>
          <w:rPr>
            <w:noProof/>
            <w:webHidden/>
          </w:rPr>
          <w:fldChar w:fldCharType="begin"/>
        </w:r>
        <w:r>
          <w:rPr>
            <w:noProof/>
            <w:webHidden/>
          </w:rPr>
          <w:instrText xml:space="preserve"> PAGEREF _Toc112259807 \h </w:instrText>
        </w:r>
        <w:r>
          <w:rPr>
            <w:noProof/>
            <w:webHidden/>
          </w:rPr>
        </w:r>
        <w:r>
          <w:rPr>
            <w:noProof/>
            <w:webHidden/>
          </w:rPr>
          <w:fldChar w:fldCharType="separate"/>
        </w:r>
        <w:r>
          <w:rPr>
            <w:noProof/>
            <w:webHidden/>
          </w:rPr>
          <w:t>7</w:t>
        </w:r>
        <w:r>
          <w:rPr>
            <w:noProof/>
            <w:webHidden/>
          </w:rPr>
          <w:fldChar w:fldCharType="end"/>
        </w:r>
      </w:hyperlink>
    </w:p>
    <w:p w:rsidR="00FA6669" w:rsidRDefault="00FA6669">
      <w:pPr>
        <w:pStyle w:val="TOC1"/>
        <w:tabs>
          <w:tab w:val="right" w:leader="dot" w:pos="9019"/>
        </w:tabs>
        <w:rPr>
          <w:rFonts w:asciiTheme="minorHAnsi" w:eastAsiaTheme="minorEastAsia" w:hAnsiTheme="minorHAnsi" w:cstheme="minorBidi"/>
          <w:noProof/>
          <w:sz w:val="22"/>
          <w:szCs w:val="22"/>
        </w:rPr>
      </w:pPr>
      <w:hyperlink w:anchor="_Toc112259808" w:history="1">
        <w:r w:rsidRPr="008F38E0">
          <w:rPr>
            <w:rStyle w:val="Hyperlink"/>
            <w:noProof/>
          </w:rPr>
          <w:t>a) Computing financial ratios of Sweets Plc</w:t>
        </w:r>
        <w:r>
          <w:rPr>
            <w:noProof/>
            <w:webHidden/>
          </w:rPr>
          <w:tab/>
        </w:r>
        <w:r>
          <w:rPr>
            <w:noProof/>
            <w:webHidden/>
          </w:rPr>
          <w:fldChar w:fldCharType="begin"/>
        </w:r>
        <w:r>
          <w:rPr>
            <w:noProof/>
            <w:webHidden/>
          </w:rPr>
          <w:instrText xml:space="preserve"> PAGEREF _Toc112259808 \h </w:instrText>
        </w:r>
        <w:r>
          <w:rPr>
            <w:noProof/>
            <w:webHidden/>
          </w:rPr>
        </w:r>
        <w:r>
          <w:rPr>
            <w:noProof/>
            <w:webHidden/>
          </w:rPr>
          <w:fldChar w:fldCharType="separate"/>
        </w:r>
        <w:r>
          <w:rPr>
            <w:noProof/>
            <w:webHidden/>
          </w:rPr>
          <w:t>7</w:t>
        </w:r>
        <w:r>
          <w:rPr>
            <w:noProof/>
            <w:webHidden/>
          </w:rPr>
          <w:fldChar w:fldCharType="end"/>
        </w:r>
      </w:hyperlink>
    </w:p>
    <w:p w:rsidR="00FA6669" w:rsidRDefault="00FA6669">
      <w:pPr>
        <w:pStyle w:val="TOC1"/>
        <w:tabs>
          <w:tab w:val="right" w:leader="dot" w:pos="9019"/>
        </w:tabs>
        <w:rPr>
          <w:rFonts w:asciiTheme="minorHAnsi" w:eastAsiaTheme="minorEastAsia" w:hAnsiTheme="minorHAnsi" w:cstheme="minorBidi"/>
          <w:noProof/>
          <w:sz w:val="22"/>
          <w:szCs w:val="22"/>
        </w:rPr>
      </w:pPr>
      <w:hyperlink w:anchor="_Toc112259809" w:history="1">
        <w:r w:rsidRPr="008F38E0">
          <w:rPr>
            <w:rStyle w:val="Hyperlink"/>
            <w:noProof/>
          </w:rPr>
          <w:t>b) Justification of financial performance and position</w:t>
        </w:r>
        <w:r>
          <w:rPr>
            <w:noProof/>
            <w:webHidden/>
          </w:rPr>
          <w:tab/>
        </w:r>
        <w:r>
          <w:rPr>
            <w:noProof/>
            <w:webHidden/>
          </w:rPr>
          <w:fldChar w:fldCharType="begin"/>
        </w:r>
        <w:r>
          <w:rPr>
            <w:noProof/>
            <w:webHidden/>
          </w:rPr>
          <w:instrText xml:space="preserve"> PAGEREF _Toc112259809 \h </w:instrText>
        </w:r>
        <w:r>
          <w:rPr>
            <w:noProof/>
            <w:webHidden/>
          </w:rPr>
        </w:r>
        <w:r>
          <w:rPr>
            <w:noProof/>
            <w:webHidden/>
          </w:rPr>
          <w:fldChar w:fldCharType="separate"/>
        </w:r>
        <w:r>
          <w:rPr>
            <w:noProof/>
            <w:webHidden/>
          </w:rPr>
          <w:t>12</w:t>
        </w:r>
        <w:r>
          <w:rPr>
            <w:noProof/>
            <w:webHidden/>
          </w:rPr>
          <w:fldChar w:fldCharType="end"/>
        </w:r>
      </w:hyperlink>
    </w:p>
    <w:p w:rsidR="00FA6669" w:rsidRDefault="00FA6669">
      <w:pPr>
        <w:pStyle w:val="TOC1"/>
        <w:tabs>
          <w:tab w:val="right" w:leader="dot" w:pos="9019"/>
        </w:tabs>
        <w:rPr>
          <w:rFonts w:asciiTheme="minorHAnsi" w:eastAsiaTheme="minorEastAsia" w:hAnsiTheme="minorHAnsi" w:cstheme="minorBidi"/>
          <w:noProof/>
          <w:sz w:val="22"/>
          <w:szCs w:val="22"/>
        </w:rPr>
      </w:pPr>
      <w:hyperlink w:anchor="_Toc112259810" w:history="1">
        <w:r w:rsidRPr="008F38E0">
          <w:rPr>
            <w:rStyle w:val="Hyperlink"/>
            <w:noProof/>
          </w:rPr>
          <w:t>Conclusion</w:t>
        </w:r>
        <w:r>
          <w:rPr>
            <w:noProof/>
            <w:webHidden/>
          </w:rPr>
          <w:tab/>
        </w:r>
        <w:r>
          <w:rPr>
            <w:noProof/>
            <w:webHidden/>
          </w:rPr>
          <w:fldChar w:fldCharType="begin"/>
        </w:r>
        <w:r>
          <w:rPr>
            <w:noProof/>
            <w:webHidden/>
          </w:rPr>
          <w:instrText xml:space="preserve"> PAGEREF _Toc112259810 \h </w:instrText>
        </w:r>
        <w:r>
          <w:rPr>
            <w:noProof/>
            <w:webHidden/>
          </w:rPr>
        </w:r>
        <w:r>
          <w:rPr>
            <w:noProof/>
            <w:webHidden/>
          </w:rPr>
          <w:fldChar w:fldCharType="separate"/>
        </w:r>
        <w:r>
          <w:rPr>
            <w:noProof/>
            <w:webHidden/>
          </w:rPr>
          <w:t>12</w:t>
        </w:r>
        <w:r>
          <w:rPr>
            <w:noProof/>
            <w:webHidden/>
          </w:rPr>
          <w:fldChar w:fldCharType="end"/>
        </w:r>
      </w:hyperlink>
    </w:p>
    <w:p w:rsidR="00FA6669" w:rsidRDefault="00FA6669">
      <w:pPr>
        <w:pStyle w:val="TOC1"/>
        <w:tabs>
          <w:tab w:val="right" w:leader="dot" w:pos="9019"/>
        </w:tabs>
        <w:rPr>
          <w:rFonts w:asciiTheme="minorHAnsi" w:eastAsiaTheme="minorEastAsia" w:hAnsiTheme="minorHAnsi" w:cstheme="minorBidi"/>
          <w:noProof/>
          <w:sz w:val="22"/>
          <w:szCs w:val="22"/>
        </w:rPr>
      </w:pPr>
      <w:hyperlink w:anchor="_Toc112259811" w:history="1">
        <w:r w:rsidRPr="008F38E0">
          <w:rPr>
            <w:rStyle w:val="Hyperlink"/>
            <w:noProof/>
          </w:rPr>
          <w:t>Reference List</w:t>
        </w:r>
        <w:r>
          <w:rPr>
            <w:noProof/>
            <w:webHidden/>
          </w:rPr>
          <w:tab/>
        </w:r>
        <w:r>
          <w:rPr>
            <w:noProof/>
            <w:webHidden/>
          </w:rPr>
          <w:fldChar w:fldCharType="begin"/>
        </w:r>
        <w:r>
          <w:rPr>
            <w:noProof/>
            <w:webHidden/>
          </w:rPr>
          <w:instrText xml:space="preserve"> PAGEREF _Toc112259811 \h </w:instrText>
        </w:r>
        <w:r>
          <w:rPr>
            <w:noProof/>
            <w:webHidden/>
          </w:rPr>
        </w:r>
        <w:r>
          <w:rPr>
            <w:noProof/>
            <w:webHidden/>
          </w:rPr>
          <w:fldChar w:fldCharType="separate"/>
        </w:r>
        <w:r>
          <w:rPr>
            <w:noProof/>
            <w:webHidden/>
          </w:rPr>
          <w:t>13</w:t>
        </w:r>
        <w:r>
          <w:rPr>
            <w:noProof/>
            <w:webHidden/>
          </w:rPr>
          <w:fldChar w:fldCharType="end"/>
        </w:r>
      </w:hyperlink>
    </w:p>
    <w:p w:rsidR="00FF2A98" w:rsidRPr="00DA7559" w:rsidRDefault="00E310C7">
      <w:pPr>
        <w:pStyle w:val="normal0"/>
        <w:jc w:val="center"/>
        <w:rPr>
          <w:b/>
          <w:color w:val="000000" w:themeColor="text1"/>
          <w:lang w:val="en-GB"/>
        </w:rPr>
      </w:pPr>
      <w:r w:rsidRPr="00DA7559">
        <w:rPr>
          <w:color w:val="000000" w:themeColor="text1"/>
          <w:lang w:val="en-GB"/>
        </w:rPr>
        <w:fldChar w:fldCharType="end"/>
      </w:r>
      <w:r w:rsidR="00BD65BB" w:rsidRPr="00DA7559">
        <w:rPr>
          <w:color w:val="000000" w:themeColor="text1"/>
          <w:lang w:val="en-GB"/>
        </w:rPr>
        <w:br w:type="page"/>
      </w:r>
    </w:p>
    <w:p w:rsidR="00FF2A98" w:rsidRPr="00DA7559" w:rsidRDefault="00BD65BB" w:rsidP="00FA6669">
      <w:pPr>
        <w:pStyle w:val="Heading1"/>
      </w:pPr>
      <w:bookmarkStart w:id="0" w:name="_gq83foqy5r40" w:colFirst="0" w:colLast="0"/>
      <w:bookmarkStart w:id="1" w:name="_Toc112259803"/>
      <w:bookmarkEnd w:id="0"/>
      <w:r w:rsidRPr="00DA7559">
        <w:lastRenderedPageBreak/>
        <w:t>Introduction</w:t>
      </w:r>
      <w:bookmarkEnd w:id="1"/>
    </w:p>
    <w:p w:rsidR="00FF2A98" w:rsidRPr="00DA7559" w:rsidRDefault="00BD65BB">
      <w:pPr>
        <w:pStyle w:val="normal0"/>
        <w:rPr>
          <w:color w:val="000000" w:themeColor="text1"/>
          <w:lang w:val="en-GB"/>
        </w:rPr>
      </w:pPr>
      <w:r w:rsidRPr="00DA7559">
        <w:rPr>
          <w:color w:val="000000" w:themeColor="text1"/>
          <w:lang w:val="en-GB"/>
        </w:rPr>
        <w:t xml:space="preserve">Financial management plays a vital role for companies. It involves substantial amounts of calculation for understanding financial performances of a company. Income statement and balance sheet are calculated for this purpose. As opined by Ameen </w:t>
      </w:r>
      <w:r w:rsidRPr="00DA7559">
        <w:rPr>
          <w:i/>
          <w:color w:val="000000" w:themeColor="text1"/>
          <w:lang w:val="en-GB"/>
        </w:rPr>
        <w:t>et al.</w:t>
      </w:r>
      <w:r w:rsidRPr="00DA7559">
        <w:rPr>
          <w:color w:val="000000" w:themeColor="text1"/>
          <w:lang w:val="en-GB"/>
        </w:rPr>
        <w:t xml:space="preserve"> (2018), computing such values also helps the management to decide their scope of decision making for that organisation. Similarly, ratios of different financial perspectives are calculated to report their scope of growth during any period. In this case, both Wales Plc and Sweets Plc are examined to report their existing financial balances. Adequate justification for balancing financial statements are also mentioned in this instance.</w:t>
      </w:r>
    </w:p>
    <w:p w:rsidR="00FF2A98" w:rsidRPr="00DA7559" w:rsidRDefault="00BD65BB" w:rsidP="00FA6669">
      <w:pPr>
        <w:pStyle w:val="Heading1"/>
      </w:pPr>
      <w:bookmarkStart w:id="2" w:name="_tc39j877za4b" w:colFirst="0" w:colLast="0"/>
      <w:bookmarkStart w:id="3" w:name="_Toc112259804"/>
      <w:bookmarkEnd w:id="2"/>
      <w:r w:rsidRPr="00DA7559">
        <w:t>Question 1</w:t>
      </w:r>
      <w:bookmarkEnd w:id="3"/>
    </w:p>
    <w:p w:rsidR="00FF2A98" w:rsidRPr="00DA7559" w:rsidRDefault="00BD65BB" w:rsidP="00FA6669">
      <w:pPr>
        <w:pStyle w:val="Heading1"/>
      </w:pPr>
      <w:bookmarkStart w:id="4" w:name="_556eun78hn21" w:colFirst="0" w:colLast="0"/>
      <w:bookmarkStart w:id="5" w:name="_Toc112259805"/>
      <w:bookmarkEnd w:id="4"/>
      <w:r w:rsidRPr="00DA7559">
        <w:t>a) Financial Statements: Income Statement and Balance Sheet</w:t>
      </w:r>
      <w:bookmarkEnd w:id="5"/>
    </w:p>
    <w:p w:rsidR="00FF2A98" w:rsidRPr="00DA7559" w:rsidRDefault="00BD65BB">
      <w:pPr>
        <w:pStyle w:val="normal0"/>
        <w:rPr>
          <w:b/>
          <w:i/>
          <w:color w:val="000000" w:themeColor="text1"/>
          <w:lang w:val="en-GB"/>
        </w:rPr>
      </w:pPr>
      <w:r w:rsidRPr="00DA7559">
        <w:rPr>
          <w:b/>
          <w:i/>
          <w:color w:val="000000" w:themeColor="text1"/>
          <w:lang w:val="en-GB"/>
        </w:rPr>
        <w:t>Income Statement</w:t>
      </w:r>
    </w:p>
    <w:p w:rsidR="00FF2A98" w:rsidRPr="00DA7559" w:rsidRDefault="00BD65BB">
      <w:pPr>
        <w:pStyle w:val="normal0"/>
        <w:rPr>
          <w:color w:val="000000" w:themeColor="text1"/>
          <w:lang w:val="en-GB"/>
        </w:rPr>
      </w:pPr>
      <w:r w:rsidRPr="00DA7559">
        <w:rPr>
          <w:color w:val="000000" w:themeColor="text1"/>
          <w:lang w:val="en-GB"/>
        </w:rPr>
        <w:t xml:space="preserve">An income statement is prepared to develop adequate knowledge about various incomes and expenses of a company. It gives adequate information about the quantity of funds spent by any company for generating the sales during any period. As described by Levytska </w:t>
      </w:r>
      <w:r w:rsidRPr="00DA7559">
        <w:rPr>
          <w:i/>
          <w:color w:val="000000" w:themeColor="text1"/>
          <w:lang w:val="en-GB"/>
        </w:rPr>
        <w:t>et al.</w:t>
      </w:r>
      <w:r w:rsidRPr="00DA7559">
        <w:rPr>
          <w:color w:val="000000" w:themeColor="text1"/>
          <w:lang w:val="en-GB"/>
        </w:rPr>
        <w:t xml:space="preserve"> (2020), this statement comprises both fixed and variable expenses that are reduced from incomes for reporting profits for that period. It was previously identified as a “Profit and Loss Statement” for any organisation. This also includes only those items (incomes and expenses) which are relevant for a specific year or period.</w:t>
      </w:r>
    </w:p>
    <w:tbl>
      <w:tblPr>
        <w:tblStyle w:val="a"/>
        <w:tblW w:w="95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5"/>
        <w:gridCol w:w="2505"/>
        <w:gridCol w:w="2490"/>
      </w:tblGrid>
      <w:tr w:rsidR="00FF2A98" w:rsidRPr="00DA7559">
        <w:trPr>
          <w:cantSplit/>
          <w:trHeight w:val="515"/>
          <w:tblHeader/>
          <w:jc w:val="center"/>
        </w:trPr>
        <w:tc>
          <w:tcPr>
            <w:tcW w:w="9510" w:type="dxa"/>
            <w:gridSpan w:val="3"/>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center"/>
              <w:rPr>
                <w:b/>
                <w:i/>
                <w:color w:val="000000" w:themeColor="text1"/>
                <w:lang w:val="en-GB"/>
              </w:rPr>
            </w:pPr>
            <w:r w:rsidRPr="00DA7559">
              <w:rPr>
                <w:b/>
                <w:i/>
                <w:color w:val="000000" w:themeColor="text1"/>
                <w:lang w:val="en-GB"/>
              </w:rPr>
              <w:t>Income Statement of Wales Plc</w:t>
            </w:r>
          </w:p>
        </w:tc>
      </w:tr>
      <w:tr w:rsidR="00FF2A98" w:rsidRPr="00DA7559">
        <w:trPr>
          <w:cantSplit/>
          <w:trHeight w:val="515"/>
          <w:tblHeader/>
          <w:jc w:val="center"/>
        </w:trPr>
        <w:tc>
          <w:tcPr>
            <w:tcW w:w="9510" w:type="dxa"/>
            <w:gridSpan w:val="3"/>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center"/>
              <w:rPr>
                <w:b/>
                <w:i/>
                <w:color w:val="000000" w:themeColor="text1"/>
                <w:lang w:val="en-GB"/>
              </w:rPr>
            </w:pPr>
            <w:r w:rsidRPr="00DA7559">
              <w:rPr>
                <w:b/>
                <w:i/>
                <w:color w:val="000000" w:themeColor="text1"/>
                <w:lang w:val="en-GB"/>
              </w:rPr>
              <w:t>For the year ended 31 December 2021</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left"/>
              <w:rPr>
                <w:b/>
                <w:color w:val="000000" w:themeColor="text1"/>
                <w:lang w:val="en-GB"/>
              </w:rPr>
            </w:pPr>
            <w:r w:rsidRPr="00DA7559">
              <w:rPr>
                <w:b/>
                <w:color w:val="000000" w:themeColor="text1"/>
                <w:lang w:val="en-GB"/>
              </w:rPr>
              <w:t>Particulars</w:t>
            </w:r>
          </w:p>
        </w:tc>
        <w:tc>
          <w:tcPr>
            <w:tcW w:w="2505" w:type="dxa"/>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left"/>
              <w:rPr>
                <w:b/>
                <w:color w:val="000000" w:themeColor="text1"/>
                <w:lang w:val="en-GB"/>
              </w:rPr>
            </w:pPr>
            <w:r w:rsidRPr="00DA7559">
              <w:rPr>
                <w:b/>
                <w:color w:val="000000" w:themeColor="text1"/>
                <w:lang w:val="en-GB"/>
              </w:rPr>
              <w:t>Amount (£, Million)</w:t>
            </w:r>
          </w:p>
        </w:tc>
        <w:tc>
          <w:tcPr>
            <w:tcW w:w="2490" w:type="dxa"/>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left"/>
              <w:rPr>
                <w:b/>
                <w:color w:val="000000" w:themeColor="text1"/>
                <w:lang w:val="en-GB"/>
              </w:rPr>
            </w:pPr>
            <w:r w:rsidRPr="00DA7559">
              <w:rPr>
                <w:b/>
                <w:color w:val="000000" w:themeColor="text1"/>
                <w:lang w:val="en-GB"/>
              </w:rPr>
              <w:t>Amount (£, Million)</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Revenue during the year</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800000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Additional Sales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980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Total Revenue for that year</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800980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lastRenderedPageBreak/>
              <w:t>Expenses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Cost of Goods Sold</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578650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Additional Sales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980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Total Cost of Goods Sold</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579630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Gross Income</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221350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Operational Expenses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Administrative Expenses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30000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Distribution Expenses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28000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Total Operating Expenses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58000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Operating Income</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163350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Commission for Sales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3000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Earnings before Interest and Tax (EBIT)</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160350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Financial Expenses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2000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Outstanding Interest Expenses</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2000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Earnings before Tax (EBT)</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156350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Less: Corporate Tax</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-100000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Net Income (NI)</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56350</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Director's Remuneration</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5000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lastRenderedPageBreak/>
              <w:t>Preference (Share) Dividend</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30000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Ordinary (Share) Dividend</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20000</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515"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Net Gains (Profit)</w:t>
            </w:r>
          </w:p>
        </w:tc>
        <w:tc>
          <w:tcPr>
            <w:tcW w:w="2505"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49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1350</w:t>
            </w:r>
          </w:p>
        </w:tc>
      </w:tr>
    </w:tbl>
    <w:p w:rsidR="00FF2A98" w:rsidRPr="00DA7559" w:rsidRDefault="00BD65BB">
      <w:pPr>
        <w:pStyle w:val="normal0"/>
        <w:rPr>
          <w:b/>
          <w:i/>
          <w:color w:val="000000" w:themeColor="text1"/>
          <w:lang w:val="en-GB"/>
        </w:rPr>
      </w:pPr>
      <w:r w:rsidRPr="00DA7559">
        <w:rPr>
          <w:b/>
          <w:i/>
          <w:color w:val="000000" w:themeColor="text1"/>
          <w:lang w:val="en-GB"/>
        </w:rPr>
        <w:t>Working notes:-</w:t>
      </w:r>
      <w:r w:rsidRPr="00DA7559">
        <w:rPr>
          <w:color w:val="000000" w:themeColor="text1"/>
          <w:lang w:val="en-GB"/>
        </w:rPr>
        <w:t xml:space="preserve"> </w:t>
      </w:r>
    </w:p>
    <w:p w:rsidR="00FF2A98" w:rsidRPr="00DA7559" w:rsidRDefault="00BD65BB">
      <w:pPr>
        <w:pStyle w:val="normal0"/>
        <w:rPr>
          <w:color w:val="000000" w:themeColor="text1"/>
          <w:lang w:val="en-GB"/>
        </w:rPr>
      </w:pPr>
      <w:r w:rsidRPr="00DA7559">
        <w:rPr>
          <w:color w:val="000000" w:themeColor="text1"/>
          <w:lang w:val="en-GB"/>
        </w:rPr>
        <w:t>1. Debentures are issued at a rate of 4% for the given period of time. However, only £2000 was paid as interest for that period. Remaining £2000 was concluded as outstanding for that year.</w:t>
      </w:r>
    </w:p>
    <w:p w:rsidR="00FF2A98" w:rsidRPr="00DA7559" w:rsidRDefault="00BD65BB">
      <w:pPr>
        <w:pStyle w:val="normal0"/>
        <w:rPr>
          <w:color w:val="000000" w:themeColor="text1"/>
          <w:lang w:val="en-GB"/>
        </w:rPr>
      </w:pPr>
      <w:r w:rsidRPr="00DA7559">
        <w:rPr>
          <w:color w:val="000000" w:themeColor="text1"/>
          <w:lang w:val="en-GB"/>
        </w:rPr>
        <w:t>2. Additional sales made at the end of the year were totalled as revenue for that period. Thus, it was added to current year sales. However, it was also reduced as cost of goods sold for that year.</w:t>
      </w:r>
    </w:p>
    <w:p w:rsidR="00FF2A98" w:rsidRPr="00DA7559" w:rsidRDefault="00BD65BB">
      <w:pPr>
        <w:pStyle w:val="normal0"/>
        <w:rPr>
          <w:color w:val="000000" w:themeColor="text1"/>
          <w:lang w:val="en-GB"/>
        </w:rPr>
      </w:pPr>
      <w:r w:rsidRPr="00DA7559">
        <w:rPr>
          <w:color w:val="000000" w:themeColor="text1"/>
          <w:lang w:val="en-GB"/>
        </w:rPr>
        <w:t>Sales during the year ended 31st December 2021 were calculated as £800980. However, cost of sales was evaluated as £579630. It helped to generate a gross income worth £221350. Consistent number of expenditures finally reported a net profit of £56350. Later, payment of dividend to both preference and equity shareholders along with directors led to report only £1350 as their final retention.</w:t>
      </w:r>
    </w:p>
    <w:p w:rsidR="00FF2A98" w:rsidRPr="00DA7559" w:rsidRDefault="00BD65BB">
      <w:pPr>
        <w:pStyle w:val="normal0"/>
        <w:rPr>
          <w:b/>
          <w:i/>
          <w:color w:val="000000" w:themeColor="text1"/>
          <w:lang w:val="en-GB"/>
        </w:rPr>
      </w:pPr>
      <w:r w:rsidRPr="00DA7559">
        <w:rPr>
          <w:b/>
          <w:i/>
          <w:color w:val="000000" w:themeColor="text1"/>
          <w:lang w:val="en-GB"/>
        </w:rPr>
        <w:t>Balance Sheet</w:t>
      </w:r>
    </w:p>
    <w:p w:rsidR="006D2ABD" w:rsidRPr="00DA7559" w:rsidRDefault="00BD65BB">
      <w:pPr>
        <w:pStyle w:val="normal0"/>
        <w:rPr>
          <w:color w:val="000000" w:themeColor="text1"/>
          <w:lang w:val="en-GB"/>
        </w:rPr>
      </w:pPr>
      <w:r w:rsidRPr="00DA7559">
        <w:rPr>
          <w:color w:val="000000" w:themeColor="text1"/>
          <w:lang w:val="en-GB"/>
        </w:rPr>
        <w:t xml:space="preserve">Financial statements also included preparing a balance sheet for an organisation. It is a classic segregation of “assets”, “liabilities”, and “equity” for understanding the financial position of a company. As mentioned by Mazzocchetti </w:t>
      </w:r>
      <w:r w:rsidRPr="00DA7559">
        <w:rPr>
          <w:i/>
          <w:color w:val="000000" w:themeColor="text1"/>
          <w:lang w:val="en-GB"/>
        </w:rPr>
        <w:t>et al.</w:t>
      </w:r>
      <w:r w:rsidRPr="00DA7559">
        <w:rPr>
          <w:color w:val="000000" w:themeColor="text1"/>
          <w:lang w:val="en-GB"/>
        </w:rPr>
        <w:t xml:space="preserve"> (2020), balance sheet briefly describes the book values for each asset and liability for highlighting their financial adequacy. This also includes evaluation in terms of current and non-current items. It helps to understand their financial liability during any period along with the expected amount of income from their debtors.</w:t>
      </w:r>
    </w:p>
    <w:p w:rsidR="006D2ABD" w:rsidRPr="00DA7559" w:rsidRDefault="006D2ABD">
      <w:pPr>
        <w:rPr>
          <w:color w:val="000000" w:themeColor="text1"/>
          <w:lang w:val="en-GB"/>
        </w:rPr>
      </w:pPr>
      <w:r w:rsidRPr="00DA7559">
        <w:rPr>
          <w:color w:val="000000" w:themeColor="text1"/>
          <w:lang w:val="en-GB"/>
        </w:rPr>
        <w:br w:type="page"/>
      </w:r>
    </w:p>
    <w:p w:rsidR="00FF2A98" w:rsidRPr="00DA7559" w:rsidRDefault="00FF2A98">
      <w:pPr>
        <w:pStyle w:val="normal0"/>
        <w:rPr>
          <w:color w:val="000000" w:themeColor="text1"/>
          <w:lang w:val="en-GB"/>
        </w:rPr>
      </w:pPr>
    </w:p>
    <w:tbl>
      <w:tblPr>
        <w:tblStyle w:val="a0"/>
        <w:tblW w:w="88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440"/>
        <w:gridCol w:w="2250"/>
        <w:gridCol w:w="2160"/>
      </w:tblGrid>
      <w:tr w:rsidR="00FF2A98" w:rsidRPr="00DA7559">
        <w:trPr>
          <w:cantSplit/>
          <w:trHeight w:val="515"/>
          <w:tblHeader/>
          <w:jc w:val="center"/>
        </w:trPr>
        <w:tc>
          <w:tcPr>
            <w:tcW w:w="8850" w:type="dxa"/>
            <w:gridSpan w:val="3"/>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center"/>
              <w:rPr>
                <w:b/>
                <w:i/>
                <w:color w:val="000000" w:themeColor="text1"/>
                <w:lang w:val="en-GB"/>
              </w:rPr>
            </w:pPr>
            <w:r w:rsidRPr="00DA7559">
              <w:rPr>
                <w:b/>
                <w:i/>
                <w:color w:val="000000" w:themeColor="text1"/>
                <w:lang w:val="en-GB"/>
              </w:rPr>
              <w:t>Income Statement of Wales Plc</w:t>
            </w:r>
          </w:p>
        </w:tc>
      </w:tr>
      <w:tr w:rsidR="00FF2A98" w:rsidRPr="00DA7559">
        <w:trPr>
          <w:cantSplit/>
          <w:trHeight w:val="515"/>
          <w:tblHeader/>
          <w:jc w:val="center"/>
        </w:trPr>
        <w:tc>
          <w:tcPr>
            <w:tcW w:w="8850" w:type="dxa"/>
            <w:gridSpan w:val="3"/>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center"/>
              <w:rPr>
                <w:b/>
                <w:i/>
                <w:color w:val="000000" w:themeColor="text1"/>
                <w:lang w:val="en-GB"/>
              </w:rPr>
            </w:pPr>
            <w:r w:rsidRPr="00DA7559">
              <w:rPr>
                <w:b/>
                <w:i/>
                <w:color w:val="000000" w:themeColor="text1"/>
                <w:lang w:val="en-GB"/>
              </w:rPr>
              <w:t>For the year ended 31 December 2021</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left"/>
              <w:rPr>
                <w:b/>
                <w:color w:val="000000" w:themeColor="text1"/>
                <w:lang w:val="en-GB"/>
              </w:rPr>
            </w:pPr>
            <w:r w:rsidRPr="00DA7559">
              <w:rPr>
                <w:b/>
                <w:color w:val="000000" w:themeColor="text1"/>
                <w:lang w:val="en-GB"/>
              </w:rPr>
              <w:t>Particulars</w:t>
            </w:r>
          </w:p>
        </w:tc>
        <w:tc>
          <w:tcPr>
            <w:tcW w:w="2250" w:type="dxa"/>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left"/>
              <w:rPr>
                <w:b/>
                <w:color w:val="000000" w:themeColor="text1"/>
                <w:lang w:val="en-GB"/>
              </w:rPr>
            </w:pPr>
            <w:r w:rsidRPr="00DA7559">
              <w:rPr>
                <w:b/>
                <w:color w:val="000000" w:themeColor="text1"/>
                <w:lang w:val="en-GB"/>
              </w:rPr>
              <w:t>Amount (£, Million)</w:t>
            </w:r>
          </w:p>
        </w:tc>
        <w:tc>
          <w:tcPr>
            <w:tcW w:w="2160" w:type="dxa"/>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vAlign w:val="center"/>
          </w:tcPr>
          <w:p w:rsidR="00FF2A98" w:rsidRPr="00DA7559" w:rsidRDefault="00BD65BB">
            <w:pPr>
              <w:pStyle w:val="normal0"/>
              <w:spacing w:before="0" w:after="0"/>
              <w:ind w:left="100"/>
              <w:jc w:val="left"/>
              <w:rPr>
                <w:b/>
                <w:color w:val="000000" w:themeColor="text1"/>
                <w:lang w:val="en-GB"/>
              </w:rPr>
            </w:pPr>
            <w:r w:rsidRPr="00DA7559">
              <w:rPr>
                <w:b/>
                <w:color w:val="000000" w:themeColor="text1"/>
                <w:lang w:val="en-GB"/>
              </w:rPr>
              <w:t>Amount (£, Million)</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Assets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Non-Current Assets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Plant and Equipment</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650000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Total Non-Current Assets</w:t>
            </w:r>
          </w:p>
        </w:tc>
        <w:tc>
          <w:tcPr>
            <w:tcW w:w="225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650000</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Current Assets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Trade (Debtors) Receivables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170125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Additional sales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980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Cash &amp; Equivalents and Bank</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76250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Less: Additional Sales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-980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Closing Stock of Inventory</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330600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Total Current Assets</w:t>
            </w:r>
          </w:p>
        </w:tc>
        <w:tc>
          <w:tcPr>
            <w:tcW w:w="225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576975</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Total Assets</w:t>
            </w:r>
          </w:p>
        </w:tc>
        <w:tc>
          <w:tcPr>
            <w:tcW w:w="225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1226975</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Equities and Liabilities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Non-Current Liability</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lastRenderedPageBreak/>
              <w:t>4% Debentures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100000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Total Non-Current Liabilities</w:t>
            </w:r>
          </w:p>
        </w:tc>
        <w:tc>
          <w:tcPr>
            <w:tcW w:w="225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100000</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Current Liabilities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Commission for Salesmen</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3000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Trade (Creditors) Payable</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188625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Outstanding Interest</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2000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Corporate Tax Payable</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100000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Total Current Liability</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293625</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Total Liabilities</w:t>
            </w:r>
          </w:p>
        </w:tc>
        <w:tc>
          <w:tcPr>
            <w:tcW w:w="225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393625</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Net Assets</w:t>
            </w:r>
          </w:p>
        </w:tc>
        <w:tc>
          <w:tcPr>
            <w:tcW w:w="225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833350</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Equity</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"£1 Ordinary Shares"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500000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Add: Net Income</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1350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Add: 10%  £1 Preference Shares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200000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Add: Profits reserved since previous year</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right"/>
              <w:rPr>
                <w:color w:val="000000" w:themeColor="text1"/>
                <w:lang w:val="en-GB"/>
              </w:rPr>
            </w:pPr>
            <w:r w:rsidRPr="00DA7559">
              <w:rPr>
                <w:color w:val="000000" w:themeColor="text1"/>
                <w:lang w:val="en-GB"/>
              </w:rPr>
              <w:t>132000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FF2A98" w:rsidRPr="00DA7559" w:rsidRDefault="00BD65BB">
            <w:pPr>
              <w:pStyle w:val="normal0"/>
              <w:spacing w:before="0" w:after="0"/>
              <w:ind w:left="100"/>
              <w:jc w:val="left"/>
              <w:rPr>
                <w:color w:val="000000" w:themeColor="text1"/>
                <w:lang w:val="en-GB"/>
              </w:rPr>
            </w:pPr>
            <w:r w:rsidRPr="00DA7559">
              <w:rPr>
                <w:color w:val="000000" w:themeColor="text1"/>
                <w:lang w:val="en-GB"/>
              </w:rPr>
              <w:t xml:space="preserve"> </w:t>
            </w:r>
          </w:p>
        </w:tc>
      </w:tr>
      <w:tr w:rsidR="00FF2A98" w:rsidRPr="00DA7559">
        <w:trPr>
          <w:cantSplit/>
          <w:trHeight w:val="515"/>
          <w:tblHeader/>
          <w:jc w:val="center"/>
        </w:trPr>
        <w:tc>
          <w:tcPr>
            <w:tcW w:w="444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Total Equity</w:t>
            </w:r>
          </w:p>
        </w:tc>
        <w:tc>
          <w:tcPr>
            <w:tcW w:w="225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left"/>
              <w:rPr>
                <w:b/>
                <w:i/>
                <w:color w:val="000000" w:themeColor="text1"/>
                <w:lang w:val="en-GB"/>
              </w:rPr>
            </w:pPr>
            <w:r w:rsidRPr="00DA7559">
              <w:rPr>
                <w:b/>
                <w:i/>
                <w:color w:val="000000" w:themeColor="text1"/>
                <w:lang w:val="en-GB"/>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AC090"/>
            <w:tcMar>
              <w:top w:w="100" w:type="dxa"/>
              <w:left w:w="100" w:type="dxa"/>
              <w:bottom w:w="100" w:type="dxa"/>
              <w:right w:w="100" w:type="dxa"/>
            </w:tcMar>
            <w:vAlign w:val="center"/>
          </w:tcPr>
          <w:p w:rsidR="00FF2A98" w:rsidRPr="00DA7559" w:rsidRDefault="00BD65BB">
            <w:pPr>
              <w:pStyle w:val="normal0"/>
              <w:spacing w:before="0" w:after="0"/>
              <w:ind w:left="100"/>
              <w:jc w:val="right"/>
              <w:rPr>
                <w:b/>
                <w:i/>
                <w:color w:val="000000" w:themeColor="text1"/>
                <w:lang w:val="en-GB"/>
              </w:rPr>
            </w:pPr>
            <w:r w:rsidRPr="00DA7559">
              <w:rPr>
                <w:b/>
                <w:i/>
                <w:color w:val="000000" w:themeColor="text1"/>
                <w:lang w:val="en-GB"/>
              </w:rPr>
              <w:t>833350</w:t>
            </w:r>
          </w:p>
        </w:tc>
      </w:tr>
    </w:tbl>
    <w:p w:rsidR="00FF2A98" w:rsidRPr="00DA7559" w:rsidRDefault="00BD65BB">
      <w:pPr>
        <w:pStyle w:val="normal0"/>
        <w:rPr>
          <w:color w:val="000000" w:themeColor="text1"/>
          <w:lang w:val="en-GB"/>
        </w:rPr>
      </w:pPr>
      <w:r w:rsidRPr="00DA7559">
        <w:rPr>
          <w:color w:val="000000" w:themeColor="text1"/>
          <w:lang w:val="en-GB"/>
        </w:rPr>
        <w:t xml:space="preserve">Total long term assets for this company have been determined as plant and equipment which are worth £650000. Similarly, current assets of this company have been totalled as £576975. This helped to report a total assets worth £1226975 for the year ended 31st December 2021. Liabilities were much less during this phase since long-term liabilities only included </w:t>
      </w:r>
      <w:r w:rsidRPr="00DA7559">
        <w:rPr>
          <w:color w:val="000000" w:themeColor="text1"/>
          <w:lang w:val="en-GB"/>
        </w:rPr>
        <w:lastRenderedPageBreak/>
        <w:t>debentures worth £100000. Similarly, current liabilities were only £293625 which totalled to report £393625. Total equity was finalised as £833350 which is equal to net assets during that period.</w:t>
      </w:r>
    </w:p>
    <w:p w:rsidR="00FF2A98" w:rsidRPr="00DA7559" w:rsidRDefault="00BD65BB" w:rsidP="00FA6669">
      <w:pPr>
        <w:pStyle w:val="Heading1"/>
      </w:pPr>
      <w:bookmarkStart w:id="6" w:name="_azyur765jhjg" w:colFirst="0" w:colLast="0"/>
      <w:bookmarkStart w:id="7" w:name="_Toc112259806"/>
      <w:bookmarkEnd w:id="6"/>
      <w:r w:rsidRPr="00DA7559">
        <w:t>b) Reason for balancing the statement of financial position</w:t>
      </w:r>
      <w:bookmarkEnd w:id="7"/>
    </w:p>
    <w:p w:rsidR="00FF2A98" w:rsidRPr="00DA7559" w:rsidRDefault="00BD65BB">
      <w:pPr>
        <w:pStyle w:val="normal0"/>
        <w:rPr>
          <w:color w:val="000000" w:themeColor="text1"/>
          <w:lang w:val="en-GB"/>
        </w:rPr>
      </w:pPr>
      <w:r w:rsidRPr="00DA7559">
        <w:rPr>
          <w:color w:val="000000" w:themeColor="text1"/>
          <w:lang w:val="en-GB"/>
        </w:rPr>
        <w:t xml:space="preserve">Every transaction is supposed to meet specific accounting </w:t>
      </w:r>
      <w:r w:rsidR="006D2ABD" w:rsidRPr="00DA7559">
        <w:rPr>
          <w:color w:val="000000" w:themeColor="text1"/>
          <w:lang w:val="en-GB"/>
        </w:rPr>
        <w:t>criteria</w:t>
      </w:r>
      <w:r w:rsidRPr="00DA7559">
        <w:rPr>
          <w:color w:val="000000" w:themeColor="text1"/>
          <w:lang w:val="en-GB"/>
        </w:rPr>
        <w:t xml:space="preserve"> for being included in the book of entry. Double entry book keeping system is implemented all around this globe to record various transactions as journals on the first instance. As explained by Sangster and Rossi (2018), this system seeks to record every transaction with a dual effect considering both debit and credit entries. Thus, every debit entry has an equal and opposite credit balance to tally both sides of trial balance. Moreover, the accounting equation suggests assets equal to equity plus liabilities (Faccia and Mosteanu, 2019). Both these assumptions help to balance the outcome at every point of time. There is ample scope for the stakeholders to evaluate their accounting data through this type of presentation. It implies that their financial position is adequately constituted with capital and assets. Balancing both sides of a balance sheet also helps to ensure that financial statements are precisely done for suggesting effective decisions by the management. Any deficiency on either side helps to understand if any items have gone missing during that year. It is a suitable method for reconciling different items in a balance sheet. There is adequate scope for them to rectify balancing errors while producing a balanced sheet of values. Moreover, it gives sufficient scope for managers to identify and compare different items irrespective of their asset or liability status during any year.</w:t>
      </w:r>
    </w:p>
    <w:p w:rsidR="00FF2A98" w:rsidRPr="00DA7559" w:rsidRDefault="00BD65BB" w:rsidP="00FA6669">
      <w:pPr>
        <w:pStyle w:val="Heading1"/>
      </w:pPr>
      <w:bookmarkStart w:id="8" w:name="_j14d53p9xmmh" w:colFirst="0" w:colLast="0"/>
      <w:bookmarkStart w:id="9" w:name="_Toc112259807"/>
      <w:bookmarkEnd w:id="8"/>
      <w:r w:rsidRPr="00DA7559">
        <w:t>Question 2</w:t>
      </w:r>
      <w:bookmarkEnd w:id="9"/>
    </w:p>
    <w:p w:rsidR="00407034" w:rsidRPr="00DA7559" w:rsidRDefault="00407034" w:rsidP="00FA6669">
      <w:pPr>
        <w:pStyle w:val="Heading1"/>
      </w:pPr>
      <w:bookmarkStart w:id="10" w:name="_zbhtbgdoxx4h" w:colFirst="0" w:colLast="0"/>
      <w:bookmarkStart w:id="11" w:name="_tbtmkf37ayan" w:colFirst="0" w:colLast="0"/>
      <w:bookmarkStart w:id="12" w:name="_Toc112259808"/>
      <w:bookmarkEnd w:id="10"/>
      <w:bookmarkEnd w:id="11"/>
      <w:r w:rsidRPr="00DA7559">
        <w:t>a) Computing financial ratios of Sweets Plc</w:t>
      </w:r>
      <w:bookmarkEnd w:id="12"/>
      <w:r w:rsidRPr="00DA7559">
        <w:t>  </w:t>
      </w:r>
    </w:p>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Financial ratio calculation and interpretation help evaluate a company's performance within a particular period. Financial ratios take data from financial reports and statements of a company and reflect company's profitability, liquidity, solvency, and efficiency position at year-end. As opined by Dyson (2010), financial ratios can be defined as the relative magnitude of two or more financial data of a company. Below is a ratio analysis of Sweets Plc which is a long-established Sweets and confectionery manufacturer. </w:t>
      </w:r>
    </w:p>
    <w:p w:rsidR="00212098" w:rsidRPr="00DA7559" w:rsidRDefault="00212098" w:rsidP="008530E3">
      <w:pPr>
        <w:pStyle w:val="NormalWeb"/>
        <w:spacing w:before="200" w:beforeAutospacing="0" w:after="200" w:afterAutospacing="0" w:line="360" w:lineRule="auto"/>
        <w:jc w:val="both"/>
        <w:rPr>
          <w:color w:val="000000" w:themeColor="text1"/>
          <w:lang w:val="en-GB"/>
        </w:rPr>
      </w:pPr>
    </w:p>
    <w:p w:rsidR="00212098" w:rsidRPr="00DA7559" w:rsidRDefault="00212098" w:rsidP="008530E3">
      <w:pPr>
        <w:pStyle w:val="NormalWeb"/>
        <w:spacing w:before="200" w:beforeAutospacing="0" w:after="200" w:afterAutospacing="0" w:line="360" w:lineRule="auto"/>
        <w:jc w:val="both"/>
        <w:rPr>
          <w:color w:val="000000" w:themeColor="text1"/>
          <w:lang w:val="en-GB"/>
        </w:rPr>
      </w:pP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lastRenderedPageBreak/>
        <w:t>1- “ROCE” </w:t>
      </w:r>
    </w:p>
    <w:tbl>
      <w:tblPr>
        <w:tblW w:w="6382" w:type="dxa"/>
        <w:jc w:val="center"/>
        <w:tblInd w:w="93" w:type="dxa"/>
        <w:tblLook w:val="04A0"/>
      </w:tblPr>
      <w:tblGrid>
        <w:gridCol w:w="3994"/>
        <w:gridCol w:w="1194"/>
        <w:gridCol w:w="1194"/>
      </w:tblGrid>
      <w:tr w:rsidR="00AB6657" w:rsidRPr="0023137A" w:rsidTr="00007B1F">
        <w:trPr>
          <w:trHeight w:val="232"/>
          <w:jc w:val="center"/>
        </w:trPr>
        <w:tc>
          <w:tcPr>
            <w:tcW w:w="638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ROCE "Return on capital employed" of Sweets Plc</w:t>
            </w:r>
          </w:p>
        </w:tc>
      </w:tr>
      <w:tr w:rsidR="00AB6657" w:rsidRPr="0023137A" w:rsidTr="00007B1F">
        <w:trPr>
          <w:trHeight w:val="232"/>
          <w:jc w:val="center"/>
        </w:trPr>
        <w:tc>
          <w:tcPr>
            <w:tcW w:w="39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232"/>
          <w:jc w:val="center"/>
        </w:trPr>
        <w:tc>
          <w:tcPr>
            <w:tcW w:w="39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EBIT "Earnings before interest and tax" </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699</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805</w:t>
            </w:r>
          </w:p>
        </w:tc>
      </w:tr>
      <w:tr w:rsidR="00AB6657" w:rsidRPr="0023137A" w:rsidTr="00007B1F">
        <w:trPr>
          <w:trHeight w:val="232"/>
          <w:jc w:val="center"/>
        </w:trPr>
        <w:tc>
          <w:tcPr>
            <w:tcW w:w="39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 Capital employed </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7,041</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7,225</w:t>
            </w:r>
          </w:p>
        </w:tc>
      </w:tr>
      <w:tr w:rsidR="00AB6657" w:rsidRPr="0023137A" w:rsidTr="00007B1F">
        <w:trPr>
          <w:trHeight w:val="232"/>
          <w:jc w:val="center"/>
        </w:trPr>
        <w:tc>
          <w:tcPr>
            <w:tcW w:w="39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Assets (Total)</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10,087</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9,736</w:t>
            </w:r>
          </w:p>
        </w:tc>
      </w:tr>
      <w:tr w:rsidR="00AB6657" w:rsidRPr="0023137A" w:rsidTr="00007B1F">
        <w:trPr>
          <w:trHeight w:val="232"/>
          <w:jc w:val="center"/>
        </w:trPr>
        <w:tc>
          <w:tcPr>
            <w:tcW w:w="39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Liabilities (Current)</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3,046</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2,511</w:t>
            </w:r>
          </w:p>
        </w:tc>
      </w:tr>
      <w:tr w:rsidR="00AB6657" w:rsidRPr="0023137A" w:rsidTr="00007B1F">
        <w:trPr>
          <w:trHeight w:val="232"/>
          <w:jc w:val="center"/>
        </w:trPr>
        <w:tc>
          <w:tcPr>
            <w:tcW w:w="39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ROCE</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10%</w:t>
            </w:r>
          </w:p>
        </w:tc>
        <w:tc>
          <w:tcPr>
            <w:tcW w:w="119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11%</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It is a financial ratio that highlights ventures' ability to effectively utilise capital employed for generating higher returns. In case of Sweets Plc, a 1% improvement in ROCE has been found. Besides, an increasing trend in capital employed and EBIT has taken place in 2021 in comparison to last year. </w:t>
      </w:r>
    </w:p>
    <w:p w:rsidR="00AB6657" w:rsidRPr="00DA7559" w:rsidRDefault="00407034" w:rsidP="00AB6657">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t>2- “ROE” </w:t>
      </w:r>
    </w:p>
    <w:tbl>
      <w:tblPr>
        <w:tblW w:w="6379" w:type="dxa"/>
        <w:jc w:val="center"/>
        <w:tblInd w:w="93" w:type="dxa"/>
        <w:tblLook w:val="04A0"/>
      </w:tblPr>
      <w:tblGrid>
        <w:gridCol w:w="2921"/>
        <w:gridCol w:w="1729"/>
        <w:gridCol w:w="1729"/>
      </w:tblGrid>
      <w:tr w:rsidR="00AB6657" w:rsidRPr="0023137A" w:rsidTr="00007B1F">
        <w:trPr>
          <w:trHeight w:val="199"/>
          <w:jc w:val="center"/>
        </w:trPr>
        <w:tc>
          <w:tcPr>
            <w:tcW w:w="637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ROE "Return on equity" of Sweets Plc</w:t>
            </w:r>
          </w:p>
        </w:tc>
      </w:tr>
      <w:tr w:rsidR="00AB6657" w:rsidRPr="0023137A" w:rsidTr="00007B1F">
        <w:trPr>
          <w:trHeight w:val="199"/>
          <w:jc w:val="center"/>
        </w:trPr>
        <w:tc>
          <w:tcPr>
            <w:tcW w:w="2921"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72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72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199"/>
          <w:jc w:val="center"/>
        </w:trPr>
        <w:tc>
          <w:tcPr>
            <w:tcW w:w="2921"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Income (Net) </w:t>
            </w:r>
          </w:p>
        </w:tc>
        <w:tc>
          <w:tcPr>
            <w:tcW w:w="172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366</w:t>
            </w:r>
          </w:p>
        </w:tc>
        <w:tc>
          <w:tcPr>
            <w:tcW w:w="172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431</w:t>
            </w:r>
          </w:p>
        </w:tc>
      </w:tr>
      <w:tr w:rsidR="00AB6657" w:rsidRPr="0023137A" w:rsidTr="00007B1F">
        <w:trPr>
          <w:trHeight w:val="199"/>
          <w:jc w:val="center"/>
        </w:trPr>
        <w:tc>
          <w:tcPr>
            <w:tcW w:w="2921"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Capital (Equity)</w:t>
            </w:r>
          </w:p>
        </w:tc>
        <w:tc>
          <w:tcPr>
            <w:tcW w:w="172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2,912</w:t>
            </w:r>
          </w:p>
        </w:tc>
        <w:tc>
          <w:tcPr>
            <w:tcW w:w="172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3,088</w:t>
            </w:r>
          </w:p>
        </w:tc>
      </w:tr>
      <w:tr w:rsidR="00AB6657" w:rsidRPr="0023137A" w:rsidTr="00007B1F">
        <w:trPr>
          <w:trHeight w:val="199"/>
          <w:jc w:val="center"/>
        </w:trPr>
        <w:tc>
          <w:tcPr>
            <w:tcW w:w="2921"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ROE</w:t>
            </w:r>
          </w:p>
        </w:tc>
        <w:tc>
          <w:tcPr>
            <w:tcW w:w="172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13%</w:t>
            </w:r>
          </w:p>
        </w:tc>
        <w:tc>
          <w:tcPr>
            <w:tcW w:w="172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14%</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ROE is a profitability ratio as it reflects company's earnings from effective utilisation of equity capital (</w:t>
      </w:r>
      <w:r w:rsidRPr="00DA7559">
        <w:rPr>
          <w:color w:val="000000" w:themeColor="text1"/>
          <w:shd w:val="clear" w:color="auto" w:fill="FFFFFF"/>
          <w:lang w:val="en-GB"/>
        </w:rPr>
        <w:t>Nariswari and Nugraha, 2020</w:t>
      </w:r>
      <w:r w:rsidRPr="00DA7559">
        <w:rPr>
          <w:color w:val="000000" w:themeColor="text1"/>
          <w:lang w:val="en-GB"/>
        </w:rPr>
        <w:t>). Considering ROE of Sweets Plc, it can be said that profitability of the company has slightly increased. 1% improvement in company's profitability has taken place as both equity capital and net earnings have been slightly improved in 2021. </w:t>
      </w: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lastRenderedPageBreak/>
        <w:t>3- “Earnings per share”</w:t>
      </w:r>
    </w:p>
    <w:tbl>
      <w:tblPr>
        <w:tblW w:w="6317" w:type="dxa"/>
        <w:jc w:val="center"/>
        <w:tblInd w:w="93" w:type="dxa"/>
        <w:tblLook w:val="04A0"/>
      </w:tblPr>
      <w:tblGrid>
        <w:gridCol w:w="3785"/>
        <w:gridCol w:w="1266"/>
        <w:gridCol w:w="1266"/>
      </w:tblGrid>
      <w:tr w:rsidR="00AB6657" w:rsidRPr="0023137A" w:rsidTr="00007B1F">
        <w:trPr>
          <w:trHeight w:val="295"/>
          <w:jc w:val="center"/>
        </w:trPr>
        <w:tc>
          <w:tcPr>
            <w:tcW w:w="63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EPS "Earnings per share" of Sweets Plc</w:t>
            </w:r>
          </w:p>
        </w:tc>
      </w:tr>
      <w:tr w:rsidR="00AB6657" w:rsidRPr="0023137A" w:rsidTr="00007B1F">
        <w:trPr>
          <w:trHeight w:val="295"/>
          <w:jc w:val="center"/>
        </w:trPr>
        <w:tc>
          <w:tcPr>
            <w:tcW w:w="3785"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295"/>
          <w:jc w:val="center"/>
        </w:trPr>
        <w:tc>
          <w:tcPr>
            <w:tcW w:w="3785"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Income (Net) </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366</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431</w:t>
            </w:r>
          </w:p>
        </w:tc>
      </w:tr>
      <w:tr w:rsidR="00AB6657" w:rsidRPr="0023137A" w:rsidTr="00007B1F">
        <w:trPr>
          <w:trHeight w:val="295"/>
          <w:jc w:val="center"/>
        </w:trPr>
        <w:tc>
          <w:tcPr>
            <w:tcW w:w="3785"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 Dividend paid </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242</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255</w:t>
            </w:r>
          </w:p>
        </w:tc>
      </w:tr>
      <w:tr w:rsidR="00AB6657" w:rsidRPr="0023137A" w:rsidTr="00007B1F">
        <w:trPr>
          <w:trHeight w:val="295"/>
          <w:jc w:val="center"/>
        </w:trPr>
        <w:tc>
          <w:tcPr>
            <w:tcW w:w="3785"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Outstanding shares (50p shares)</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600</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600</w:t>
            </w:r>
          </w:p>
        </w:tc>
      </w:tr>
      <w:tr w:rsidR="00AB6657" w:rsidRPr="0023137A" w:rsidTr="00007B1F">
        <w:trPr>
          <w:trHeight w:val="295"/>
          <w:jc w:val="center"/>
        </w:trPr>
        <w:tc>
          <w:tcPr>
            <w:tcW w:w="3785"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EPS</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0.21</w:t>
            </w:r>
          </w:p>
        </w:tc>
        <w:tc>
          <w:tcPr>
            <w:tcW w:w="126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0.29</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 xml:space="preserve">Calculation of EPS for Sweets Plc indicates a £0.08 per share improvement in EPS. Due to the increasing trend of revenue and net incomes in 2021, the company was able to boost per-share earnings. This indicates sound profitability of Sweets Plc. </w:t>
      </w:r>
      <w:r w:rsidRPr="00DA7559">
        <w:rPr>
          <w:b/>
          <w:bCs/>
          <w:i/>
          <w:iCs/>
          <w:color w:val="000000" w:themeColor="text1"/>
          <w:lang w:val="en-GB"/>
        </w:rPr>
        <w:t> </w:t>
      </w: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t>4- “Net profit margin” </w:t>
      </w:r>
    </w:p>
    <w:tbl>
      <w:tblPr>
        <w:tblW w:w="6324" w:type="dxa"/>
        <w:jc w:val="center"/>
        <w:tblInd w:w="93" w:type="dxa"/>
        <w:tblLook w:val="04A0"/>
      </w:tblPr>
      <w:tblGrid>
        <w:gridCol w:w="2894"/>
        <w:gridCol w:w="1715"/>
        <w:gridCol w:w="1715"/>
      </w:tblGrid>
      <w:tr w:rsidR="00AB6657" w:rsidRPr="0023137A" w:rsidTr="00007B1F">
        <w:trPr>
          <w:trHeight w:val="306"/>
          <w:jc w:val="center"/>
        </w:trPr>
        <w:tc>
          <w:tcPr>
            <w:tcW w:w="632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NPM "Net profit margin" of Sweets Plc</w:t>
            </w:r>
          </w:p>
        </w:tc>
      </w:tr>
      <w:tr w:rsidR="00AB6657" w:rsidRPr="0023137A" w:rsidTr="00007B1F">
        <w:trPr>
          <w:trHeight w:val="306"/>
          <w:jc w:val="center"/>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71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71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306"/>
          <w:jc w:val="center"/>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Income (Net) </w:t>
            </w:r>
          </w:p>
        </w:tc>
        <w:tc>
          <w:tcPr>
            <w:tcW w:w="171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366</w:t>
            </w:r>
          </w:p>
        </w:tc>
        <w:tc>
          <w:tcPr>
            <w:tcW w:w="171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431</w:t>
            </w:r>
          </w:p>
        </w:tc>
      </w:tr>
      <w:tr w:rsidR="00AB6657" w:rsidRPr="0023137A" w:rsidTr="00007B1F">
        <w:trPr>
          <w:trHeight w:val="306"/>
          <w:jc w:val="center"/>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 Revenue (Sales) </w:t>
            </w:r>
          </w:p>
        </w:tc>
        <w:tc>
          <w:tcPr>
            <w:tcW w:w="171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6,441</w:t>
            </w:r>
          </w:p>
        </w:tc>
        <w:tc>
          <w:tcPr>
            <w:tcW w:w="171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6,738</w:t>
            </w:r>
          </w:p>
        </w:tc>
      </w:tr>
      <w:tr w:rsidR="00AB6657" w:rsidRPr="0023137A" w:rsidTr="00007B1F">
        <w:trPr>
          <w:trHeight w:val="306"/>
          <w:jc w:val="center"/>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NPM</w:t>
            </w:r>
          </w:p>
        </w:tc>
        <w:tc>
          <w:tcPr>
            <w:tcW w:w="171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w:t>
            </w:r>
          </w:p>
        </w:tc>
        <w:tc>
          <w:tcPr>
            <w:tcW w:w="171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NPM is calculated by dividend net income with sales revenue (McLaney and Atrill, 2016). Generally, companies aim to maintain higher net income to gain a competitive edge in market. In the case of Sweets Plc, consistency in NPM has been found. Even when the company has slight improvement in revenue in 2020, it has similar net profit margin because of slight increment in total operating expenses. </w:t>
      </w: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lastRenderedPageBreak/>
        <w:t>5- “Asset turnover” </w:t>
      </w:r>
    </w:p>
    <w:tbl>
      <w:tblPr>
        <w:tblW w:w="6399" w:type="dxa"/>
        <w:jc w:val="center"/>
        <w:tblInd w:w="93" w:type="dxa"/>
        <w:tblLook w:val="04A0"/>
      </w:tblPr>
      <w:tblGrid>
        <w:gridCol w:w="2747"/>
        <w:gridCol w:w="1825"/>
        <w:gridCol w:w="1827"/>
      </w:tblGrid>
      <w:tr w:rsidR="00AB6657" w:rsidRPr="0023137A" w:rsidTr="00007B1F">
        <w:trPr>
          <w:trHeight w:val="291"/>
          <w:jc w:val="center"/>
        </w:trPr>
        <w:tc>
          <w:tcPr>
            <w:tcW w:w="639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AT "Asset turnover" of Sweets Plc</w:t>
            </w:r>
          </w:p>
        </w:tc>
      </w:tr>
      <w:tr w:rsidR="00AB6657" w:rsidRPr="0023137A" w:rsidTr="00007B1F">
        <w:trPr>
          <w:trHeight w:val="291"/>
          <w:jc w:val="center"/>
        </w:trPr>
        <w:tc>
          <w:tcPr>
            <w:tcW w:w="2747"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82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82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291"/>
          <w:jc w:val="center"/>
        </w:trPr>
        <w:tc>
          <w:tcPr>
            <w:tcW w:w="2747"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Sales (Net)</w:t>
            </w:r>
          </w:p>
        </w:tc>
        <w:tc>
          <w:tcPr>
            <w:tcW w:w="182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6,441</w:t>
            </w:r>
          </w:p>
        </w:tc>
        <w:tc>
          <w:tcPr>
            <w:tcW w:w="182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6,738</w:t>
            </w:r>
          </w:p>
        </w:tc>
      </w:tr>
      <w:tr w:rsidR="00AB6657" w:rsidRPr="0023137A" w:rsidTr="00007B1F">
        <w:trPr>
          <w:trHeight w:val="291"/>
          <w:jc w:val="center"/>
        </w:trPr>
        <w:tc>
          <w:tcPr>
            <w:tcW w:w="2747"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Assets (Total)</w:t>
            </w:r>
          </w:p>
        </w:tc>
        <w:tc>
          <w:tcPr>
            <w:tcW w:w="182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10,087</w:t>
            </w:r>
          </w:p>
        </w:tc>
        <w:tc>
          <w:tcPr>
            <w:tcW w:w="182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9,736</w:t>
            </w:r>
          </w:p>
        </w:tc>
      </w:tr>
      <w:tr w:rsidR="00AB6657" w:rsidRPr="0023137A" w:rsidTr="00007B1F">
        <w:trPr>
          <w:trHeight w:val="291"/>
          <w:jc w:val="center"/>
        </w:trPr>
        <w:tc>
          <w:tcPr>
            <w:tcW w:w="2747"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AT</w:t>
            </w:r>
          </w:p>
        </w:tc>
        <w:tc>
          <w:tcPr>
            <w:tcW w:w="182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64%</w:t>
            </w:r>
          </w:p>
        </w:tc>
        <w:tc>
          <w:tcPr>
            <w:tcW w:w="182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69%</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 xml:space="preserve">AT is a financial ratio that reflects profitability and efficiency of a company. As argued by </w:t>
      </w:r>
      <w:r w:rsidRPr="00DA7559">
        <w:rPr>
          <w:color w:val="000000" w:themeColor="text1"/>
          <w:shd w:val="clear" w:color="auto" w:fill="FFFFFF"/>
          <w:lang w:val="en-GB"/>
        </w:rPr>
        <w:t>Profir (2017)</w:t>
      </w:r>
      <w:r w:rsidRPr="00DA7559">
        <w:rPr>
          <w:color w:val="000000" w:themeColor="text1"/>
          <w:lang w:val="en-GB"/>
        </w:rPr>
        <w:t>, effectively utilising total assets brings more profit to the company. In case Sweets Plc, an increasing trend of profitability has been found as sales increased. However, the company has declined its total assets position which needs to be improved in future.  </w:t>
      </w: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t>6- “Stock holding days” </w:t>
      </w:r>
    </w:p>
    <w:tbl>
      <w:tblPr>
        <w:tblW w:w="6478" w:type="dxa"/>
        <w:jc w:val="center"/>
        <w:tblInd w:w="93" w:type="dxa"/>
        <w:tblLook w:val="04A0"/>
      </w:tblPr>
      <w:tblGrid>
        <w:gridCol w:w="3386"/>
        <w:gridCol w:w="1546"/>
        <w:gridCol w:w="1546"/>
      </w:tblGrid>
      <w:tr w:rsidR="00AB6657" w:rsidRPr="0023137A" w:rsidTr="00007B1F">
        <w:trPr>
          <w:trHeight w:val="267"/>
          <w:jc w:val="center"/>
        </w:trPr>
        <w:tc>
          <w:tcPr>
            <w:tcW w:w="647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SHD "Stock holding days" of Sweets Plc</w:t>
            </w:r>
          </w:p>
        </w:tc>
      </w:tr>
      <w:tr w:rsidR="00AB6657" w:rsidRPr="0023137A" w:rsidTr="00007B1F">
        <w:trPr>
          <w:trHeight w:val="267"/>
          <w:jc w:val="center"/>
        </w:trPr>
        <w:tc>
          <w:tcPr>
            <w:tcW w:w="338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267"/>
          <w:jc w:val="center"/>
        </w:trPr>
        <w:tc>
          <w:tcPr>
            <w:tcW w:w="338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Inventories   </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659</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708</w:t>
            </w:r>
          </w:p>
        </w:tc>
      </w:tr>
      <w:tr w:rsidR="00AB6657" w:rsidRPr="0023137A" w:rsidTr="00007B1F">
        <w:trPr>
          <w:trHeight w:val="267"/>
          <w:jc w:val="center"/>
        </w:trPr>
        <w:tc>
          <w:tcPr>
            <w:tcW w:w="338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Operating Days (365)</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240535</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258420</w:t>
            </w:r>
          </w:p>
        </w:tc>
      </w:tr>
      <w:tr w:rsidR="00AB6657" w:rsidRPr="0023137A" w:rsidTr="00007B1F">
        <w:trPr>
          <w:trHeight w:val="267"/>
          <w:jc w:val="center"/>
        </w:trPr>
        <w:tc>
          <w:tcPr>
            <w:tcW w:w="338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 Cost of sales </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3,096</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3,235</w:t>
            </w:r>
          </w:p>
        </w:tc>
      </w:tr>
      <w:tr w:rsidR="00AB6657" w:rsidRPr="0023137A" w:rsidTr="00007B1F">
        <w:trPr>
          <w:trHeight w:val="267"/>
          <w:jc w:val="center"/>
        </w:trPr>
        <w:tc>
          <w:tcPr>
            <w:tcW w:w="338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SHD</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78</w:t>
            </w:r>
          </w:p>
        </w:tc>
        <w:tc>
          <w:tcPr>
            <w:tcW w:w="1546"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80</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Computation of SHD indicates slight reduction in financial performance of the company. In 2021, the company has taken 2days extra for converting inventories into sales. This also reflects reduction in the efficiency position of Sweets Plc in 2021 in comparison to 2020. </w:t>
      </w: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t>7- “Debtors collection period” </w:t>
      </w:r>
    </w:p>
    <w:tbl>
      <w:tblPr>
        <w:tblW w:w="6519" w:type="dxa"/>
        <w:jc w:val="center"/>
        <w:tblInd w:w="93" w:type="dxa"/>
        <w:tblLook w:val="04A0"/>
      </w:tblPr>
      <w:tblGrid>
        <w:gridCol w:w="3408"/>
        <w:gridCol w:w="1555"/>
        <w:gridCol w:w="1556"/>
      </w:tblGrid>
      <w:tr w:rsidR="00AB6657" w:rsidRPr="0023137A" w:rsidTr="00007B1F">
        <w:trPr>
          <w:trHeight w:val="332"/>
          <w:jc w:val="center"/>
        </w:trPr>
        <w:tc>
          <w:tcPr>
            <w:tcW w:w="65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DCP "Debtors collection period" of Sweets Plc</w:t>
            </w:r>
          </w:p>
        </w:tc>
      </w:tr>
      <w:tr w:rsidR="00AB6657" w:rsidRPr="0023137A" w:rsidTr="00007B1F">
        <w:trPr>
          <w:trHeight w:val="332"/>
          <w:jc w:val="center"/>
        </w:trPr>
        <w:tc>
          <w:tcPr>
            <w:tcW w:w="3408"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332"/>
          <w:jc w:val="center"/>
        </w:trPr>
        <w:tc>
          <w:tcPr>
            <w:tcW w:w="3408"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Receivables (Debtors)</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1,287</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1,249</w:t>
            </w:r>
          </w:p>
        </w:tc>
      </w:tr>
      <w:tr w:rsidR="00AB6657" w:rsidRPr="0023137A" w:rsidTr="00007B1F">
        <w:trPr>
          <w:trHeight w:val="332"/>
          <w:jc w:val="center"/>
        </w:trPr>
        <w:tc>
          <w:tcPr>
            <w:tcW w:w="3408"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Operating Days (365)</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469755</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455885</w:t>
            </w:r>
          </w:p>
        </w:tc>
      </w:tr>
      <w:tr w:rsidR="00AB6657" w:rsidRPr="0023137A" w:rsidTr="00007B1F">
        <w:trPr>
          <w:trHeight w:val="332"/>
          <w:jc w:val="center"/>
        </w:trPr>
        <w:tc>
          <w:tcPr>
            <w:tcW w:w="3408"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 Revenue (Sales) </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6,441</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6,738</w:t>
            </w:r>
          </w:p>
        </w:tc>
      </w:tr>
      <w:tr w:rsidR="00AB6657" w:rsidRPr="0023137A" w:rsidTr="00007B1F">
        <w:trPr>
          <w:trHeight w:val="332"/>
          <w:jc w:val="center"/>
        </w:trPr>
        <w:tc>
          <w:tcPr>
            <w:tcW w:w="3408"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DCP</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73</w:t>
            </w:r>
          </w:p>
        </w:tc>
        <w:tc>
          <w:tcPr>
            <w:tcW w:w="1555"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68</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lastRenderedPageBreak/>
        <w:t>Computation of DCP indicates that efficiency position of Sweets Plc has improved in 2021. In 2021, the company took 68days to collect dues which were 73days in 2020. Besides, it has made fewer credit sales in 2021 which reduces the risk of debt debts.  </w:t>
      </w: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t>8- “Current ratio” </w:t>
      </w:r>
    </w:p>
    <w:tbl>
      <w:tblPr>
        <w:tblW w:w="6452" w:type="dxa"/>
        <w:jc w:val="center"/>
        <w:tblInd w:w="93" w:type="dxa"/>
        <w:tblLook w:val="04A0"/>
      </w:tblPr>
      <w:tblGrid>
        <w:gridCol w:w="3226"/>
        <w:gridCol w:w="1613"/>
        <w:gridCol w:w="1613"/>
      </w:tblGrid>
      <w:tr w:rsidR="00AB6657" w:rsidRPr="0023137A" w:rsidTr="00007B1F">
        <w:trPr>
          <w:trHeight w:val="302"/>
          <w:jc w:val="center"/>
        </w:trPr>
        <w:tc>
          <w:tcPr>
            <w:tcW w:w="64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CR "Current ratio" of Sweets Plc</w:t>
            </w:r>
          </w:p>
        </w:tc>
      </w:tr>
      <w:tr w:rsidR="00AB6657" w:rsidRPr="0023137A" w:rsidTr="00007B1F">
        <w:trPr>
          <w:trHeight w:val="302"/>
          <w:jc w:val="center"/>
        </w:trPr>
        <w:tc>
          <w:tcPr>
            <w:tcW w:w="322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61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61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302"/>
          <w:jc w:val="center"/>
        </w:trPr>
        <w:tc>
          <w:tcPr>
            <w:tcW w:w="322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Assets (Current)</w:t>
            </w:r>
          </w:p>
        </w:tc>
        <w:tc>
          <w:tcPr>
            <w:tcW w:w="161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2,355</w:t>
            </w:r>
          </w:p>
        </w:tc>
        <w:tc>
          <w:tcPr>
            <w:tcW w:w="161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2,303</w:t>
            </w:r>
          </w:p>
        </w:tc>
      </w:tr>
      <w:tr w:rsidR="00AB6657" w:rsidRPr="0023137A" w:rsidTr="00007B1F">
        <w:trPr>
          <w:trHeight w:val="302"/>
          <w:jc w:val="center"/>
        </w:trPr>
        <w:tc>
          <w:tcPr>
            <w:tcW w:w="322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Liabilities (Current)</w:t>
            </w:r>
          </w:p>
        </w:tc>
        <w:tc>
          <w:tcPr>
            <w:tcW w:w="161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3,046</w:t>
            </w:r>
          </w:p>
        </w:tc>
        <w:tc>
          <w:tcPr>
            <w:tcW w:w="161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2,511</w:t>
            </w:r>
          </w:p>
        </w:tc>
      </w:tr>
      <w:tr w:rsidR="00AB6657" w:rsidRPr="0023137A" w:rsidTr="00007B1F">
        <w:trPr>
          <w:trHeight w:val="302"/>
          <w:jc w:val="center"/>
        </w:trPr>
        <w:tc>
          <w:tcPr>
            <w:tcW w:w="3226"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CR</w:t>
            </w:r>
          </w:p>
        </w:tc>
        <w:tc>
          <w:tcPr>
            <w:tcW w:w="161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0.77</w:t>
            </w:r>
          </w:p>
        </w:tc>
        <w:tc>
          <w:tcPr>
            <w:tcW w:w="161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0.92</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CR is liquidity ratio that identifies how well the company has used current assets for paying off current liabilities (</w:t>
      </w:r>
      <w:r w:rsidRPr="00DA7559">
        <w:rPr>
          <w:color w:val="000000" w:themeColor="text1"/>
          <w:shd w:val="clear" w:color="auto" w:fill="FFFFFF"/>
          <w:lang w:val="en-GB"/>
        </w:rPr>
        <w:t xml:space="preserve">Sinurat </w:t>
      </w:r>
      <w:r w:rsidRPr="00DA7559">
        <w:rPr>
          <w:i/>
          <w:iCs/>
          <w:color w:val="000000" w:themeColor="text1"/>
          <w:shd w:val="clear" w:color="auto" w:fill="FFFFFF"/>
          <w:lang w:val="en-GB"/>
        </w:rPr>
        <w:t>et al.</w:t>
      </w:r>
      <w:r w:rsidRPr="00DA7559">
        <w:rPr>
          <w:color w:val="000000" w:themeColor="text1"/>
          <w:shd w:val="clear" w:color="auto" w:fill="FFFFFF"/>
          <w:lang w:val="en-GB"/>
        </w:rPr>
        <w:t xml:space="preserve"> 2021</w:t>
      </w:r>
      <w:r w:rsidRPr="00DA7559">
        <w:rPr>
          <w:color w:val="000000" w:themeColor="text1"/>
          <w:lang w:val="en-GB"/>
        </w:rPr>
        <w:t>). As per calculation, Sweets Plc has slight reduction in liquidity position in 2021. However, current liabilities were in a decreasing trend which is good for the company.  </w:t>
      </w: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t>9- “Gearing ratio” </w:t>
      </w:r>
    </w:p>
    <w:tbl>
      <w:tblPr>
        <w:tblW w:w="6522" w:type="dxa"/>
        <w:jc w:val="center"/>
        <w:tblInd w:w="93" w:type="dxa"/>
        <w:tblLook w:val="04A0"/>
      </w:tblPr>
      <w:tblGrid>
        <w:gridCol w:w="3024"/>
        <w:gridCol w:w="1749"/>
        <w:gridCol w:w="1749"/>
      </w:tblGrid>
      <w:tr w:rsidR="00AB6657" w:rsidRPr="0023137A" w:rsidTr="00007B1F">
        <w:trPr>
          <w:trHeight w:val="335"/>
          <w:jc w:val="center"/>
        </w:trPr>
        <w:tc>
          <w:tcPr>
            <w:tcW w:w="652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GR "Gearing ratio" of Sweets Plc</w:t>
            </w:r>
          </w:p>
        </w:tc>
      </w:tr>
      <w:tr w:rsidR="00AB6657" w:rsidRPr="0023137A" w:rsidTr="00007B1F">
        <w:trPr>
          <w:trHeight w:val="335"/>
          <w:jc w:val="center"/>
        </w:trPr>
        <w:tc>
          <w:tcPr>
            <w:tcW w:w="302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74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74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335"/>
          <w:jc w:val="center"/>
        </w:trPr>
        <w:tc>
          <w:tcPr>
            <w:tcW w:w="302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Capital (Debts)</w:t>
            </w:r>
          </w:p>
        </w:tc>
        <w:tc>
          <w:tcPr>
            <w:tcW w:w="174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7175</w:t>
            </w:r>
          </w:p>
        </w:tc>
        <w:tc>
          <w:tcPr>
            <w:tcW w:w="174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6648</w:t>
            </w:r>
          </w:p>
        </w:tc>
      </w:tr>
      <w:tr w:rsidR="00AB6657" w:rsidRPr="0023137A" w:rsidTr="00007B1F">
        <w:trPr>
          <w:trHeight w:val="335"/>
          <w:jc w:val="center"/>
        </w:trPr>
        <w:tc>
          <w:tcPr>
            <w:tcW w:w="302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  Capital (Equity) </w:t>
            </w:r>
          </w:p>
        </w:tc>
        <w:tc>
          <w:tcPr>
            <w:tcW w:w="174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2,912</w:t>
            </w:r>
          </w:p>
        </w:tc>
        <w:tc>
          <w:tcPr>
            <w:tcW w:w="174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3,088</w:t>
            </w:r>
          </w:p>
        </w:tc>
      </w:tr>
      <w:tr w:rsidR="00AB6657" w:rsidRPr="0023137A" w:rsidTr="00007B1F">
        <w:trPr>
          <w:trHeight w:val="335"/>
          <w:jc w:val="center"/>
        </w:trPr>
        <w:tc>
          <w:tcPr>
            <w:tcW w:w="3024"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GR</w:t>
            </w:r>
          </w:p>
        </w:tc>
        <w:tc>
          <w:tcPr>
            <w:tcW w:w="174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2.46</w:t>
            </w:r>
          </w:p>
        </w:tc>
        <w:tc>
          <w:tcPr>
            <w:tcW w:w="1749"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2.15</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According to GR, the gearing position of Sweets Plc is lower in 2021 in comparison to 2020. As the company has declined debt capital and increased equity capital in 2021, it was able to maintain solvent business position. Further, keeping debt lower has helped in reducing risk of insolvency for the company. </w:t>
      </w: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AB6657" w:rsidRPr="00DA7559" w:rsidRDefault="00AB6657" w:rsidP="008530E3">
      <w:pPr>
        <w:pStyle w:val="NormalWeb"/>
        <w:spacing w:before="200" w:beforeAutospacing="0" w:after="200" w:afterAutospacing="0" w:line="360" w:lineRule="auto"/>
        <w:jc w:val="both"/>
        <w:rPr>
          <w:color w:val="000000" w:themeColor="text1"/>
          <w:lang w:val="en-GB"/>
        </w:rPr>
      </w:pPr>
    </w:p>
    <w:p w:rsidR="00407034" w:rsidRPr="00DA7559" w:rsidRDefault="00407034" w:rsidP="008530E3">
      <w:pPr>
        <w:pStyle w:val="NormalWeb"/>
        <w:spacing w:before="200" w:beforeAutospacing="0" w:after="200" w:afterAutospacing="0" w:line="360" w:lineRule="auto"/>
        <w:jc w:val="both"/>
        <w:rPr>
          <w:b/>
          <w:bCs/>
          <w:i/>
          <w:iCs/>
          <w:color w:val="000000" w:themeColor="text1"/>
          <w:lang w:val="en-GB"/>
        </w:rPr>
      </w:pPr>
      <w:r w:rsidRPr="00DA7559">
        <w:rPr>
          <w:b/>
          <w:bCs/>
          <w:i/>
          <w:iCs/>
          <w:color w:val="000000" w:themeColor="text1"/>
          <w:lang w:val="en-GB"/>
        </w:rPr>
        <w:lastRenderedPageBreak/>
        <w:t>10- “Interest cover”</w:t>
      </w:r>
    </w:p>
    <w:tbl>
      <w:tblPr>
        <w:tblW w:w="6594" w:type="dxa"/>
        <w:jc w:val="center"/>
        <w:tblInd w:w="93" w:type="dxa"/>
        <w:tblLook w:val="04A0"/>
      </w:tblPr>
      <w:tblGrid>
        <w:gridCol w:w="4127"/>
        <w:gridCol w:w="1233"/>
        <w:gridCol w:w="1234"/>
      </w:tblGrid>
      <w:tr w:rsidR="00AB6657" w:rsidRPr="0023137A" w:rsidTr="00007B1F">
        <w:trPr>
          <w:trHeight w:val="298"/>
          <w:jc w:val="center"/>
        </w:trPr>
        <w:tc>
          <w:tcPr>
            <w:tcW w:w="659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center"/>
              <w:rPr>
                <w:b/>
                <w:bCs/>
                <w:color w:val="000000" w:themeColor="text1"/>
              </w:rPr>
            </w:pPr>
            <w:r w:rsidRPr="0023137A">
              <w:rPr>
                <w:b/>
                <w:bCs/>
                <w:color w:val="000000" w:themeColor="text1"/>
              </w:rPr>
              <w:t>IC "Interest cover" of Sweets Plc</w:t>
            </w:r>
          </w:p>
        </w:tc>
      </w:tr>
      <w:tr w:rsidR="00AB6657" w:rsidRPr="0023137A" w:rsidTr="00007B1F">
        <w:trPr>
          <w:trHeight w:val="298"/>
          <w:jc w:val="center"/>
        </w:trPr>
        <w:tc>
          <w:tcPr>
            <w:tcW w:w="4127"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Specifics</w:t>
            </w:r>
          </w:p>
        </w:tc>
        <w:tc>
          <w:tcPr>
            <w:tcW w:w="123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2020 </w:t>
            </w:r>
          </w:p>
        </w:tc>
        <w:tc>
          <w:tcPr>
            <w:tcW w:w="123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b/>
                <w:bCs/>
                <w:color w:val="000000" w:themeColor="text1"/>
              </w:rPr>
            </w:pPr>
            <w:r w:rsidRPr="0023137A">
              <w:rPr>
                <w:b/>
                <w:bCs/>
                <w:color w:val="000000" w:themeColor="text1"/>
              </w:rPr>
              <w:t xml:space="preserve">"£m" 2021 </w:t>
            </w:r>
          </w:p>
        </w:tc>
      </w:tr>
      <w:tr w:rsidR="00AB6657" w:rsidRPr="0023137A" w:rsidTr="00007B1F">
        <w:trPr>
          <w:trHeight w:val="298"/>
          <w:jc w:val="center"/>
        </w:trPr>
        <w:tc>
          <w:tcPr>
            <w:tcW w:w="4127"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EBIT "Earnings before interest and tax" </w:t>
            </w:r>
          </w:p>
        </w:tc>
        <w:tc>
          <w:tcPr>
            <w:tcW w:w="123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699</w:t>
            </w:r>
          </w:p>
        </w:tc>
        <w:tc>
          <w:tcPr>
            <w:tcW w:w="123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805</w:t>
            </w:r>
          </w:p>
        </w:tc>
      </w:tr>
      <w:tr w:rsidR="00AB6657" w:rsidRPr="0023137A" w:rsidTr="00007B1F">
        <w:trPr>
          <w:trHeight w:val="298"/>
          <w:jc w:val="center"/>
        </w:trPr>
        <w:tc>
          <w:tcPr>
            <w:tcW w:w="4127"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 xml:space="preserve">{/} Paid interests </w:t>
            </w:r>
          </w:p>
        </w:tc>
        <w:tc>
          <w:tcPr>
            <w:tcW w:w="123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181</w:t>
            </w:r>
          </w:p>
        </w:tc>
        <w:tc>
          <w:tcPr>
            <w:tcW w:w="123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226</w:t>
            </w:r>
          </w:p>
        </w:tc>
      </w:tr>
      <w:tr w:rsidR="00AB6657" w:rsidRPr="0023137A" w:rsidTr="00007B1F">
        <w:trPr>
          <w:trHeight w:val="298"/>
          <w:jc w:val="center"/>
        </w:trPr>
        <w:tc>
          <w:tcPr>
            <w:tcW w:w="4127" w:type="dxa"/>
            <w:tcBorders>
              <w:top w:val="nil"/>
              <w:left w:val="single" w:sz="4" w:space="0" w:color="auto"/>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rPr>
                <w:color w:val="000000" w:themeColor="text1"/>
              </w:rPr>
            </w:pPr>
            <w:r w:rsidRPr="0023137A">
              <w:rPr>
                <w:color w:val="000000" w:themeColor="text1"/>
              </w:rPr>
              <w:t>IC</w:t>
            </w:r>
          </w:p>
        </w:tc>
        <w:tc>
          <w:tcPr>
            <w:tcW w:w="1233"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3.86</w:t>
            </w:r>
          </w:p>
        </w:tc>
        <w:tc>
          <w:tcPr>
            <w:tcW w:w="1234" w:type="dxa"/>
            <w:tcBorders>
              <w:top w:val="nil"/>
              <w:left w:val="nil"/>
              <w:bottom w:val="single" w:sz="4" w:space="0" w:color="auto"/>
              <w:right w:val="single" w:sz="4" w:space="0" w:color="auto"/>
            </w:tcBorders>
            <w:shd w:val="clear" w:color="auto" w:fill="auto"/>
            <w:noWrap/>
            <w:vAlign w:val="bottom"/>
            <w:hideMark/>
          </w:tcPr>
          <w:p w:rsidR="00AB6657" w:rsidRPr="0023137A" w:rsidRDefault="00AB6657" w:rsidP="00007B1F">
            <w:pPr>
              <w:spacing w:after="0" w:line="240" w:lineRule="auto"/>
              <w:jc w:val="right"/>
              <w:rPr>
                <w:color w:val="000000" w:themeColor="text1"/>
              </w:rPr>
            </w:pPr>
            <w:r w:rsidRPr="0023137A">
              <w:rPr>
                <w:color w:val="000000" w:themeColor="text1"/>
              </w:rPr>
              <w:t>3.56</w:t>
            </w:r>
          </w:p>
        </w:tc>
      </w:tr>
    </w:tbl>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IC indicates ability of Sweets Plc to fulfil its debt obligations. In 2021, both interest paid and EBIT were on an increasing trend. However, IC in 2021 was slightly lower than in 2021. Thus, the ability of Sweets Plc to fulfil debt obligations slightly declined.  </w:t>
      </w:r>
    </w:p>
    <w:p w:rsidR="00407034" w:rsidRPr="00DA7559" w:rsidRDefault="00407034" w:rsidP="00FA6669">
      <w:pPr>
        <w:pStyle w:val="Heading1"/>
      </w:pPr>
      <w:bookmarkStart w:id="13" w:name="_Toc112259809"/>
      <w:r w:rsidRPr="00DA7559">
        <w:t>b) Justification of financial performance and position</w:t>
      </w:r>
      <w:bookmarkEnd w:id="13"/>
      <w:r w:rsidRPr="00DA7559">
        <w:t> </w:t>
      </w:r>
    </w:p>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Considering profitability, liquidity, solvency, and efficiency ratios of Sweets Plc, it can be said that the company has sound performance. As per ROCE, NPM, EPS, and AT, the profitability position of this company has been improved. Similarly, calculation of GR, CR, and DCP indicates the sound efficiency, liquidity, and solvency position of the company. However, calculation of SHD, and IC indicates a reduction in performance. Thus, the company has to work on its efficiency and solvency position. Overall, the company has sound performance in 2021 but some improvement is needed so that it performs well in the market. </w:t>
      </w:r>
    </w:p>
    <w:p w:rsidR="00407034" w:rsidRPr="00DA7559" w:rsidRDefault="00407034" w:rsidP="00FA6669">
      <w:pPr>
        <w:pStyle w:val="Heading1"/>
      </w:pPr>
      <w:bookmarkStart w:id="14" w:name="_Toc112259810"/>
      <w:r w:rsidRPr="00FA6669">
        <w:t>Conclusion</w:t>
      </w:r>
      <w:bookmarkEnd w:id="14"/>
      <w:r w:rsidRPr="00DA7559">
        <w:t> </w:t>
      </w:r>
    </w:p>
    <w:p w:rsidR="00407034" w:rsidRPr="00DA7559" w:rsidRDefault="00407034" w:rsidP="008530E3">
      <w:pPr>
        <w:pStyle w:val="NormalWeb"/>
        <w:spacing w:before="200" w:beforeAutospacing="0" w:after="200" w:afterAutospacing="0" w:line="360" w:lineRule="auto"/>
        <w:jc w:val="both"/>
        <w:rPr>
          <w:color w:val="000000" w:themeColor="text1"/>
          <w:lang w:val="en-GB"/>
        </w:rPr>
      </w:pPr>
      <w:r w:rsidRPr="00DA7559">
        <w:rPr>
          <w:color w:val="000000" w:themeColor="text1"/>
          <w:lang w:val="en-GB"/>
        </w:rPr>
        <w:t>Financial statements and reports provide key information about the performance of a company. By developing a financial position statement and income statement, an organisation can reflect its overall position in a particular year. In the case of Wales Plc, preparation of the financial statement shows a profit of £1350 and total assets of £1226975. Besides, the calculation of financial ratios for Sweets Plc indicates good profitability, liquidity, solvency, and efficiency position of the company in 2021. As per performance analysis, it can be said that a slight performance improvement would be needed in this company</w:t>
      </w:r>
      <w:r w:rsidR="00212098" w:rsidRPr="00DA7559">
        <w:rPr>
          <w:color w:val="000000" w:themeColor="text1"/>
          <w:lang w:val="en-GB"/>
        </w:rPr>
        <w:t xml:space="preserve"> for operating well in confectionery manufacturing market</w:t>
      </w:r>
      <w:r w:rsidRPr="00DA7559">
        <w:rPr>
          <w:color w:val="000000" w:themeColor="text1"/>
          <w:lang w:val="en-GB"/>
        </w:rPr>
        <w:t>.  </w:t>
      </w:r>
    </w:p>
    <w:p w:rsidR="00FF2A98" w:rsidRPr="00DA7559" w:rsidRDefault="00407034" w:rsidP="00FA6669">
      <w:pPr>
        <w:pStyle w:val="Heading1"/>
      </w:pPr>
      <w:r w:rsidRPr="00DA7559">
        <w:t xml:space="preserve"> </w:t>
      </w:r>
      <w:r w:rsidR="00BD65BB" w:rsidRPr="00DA7559">
        <w:br w:type="page"/>
      </w:r>
    </w:p>
    <w:p w:rsidR="00FF2A98" w:rsidRPr="00DA7559" w:rsidRDefault="00BD65BB" w:rsidP="00FA6669">
      <w:pPr>
        <w:pStyle w:val="Heading1"/>
      </w:pPr>
      <w:bookmarkStart w:id="15" w:name="_cc5jgm8hg2ki" w:colFirst="0" w:colLast="0"/>
      <w:bookmarkStart w:id="16" w:name="_Toc112259811"/>
      <w:bookmarkEnd w:id="15"/>
      <w:r w:rsidRPr="00DA7559">
        <w:lastRenderedPageBreak/>
        <w:t>Reference List</w:t>
      </w:r>
      <w:bookmarkEnd w:id="16"/>
    </w:p>
    <w:p w:rsidR="00DA7559" w:rsidRPr="00DA7559" w:rsidRDefault="00DA7559">
      <w:pPr>
        <w:pStyle w:val="normal0"/>
        <w:shd w:val="clear" w:color="auto" w:fill="FFFFFF"/>
        <w:spacing w:before="240" w:after="240"/>
        <w:rPr>
          <w:color w:val="000000" w:themeColor="text1"/>
          <w:lang w:val="en-GB"/>
        </w:rPr>
      </w:pPr>
      <w:r w:rsidRPr="00DA7559">
        <w:rPr>
          <w:color w:val="000000" w:themeColor="text1"/>
          <w:lang w:val="en-GB"/>
        </w:rPr>
        <w:t>Ameen, A.M., Ahmed, M.F. and Abd Hafez, M.A., (2018). The impact of management accounting and how it can be implemented into the organizational culture. Dutch Journal of Finance and Management, 2(1), p.02.</w:t>
      </w:r>
    </w:p>
    <w:p w:rsidR="00DA7559" w:rsidRPr="00DA7559" w:rsidRDefault="00DA7559" w:rsidP="004441D5">
      <w:pPr>
        <w:pStyle w:val="Default"/>
        <w:spacing w:before="240" w:after="240" w:line="360" w:lineRule="auto"/>
        <w:jc w:val="both"/>
        <w:rPr>
          <w:rFonts w:ascii="Times New Roman" w:hAnsi="Times New Roman" w:cs="Times New Roman"/>
          <w:color w:val="000000" w:themeColor="text1"/>
          <w:lang w:val="en-GB"/>
        </w:rPr>
      </w:pPr>
      <w:r w:rsidRPr="00DA7559">
        <w:rPr>
          <w:rFonts w:ascii="Times New Roman" w:hAnsi="Times New Roman" w:cs="Times New Roman"/>
          <w:color w:val="000000" w:themeColor="text1"/>
          <w:lang w:val="en-GB"/>
        </w:rPr>
        <w:t xml:space="preserve">Dyson, J., (2010). Accounting for Non-Accounting Students, London, 8th Edition, FT Pitman Publications </w:t>
      </w:r>
    </w:p>
    <w:p w:rsidR="00DA7559" w:rsidRPr="00DA7559" w:rsidRDefault="00DA7559">
      <w:pPr>
        <w:pStyle w:val="normal0"/>
        <w:shd w:val="clear" w:color="auto" w:fill="FFFFFF"/>
        <w:spacing w:before="240" w:after="240"/>
        <w:rPr>
          <w:color w:val="000000" w:themeColor="text1"/>
          <w:lang w:val="en-GB"/>
        </w:rPr>
      </w:pPr>
      <w:r w:rsidRPr="00DA7559">
        <w:rPr>
          <w:color w:val="000000" w:themeColor="text1"/>
          <w:lang w:val="en-GB"/>
        </w:rPr>
        <w:t>Faccia, A. and Mosteanu, N.R., (2019). Accounting and blockchain technology: from double-entry to triple-entry. The Business &amp; Management Review, 10(2), pp.108-116.</w:t>
      </w:r>
    </w:p>
    <w:p w:rsidR="00DA7559" w:rsidRPr="00DA7559" w:rsidRDefault="00DA7559">
      <w:pPr>
        <w:pStyle w:val="normal0"/>
        <w:shd w:val="clear" w:color="auto" w:fill="FFFFFF"/>
        <w:spacing w:before="240" w:after="240"/>
        <w:rPr>
          <w:color w:val="000000" w:themeColor="text1"/>
          <w:lang w:val="en-GB"/>
        </w:rPr>
      </w:pPr>
      <w:r w:rsidRPr="00DA7559">
        <w:rPr>
          <w:color w:val="000000" w:themeColor="text1"/>
          <w:lang w:val="en-GB"/>
        </w:rPr>
        <w:t>Levytska, S., Akimova, L., Zaiachkivska, O., Karpa, M. and Gupta, S.K., (2020). Modern analytical instruments for controlling the enterprise financial performance. Financial and credit activity problems of theory and practice, 2(33), pp.314-323.</w:t>
      </w:r>
    </w:p>
    <w:p w:rsidR="00DA7559" w:rsidRPr="00DA7559" w:rsidRDefault="00DA7559">
      <w:pPr>
        <w:pStyle w:val="normal0"/>
        <w:shd w:val="clear" w:color="auto" w:fill="FFFFFF"/>
        <w:spacing w:before="240" w:after="240"/>
        <w:rPr>
          <w:color w:val="000000" w:themeColor="text1"/>
          <w:lang w:val="en-GB"/>
        </w:rPr>
      </w:pPr>
      <w:r w:rsidRPr="00DA7559">
        <w:rPr>
          <w:color w:val="000000" w:themeColor="text1"/>
          <w:lang w:val="en-GB"/>
        </w:rPr>
        <w:t>Mazzocchetti, A., Lauretta, E., Raberto, M., Teglio, A. and Cincotti, S., (2020). Systemic financial risk indicators and securitised assets: an agent-based framework. Journal of Economic Interaction and Coordination, 15(1), pp.9-47.</w:t>
      </w:r>
    </w:p>
    <w:p w:rsidR="00DA7559" w:rsidRPr="00DA7559" w:rsidRDefault="00DA7559" w:rsidP="004441D5">
      <w:pPr>
        <w:pStyle w:val="Default"/>
        <w:spacing w:before="240" w:after="240" w:line="360" w:lineRule="auto"/>
        <w:jc w:val="both"/>
        <w:rPr>
          <w:rFonts w:ascii="Times New Roman" w:hAnsi="Times New Roman" w:cs="Times New Roman"/>
          <w:color w:val="000000" w:themeColor="text1"/>
          <w:lang w:val="en-GB"/>
        </w:rPr>
      </w:pPr>
      <w:r w:rsidRPr="00DA7559">
        <w:rPr>
          <w:rFonts w:ascii="Times New Roman" w:hAnsi="Times New Roman" w:cs="Times New Roman"/>
          <w:color w:val="000000" w:themeColor="text1"/>
          <w:lang w:val="en-GB"/>
        </w:rPr>
        <w:t xml:space="preserve">McLaney and Atrill, (2016). Financial accounting for decision makers, 10th edition, FT Prentice Hall. </w:t>
      </w:r>
    </w:p>
    <w:p w:rsidR="00DA7559" w:rsidRPr="00DA7559" w:rsidRDefault="00DA7559" w:rsidP="004441D5">
      <w:pPr>
        <w:spacing w:before="240" w:after="240"/>
        <w:rPr>
          <w:color w:val="000000" w:themeColor="text1"/>
          <w:shd w:val="clear" w:color="auto" w:fill="FFFFFF"/>
          <w:lang w:val="en-GB"/>
        </w:rPr>
      </w:pPr>
      <w:r w:rsidRPr="00DA7559">
        <w:rPr>
          <w:color w:val="000000" w:themeColor="text1"/>
          <w:shd w:val="clear" w:color="auto" w:fill="FFFFFF"/>
          <w:lang w:val="en-GB"/>
        </w:rPr>
        <w:t>Nariswari, T.N. and Nugraha, N.M., (2020). Profit Growth: Impact of Net Profit Margin, Gross Profit Margin and Total Assests Turnover. </w:t>
      </w:r>
      <w:r w:rsidRPr="00DA7559">
        <w:rPr>
          <w:i/>
          <w:iCs/>
          <w:color w:val="000000" w:themeColor="text1"/>
          <w:shd w:val="clear" w:color="auto" w:fill="FFFFFF"/>
          <w:lang w:val="en-GB"/>
        </w:rPr>
        <w:t>International Journal of Finance &amp; Banking Studies</w:t>
      </w:r>
      <w:r w:rsidRPr="00DA7559">
        <w:rPr>
          <w:color w:val="000000" w:themeColor="text1"/>
          <w:shd w:val="clear" w:color="auto" w:fill="FFFFFF"/>
          <w:lang w:val="en-GB"/>
        </w:rPr>
        <w:t>, </w:t>
      </w:r>
      <w:r w:rsidRPr="00DA7559">
        <w:rPr>
          <w:i/>
          <w:iCs/>
          <w:color w:val="000000" w:themeColor="text1"/>
          <w:shd w:val="clear" w:color="auto" w:fill="FFFFFF"/>
          <w:lang w:val="en-GB"/>
        </w:rPr>
        <w:t>9</w:t>
      </w:r>
      <w:r w:rsidRPr="00DA7559">
        <w:rPr>
          <w:color w:val="000000" w:themeColor="text1"/>
          <w:shd w:val="clear" w:color="auto" w:fill="FFFFFF"/>
          <w:lang w:val="en-GB"/>
        </w:rPr>
        <w:t>(4), pp.87-96.</w:t>
      </w:r>
    </w:p>
    <w:p w:rsidR="00DA7559" w:rsidRPr="00DA7559" w:rsidRDefault="00DA7559" w:rsidP="004441D5">
      <w:pPr>
        <w:spacing w:before="240" w:after="240"/>
        <w:rPr>
          <w:color w:val="000000" w:themeColor="text1"/>
          <w:shd w:val="clear" w:color="auto" w:fill="FFFFFF"/>
          <w:lang w:val="en-GB"/>
        </w:rPr>
      </w:pPr>
      <w:r w:rsidRPr="00DA7559">
        <w:rPr>
          <w:color w:val="000000" w:themeColor="text1"/>
          <w:shd w:val="clear" w:color="auto" w:fill="FFFFFF"/>
          <w:lang w:val="en-GB"/>
        </w:rPr>
        <w:t>Profir, L., (2017). Financial Performance Analysis Based On The Profit And Loss Statement. </w:t>
      </w:r>
      <w:r w:rsidRPr="00DA7559">
        <w:rPr>
          <w:i/>
          <w:iCs/>
          <w:color w:val="000000" w:themeColor="text1"/>
          <w:shd w:val="clear" w:color="auto" w:fill="FFFFFF"/>
          <w:lang w:val="en-GB"/>
        </w:rPr>
        <w:t>Law, Society &amp; Organisations</w:t>
      </w:r>
      <w:r w:rsidRPr="00DA7559">
        <w:rPr>
          <w:color w:val="000000" w:themeColor="text1"/>
          <w:shd w:val="clear" w:color="auto" w:fill="FFFFFF"/>
          <w:lang w:val="en-GB"/>
        </w:rPr>
        <w:t>, </w:t>
      </w:r>
      <w:r w:rsidRPr="00DA7559">
        <w:rPr>
          <w:i/>
          <w:iCs/>
          <w:color w:val="000000" w:themeColor="text1"/>
          <w:shd w:val="clear" w:color="auto" w:fill="FFFFFF"/>
          <w:lang w:val="en-GB"/>
        </w:rPr>
        <w:t>2</w:t>
      </w:r>
      <w:r w:rsidRPr="00DA7559">
        <w:rPr>
          <w:color w:val="000000" w:themeColor="text1"/>
          <w:shd w:val="clear" w:color="auto" w:fill="FFFFFF"/>
          <w:lang w:val="en-GB"/>
        </w:rPr>
        <w:t>(2), pp.47-51.</w:t>
      </w:r>
    </w:p>
    <w:p w:rsidR="00DA7559" w:rsidRPr="00DA7559" w:rsidRDefault="00DA7559">
      <w:pPr>
        <w:pStyle w:val="normal0"/>
        <w:shd w:val="clear" w:color="auto" w:fill="FFFFFF"/>
        <w:spacing w:before="240" w:after="240"/>
        <w:rPr>
          <w:color w:val="000000" w:themeColor="text1"/>
          <w:lang w:val="en-GB"/>
        </w:rPr>
      </w:pPr>
      <w:r w:rsidRPr="00DA7559">
        <w:rPr>
          <w:color w:val="000000" w:themeColor="text1"/>
          <w:lang w:val="en-GB"/>
        </w:rPr>
        <w:t>Sangster, A. and Rossi, F., (2018). Benedetto Cotrugli on double entry bookkeeping. De Computis: Revista Española de Historia de la Contabilidad, 15(2), pp.22-38.</w:t>
      </w:r>
    </w:p>
    <w:p w:rsidR="00DA7559" w:rsidRPr="00DA7559" w:rsidRDefault="00DA7559" w:rsidP="004441D5">
      <w:pPr>
        <w:spacing w:before="240" w:after="240"/>
        <w:rPr>
          <w:color w:val="000000" w:themeColor="text1"/>
          <w:shd w:val="clear" w:color="auto" w:fill="FFFFFF"/>
          <w:lang w:val="en-GB"/>
        </w:rPr>
      </w:pPr>
      <w:r w:rsidRPr="00DA7559">
        <w:rPr>
          <w:color w:val="000000" w:themeColor="text1"/>
          <w:shd w:val="clear" w:color="auto" w:fill="FFFFFF"/>
          <w:lang w:val="en-GB"/>
        </w:rPr>
        <w:t>Sinurat, M., Priya, R.S., Sitanggang, R. and Sitorus, F.D., (2021). The Effect Of Debt To Equity Ratio, Current Ratio, Return On Asset, Total Asset Turn Over Towards Income Growth. </w:t>
      </w:r>
      <w:r w:rsidRPr="00DA7559">
        <w:rPr>
          <w:i/>
          <w:iCs/>
          <w:color w:val="000000" w:themeColor="text1"/>
          <w:shd w:val="clear" w:color="auto" w:fill="FFFFFF"/>
          <w:lang w:val="en-GB"/>
        </w:rPr>
        <w:t>Gorontalo Accounting Journal</w:t>
      </w:r>
      <w:r w:rsidRPr="00DA7559">
        <w:rPr>
          <w:color w:val="000000" w:themeColor="text1"/>
          <w:shd w:val="clear" w:color="auto" w:fill="FFFFFF"/>
          <w:lang w:val="en-GB"/>
        </w:rPr>
        <w:t>, </w:t>
      </w:r>
      <w:r w:rsidRPr="00DA7559">
        <w:rPr>
          <w:i/>
          <w:iCs/>
          <w:color w:val="000000" w:themeColor="text1"/>
          <w:shd w:val="clear" w:color="auto" w:fill="FFFFFF"/>
          <w:lang w:val="en-GB"/>
        </w:rPr>
        <w:t>4</w:t>
      </w:r>
      <w:r w:rsidRPr="00DA7559">
        <w:rPr>
          <w:color w:val="000000" w:themeColor="text1"/>
          <w:shd w:val="clear" w:color="auto" w:fill="FFFFFF"/>
          <w:lang w:val="en-GB"/>
        </w:rPr>
        <w:t>(1), pp.110-122.</w:t>
      </w:r>
    </w:p>
    <w:p w:rsidR="004441D5" w:rsidRPr="00DA7559" w:rsidRDefault="004441D5">
      <w:pPr>
        <w:pStyle w:val="normal0"/>
        <w:shd w:val="clear" w:color="auto" w:fill="FFFFFF"/>
        <w:spacing w:before="240" w:after="240"/>
        <w:rPr>
          <w:color w:val="000000" w:themeColor="text1"/>
          <w:lang w:val="en-GB"/>
        </w:rPr>
      </w:pPr>
    </w:p>
    <w:sectPr w:rsidR="004441D5" w:rsidRPr="00DA7559" w:rsidSect="006D2ABD">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631" w:rsidRDefault="00B40631" w:rsidP="00FF2A98">
      <w:pPr>
        <w:spacing w:before="0" w:after="0" w:line="240" w:lineRule="auto"/>
      </w:pPr>
      <w:r>
        <w:separator/>
      </w:r>
    </w:p>
  </w:endnote>
  <w:endnote w:type="continuationSeparator" w:id="1">
    <w:p w:rsidR="00B40631" w:rsidRDefault="00B40631" w:rsidP="00FF2A9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ABD" w:rsidRDefault="006D2AB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A98" w:rsidRDefault="00E310C7">
    <w:pPr>
      <w:pStyle w:val="normal0"/>
      <w:jc w:val="right"/>
    </w:pPr>
    <w:r>
      <w:fldChar w:fldCharType="begin"/>
    </w:r>
    <w:r w:rsidR="00BD65BB">
      <w:instrText>PAGE</w:instrText>
    </w:r>
    <w:r>
      <w:fldChar w:fldCharType="separate"/>
    </w:r>
    <w:r w:rsidR="00FA6669">
      <w:rPr>
        <w:noProof/>
      </w:rPr>
      <w:t>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A98" w:rsidRDefault="00FF2A98">
    <w:pPr>
      <w:pStyle w:val="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631" w:rsidRDefault="00B40631" w:rsidP="00FF2A98">
      <w:pPr>
        <w:spacing w:before="0" w:after="0" w:line="240" w:lineRule="auto"/>
      </w:pPr>
      <w:r>
        <w:separator/>
      </w:r>
    </w:p>
  </w:footnote>
  <w:footnote w:type="continuationSeparator" w:id="1">
    <w:p w:rsidR="00B40631" w:rsidRDefault="00B40631" w:rsidP="00FF2A98">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ABD" w:rsidRDefault="006D2AB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ABD" w:rsidRDefault="006D2AB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ABD" w:rsidRDefault="006D2AB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9218"/>
  </w:hdrShapeDefaults>
  <w:footnotePr>
    <w:footnote w:id="0"/>
    <w:footnote w:id="1"/>
  </w:footnotePr>
  <w:endnotePr>
    <w:endnote w:id="0"/>
    <w:endnote w:id="1"/>
  </w:endnotePr>
  <w:compat/>
  <w:rsids>
    <w:rsidRoot w:val="00FF2A98"/>
    <w:rsid w:val="00212098"/>
    <w:rsid w:val="00330055"/>
    <w:rsid w:val="003A67E9"/>
    <w:rsid w:val="00407034"/>
    <w:rsid w:val="004441D5"/>
    <w:rsid w:val="00640262"/>
    <w:rsid w:val="006D2ABD"/>
    <w:rsid w:val="008530E3"/>
    <w:rsid w:val="00AB6657"/>
    <w:rsid w:val="00B40631"/>
    <w:rsid w:val="00BD65BB"/>
    <w:rsid w:val="00DA7559"/>
    <w:rsid w:val="00E310C7"/>
    <w:rsid w:val="00FA6669"/>
    <w:rsid w:val="00FF2A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262"/>
  </w:style>
  <w:style w:type="paragraph" w:styleId="Heading1">
    <w:name w:val="heading 1"/>
    <w:basedOn w:val="NormalWeb"/>
    <w:next w:val="normal0"/>
    <w:rsid w:val="00FA6669"/>
    <w:pPr>
      <w:spacing w:before="200" w:beforeAutospacing="0" w:after="200" w:afterAutospacing="0" w:line="360" w:lineRule="auto"/>
      <w:jc w:val="both"/>
      <w:outlineLvl w:val="0"/>
    </w:pPr>
    <w:rPr>
      <w:b/>
      <w:bCs/>
      <w:color w:val="000000" w:themeColor="text1"/>
      <w:lang w:val="en-GB"/>
    </w:rPr>
  </w:style>
  <w:style w:type="paragraph" w:styleId="Heading2">
    <w:name w:val="heading 2"/>
    <w:basedOn w:val="normal0"/>
    <w:next w:val="normal0"/>
    <w:rsid w:val="00FF2A98"/>
    <w:pPr>
      <w:keepNext/>
      <w:keepLines/>
      <w:spacing w:before="360" w:after="120"/>
      <w:outlineLvl w:val="1"/>
    </w:pPr>
    <w:rPr>
      <w:sz w:val="32"/>
      <w:szCs w:val="32"/>
    </w:rPr>
  </w:style>
  <w:style w:type="paragraph" w:styleId="Heading3">
    <w:name w:val="heading 3"/>
    <w:basedOn w:val="normal0"/>
    <w:next w:val="normal0"/>
    <w:rsid w:val="00FF2A98"/>
    <w:pPr>
      <w:keepNext/>
      <w:keepLines/>
      <w:spacing w:before="320" w:after="80"/>
      <w:outlineLvl w:val="2"/>
    </w:pPr>
    <w:rPr>
      <w:color w:val="434343"/>
      <w:sz w:val="28"/>
      <w:szCs w:val="28"/>
    </w:rPr>
  </w:style>
  <w:style w:type="paragraph" w:styleId="Heading4">
    <w:name w:val="heading 4"/>
    <w:basedOn w:val="normal0"/>
    <w:next w:val="normal0"/>
    <w:rsid w:val="00FF2A98"/>
    <w:pPr>
      <w:keepNext/>
      <w:keepLines/>
      <w:spacing w:before="280" w:after="80"/>
      <w:outlineLvl w:val="3"/>
    </w:pPr>
    <w:rPr>
      <w:color w:val="666666"/>
    </w:rPr>
  </w:style>
  <w:style w:type="paragraph" w:styleId="Heading5">
    <w:name w:val="heading 5"/>
    <w:basedOn w:val="normal0"/>
    <w:next w:val="normal0"/>
    <w:rsid w:val="00FF2A98"/>
    <w:pPr>
      <w:keepNext/>
      <w:keepLines/>
      <w:spacing w:before="240" w:after="80"/>
      <w:outlineLvl w:val="4"/>
    </w:pPr>
    <w:rPr>
      <w:color w:val="666666"/>
      <w:sz w:val="22"/>
      <w:szCs w:val="22"/>
    </w:rPr>
  </w:style>
  <w:style w:type="paragraph" w:styleId="Heading6">
    <w:name w:val="heading 6"/>
    <w:basedOn w:val="normal0"/>
    <w:next w:val="normal0"/>
    <w:rsid w:val="00FF2A9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F2A98"/>
  </w:style>
  <w:style w:type="paragraph" w:styleId="Title">
    <w:name w:val="Title"/>
    <w:basedOn w:val="normal0"/>
    <w:next w:val="normal0"/>
    <w:rsid w:val="00FF2A98"/>
    <w:pPr>
      <w:keepNext/>
      <w:keepLines/>
      <w:spacing w:before="0" w:after="60"/>
    </w:pPr>
    <w:rPr>
      <w:sz w:val="52"/>
      <w:szCs w:val="52"/>
    </w:rPr>
  </w:style>
  <w:style w:type="paragraph" w:styleId="Subtitle">
    <w:name w:val="Subtitle"/>
    <w:basedOn w:val="normal0"/>
    <w:next w:val="normal0"/>
    <w:rsid w:val="00FF2A98"/>
    <w:pPr>
      <w:keepNext/>
      <w:keepLines/>
      <w:spacing w:before="0" w:after="320"/>
    </w:pPr>
    <w:rPr>
      <w:rFonts w:ascii="Arial" w:eastAsia="Arial" w:hAnsi="Arial" w:cs="Arial"/>
      <w:color w:val="666666"/>
      <w:sz w:val="30"/>
      <w:szCs w:val="30"/>
    </w:rPr>
  </w:style>
  <w:style w:type="table" w:customStyle="1" w:styleId="a">
    <w:basedOn w:val="TableNormal"/>
    <w:rsid w:val="00FF2A98"/>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FF2A98"/>
    <w:tblPr>
      <w:tblStyleRowBandSize w:val="1"/>
      <w:tblStyleColBandSize w:val="1"/>
      <w:tblInd w:w="0" w:type="dxa"/>
      <w:tblCellMar>
        <w:top w:w="100" w:type="dxa"/>
        <w:left w:w="100" w:type="dxa"/>
        <w:bottom w:w="100" w:type="dxa"/>
        <w:right w:w="100" w:type="dxa"/>
      </w:tblCellMar>
    </w:tblPr>
  </w:style>
  <w:style w:type="paragraph" w:styleId="TOC1">
    <w:name w:val="toc 1"/>
    <w:basedOn w:val="Normal"/>
    <w:next w:val="Normal"/>
    <w:autoRedefine/>
    <w:uiPriority w:val="39"/>
    <w:unhideWhenUsed/>
    <w:rsid w:val="006D2ABD"/>
    <w:pPr>
      <w:spacing w:after="100"/>
    </w:pPr>
  </w:style>
  <w:style w:type="character" w:styleId="Hyperlink">
    <w:name w:val="Hyperlink"/>
    <w:basedOn w:val="DefaultParagraphFont"/>
    <w:uiPriority w:val="99"/>
    <w:unhideWhenUsed/>
    <w:rsid w:val="006D2ABD"/>
    <w:rPr>
      <w:color w:val="0000FF" w:themeColor="hyperlink"/>
      <w:u w:val="single"/>
    </w:rPr>
  </w:style>
  <w:style w:type="paragraph" w:styleId="Header">
    <w:name w:val="header"/>
    <w:basedOn w:val="Normal"/>
    <w:link w:val="HeaderChar"/>
    <w:uiPriority w:val="99"/>
    <w:semiHidden/>
    <w:unhideWhenUsed/>
    <w:rsid w:val="006D2ABD"/>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6D2ABD"/>
  </w:style>
  <w:style w:type="paragraph" w:styleId="Footer">
    <w:name w:val="footer"/>
    <w:basedOn w:val="Normal"/>
    <w:link w:val="FooterChar"/>
    <w:uiPriority w:val="99"/>
    <w:semiHidden/>
    <w:unhideWhenUsed/>
    <w:rsid w:val="006D2ABD"/>
    <w:pPr>
      <w:tabs>
        <w:tab w:val="center" w:pos="4680"/>
        <w:tab w:val="right" w:pos="9360"/>
      </w:tabs>
      <w:spacing w:before="0" w:after="0" w:line="240" w:lineRule="auto"/>
    </w:pPr>
  </w:style>
  <w:style w:type="character" w:customStyle="1" w:styleId="FooterChar">
    <w:name w:val="Footer Char"/>
    <w:basedOn w:val="DefaultParagraphFont"/>
    <w:link w:val="Footer"/>
    <w:uiPriority w:val="99"/>
    <w:semiHidden/>
    <w:rsid w:val="006D2ABD"/>
  </w:style>
  <w:style w:type="paragraph" w:styleId="NormalWeb">
    <w:name w:val="Normal (Web)"/>
    <w:basedOn w:val="Normal"/>
    <w:uiPriority w:val="99"/>
    <w:semiHidden/>
    <w:unhideWhenUsed/>
    <w:rsid w:val="00407034"/>
    <w:pPr>
      <w:spacing w:before="100" w:beforeAutospacing="1" w:after="100" w:afterAutospacing="1" w:line="240" w:lineRule="auto"/>
      <w:jc w:val="left"/>
    </w:pPr>
  </w:style>
  <w:style w:type="paragraph" w:customStyle="1" w:styleId="Default">
    <w:name w:val="Default"/>
    <w:rsid w:val="004441D5"/>
    <w:pPr>
      <w:autoSpaceDE w:val="0"/>
      <w:autoSpaceDN w:val="0"/>
      <w:adjustRightInd w:val="0"/>
      <w:spacing w:before="0" w:after="0" w:line="240" w:lineRule="auto"/>
      <w:jc w:val="left"/>
    </w:pPr>
    <w:rPr>
      <w:rFonts w:ascii="Arial" w:eastAsia="Arial" w:hAnsi="Arial" w:cs="Arial"/>
      <w:color w:val="000000"/>
    </w:rPr>
  </w:style>
</w:styles>
</file>

<file path=word/webSettings.xml><?xml version="1.0" encoding="utf-8"?>
<w:webSettings xmlns:r="http://schemas.openxmlformats.org/officeDocument/2006/relationships" xmlns:w="http://schemas.openxmlformats.org/wordprocessingml/2006/main">
  <w:divs>
    <w:div w:id="15229343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940EC-E6FB-4ACA-867D-FF26AC51C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2458</Words>
  <Characters>14014</Characters>
  <Application>Microsoft Office Word</Application>
  <DocSecurity>0</DocSecurity>
  <Lines>116</Lines>
  <Paragraphs>32</Paragraphs>
  <ScaleCrop>false</ScaleCrop>
  <Company/>
  <LinksUpToDate>false</LinksUpToDate>
  <CharactersWithSpaces>16440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2022-08-23T07:18:00Z</dcterms:created>
  <dcterms:modified xsi:type="dcterms:W3CDTF">2022-08-24T13:26:00Z</dcterms:modified>
</cp:coreProperties>
</file>