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sdt>
      <w:sdtPr>
        <w:id w:val="1095443127"/>
        <w:docPartObj>
          <w:docPartGallery w:val="Cover Pages"/>
          <w:docPartUnique/>
        </w:docPartObj>
      </w:sdtPr>
      <w:sdtContent>
        <w:p w:rsidR="00DE7D98" w:rsidRDefault="00DE7D98" w14:paraId="4FA2CE09" w14:textId="74CADC09">
          <w:r>
            <w:rPr>
              <w:noProof/>
            </w:rPr>
            <mc:AlternateContent>
              <mc:Choice Requires="wpg">
                <w:drawing>
                  <wp:anchor distT="0" distB="0" distL="114300" distR="114300" simplePos="0" relativeHeight="251662336" behindDoc="0" locked="0" layoutInCell="1" allowOverlap="1" wp14:anchorId="33C702AA" wp14:editId="74BE13F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2C1EB2D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v:fill type="frame" o:title="" recolor="t" rotate="t" r:id="rId5"/>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B10CD43" wp14:editId="0E9F57C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DE7D98" w:rsidRDefault="00DE7D98" w14:paraId="5E2C0DE7" w14:textId="37372DA1">
                                    <w:pPr>
                                      <w:pStyle w:val="NoSpacing"/>
                                      <w:jc w:val="right"/>
                                      <w:rPr>
                                        <w:color w:val="595959" w:themeColor="text1" w:themeTint="A6"/>
                                        <w:sz w:val="28"/>
                                        <w:szCs w:val="28"/>
                                      </w:rPr>
                                    </w:pPr>
                                    <w:r>
                                      <w:rPr>
                                        <w:color w:val="595959" w:themeColor="text1" w:themeTint="A6"/>
                                        <w:sz w:val="28"/>
                                        <w:szCs w:val="28"/>
                                      </w:rPr>
                                      <w:t>Janhara Bibi (2025745)</w:t>
                                    </w:r>
                                  </w:p>
                                </w:sdtContent>
                              </w:sdt>
                              <w:p w:rsidR="00DE7D98" w:rsidRDefault="00DE7D98" w14:paraId="5B1E3793" w14:textId="3EF05EC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w14:anchorId="3B10CD43">
                    <v:stroke joinstyle="miter"/>
                    <v:path gradientshapeok="t" o:connecttype="rect"/>
                  </v:shapetype>
                  <v:shape id="Text Box 15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DE7D98" w:rsidRDefault="00DE7D98" w14:paraId="5E2C0DE7" w14:textId="37372DA1">
                              <w:pPr>
                                <w:pStyle w:val="NoSpacing"/>
                                <w:jc w:val="right"/>
                                <w:rPr>
                                  <w:color w:val="595959" w:themeColor="text1" w:themeTint="A6"/>
                                  <w:sz w:val="28"/>
                                  <w:szCs w:val="28"/>
                                </w:rPr>
                              </w:pPr>
                              <w:r>
                                <w:rPr>
                                  <w:color w:val="595959" w:themeColor="text1" w:themeTint="A6"/>
                                  <w:sz w:val="28"/>
                                  <w:szCs w:val="28"/>
                                </w:rPr>
                                <w:t>Janhara Bibi (2025745)</w:t>
                              </w:r>
                            </w:p>
                          </w:sdtContent>
                        </w:sdt>
                        <w:p w:rsidR="00DE7D98" w:rsidRDefault="00DE7D98" w14:paraId="5B1E3793" w14:textId="3EF05EC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7896EE7" wp14:editId="256840C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7D98" w:rsidRDefault="00DE7D98" w14:paraId="06535919" w14:textId="5CC5F59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COMponent 1: annotated bibliography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DE7D98" w:rsidRDefault="00DE7D98" w14:paraId="468DB93F" w14:textId="2CC5483C">
                                    <w:pPr>
                                      <w:jc w:val="right"/>
                                      <w:rPr>
                                        <w:smallCaps/>
                                        <w:color w:val="404040" w:themeColor="text1" w:themeTint="BF"/>
                                        <w:sz w:val="36"/>
                                        <w:szCs w:val="36"/>
                                      </w:rPr>
                                    </w:pPr>
                                    <w:r>
                                      <w:rPr>
                                        <w:color w:val="404040" w:themeColor="text1" w:themeTint="BF"/>
                                        <w:sz w:val="36"/>
                                        <w:szCs w:val="36"/>
                                      </w:rPr>
                                      <w:t xml:space="preserve"> Module: Psychology for Health and Social Care (BMHP4003)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7"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w14:anchorId="27896EE7">
                    <v:textbox inset="126pt,0,54pt,0">
                      <w:txbxContent>
                        <w:p w:rsidR="00DE7D98" w:rsidRDefault="00DE7D98" w14:paraId="06535919" w14:textId="5CC5F59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COMponent 1: annotated bibliography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DE7D98" w:rsidRDefault="00DE7D98" w14:paraId="468DB93F" w14:textId="2CC5483C">
                              <w:pPr>
                                <w:jc w:val="right"/>
                                <w:rPr>
                                  <w:smallCaps/>
                                  <w:color w:val="404040" w:themeColor="text1" w:themeTint="BF"/>
                                  <w:sz w:val="36"/>
                                  <w:szCs w:val="36"/>
                                </w:rPr>
                              </w:pPr>
                              <w:r>
                                <w:rPr>
                                  <w:color w:val="404040" w:themeColor="text1" w:themeTint="BF"/>
                                  <w:sz w:val="36"/>
                                  <w:szCs w:val="36"/>
                                </w:rPr>
                                <w:t xml:space="preserve"> Module: Psychology for Health and Social Care (BMHP4003)</w:t>
                              </w:r>
                            </w:p>
                          </w:sdtContent>
                        </w:sdt>
                      </w:txbxContent>
                    </v:textbox>
                    <w10:wrap type="square" anchorx="page" anchory="page"/>
                  </v:shape>
                </w:pict>
              </mc:Fallback>
            </mc:AlternateContent>
          </w:r>
        </w:p>
        <w:p w:rsidR="00DE7D98" w:rsidRDefault="00DE7D98" w14:paraId="14058F68" w14:textId="15D42F54">
          <w:r>
            <w:br w:type="page"/>
          </w:r>
        </w:p>
      </w:sdtContent>
    </w:sdt>
    <w:p w:rsidRPr="00AE5147" w:rsidR="00DE7D98" w:rsidP="00DE7D98" w:rsidRDefault="00DE7D98" w14:paraId="1BCF674E" w14:textId="77777777">
      <w:pPr>
        <w:spacing w:line="360" w:lineRule="auto"/>
        <w:rPr>
          <w:rFonts w:ascii="Arial" w:hAnsi="Arial" w:cs="Arial"/>
          <w:sz w:val="22"/>
          <w:szCs w:val="22"/>
        </w:rPr>
      </w:pPr>
      <w:r w:rsidRPr="00AE5147">
        <w:rPr>
          <w:rFonts w:ascii="Arial" w:hAnsi="Arial" w:cs="Arial"/>
          <w:sz w:val="22"/>
          <w:szCs w:val="22"/>
        </w:rPr>
        <w:lastRenderedPageBreak/>
        <w:t xml:space="preserve">Boyd, D. R., and Bee, H. L. (2019) </w:t>
      </w:r>
      <w:r w:rsidRPr="00AE5147">
        <w:rPr>
          <w:rFonts w:ascii="Arial" w:hAnsi="Arial" w:cs="Arial"/>
          <w:i/>
          <w:iCs/>
          <w:sz w:val="22"/>
          <w:szCs w:val="22"/>
        </w:rPr>
        <w:t>Lifespan Development</w:t>
      </w:r>
      <w:r w:rsidRPr="00AE5147">
        <w:rPr>
          <w:rFonts w:ascii="Arial" w:hAnsi="Arial" w:cs="Arial"/>
          <w:sz w:val="22"/>
          <w:szCs w:val="22"/>
        </w:rPr>
        <w:t>. 8th edn. Harlow, England: Pearson.</w:t>
      </w:r>
    </w:p>
    <w:p w:rsidRPr="00AE5147" w:rsidR="00DE7D98" w:rsidP="00DE7D98" w:rsidRDefault="00DE7D98" w14:paraId="7EBAD973" w14:textId="77777777">
      <w:pPr>
        <w:spacing w:line="360" w:lineRule="auto"/>
        <w:rPr>
          <w:rFonts w:ascii="Arial" w:hAnsi="Arial" w:cs="Arial"/>
          <w:sz w:val="22"/>
          <w:szCs w:val="22"/>
        </w:rPr>
      </w:pPr>
    </w:p>
    <w:p w:rsidRPr="00AE5147" w:rsidR="00DE7D98" w:rsidP="00DE7D98" w:rsidRDefault="00DE7D98" w14:paraId="613500DE" w14:textId="52A8CDB5">
      <w:pPr>
        <w:spacing w:line="360" w:lineRule="auto"/>
        <w:ind w:left="720"/>
        <w:rPr>
          <w:rFonts w:ascii="Arial" w:hAnsi="Arial" w:cs="Arial"/>
          <w:sz w:val="22"/>
          <w:szCs w:val="22"/>
        </w:rPr>
      </w:pPr>
      <w:r w:rsidRPr="70B1B81C" w:rsidR="00DE7D98">
        <w:rPr>
          <w:rFonts w:ascii="Arial" w:hAnsi="Arial" w:cs="Arial"/>
          <w:sz w:val="22"/>
          <w:szCs w:val="22"/>
        </w:rPr>
        <w:t xml:space="preserve">This textbook discusses different parts of development from birth up until death in terms of </w:t>
      </w:r>
      <w:r w:rsidRPr="70B1B81C" w:rsidR="00DE7D98">
        <w:rPr>
          <w:rFonts w:ascii="Arial" w:hAnsi="Arial" w:cs="Arial"/>
          <w:sz w:val="22"/>
          <w:szCs w:val="22"/>
        </w:rPr>
        <w:t>Psychological</w:t>
      </w:r>
      <w:r w:rsidRPr="70B1B81C" w:rsidR="00DE7D98">
        <w:rPr>
          <w:rFonts w:ascii="Arial" w:hAnsi="Arial" w:cs="Arial"/>
          <w:sz w:val="22"/>
          <w:szCs w:val="22"/>
        </w:rPr>
        <w:t xml:space="preserve"> theories and research. Boyd and Bee talk about Piaget and his theory in </w:t>
      </w:r>
      <w:proofErr w:type="gramStart"/>
      <w:r w:rsidRPr="70B1B81C" w:rsidR="00DE7D98">
        <w:rPr>
          <w:rFonts w:ascii="Arial" w:hAnsi="Arial" w:cs="Arial"/>
          <w:sz w:val="22"/>
          <w:szCs w:val="22"/>
        </w:rPr>
        <w:t>great detail</w:t>
      </w:r>
      <w:proofErr w:type="gramEnd"/>
      <w:r w:rsidRPr="70B1B81C" w:rsidR="00DE7D98">
        <w:rPr>
          <w:rFonts w:ascii="Arial" w:hAnsi="Arial" w:cs="Arial"/>
          <w:sz w:val="22"/>
          <w:szCs w:val="22"/>
        </w:rPr>
        <w:t xml:space="preserve"> in Chapter 5 (Cognitive Development in Infancy). Even though I did not need </w:t>
      </w:r>
      <w:proofErr w:type="gramStart"/>
      <w:r w:rsidRPr="70B1B81C" w:rsidR="00DE7D98">
        <w:rPr>
          <w:rFonts w:ascii="Arial" w:hAnsi="Arial" w:cs="Arial"/>
          <w:sz w:val="22"/>
          <w:szCs w:val="22"/>
        </w:rPr>
        <w:t>all of</w:t>
      </w:r>
      <w:proofErr w:type="gramEnd"/>
      <w:r w:rsidRPr="70B1B81C" w:rsidR="00DE7D98">
        <w:rPr>
          <w:rFonts w:ascii="Arial" w:hAnsi="Arial" w:cs="Arial"/>
          <w:sz w:val="22"/>
          <w:szCs w:val="22"/>
        </w:rPr>
        <w:t xml:space="preserve"> the information provided by this textbook, it was interesting to read and helped me understand Piaget’s theory better</w:t>
      </w:r>
      <w:r w:rsidRPr="70B1B81C" w:rsidR="00DE7D98">
        <w:rPr>
          <w:rFonts w:ascii="Arial" w:hAnsi="Arial" w:cs="Arial"/>
          <w:sz w:val="22"/>
          <w:szCs w:val="22"/>
        </w:rPr>
        <w:t>, specifically assimilation and accommodation which I found difficult initially</w:t>
      </w:r>
      <w:r w:rsidRPr="70B1B81C" w:rsidR="00DE7D98">
        <w:rPr>
          <w:rFonts w:ascii="Arial" w:hAnsi="Arial" w:cs="Arial"/>
          <w:sz w:val="22"/>
          <w:szCs w:val="22"/>
        </w:rPr>
        <w:t>. As this textbook was published by Pearson, it was most likely written for students and is most likely a trustworthy source of information.</w:t>
      </w:r>
    </w:p>
    <w:p w:rsidRPr="00AE5147" w:rsidR="00DE7D98" w:rsidP="00DE7D98" w:rsidRDefault="00DE7D98" w14:paraId="496F3AA9" w14:textId="77777777">
      <w:pPr>
        <w:spacing w:line="360" w:lineRule="auto"/>
        <w:rPr>
          <w:rFonts w:ascii="Arial" w:hAnsi="Arial" w:cs="Arial"/>
          <w:sz w:val="22"/>
          <w:szCs w:val="22"/>
        </w:rPr>
      </w:pPr>
    </w:p>
    <w:p w:rsidRPr="00AE5147" w:rsidR="00DE7D98" w:rsidP="00DE7D98" w:rsidRDefault="00DE7D98" w14:paraId="4B2A4275" w14:textId="77777777">
      <w:pPr>
        <w:spacing w:line="360" w:lineRule="auto"/>
        <w:rPr>
          <w:rFonts w:ascii="Arial" w:hAnsi="Arial" w:cs="Arial"/>
          <w:sz w:val="22"/>
          <w:szCs w:val="22"/>
        </w:rPr>
      </w:pPr>
      <w:r w:rsidRPr="00AE5147">
        <w:rPr>
          <w:rFonts w:ascii="Arial" w:hAnsi="Arial" w:cs="Arial"/>
          <w:sz w:val="22"/>
          <w:szCs w:val="22"/>
        </w:rPr>
        <w:t xml:space="preserve">Brewer, S., Gleditsch, S. L., Syblik, D., Tietjens, M. E., and Vacik, H. W. (2006) ‘Pediatric Anxiety: Child Life Intervention in Day Surgery’, </w:t>
      </w:r>
      <w:r w:rsidRPr="00AE5147">
        <w:rPr>
          <w:rFonts w:ascii="Arial" w:hAnsi="Arial" w:cs="Arial"/>
          <w:i/>
          <w:iCs/>
          <w:sz w:val="22"/>
          <w:szCs w:val="22"/>
        </w:rPr>
        <w:t>Journal of Pediatric Nursing</w:t>
      </w:r>
      <w:r w:rsidRPr="00AE5147">
        <w:rPr>
          <w:rFonts w:ascii="Arial" w:hAnsi="Arial" w:cs="Arial"/>
          <w:sz w:val="22"/>
          <w:szCs w:val="22"/>
        </w:rPr>
        <w:t>, 21(1), pp. 13-22.</w:t>
      </w:r>
    </w:p>
    <w:p w:rsidRPr="00AE5147" w:rsidR="00DE7D98" w:rsidP="00DE7D98" w:rsidRDefault="00DE7D98" w14:paraId="2F444CE9" w14:textId="77777777">
      <w:pPr>
        <w:spacing w:line="360" w:lineRule="auto"/>
        <w:rPr>
          <w:rFonts w:ascii="Arial" w:hAnsi="Arial" w:cs="Arial"/>
          <w:sz w:val="22"/>
          <w:szCs w:val="22"/>
        </w:rPr>
      </w:pPr>
    </w:p>
    <w:p w:rsidRPr="00AE5147" w:rsidR="00DE7D98" w:rsidP="00DE7D98" w:rsidRDefault="00DE7D98" w14:paraId="6A474848" w14:textId="77777777">
      <w:pPr>
        <w:spacing w:line="360" w:lineRule="auto"/>
        <w:ind w:left="720"/>
        <w:rPr>
          <w:rFonts w:ascii="Arial" w:hAnsi="Arial" w:cs="Arial"/>
          <w:sz w:val="22"/>
          <w:szCs w:val="22"/>
        </w:rPr>
      </w:pPr>
      <w:r w:rsidRPr="00AE5147">
        <w:rPr>
          <w:rFonts w:ascii="Arial" w:hAnsi="Arial" w:cs="Arial"/>
          <w:sz w:val="22"/>
          <w:szCs w:val="22"/>
        </w:rPr>
        <w:t xml:space="preserve">In this article, Brewer et al spoke about their research looking at children having surgery and their levels of anxiety depending on how they were treated. They found that the children who were prepared for their surgery by specialists beforehand experienced less anxiety than those who received no extra care. This article was useful for my research as it </w:t>
      </w:r>
      <w:r>
        <w:rPr>
          <w:rFonts w:ascii="Arial" w:hAnsi="Arial" w:cs="Arial"/>
          <w:sz w:val="22"/>
          <w:szCs w:val="22"/>
        </w:rPr>
        <w:t xml:space="preserve">supported </w:t>
      </w:r>
      <w:r w:rsidRPr="00AE5147">
        <w:rPr>
          <w:rFonts w:ascii="Arial" w:hAnsi="Arial" w:cs="Arial"/>
          <w:sz w:val="22"/>
          <w:szCs w:val="22"/>
        </w:rPr>
        <w:t xml:space="preserve">the practical application of Piaget’s theory </w:t>
      </w:r>
      <w:r>
        <w:rPr>
          <w:rFonts w:ascii="Arial" w:hAnsi="Arial" w:cs="Arial"/>
          <w:sz w:val="22"/>
          <w:szCs w:val="22"/>
        </w:rPr>
        <w:t>that I included in my presentation, even though this specific article did not talk about Piaget specifically.</w:t>
      </w:r>
    </w:p>
    <w:p w:rsidRPr="00AE5147" w:rsidR="00DE7D98" w:rsidP="00DE7D98" w:rsidRDefault="00DE7D98" w14:paraId="4BACD07E" w14:textId="77777777">
      <w:pPr>
        <w:spacing w:line="360" w:lineRule="auto"/>
        <w:rPr>
          <w:rFonts w:ascii="Arial" w:hAnsi="Arial" w:cs="Arial"/>
          <w:sz w:val="22"/>
          <w:szCs w:val="22"/>
        </w:rPr>
      </w:pPr>
    </w:p>
    <w:p w:rsidRPr="00AE5147" w:rsidR="00DE7D98" w:rsidP="00DE7D98" w:rsidRDefault="00DE7D98" w14:paraId="3FC73F8D" w14:textId="77777777">
      <w:pPr>
        <w:spacing w:line="360" w:lineRule="auto"/>
        <w:rPr>
          <w:rFonts w:ascii="Arial" w:hAnsi="Arial" w:cs="Arial"/>
          <w:sz w:val="22"/>
          <w:szCs w:val="22"/>
        </w:rPr>
      </w:pPr>
      <w:r w:rsidRPr="00AE5147">
        <w:rPr>
          <w:rFonts w:ascii="Arial" w:hAnsi="Arial" w:cs="Arial"/>
          <w:sz w:val="22"/>
          <w:szCs w:val="22"/>
        </w:rPr>
        <w:t xml:space="preserve">‘Conservation’ (n.d.) in </w:t>
      </w:r>
      <w:r w:rsidRPr="00AE5147">
        <w:rPr>
          <w:rFonts w:ascii="Arial" w:hAnsi="Arial" w:cs="Arial"/>
          <w:i/>
          <w:iCs/>
          <w:sz w:val="22"/>
          <w:szCs w:val="22"/>
        </w:rPr>
        <w:t xml:space="preserve">APA Dictionary of Psychology, </w:t>
      </w:r>
      <w:r w:rsidRPr="00AE5147">
        <w:rPr>
          <w:rFonts w:ascii="Arial" w:hAnsi="Arial" w:cs="Arial"/>
          <w:sz w:val="22"/>
          <w:szCs w:val="22"/>
        </w:rPr>
        <w:t xml:space="preserve">American Psychological Association. Available at: </w:t>
      </w:r>
      <w:hyperlink w:history="1" r:id="rId6">
        <w:r w:rsidRPr="00AE5147">
          <w:rPr>
            <w:rStyle w:val="Hyperlink"/>
            <w:rFonts w:ascii="Arial" w:hAnsi="Arial" w:cs="Arial"/>
            <w:sz w:val="22"/>
            <w:szCs w:val="22"/>
          </w:rPr>
          <w:t>https://dictionary.apa.org/conservation</w:t>
        </w:r>
      </w:hyperlink>
      <w:r w:rsidRPr="00AE5147">
        <w:rPr>
          <w:rFonts w:ascii="Arial" w:hAnsi="Arial" w:cs="Arial"/>
          <w:sz w:val="22"/>
          <w:szCs w:val="22"/>
        </w:rPr>
        <w:t xml:space="preserve"> [Accessed: 22 June 2022]</w:t>
      </w:r>
    </w:p>
    <w:p w:rsidRPr="00AE5147" w:rsidR="00DE7D98" w:rsidP="00DE7D98" w:rsidRDefault="00DE7D98" w14:paraId="59DDCC87" w14:textId="77777777">
      <w:pPr>
        <w:spacing w:line="360" w:lineRule="auto"/>
        <w:rPr>
          <w:rFonts w:ascii="Arial" w:hAnsi="Arial" w:cs="Arial"/>
          <w:sz w:val="22"/>
          <w:szCs w:val="22"/>
        </w:rPr>
      </w:pPr>
    </w:p>
    <w:p w:rsidRPr="00AE5147" w:rsidR="00DE7D98" w:rsidP="00DE7D98" w:rsidRDefault="00DE7D98" w14:paraId="2CFC3BC0" w14:textId="77777777">
      <w:pPr>
        <w:spacing w:line="360" w:lineRule="auto"/>
        <w:ind w:left="720"/>
        <w:rPr>
          <w:rFonts w:ascii="Arial" w:hAnsi="Arial" w:cs="Arial"/>
          <w:sz w:val="22"/>
          <w:szCs w:val="22"/>
        </w:rPr>
      </w:pPr>
      <w:r w:rsidRPr="00AE5147">
        <w:rPr>
          <w:rFonts w:ascii="Arial" w:hAnsi="Arial" w:cs="Arial"/>
          <w:sz w:val="22"/>
          <w:szCs w:val="22"/>
        </w:rPr>
        <w:t xml:space="preserve">On their website, the American Psychological Association have an ‘A-Z’ of Psychology-related words which is how I found this specific definition. After checking on the internet, I found that the American Psychological Association is the largest </w:t>
      </w:r>
      <w:proofErr w:type="gramStart"/>
      <w:r w:rsidRPr="00AE5147">
        <w:rPr>
          <w:rFonts w:ascii="Arial" w:hAnsi="Arial" w:cs="Arial"/>
          <w:sz w:val="22"/>
          <w:szCs w:val="22"/>
        </w:rPr>
        <w:t>Psychological</w:t>
      </w:r>
      <w:proofErr w:type="gramEnd"/>
      <w:r w:rsidRPr="00AE5147">
        <w:rPr>
          <w:rFonts w:ascii="Arial" w:hAnsi="Arial" w:cs="Arial"/>
          <w:sz w:val="22"/>
          <w:szCs w:val="22"/>
        </w:rPr>
        <w:t xml:space="preserve"> organisation in the world. This means that this definition can be trusted as they are reliable and have global support. I used this definition in my presentation as I did not find it difficult to get my head around compared to the textbook definitions.</w:t>
      </w:r>
    </w:p>
    <w:p w:rsidRPr="00AE5147" w:rsidR="00DE7D98" w:rsidP="00DE7D98" w:rsidRDefault="00DE7D98" w14:paraId="638CED05" w14:textId="77777777">
      <w:pPr>
        <w:spacing w:line="360" w:lineRule="auto"/>
        <w:rPr>
          <w:rFonts w:ascii="Arial" w:hAnsi="Arial" w:cs="Arial"/>
          <w:sz w:val="22"/>
          <w:szCs w:val="22"/>
        </w:rPr>
      </w:pPr>
    </w:p>
    <w:p w:rsidRPr="00AE5147" w:rsidR="00DE7D98" w:rsidP="00DE7D98" w:rsidRDefault="00DE7D98" w14:paraId="306DC277" w14:textId="77777777">
      <w:pPr>
        <w:spacing w:line="360" w:lineRule="auto"/>
        <w:rPr>
          <w:rFonts w:ascii="Arial" w:hAnsi="Arial" w:cs="Arial"/>
          <w:sz w:val="22"/>
          <w:szCs w:val="22"/>
        </w:rPr>
      </w:pPr>
      <w:r w:rsidRPr="00AE5147">
        <w:rPr>
          <w:rFonts w:ascii="Arial" w:hAnsi="Arial" w:cs="Arial"/>
          <w:sz w:val="22"/>
          <w:szCs w:val="22"/>
        </w:rPr>
        <w:t xml:space="preserve">‘Decentration’ (n.d.) in </w:t>
      </w:r>
      <w:r w:rsidRPr="00AE5147">
        <w:rPr>
          <w:rFonts w:ascii="Arial" w:hAnsi="Arial" w:cs="Arial"/>
          <w:i/>
          <w:iCs/>
          <w:sz w:val="22"/>
          <w:szCs w:val="22"/>
        </w:rPr>
        <w:t xml:space="preserve">APA Dictionary of Psychology, </w:t>
      </w:r>
      <w:r w:rsidRPr="00AE5147">
        <w:rPr>
          <w:rFonts w:ascii="Arial" w:hAnsi="Arial" w:cs="Arial"/>
          <w:sz w:val="22"/>
          <w:szCs w:val="22"/>
        </w:rPr>
        <w:t xml:space="preserve">American Psychological Association. Available at: </w:t>
      </w:r>
      <w:hyperlink w:history="1" r:id="rId7">
        <w:r w:rsidRPr="00AE5147">
          <w:rPr>
            <w:rStyle w:val="Hyperlink"/>
            <w:rFonts w:ascii="Arial" w:hAnsi="Arial" w:cs="Arial"/>
            <w:sz w:val="22"/>
            <w:szCs w:val="22"/>
          </w:rPr>
          <w:t>https://dictionary.apa.org/decentration</w:t>
        </w:r>
      </w:hyperlink>
      <w:r w:rsidRPr="00AE5147">
        <w:rPr>
          <w:rFonts w:ascii="Arial" w:hAnsi="Arial" w:cs="Arial"/>
          <w:sz w:val="22"/>
          <w:szCs w:val="22"/>
        </w:rPr>
        <w:t xml:space="preserve"> [Accessed: 22 June 2022]</w:t>
      </w:r>
    </w:p>
    <w:p w:rsidRPr="00AE5147" w:rsidR="00DE7D98" w:rsidP="00DE7D98" w:rsidRDefault="00DE7D98" w14:paraId="7DCA2D69" w14:textId="77777777">
      <w:pPr>
        <w:spacing w:line="360" w:lineRule="auto"/>
        <w:rPr>
          <w:rFonts w:ascii="Arial" w:hAnsi="Arial" w:cs="Arial"/>
          <w:sz w:val="22"/>
          <w:szCs w:val="22"/>
        </w:rPr>
      </w:pPr>
    </w:p>
    <w:p w:rsidRPr="00AE5147" w:rsidR="00DE7D98" w:rsidP="00DE7D98" w:rsidRDefault="00DE7D98" w14:paraId="503D21B6" w14:textId="77777777">
      <w:pPr>
        <w:spacing w:line="360" w:lineRule="auto"/>
        <w:ind w:left="720"/>
        <w:rPr>
          <w:rFonts w:ascii="Arial" w:hAnsi="Arial" w:cs="Arial"/>
          <w:sz w:val="22"/>
          <w:szCs w:val="22"/>
        </w:rPr>
      </w:pPr>
      <w:r w:rsidRPr="00AE5147">
        <w:rPr>
          <w:rFonts w:ascii="Arial" w:hAnsi="Arial" w:cs="Arial"/>
          <w:sz w:val="22"/>
          <w:szCs w:val="22"/>
        </w:rPr>
        <w:t xml:space="preserve">I found the definition for this term on the APA dictionary website. As I said before, the American Psychological Association is made up of many qualified Psychologists and researchers in the field of Psychology. This means that the definition provided is likely the most accurate, it also helps that they made direct reference to Piaget and explained decentration in terms of his theory as well. The definition for decentration on this dictionary was not extremely wordy and was quite easy to understand. I chose to use the APA definition once again as it was the </w:t>
      </w:r>
      <w:proofErr w:type="gramStart"/>
      <w:r w:rsidRPr="00AE5147">
        <w:rPr>
          <w:rFonts w:ascii="Arial" w:hAnsi="Arial" w:cs="Arial"/>
          <w:sz w:val="22"/>
          <w:szCs w:val="22"/>
        </w:rPr>
        <w:t>most simple</w:t>
      </w:r>
      <w:proofErr w:type="gramEnd"/>
      <w:r w:rsidRPr="00AE5147">
        <w:rPr>
          <w:rFonts w:ascii="Arial" w:hAnsi="Arial" w:cs="Arial"/>
          <w:sz w:val="22"/>
          <w:szCs w:val="22"/>
        </w:rPr>
        <w:t xml:space="preserve"> one that I could find (and understand) as someone who is not an expert in Psychology.</w:t>
      </w:r>
    </w:p>
    <w:p w:rsidRPr="00AE5147" w:rsidR="00DE7D98" w:rsidP="00DE7D98" w:rsidRDefault="00DE7D98" w14:paraId="544313AA" w14:textId="77777777">
      <w:pPr>
        <w:spacing w:line="360" w:lineRule="auto"/>
        <w:rPr>
          <w:rFonts w:ascii="Arial" w:hAnsi="Arial" w:cs="Arial"/>
          <w:sz w:val="22"/>
          <w:szCs w:val="22"/>
        </w:rPr>
      </w:pPr>
    </w:p>
    <w:p w:rsidRPr="00AE5147" w:rsidR="00DE7D98" w:rsidP="00DE7D98" w:rsidRDefault="00DE7D98" w14:paraId="2C5644B7" w14:textId="77777777">
      <w:pPr>
        <w:spacing w:line="360" w:lineRule="auto"/>
        <w:rPr>
          <w:rFonts w:ascii="Arial" w:hAnsi="Arial" w:cs="Arial"/>
          <w:sz w:val="22"/>
          <w:szCs w:val="22"/>
        </w:rPr>
      </w:pPr>
      <w:r w:rsidRPr="00AE5147">
        <w:rPr>
          <w:rFonts w:ascii="Arial" w:hAnsi="Arial" w:cs="Arial"/>
          <w:sz w:val="22"/>
          <w:szCs w:val="22"/>
        </w:rPr>
        <w:t xml:space="preserve">Gillibrand, R., Lam, V., and O’Donnell, V. L. (2016) </w:t>
      </w:r>
      <w:r w:rsidRPr="00AE5147">
        <w:rPr>
          <w:rFonts w:ascii="Arial" w:hAnsi="Arial" w:cs="Arial"/>
          <w:i/>
          <w:iCs/>
          <w:sz w:val="22"/>
          <w:szCs w:val="22"/>
        </w:rPr>
        <w:t>Developmental Psychology</w:t>
      </w:r>
      <w:r w:rsidRPr="00AE5147">
        <w:rPr>
          <w:rFonts w:ascii="Arial" w:hAnsi="Arial" w:cs="Arial"/>
          <w:sz w:val="22"/>
          <w:szCs w:val="22"/>
        </w:rPr>
        <w:t xml:space="preserve">. 2nd edn, Harlow, England: Pearson. </w:t>
      </w:r>
    </w:p>
    <w:p w:rsidRPr="00AE5147" w:rsidR="00DE7D98" w:rsidP="00DE7D98" w:rsidRDefault="00DE7D98" w14:paraId="0496DFCD" w14:textId="77777777">
      <w:pPr>
        <w:spacing w:line="360" w:lineRule="auto"/>
        <w:rPr>
          <w:rFonts w:ascii="Arial" w:hAnsi="Arial" w:cs="Arial"/>
          <w:sz w:val="22"/>
          <w:szCs w:val="22"/>
        </w:rPr>
      </w:pPr>
    </w:p>
    <w:p w:rsidRPr="00AE5147" w:rsidR="00DE7D98" w:rsidP="00DE7D98" w:rsidRDefault="00DE7D98" w14:paraId="2B145B3E" w14:textId="77777777">
      <w:pPr>
        <w:spacing w:line="360" w:lineRule="auto"/>
        <w:ind w:left="720"/>
        <w:rPr>
          <w:rFonts w:ascii="Arial" w:hAnsi="Arial" w:cs="Arial"/>
          <w:sz w:val="22"/>
          <w:szCs w:val="22"/>
        </w:rPr>
      </w:pPr>
      <w:r w:rsidRPr="00AE5147">
        <w:rPr>
          <w:rFonts w:ascii="Arial" w:hAnsi="Arial" w:cs="Arial"/>
          <w:sz w:val="22"/>
          <w:szCs w:val="22"/>
        </w:rPr>
        <w:t xml:space="preserve">In this textbook, Gillibrand et al talk about different types of developments (e.g., cognitive, social etc.) and the theories regarding them. Gillibrand et al talk about Piaget several times throughout the textbook but the section that I personally found useful and used when creating my presentation was the pages about Piaget’s four stages of development in chapter 1. I found that the way that the stages were described and clearly laid out in this textbook was </w:t>
      </w:r>
      <w:proofErr w:type="gramStart"/>
      <w:r w:rsidRPr="00AE5147">
        <w:rPr>
          <w:rFonts w:ascii="Arial" w:hAnsi="Arial" w:cs="Arial"/>
          <w:sz w:val="22"/>
          <w:szCs w:val="22"/>
        </w:rPr>
        <w:t>either to</w:t>
      </w:r>
      <w:proofErr w:type="gramEnd"/>
      <w:r w:rsidRPr="00AE5147">
        <w:rPr>
          <w:rFonts w:ascii="Arial" w:hAnsi="Arial" w:cs="Arial"/>
          <w:sz w:val="22"/>
          <w:szCs w:val="22"/>
        </w:rPr>
        <w:t xml:space="preserve"> understand compared to the other textbooks. </w:t>
      </w:r>
      <w:proofErr w:type="gramStart"/>
      <w:r w:rsidRPr="00AE5147">
        <w:rPr>
          <w:rFonts w:ascii="Arial" w:hAnsi="Arial" w:cs="Arial"/>
          <w:sz w:val="22"/>
          <w:szCs w:val="22"/>
        </w:rPr>
        <w:t>Again</w:t>
      </w:r>
      <w:proofErr w:type="gramEnd"/>
      <w:r w:rsidRPr="00AE5147">
        <w:rPr>
          <w:rFonts w:ascii="Arial" w:hAnsi="Arial" w:cs="Arial"/>
          <w:sz w:val="22"/>
          <w:szCs w:val="22"/>
        </w:rPr>
        <w:t xml:space="preserve"> as this textbook was published by Pearson, it was written for students by people knowledgeable in the area and can be trusted.</w:t>
      </w:r>
    </w:p>
    <w:p w:rsidRPr="00AE5147" w:rsidR="00DE7D98" w:rsidP="00DE7D98" w:rsidRDefault="00DE7D98" w14:paraId="46FD33F6" w14:textId="77777777">
      <w:pPr>
        <w:spacing w:line="360" w:lineRule="auto"/>
        <w:rPr>
          <w:rFonts w:ascii="Arial" w:hAnsi="Arial" w:cs="Arial"/>
          <w:sz w:val="22"/>
          <w:szCs w:val="22"/>
        </w:rPr>
      </w:pPr>
    </w:p>
    <w:p w:rsidR="00DE7D98" w:rsidP="00DE7D98" w:rsidRDefault="00DE7D98" w14:paraId="7ABF476B" w14:textId="77777777">
      <w:pPr>
        <w:spacing w:line="360" w:lineRule="auto"/>
        <w:rPr>
          <w:rFonts w:ascii="Arial" w:hAnsi="Arial" w:cs="Arial"/>
          <w:sz w:val="22"/>
          <w:szCs w:val="22"/>
        </w:rPr>
      </w:pPr>
      <w:r w:rsidRPr="00AE5147">
        <w:rPr>
          <w:rFonts w:ascii="Arial" w:hAnsi="Arial" w:cs="Arial"/>
          <w:sz w:val="22"/>
          <w:szCs w:val="22"/>
        </w:rPr>
        <w:t xml:space="preserve">Huitt, W., and Hummel, J. (2003) Piaget’s theory of cognitive development. </w:t>
      </w:r>
      <w:r w:rsidRPr="00AE5147">
        <w:rPr>
          <w:rFonts w:ascii="Arial" w:hAnsi="Arial" w:cs="Arial"/>
          <w:i/>
          <w:iCs/>
          <w:sz w:val="22"/>
          <w:szCs w:val="22"/>
        </w:rPr>
        <w:t>Educational Psychology Interactive</w:t>
      </w:r>
      <w:r w:rsidRPr="00AE5147">
        <w:rPr>
          <w:rFonts w:ascii="Arial" w:hAnsi="Arial" w:cs="Arial"/>
          <w:sz w:val="22"/>
          <w:szCs w:val="22"/>
        </w:rPr>
        <w:t xml:space="preserve">, Valdosta, GA: Valdosta State University. Available at: </w:t>
      </w:r>
      <w:hyperlink w:history="1" r:id="rId8">
        <w:r w:rsidRPr="00AE5147">
          <w:rPr>
            <w:rStyle w:val="Hyperlink"/>
            <w:rFonts w:ascii="Arial" w:hAnsi="Arial" w:cs="Arial"/>
            <w:sz w:val="22"/>
            <w:szCs w:val="22"/>
          </w:rPr>
          <w:t>http://www.edpsycinteractive.org/topics/cognition/piaget.html</w:t>
        </w:r>
      </w:hyperlink>
      <w:r w:rsidRPr="00AE5147">
        <w:rPr>
          <w:rFonts w:ascii="Arial" w:hAnsi="Arial" w:cs="Arial"/>
          <w:sz w:val="22"/>
          <w:szCs w:val="22"/>
        </w:rPr>
        <w:t xml:space="preserve"> [Accessed: 21 June 2022]</w:t>
      </w:r>
    </w:p>
    <w:p w:rsidRPr="00AE5147" w:rsidR="00DE7D98" w:rsidP="00DE7D98" w:rsidRDefault="00DE7D98" w14:paraId="1723D906" w14:textId="77777777">
      <w:pPr>
        <w:spacing w:line="360" w:lineRule="auto"/>
        <w:rPr>
          <w:rFonts w:ascii="Arial" w:hAnsi="Arial" w:cs="Arial"/>
          <w:sz w:val="22"/>
          <w:szCs w:val="22"/>
        </w:rPr>
      </w:pPr>
    </w:p>
    <w:p w:rsidRPr="00400F3F" w:rsidR="00DE7D98" w:rsidP="00DE7D98" w:rsidRDefault="00DE7D98" w14:paraId="5549661D" w14:textId="77777777">
      <w:pPr>
        <w:spacing w:line="360" w:lineRule="auto"/>
        <w:ind w:left="720"/>
        <w:rPr>
          <w:rFonts w:ascii="Arial" w:hAnsi="Arial" w:cs="Arial"/>
          <w:sz w:val="22"/>
          <w:szCs w:val="22"/>
        </w:rPr>
      </w:pPr>
      <w:r w:rsidRPr="00AE5147">
        <w:rPr>
          <w:rFonts w:ascii="Arial" w:hAnsi="Arial" w:cs="Arial"/>
          <w:sz w:val="22"/>
          <w:szCs w:val="22"/>
        </w:rPr>
        <w:t>In this interactive journal chapter, Huitt and Hummel provide a short but informative summary of Piaget’s theory. It was less draining to read through compared to the sections dedicated to Piaget in the textbooks. I found this chapter helped me wrap my head around the basic parts of Piaget’s theory. I especially found it helpful when looking at the Concrete Operational Stage specifically as I found that the textbooks overcomplicated their explanations of that stage. The main drawback of this source though is that it is not very popular which might suggest that it is not reliable. However, as it was published by a university in the United States, it would suggest that Huitt and Hummel are experts in this field and therefore are qualified to write about this topic.</w:t>
      </w:r>
    </w:p>
    <w:p w:rsidRPr="00AE5147" w:rsidR="00DE7D98" w:rsidP="00DE7D98" w:rsidRDefault="00DE7D98" w14:paraId="7BDF4371" w14:textId="77777777">
      <w:pPr>
        <w:spacing w:line="360" w:lineRule="auto"/>
        <w:rPr>
          <w:rFonts w:ascii="Arial" w:hAnsi="Arial" w:cs="Arial"/>
          <w:sz w:val="22"/>
          <w:szCs w:val="22"/>
        </w:rPr>
      </w:pPr>
    </w:p>
    <w:p w:rsidRPr="00AE5147" w:rsidR="00DE7D98" w:rsidP="00DE7D98" w:rsidRDefault="00DE7D98" w14:paraId="3F2B4F3F" w14:textId="77777777">
      <w:pPr>
        <w:spacing w:line="360" w:lineRule="auto"/>
        <w:rPr>
          <w:rFonts w:ascii="Arial" w:hAnsi="Arial" w:cs="Arial"/>
          <w:sz w:val="22"/>
          <w:szCs w:val="22"/>
        </w:rPr>
      </w:pPr>
    </w:p>
    <w:p w:rsidRPr="00AE5147" w:rsidR="00DE7D98" w:rsidP="00DE7D98" w:rsidRDefault="00DE7D98" w14:paraId="7B8BEDD6" w14:textId="77777777">
      <w:pPr>
        <w:spacing w:line="360" w:lineRule="auto"/>
        <w:rPr>
          <w:rFonts w:ascii="Arial" w:hAnsi="Arial" w:cs="Arial"/>
          <w:sz w:val="22"/>
          <w:szCs w:val="22"/>
        </w:rPr>
      </w:pPr>
      <w:r w:rsidRPr="00AE5147">
        <w:rPr>
          <w:rFonts w:ascii="Arial" w:hAnsi="Arial" w:cs="Arial"/>
          <w:sz w:val="22"/>
          <w:szCs w:val="22"/>
        </w:rPr>
        <w:t xml:space="preserve">Li, H. C. W., and Lopez, V. (2008) ‘Effectiveness and Appropriateness of Therapeutic Play Intervention in Preparing Children for Surgery: A Randomized Controlled Trial Study’, </w:t>
      </w:r>
      <w:r w:rsidRPr="00AE5147">
        <w:rPr>
          <w:rFonts w:ascii="Arial" w:hAnsi="Arial" w:cs="Arial"/>
          <w:i/>
          <w:iCs/>
          <w:sz w:val="22"/>
          <w:szCs w:val="22"/>
        </w:rPr>
        <w:t>Journal for Specialists in Pediatric Nursing</w:t>
      </w:r>
      <w:r w:rsidRPr="00AE5147">
        <w:rPr>
          <w:rFonts w:ascii="Arial" w:hAnsi="Arial" w:cs="Arial"/>
          <w:sz w:val="22"/>
          <w:szCs w:val="22"/>
        </w:rPr>
        <w:t>, 13(2), pp. 63-73.</w:t>
      </w:r>
    </w:p>
    <w:p w:rsidRPr="00AE5147" w:rsidR="00DE7D98" w:rsidP="00DE7D98" w:rsidRDefault="00DE7D98" w14:paraId="423035A9" w14:textId="77777777">
      <w:pPr>
        <w:spacing w:line="360" w:lineRule="auto"/>
        <w:rPr>
          <w:rFonts w:ascii="Arial" w:hAnsi="Arial" w:cs="Arial"/>
          <w:sz w:val="22"/>
          <w:szCs w:val="22"/>
        </w:rPr>
      </w:pPr>
    </w:p>
    <w:p w:rsidRPr="00AE5147" w:rsidR="00DE7D98" w:rsidP="00DE7D98" w:rsidRDefault="00DE7D98" w14:paraId="4E87653E" w14:textId="77777777">
      <w:pPr>
        <w:spacing w:line="360" w:lineRule="auto"/>
        <w:ind w:left="720"/>
        <w:rPr>
          <w:rFonts w:ascii="Arial" w:hAnsi="Arial" w:cs="Arial"/>
          <w:sz w:val="22"/>
          <w:szCs w:val="22"/>
        </w:rPr>
      </w:pPr>
      <w:r w:rsidRPr="00AE5147">
        <w:rPr>
          <w:rFonts w:ascii="Arial" w:hAnsi="Arial" w:cs="Arial"/>
          <w:sz w:val="22"/>
          <w:szCs w:val="22"/>
        </w:rPr>
        <w:t xml:space="preserve">Li and Lopez wrote this article about their experiment that tested therapeutic play with children having surgery. Even though it was not relevant to my research, Li and Lopez went into </w:t>
      </w:r>
      <w:proofErr w:type="gramStart"/>
      <w:r w:rsidRPr="00AE5147">
        <w:rPr>
          <w:rFonts w:ascii="Arial" w:hAnsi="Arial" w:cs="Arial"/>
          <w:sz w:val="22"/>
          <w:szCs w:val="22"/>
        </w:rPr>
        <w:t>great detail</w:t>
      </w:r>
      <w:proofErr w:type="gramEnd"/>
      <w:r w:rsidRPr="00AE5147">
        <w:rPr>
          <w:rFonts w:ascii="Arial" w:hAnsi="Arial" w:cs="Arial"/>
          <w:sz w:val="22"/>
          <w:szCs w:val="22"/>
        </w:rPr>
        <w:t xml:space="preserve"> about their methods and procedures in this article which makes the article seem well supported. Li and Lopez stated that they based their model of therapeutic play on Piaget and Erikson’s models of development. This article was useful to my research as it provided me with a practical application of Piaget’s theory that was supported by experimental evidence and by other researchers. </w:t>
      </w:r>
    </w:p>
    <w:p w:rsidRPr="00AE5147" w:rsidR="00DE7D98" w:rsidP="00DE7D98" w:rsidRDefault="00DE7D98" w14:paraId="3B43D4FD" w14:textId="77777777">
      <w:pPr>
        <w:spacing w:line="360" w:lineRule="auto"/>
        <w:rPr>
          <w:rFonts w:ascii="Arial" w:hAnsi="Arial" w:cs="Arial"/>
          <w:sz w:val="22"/>
          <w:szCs w:val="22"/>
        </w:rPr>
      </w:pPr>
    </w:p>
    <w:p w:rsidRPr="00AE5147" w:rsidR="00DE7D98" w:rsidP="00DE7D98" w:rsidRDefault="00DE7D98" w14:paraId="344EC31B" w14:textId="77777777">
      <w:pPr>
        <w:spacing w:line="360" w:lineRule="auto"/>
        <w:rPr>
          <w:rFonts w:ascii="Arial" w:hAnsi="Arial" w:cs="Arial"/>
          <w:sz w:val="22"/>
          <w:szCs w:val="22"/>
        </w:rPr>
      </w:pPr>
      <w:r w:rsidRPr="00AE5147">
        <w:rPr>
          <w:rFonts w:ascii="Arial" w:hAnsi="Arial" w:cs="Arial"/>
          <w:sz w:val="22"/>
          <w:szCs w:val="22"/>
        </w:rPr>
        <w:t xml:space="preserve">Orr, F. E. (2001) ‘The role of the paediatric nurse in promoting paediatric right to consent’, </w:t>
      </w:r>
      <w:r w:rsidRPr="00AE5147">
        <w:rPr>
          <w:rFonts w:ascii="Arial" w:hAnsi="Arial" w:cs="Arial"/>
          <w:i/>
          <w:iCs/>
          <w:sz w:val="22"/>
          <w:szCs w:val="22"/>
        </w:rPr>
        <w:t>Journal of Clinical Nursing</w:t>
      </w:r>
      <w:r w:rsidRPr="00AE5147">
        <w:rPr>
          <w:rFonts w:ascii="Arial" w:hAnsi="Arial" w:cs="Arial"/>
          <w:sz w:val="22"/>
          <w:szCs w:val="22"/>
        </w:rPr>
        <w:t>, 8(3), pp. 291-298.</w:t>
      </w:r>
    </w:p>
    <w:p w:rsidRPr="00AE5147" w:rsidR="00DE7D98" w:rsidP="00DE7D98" w:rsidRDefault="00DE7D98" w14:paraId="4C9FAA71" w14:textId="77777777">
      <w:pPr>
        <w:spacing w:line="360" w:lineRule="auto"/>
        <w:rPr>
          <w:rFonts w:ascii="Arial" w:hAnsi="Arial" w:cs="Arial"/>
          <w:sz w:val="22"/>
          <w:szCs w:val="22"/>
        </w:rPr>
      </w:pPr>
    </w:p>
    <w:p w:rsidRPr="00AE5147" w:rsidR="00DE7D98" w:rsidP="00DE7D98" w:rsidRDefault="00DE7D98" w14:paraId="245A7D68" w14:textId="77777777">
      <w:pPr>
        <w:spacing w:line="360" w:lineRule="auto"/>
        <w:ind w:left="720"/>
        <w:rPr>
          <w:rFonts w:ascii="Arial" w:hAnsi="Arial" w:cs="Arial"/>
          <w:sz w:val="22"/>
          <w:szCs w:val="22"/>
        </w:rPr>
      </w:pPr>
      <w:r w:rsidRPr="00AE5147">
        <w:rPr>
          <w:rFonts w:ascii="Arial" w:hAnsi="Arial" w:cs="Arial"/>
          <w:sz w:val="22"/>
          <w:szCs w:val="22"/>
        </w:rPr>
        <w:t>In this article, Orr talks about the issue of gaining consent from child patients faced by paediatric nurses. Orr was qualified to write this article as at the time that the article was published, she was working as a paediatric nurse herself at Guy’s Hospital in London (as seen with her email). When discussing consent and younger children, Orr referred to Piaget and his theory on the sensorimotor stage. I considered using this as an example in my presentation but was put off by the fact that there was not much evidence supporting Orr’s example. Even though I didn’t use this article, it helped me to form the conclusion that I did in my presentation.</w:t>
      </w:r>
    </w:p>
    <w:p w:rsidR="00DE7D98" w:rsidRDefault="00DE7D98" w14:paraId="74846EFD" w14:textId="77777777"/>
    <w:sectPr w:rsidR="00DE7D98" w:rsidSect="00DE7D98">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D98"/>
    <w:rsid w:val="00DE7D98"/>
    <w:rsid w:val="70B1B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68D08"/>
  <w15:chartTrackingRefBased/>
  <w15:docId w15:val="{330F65D5-BE49-0340-B375-40B354C4D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DE7D98"/>
    <w:rPr>
      <w:rFonts w:eastAsiaTheme="minorEastAsia"/>
      <w:sz w:val="22"/>
      <w:szCs w:val="22"/>
      <w:lang w:val="en-US" w:eastAsia="zh-CN"/>
    </w:rPr>
  </w:style>
  <w:style w:type="character" w:styleId="NoSpacingChar" w:customStyle="1">
    <w:name w:val="No Spacing Char"/>
    <w:basedOn w:val="DefaultParagraphFont"/>
    <w:link w:val="NoSpacing"/>
    <w:uiPriority w:val="1"/>
    <w:rsid w:val="00DE7D98"/>
    <w:rPr>
      <w:rFonts w:eastAsiaTheme="minorEastAsia"/>
      <w:sz w:val="22"/>
      <w:szCs w:val="22"/>
      <w:lang w:val="en-US" w:eastAsia="zh-CN"/>
    </w:rPr>
  </w:style>
  <w:style w:type="character" w:styleId="Hyperlink">
    <w:name w:val="Hyperlink"/>
    <w:basedOn w:val="DefaultParagraphFont"/>
    <w:uiPriority w:val="99"/>
    <w:unhideWhenUsed/>
    <w:rsid w:val="00DE7D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www.edpsycinteractive.org/topics/cognition/piaget.html" TargetMode="External" Id="rId8" /><Relationship Type="http://schemas.openxmlformats.org/officeDocument/2006/relationships/webSettings" Target="webSettings.xml" Id="rId3" /><Relationship Type="http://schemas.openxmlformats.org/officeDocument/2006/relationships/hyperlink" Target="https://dictionary.apa.org/decentration" TargetMode="Externa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dictionary.apa.org/conservation" TargetMode="External" Id="rId6" /><Relationship Type="http://schemas.openxmlformats.org/officeDocument/2006/relationships/image" Target="media/image2.png" Id="rId5" /><Relationship Type="http://schemas.openxmlformats.org/officeDocument/2006/relationships/theme" Target="theme/theme1.xml" Id="rId10" /><Relationship Type="http://schemas.openxmlformats.org/officeDocument/2006/relationships/image" Target="media/image1.png" Id="rId4" /><Relationship Type="http://schemas.openxmlformats.org/officeDocument/2006/relationships/fontTable" Target="fontTable.xml" Id="rId9" /><Relationship Type="http://schemas.openxmlformats.org/officeDocument/2006/relationships/glossaryDocument" Target="glossary/document.xml" Id="R7efe4b5718c4482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61c3e5b-2396-4e44-8155-8015b7b50204}"/>
      </w:docPartPr>
      <w:docPartBody>
        <w:p w14:paraId="70B1B81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COMponent 1: annotated bibliography</dc:title>
  <dc:subject>Module: Psychology for Health and Social Care (BMHP4003)</dc:subject>
  <dc:creator>Janhara Bibi (2025745)</dc:creator>
  <keywords/>
  <dc:description/>
  <lastModifiedBy>Janhara Bibi (2025745)</lastModifiedBy>
  <revision>2</revision>
  <dcterms:created xsi:type="dcterms:W3CDTF">2022-07-01T21:10:00.0000000Z</dcterms:created>
  <dcterms:modified xsi:type="dcterms:W3CDTF">2022-07-01T21:47:10.3127804Z</dcterms:modified>
</coreProperties>
</file>