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A3C6E" w14:textId="5828533C" w:rsidR="008B1192" w:rsidRDefault="00BA76D5" w:rsidP="00BA76D5">
      <w:pPr>
        <w:shd w:val="clear" w:color="auto" w:fill="FFFFFF"/>
        <w:spacing w:before="100" w:beforeAutospacing="1" w:after="100" w:afterAutospacing="1" w:line="240" w:lineRule="auto"/>
        <w:ind w:left="360"/>
        <w:jc w:val="center"/>
        <w:rPr>
          <w:rFonts w:ascii="Times New Roman" w:eastAsia="Times New Roman" w:hAnsi="Times New Roman" w:cs="Times New Roman"/>
          <w:b/>
          <w:bCs/>
          <w:sz w:val="28"/>
          <w:szCs w:val="28"/>
          <w:lang w:eastAsia="en-GB"/>
        </w:rPr>
      </w:pPr>
      <w:bookmarkStart w:id="0" w:name="_Hlk84786367"/>
      <w:r w:rsidRPr="00BA76D5">
        <w:rPr>
          <w:rFonts w:ascii="Times New Roman" w:eastAsia="Times New Roman" w:hAnsi="Times New Roman" w:cs="Times New Roman"/>
          <w:b/>
          <w:bCs/>
          <w:sz w:val="28"/>
          <w:szCs w:val="28"/>
          <w:lang w:eastAsia="en-GB"/>
        </w:rPr>
        <w:t>To what extent is Gerald of Wales a reliable witness to the culture and society of England and Wales in the twelfth century?</w:t>
      </w:r>
    </w:p>
    <w:bookmarkEnd w:id="0"/>
    <w:p w14:paraId="7D003600" w14:textId="151195D7" w:rsidR="000C5576" w:rsidRDefault="000C5576" w:rsidP="000C5576">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p>
    <w:p w14:paraId="382423B1" w14:textId="67F5ADEA" w:rsidR="000C5576" w:rsidRDefault="003A4402" w:rsidP="000C5576">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writings of </w:t>
      </w:r>
      <w:r w:rsidR="004207D0">
        <w:rPr>
          <w:rFonts w:ascii="Times New Roman" w:eastAsia="Times New Roman" w:hAnsi="Times New Roman" w:cs="Times New Roman"/>
          <w:sz w:val="24"/>
          <w:szCs w:val="24"/>
          <w:lang w:eastAsia="en-GB"/>
        </w:rPr>
        <w:t>Gerald of Wales</w:t>
      </w:r>
      <w:r w:rsidR="004207D0">
        <w:rPr>
          <w:rStyle w:val="FootnoteReference"/>
          <w:rFonts w:ascii="Times New Roman" w:eastAsia="Times New Roman" w:hAnsi="Times New Roman" w:cs="Times New Roman"/>
          <w:sz w:val="24"/>
          <w:szCs w:val="24"/>
          <w:lang w:eastAsia="en-GB"/>
        </w:rPr>
        <w:footnoteReference w:id="1"/>
      </w:r>
      <w:r w:rsidR="004207D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are some of the few, and therefore </w:t>
      </w:r>
      <w:r w:rsidR="00A73B3C">
        <w:rPr>
          <w:rFonts w:ascii="Times New Roman" w:eastAsia="Times New Roman" w:hAnsi="Times New Roman" w:cs="Times New Roman"/>
          <w:sz w:val="24"/>
          <w:szCs w:val="24"/>
          <w:lang w:eastAsia="en-GB"/>
        </w:rPr>
        <w:t xml:space="preserve">incredibly </w:t>
      </w:r>
      <w:r>
        <w:rPr>
          <w:rFonts w:ascii="Times New Roman" w:eastAsia="Times New Roman" w:hAnsi="Times New Roman" w:cs="Times New Roman"/>
          <w:sz w:val="24"/>
          <w:szCs w:val="24"/>
          <w:lang w:eastAsia="en-GB"/>
        </w:rPr>
        <w:t>important, first-hand sources on England and Wales historians have from the 1100s. This being the case, they and the</w:t>
      </w:r>
      <w:r w:rsidR="001A1C91">
        <w:rPr>
          <w:rFonts w:ascii="Times New Roman" w:eastAsia="Times New Roman" w:hAnsi="Times New Roman" w:cs="Times New Roman"/>
          <w:sz w:val="24"/>
          <w:szCs w:val="24"/>
          <w:lang w:eastAsia="en-GB"/>
        </w:rPr>
        <w:t xml:space="preserve"> extent to which their author</w:t>
      </w:r>
      <w:r w:rsidR="00D30F30">
        <w:rPr>
          <w:rFonts w:ascii="Times New Roman" w:eastAsia="Times New Roman" w:hAnsi="Times New Roman" w:cs="Times New Roman"/>
          <w:sz w:val="24"/>
          <w:szCs w:val="24"/>
          <w:lang w:eastAsia="en-GB"/>
        </w:rPr>
        <w:t xml:space="preserve"> can be considered a </w:t>
      </w:r>
      <w:r w:rsidR="00D30F30">
        <w:rPr>
          <w:rFonts w:ascii="Times New Roman" w:eastAsia="Times New Roman" w:hAnsi="Times New Roman" w:cs="Times New Roman"/>
          <w:sz w:val="24"/>
          <w:szCs w:val="24"/>
          <w:lang w:eastAsia="en-GB"/>
        </w:rPr>
        <w:t>reliable witness to English and Welsh culture and society in the twelfth century</w:t>
      </w:r>
      <w:r w:rsidR="00D30F30">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is often scrutinised and debated. </w:t>
      </w:r>
      <w:r w:rsidR="00A73B3C">
        <w:rPr>
          <w:rFonts w:ascii="Times New Roman" w:eastAsia="Times New Roman" w:hAnsi="Times New Roman" w:cs="Times New Roman"/>
          <w:sz w:val="24"/>
          <w:szCs w:val="24"/>
          <w:lang w:eastAsia="en-GB"/>
        </w:rPr>
        <w:t xml:space="preserve">The man’s circumstances factor heavily in this argument as his mixed </w:t>
      </w:r>
      <w:proofErr w:type="spellStart"/>
      <w:r w:rsidR="00A73B3C">
        <w:rPr>
          <w:rFonts w:ascii="Times New Roman" w:eastAsia="Times New Roman" w:hAnsi="Times New Roman" w:cs="Times New Roman"/>
          <w:sz w:val="24"/>
          <w:szCs w:val="24"/>
          <w:lang w:eastAsia="en-GB"/>
        </w:rPr>
        <w:t>Normano</w:t>
      </w:r>
      <w:proofErr w:type="spellEnd"/>
      <w:r w:rsidR="00A73B3C">
        <w:rPr>
          <w:rFonts w:ascii="Times New Roman" w:eastAsia="Times New Roman" w:hAnsi="Times New Roman" w:cs="Times New Roman"/>
          <w:sz w:val="24"/>
          <w:szCs w:val="24"/>
          <w:lang w:eastAsia="en-GB"/>
        </w:rPr>
        <w:t xml:space="preserve">-Welsh ancestry calls into question how candid this witness might be with his allegiances placed as they were with his Welsh nation but Anglo-Norman overlords. So too does his work and its contents - especially the perspective from which he writes, with emphasis on many of the virtues of the Welsh. </w:t>
      </w:r>
      <w:r w:rsidR="007536AE">
        <w:rPr>
          <w:rFonts w:ascii="Times New Roman" w:eastAsia="Times New Roman" w:hAnsi="Times New Roman" w:cs="Times New Roman"/>
          <w:sz w:val="24"/>
          <w:szCs w:val="24"/>
          <w:lang w:eastAsia="en-GB"/>
        </w:rPr>
        <w:t>In terms of his witness, there is also the fact that Gerald lived through the twelfth century and wrote about events and places he experienced. I</w:t>
      </w:r>
      <w:r w:rsidR="00A73B3C">
        <w:rPr>
          <w:rFonts w:ascii="Times New Roman" w:eastAsia="Times New Roman" w:hAnsi="Times New Roman" w:cs="Times New Roman"/>
          <w:sz w:val="24"/>
          <w:szCs w:val="24"/>
          <w:lang w:eastAsia="en-GB"/>
        </w:rPr>
        <w:t xml:space="preserve">n the grand scheme of things there is considerable evidence in all of these elements that Gerald of Wales is a largely reliable spectator of England and Wales in the twelfth century given </w:t>
      </w:r>
      <w:proofErr w:type="gramStart"/>
      <w:r w:rsidR="00A73B3C">
        <w:rPr>
          <w:rFonts w:ascii="Times New Roman" w:eastAsia="Times New Roman" w:hAnsi="Times New Roman" w:cs="Times New Roman"/>
          <w:sz w:val="24"/>
          <w:szCs w:val="24"/>
          <w:lang w:eastAsia="en-GB"/>
        </w:rPr>
        <w:t>his the</w:t>
      </w:r>
      <w:proofErr w:type="gramEnd"/>
      <w:r w:rsidR="00A73B3C">
        <w:rPr>
          <w:rFonts w:ascii="Times New Roman" w:eastAsia="Times New Roman" w:hAnsi="Times New Roman" w:cs="Times New Roman"/>
          <w:sz w:val="24"/>
          <w:szCs w:val="24"/>
          <w:lang w:eastAsia="en-GB"/>
        </w:rPr>
        <w:t xml:space="preserve"> balance he maintained between his Norman and Welsh heritage and the fact that he goes into intense detail on the physical and moral failures of </w:t>
      </w:r>
      <w:r w:rsidR="00FA7298">
        <w:rPr>
          <w:rFonts w:ascii="Times New Roman" w:eastAsia="Times New Roman" w:hAnsi="Times New Roman" w:cs="Times New Roman"/>
          <w:sz w:val="24"/>
          <w:szCs w:val="24"/>
          <w:lang w:eastAsia="en-GB"/>
        </w:rPr>
        <w:t xml:space="preserve">Welsh – presenting an objective and relatively reliable testimony to </w:t>
      </w:r>
      <w:r w:rsidR="007536AE">
        <w:rPr>
          <w:rFonts w:ascii="Times New Roman" w:eastAsia="Times New Roman" w:hAnsi="Times New Roman" w:cs="Times New Roman"/>
          <w:sz w:val="24"/>
          <w:szCs w:val="24"/>
          <w:lang w:eastAsia="en-GB"/>
        </w:rPr>
        <w:t>the time he lived in</w:t>
      </w:r>
      <w:r w:rsidR="00FA7298">
        <w:rPr>
          <w:rFonts w:ascii="Times New Roman" w:eastAsia="Times New Roman" w:hAnsi="Times New Roman" w:cs="Times New Roman"/>
          <w:sz w:val="24"/>
          <w:szCs w:val="24"/>
          <w:lang w:eastAsia="en-GB"/>
        </w:rPr>
        <w:t>.</w:t>
      </w:r>
    </w:p>
    <w:p w14:paraId="4C3836AC" w14:textId="6DD2F133" w:rsidR="00951C66" w:rsidRDefault="00DA08AF" w:rsidP="000C5576">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Gerald was born in </w:t>
      </w:r>
      <w:proofErr w:type="spellStart"/>
      <w:r>
        <w:rPr>
          <w:rFonts w:ascii="Times New Roman" w:eastAsia="Times New Roman" w:hAnsi="Times New Roman" w:cs="Times New Roman"/>
          <w:sz w:val="24"/>
          <w:szCs w:val="24"/>
          <w:lang w:eastAsia="en-GB"/>
        </w:rPr>
        <w:t>Manorbier</w:t>
      </w:r>
      <w:proofErr w:type="spellEnd"/>
      <w:r>
        <w:rPr>
          <w:rFonts w:ascii="Times New Roman" w:eastAsia="Times New Roman" w:hAnsi="Times New Roman" w:cs="Times New Roman"/>
          <w:sz w:val="24"/>
          <w:szCs w:val="24"/>
          <w:lang w:eastAsia="en-GB"/>
        </w:rPr>
        <w:t xml:space="preserve"> Castle, Pembrokeshire probably in 1146 making him Welsh by birth.</w:t>
      </w:r>
      <w:r w:rsidR="00951C6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In addition to this he also inherited Welsh</w:t>
      </w:r>
      <w:r w:rsidR="00951C66">
        <w:rPr>
          <w:rFonts w:ascii="Times New Roman" w:eastAsia="Times New Roman" w:hAnsi="Times New Roman" w:cs="Times New Roman"/>
          <w:sz w:val="24"/>
          <w:szCs w:val="24"/>
          <w:lang w:eastAsia="en-GB"/>
        </w:rPr>
        <w:t xml:space="preserve"> blood </w:t>
      </w:r>
      <w:r>
        <w:rPr>
          <w:rFonts w:ascii="Times New Roman" w:eastAsia="Times New Roman" w:hAnsi="Times New Roman" w:cs="Times New Roman"/>
          <w:sz w:val="24"/>
          <w:szCs w:val="24"/>
          <w:lang w:eastAsia="en-GB"/>
        </w:rPr>
        <w:t xml:space="preserve">from his mother, </w:t>
      </w:r>
      <w:r w:rsidR="00951C66">
        <w:rPr>
          <w:rFonts w:ascii="Times New Roman" w:eastAsia="Times New Roman" w:hAnsi="Times New Roman" w:cs="Times New Roman"/>
          <w:sz w:val="24"/>
          <w:szCs w:val="24"/>
          <w:lang w:eastAsia="en-GB"/>
        </w:rPr>
        <w:t xml:space="preserve">Angharad de </w:t>
      </w:r>
      <w:proofErr w:type="spellStart"/>
      <w:r w:rsidR="00951C66">
        <w:rPr>
          <w:rFonts w:ascii="Times New Roman" w:eastAsia="Times New Roman" w:hAnsi="Times New Roman" w:cs="Times New Roman"/>
          <w:sz w:val="24"/>
          <w:szCs w:val="24"/>
          <w:lang w:eastAsia="en-GB"/>
        </w:rPr>
        <w:t>Barri</w:t>
      </w:r>
      <w:proofErr w:type="spellEnd"/>
      <w:r w:rsidR="005A1CB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a </w:t>
      </w:r>
      <w:r w:rsidR="005A1CBA">
        <w:rPr>
          <w:rFonts w:ascii="Times New Roman" w:eastAsia="Times New Roman" w:hAnsi="Times New Roman" w:cs="Times New Roman"/>
          <w:sz w:val="24"/>
          <w:szCs w:val="24"/>
          <w:lang w:eastAsia="en-GB"/>
        </w:rPr>
        <w:t xml:space="preserve">daughter of the Princess Nest who was in turn the child of Rhys ap Tewdwr, the last king of </w:t>
      </w:r>
      <w:proofErr w:type="spellStart"/>
      <w:r w:rsidR="005A1CBA">
        <w:rPr>
          <w:rFonts w:ascii="Times New Roman" w:eastAsia="Times New Roman" w:hAnsi="Times New Roman" w:cs="Times New Roman"/>
          <w:sz w:val="24"/>
          <w:szCs w:val="24"/>
          <w:lang w:eastAsia="en-GB"/>
        </w:rPr>
        <w:t>Deheubarth</w:t>
      </w:r>
      <w:proofErr w:type="spellEnd"/>
      <w:r w:rsidR="005A1CBA">
        <w:rPr>
          <w:rFonts w:ascii="Times New Roman" w:eastAsia="Times New Roman" w:hAnsi="Times New Roman" w:cs="Times New Roman"/>
          <w:sz w:val="24"/>
          <w:szCs w:val="24"/>
          <w:lang w:eastAsia="en-GB"/>
        </w:rPr>
        <w:t>.</w:t>
      </w:r>
      <w:r w:rsidR="005A1CBA">
        <w:rPr>
          <w:rStyle w:val="FootnoteReference"/>
          <w:rFonts w:ascii="Times New Roman" w:eastAsia="Times New Roman" w:hAnsi="Times New Roman" w:cs="Times New Roman"/>
          <w:sz w:val="24"/>
          <w:szCs w:val="24"/>
          <w:lang w:eastAsia="en-GB"/>
        </w:rPr>
        <w:footnoteReference w:id="2"/>
      </w:r>
      <w:r w:rsidR="005A1CB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As such, Gerald was indisputably a Welshman </w:t>
      </w:r>
      <w:r w:rsidR="00B91734">
        <w:rPr>
          <w:rFonts w:ascii="Times New Roman" w:eastAsia="Times New Roman" w:hAnsi="Times New Roman" w:cs="Times New Roman"/>
          <w:sz w:val="24"/>
          <w:szCs w:val="24"/>
          <w:lang w:eastAsia="en-GB"/>
        </w:rPr>
        <w:t xml:space="preserve">by his own and his contemporaries’ estimation. </w:t>
      </w:r>
      <w:r w:rsidR="00B142A3">
        <w:rPr>
          <w:rFonts w:ascii="Times New Roman" w:eastAsia="Times New Roman" w:hAnsi="Times New Roman" w:cs="Times New Roman"/>
          <w:sz w:val="24"/>
          <w:szCs w:val="24"/>
          <w:lang w:eastAsia="en-GB"/>
        </w:rPr>
        <w:t>The result of this is that the witness Gerald provides into Welsh culture in the twelfth century comes from the perspective of a native – a double edged sword in respect of his reliability. On the one hand, this implies that Gerald’s writings probably have a partisan bias towards the Welsh in that he would present them in a purely positive light, potentially omitting their vices or flaws in order to extoll his nation</w:t>
      </w:r>
      <w:r w:rsidR="00BD548F">
        <w:rPr>
          <w:rFonts w:ascii="Times New Roman" w:eastAsia="Times New Roman" w:hAnsi="Times New Roman" w:cs="Times New Roman"/>
          <w:sz w:val="24"/>
          <w:szCs w:val="24"/>
          <w:lang w:eastAsia="en-GB"/>
        </w:rPr>
        <w:t>’</w:t>
      </w:r>
      <w:r w:rsidR="00B142A3">
        <w:rPr>
          <w:rFonts w:ascii="Times New Roman" w:eastAsia="Times New Roman" w:hAnsi="Times New Roman" w:cs="Times New Roman"/>
          <w:sz w:val="24"/>
          <w:szCs w:val="24"/>
          <w:lang w:eastAsia="en-GB"/>
        </w:rPr>
        <w:t xml:space="preserve">s virtues to his Norman overlords. </w:t>
      </w:r>
      <w:r w:rsidR="00F82E69">
        <w:rPr>
          <w:rFonts w:ascii="Times New Roman" w:eastAsia="Times New Roman" w:hAnsi="Times New Roman" w:cs="Times New Roman"/>
          <w:sz w:val="24"/>
          <w:szCs w:val="24"/>
          <w:lang w:eastAsia="en-GB"/>
        </w:rPr>
        <w:t>It is also notable that Gerald’s chief and self-professed goal was to not only become Bishop of Saint David’s but also to eventually establish it as an archbishopric</w:t>
      </w:r>
      <w:r w:rsidR="00E91960">
        <w:rPr>
          <w:rFonts w:ascii="Times New Roman" w:eastAsia="Times New Roman" w:hAnsi="Times New Roman" w:cs="Times New Roman"/>
          <w:sz w:val="24"/>
          <w:szCs w:val="24"/>
          <w:lang w:eastAsia="en-GB"/>
        </w:rPr>
        <w:t xml:space="preserve"> independent of the authority of Canterbury with all the power control it had before the Norman invasions of South Wales, again conveying his view of himself as Welsh since his attempt to return ecclesiastical authority in Wales to the Welsh revolved around his election as Bishop.</w:t>
      </w:r>
      <w:r w:rsidR="00E91960">
        <w:rPr>
          <w:rStyle w:val="FootnoteReference"/>
          <w:rFonts w:ascii="Times New Roman" w:eastAsia="Times New Roman" w:hAnsi="Times New Roman" w:cs="Times New Roman"/>
          <w:sz w:val="24"/>
          <w:szCs w:val="24"/>
          <w:lang w:eastAsia="en-GB"/>
        </w:rPr>
        <w:footnoteReference w:id="3"/>
      </w:r>
      <w:r w:rsidR="00F82E69">
        <w:rPr>
          <w:rFonts w:ascii="Times New Roman" w:eastAsia="Times New Roman" w:hAnsi="Times New Roman" w:cs="Times New Roman"/>
          <w:sz w:val="24"/>
          <w:szCs w:val="24"/>
          <w:lang w:eastAsia="en-GB"/>
        </w:rPr>
        <w:t xml:space="preserve"> </w:t>
      </w:r>
      <w:r w:rsidR="00B142A3">
        <w:rPr>
          <w:rFonts w:ascii="Times New Roman" w:eastAsia="Times New Roman" w:hAnsi="Times New Roman" w:cs="Times New Roman"/>
          <w:sz w:val="24"/>
          <w:szCs w:val="24"/>
          <w:lang w:eastAsia="en-GB"/>
        </w:rPr>
        <w:t xml:space="preserve">Conversely, his Welsh nationality could also enhance the reliability of his writings as Gerald might have wished to describe </w:t>
      </w:r>
      <w:r w:rsidR="006E0125">
        <w:rPr>
          <w:rFonts w:ascii="Times New Roman" w:eastAsia="Times New Roman" w:hAnsi="Times New Roman" w:cs="Times New Roman"/>
          <w:sz w:val="24"/>
          <w:szCs w:val="24"/>
          <w:lang w:eastAsia="en-GB"/>
        </w:rPr>
        <w:t>Welsh society and culture as it was, without placing an excessive emphasis on their triumphs or flaws</w:t>
      </w:r>
      <w:r w:rsidR="00BD548F">
        <w:rPr>
          <w:rFonts w:ascii="Times New Roman" w:eastAsia="Times New Roman" w:hAnsi="Times New Roman" w:cs="Times New Roman"/>
          <w:sz w:val="24"/>
          <w:szCs w:val="24"/>
          <w:lang w:eastAsia="en-GB"/>
        </w:rPr>
        <w:t>, so as to give his readers an impression of Wales which didn’t conform to the preconceived notion that it was a land of barbarians while still maintaining his own credibility at the time by not presenting an impossibly ideal culture</w:t>
      </w:r>
      <w:r w:rsidR="006E0125">
        <w:rPr>
          <w:rFonts w:ascii="Times New Roman" w:eastAsia="Times New Roman" w:hAnsi="Times New Roman" w:cs="Times New Roman"/>
          <w:sz w:val="24"/>
          <w:szCs w:val="24"/>
          <w:lang w:eastAsia="en-GB"/>
        </w:rPr>
        <w:t>. This latter argument bears up well as Gerald’s</w:t>
      </w:r>
      <w:r>
        <w:rPr>
          <w:rFonts w:ascii="Times New Roman" w:eastAsia="Times New Roman" w:hAnsi="Times New Roman" w:cs="Times New Roman"/>
          <w:sz w:val="24"/>
          <w:szCs w:val="24"/>
          <w:lang w:eastAsia="en-GB"/>
        </w:rPr>
        <w:t xml:space="preserve"> father was</w:t>
      </w:r>
      <w:r w:rsidR="006E0125">
        <w:rPr>
          <w:rFonts w:ascii="Times New Roman" w:eastAsia="Times New Roman" w:hAnsi="Times New Roman" w:cs="Times New Roman"/>
          <w:sz w:val="24"/>
          <w:szCs w:val="24"/>
          <w:lang w:eastAsia="en-GB"/>
        </w:rPr>
        <w:t>, in fact,</w:t>
      </w:r>
      <w:r>
        <w:rPr>
          <w:rFonts w:ascii="Times New Roman" w:eastAsia="Times New Roman" w:hAnsi="Times New Roman" w:cs="Times New Roman"/>
          <w:sz w:val="24"/>
          <w:szCs w:val="24"/>
          <w:lang w:eastAsia="en-GB"/>
        </w:rPr>
        <w:t xml:space="preserve"> a Norman </w:t>
      </w:r>
      <w:r w:rsidR="006E0125">
        <w:rPr>
          <w:rFonts w:ascii="Times New Roman" w:eastAsia="Times New Roman" w:hAnsi="Times New Roman" w:cs="Times New Roman"/>
          <w:sz w:val="24"/>
          <w:szCs w:val="24"/>
          <w:lang w:eastAsia="en-GB"/>
        </w:rPr>
        <w:t>Marcher lord</w:t>
      </w:r>
      <w:r>
        <w:rPr>
          <w:rFonts w:ascii="Times New Roman" w:eastAsia="Times New Roman" w:hAnsi="Times New Roman" w:cs="Times New Roman"/>
          <w:sz w:val="24"/>
          <w:szCs w:val="24"/>
          <w:lang w:eastAsia="en-GB"/>
        </w:rPr>
        <w:t xml:space="preserve">, William de </w:t>
      </w:r>
      <w:proofErr w:type="spellStart"/>
      <w:r>
        <w:rPr>
          <w:rFonts w:ascii="Times New Roman" w:eastAsia="Times New Roman" w:hAnsi="Times New Roman" w:cs="Times New Roman"/>
          <w:sz w:val="24"/>
          <w:szCs w:val="24"/>
          <w:lang w:eastAsia="en-GB"/>
        </w:rPr>
        <w:t>Barri</w:t>
      </w:r>
      <w:proofErr w:type="spellEnd"/>
      <w:r>
        <w:rPr>
          <w:rFonts w:ascii="Times New Roman" w:eastAsia="Times New Roman" w:hAnsi="Times New Roman" w:cs="Times New Roman"/>
          <w:sz w:val="24"/>
          <w:szCs w:val="24"/>
          <w:lang w:eastAsia="en-GB"/>
        </w:rPr>
        <w:t xml:space="preserve">, </w:t>
      </w:r>
      <w:r w:rsidR="00502658">
        <w:rPr>
          <w:rFonts w:ascii="Times New Roman" w:eastAsia="Times New Roman" w:hAnsi="Times New Roman" w:cs="Times New Roman"/>
          <w:sz w:val="24"/>
          <w:szCs w:val="24"/>
          <w:lang w:eastAsia="en-GB"/>
        </w:rPr>
        <w:t>so</w:t>
      </w:r>
      <w:r w:rsidR="006E0125">
        <w:rPr>
          <w:rFonts w:ascii="Times New Roman" w:eastAsia="Times New Roman" w:hAnsi="Times New Roman" w:cs="Times New Roman"/>
          <w:sz w:val="24"/>
          <w:szCs w:val="24"/>
          <w:lang w:eastAsia="en-GB"/>
        </w:rPr>
        <w:t xml:space="preserve"> Gerald was as much a part of the Norman </w:t>
      </w:r>
      <w:r w:rsidR="006E0125">
        <w:rPr>
          <w:rFonts w:ascii="Times New Roman" w:eastAsia="Times New Roman" w:hAnsi="Times New Roman" w:cs="Times New Roman"/>
          <w:sz w:val="24"/>
          <w:szCs w:val="24"/>
          <w:lang w:eastAsia="en-GB"/>
        </w:rPr>
        <w:lastRenderedPageBreak/>
        <w:t>aristocracy as he was Welsh</w:t>
      </w:r>
      <w:r w:rsidR="00BD548F">
        <w:rPr>
          <w:rFonts w:ascii="Times New Roman" w:eastAsia="Times New Roman" w:hAnsi="Times New Roman" w:cs="Times New Roman"/>
          <w:sz w:val="24"/>
          <w:szCs w:val="24"/>
          <w:lang w:eastAsia="en-GB"/>
        </w:rPr>
        <w:t>.</w:t>
      </w:r>
      <w:r w:rsidR="00BD548F">
        <w:rPr>
          <w:rStyle w:val="FootnoteReference"/>
          <w:rFonts w:ascii="Times New Roman" w:eastAsia="Times New Roman" w:hAnsi="Times New Roman" w:cs="Times New Roman"/>
          <w:sz w:val="24"/>
          <w:szCs w:val="24"/>
          <w:lang w:eastAsia="en-GB"/>
        </w:rPr>
        <w:footnoteReference w:id="4"/>
      </w:r>
      <w:r w:rsidR="00BD548F">
        <w:rPr>
          <w:rFonts w:ascii="Times New Roman" w:eastAsia="Times New Roman" w:hAnsi="Times New Roman" w:cs="Times New Roman"/>
          <w:sz w:val="24"/>
          <w:szCs w:val="24"/>
          <w:lang w:eastAsia="en-GB"/>
        </w:rPr>
        <w:t xml:space="preserve"> In addition, Gerald </w:t>
      </w:r>
      <w:r w:rsidR="001A1C91">
        <w:rPr>
          <w:rFonts w:ascii="Times New Roman" w:eastAsia="Times New Roman" w:hAnsi="Times New Roman" w:cs="Times New Roman"/>
          <w:sz w:val="24"/>
          <w:szCs w:val="24"/>
          <w:lang w:eastAsia="en-GB"/>
        </w:rPr>
        <w:t>also found a position as a Royal Clerk to Henry II from 1183 to circa 1194</w:t>
      </w:r>
      <w:r w:rsidR="001A1C91">
        <w:rPr>
          <w:rStyle w:val="FootnoteReference"/>
          <w:rFonts w:ascii="Times New Roman" w:eastAsia="Times New Roman" w:hAnsi="Times New Roman" w:cs="Times New Roman"/>
          <w:sz w:val="24"/>
          <w:szCs w:val="24"/>
          <w:lang w:eastAsia="en-GB"/>
        </w:rPr>
        <w:footnoteReference w:id="5"/>
      </w:r>
      <w:r w:rsidR="001A1C91">
        <w:rPr>
          <w:rFonts w:ascii="Times New Roman" w:eastAsia="Times New Roman" w:hAnsi="Times New Roman" w:cs="Times New Roman"/>
          <w:sz w:val="24"/>
          <w:szCs w:val="24"/>
          <w:lang w:eastAsia="en-GB"/>
        </w:rPr>
        <w:t xml:space="preserve"> both of which, it could be argued, would temper his national pride with enough Norman high-mindedness and experience of English culture to consequently result in a witness of both nations’ society and culture which retains a considerable amount of reliability - from its time of publication to this day.</w:t>
      </w:r>
    </w:p>
    <w:p w14:paraId="09C3EF68" w14:textId="62D092A3" w:rsidR="0071363C" w:rsidRDefault="006B5102" w:rsidP="000C5576">
      <w:pPr>
        <w:shd w:val="clear" w:color="auto" w:fill="FFFFFF"/>
        <w:spacing w:before="100" w:beforeAutospacing="1" w:after="100" w:afterAutospacing="1" w:line="240" w:lineRule="auto"/>
        <w:rPr>
          <w:rFonts w:ascii="Times New Roman" w:hAnsi="Times New Roman" w:cs="Times New Roman"/>
          <w:color w:val="000000"/>
          <w:sz w:val="24"/>
          <w:szCs w:val="24"/>
        </w:rPr>
      </w:pPr>
      <w:r>
        <w:rPr>
          <w:rFonts w:ascii="Times New Roman" w:eastAsia="Times New Roman" w:hAnsi="Times New Roman" w:cs="Times New Roman"/>
          <w:sz w:val="24"/>
          <w:szCs w:val="24"/>
          <w:lang w:eastAsia="en-GB"/>
        </w:rPr>
        <w:t xml:space="preserve">Another key element to Gerald’s reliability is his writings themselves and the way in which they describe the society and cultures he witnessed, particularly that of Wales. The </w:t>
      </w:r>
      <w:proofErr w:type="spellStart"/>
      <w:r>
        <w:rPr>
          <w:rFonts w:ascii="Times New Roman" w:eastAsia="Times New Roman" w:hAnsi="Times New Roman" w:cs="Times New Roman"/>
          <w:sz w:val="24"/>
          <w:szCs w:val="24"/>
          <w:lang w:eastAsia="en-GB"/>
        </w:rPr>
        <w:t>Descriptio</w:t>
      </w:r>
      <w:proofErr w:type="spellEnd"/>
      <w:r>
        <w:rPr>
          <w:rFonts w:ascii="Times New Roman" w:eastAsia="Times New Roman" w:hAnsi="Times New Roman" w:cs="Times New Roman"/>
          <w:sz w:val="24"/>
          <w:szCs w:val="24"/>
          <w:lang w:eastAsia="en-GB"/>
        </w:rPr>
        <w:t xml:space="preserve"> Cambrensis or Description of Wales is a prime example of this with its first book </w:t>
      </w:r>
      <w:r w:rsidR="00857646">
        <w:rPr>
          <w:rFonts w:ascii="Times New Roman" w:eastAsia="Times New Roman" w:hAnsi="Times New Roman" w:cs="Times New Roman"/>
          <w:sz w:val="24"/>
          <w:szCs w:val="24"/>
          <w:lang w:eastAsia="en-GB"/>
        </w:rPr>
        <w:t>discussing many of the positive aspects of Welsh culture such as their “</w:t>
      </w:r>
      <w:bookmarkStart w:id="1" w:name="_Hlk84786384"/>
      <w:r w:rsidR="00857646">
        <w:rPr>
          <w:rFonts w:ascii="Times New Roman" w:eastAsia="Times New Roman" w:hAnsi="Times New Roman" w:cs="Times New Roman"/>
          <w:sz w:val="24"/>
          <w:szCs w:val="24"/>
          <w:lang w:eastAsia="en-GB"/>
        </w:rPr>
        <w:t>Hospitality and Liberality</w:t>
      </w:r>
      <w:bookmarkEnd w:id="1"/>
      <w:r w:rsidR="00857646">
        <w:rPr>
          <w:rFonts w:ascii="Times New Roman" w:eastAsia="Times New Roman" w:hAnsi="Times New Roman" w:cs="Times New Roman"/>
          <w:sz w:val="24"/>
          <w:szCs w:val="24"/>
          <w:lang w:eastAsia="en-GB"/>
        </w:rPr>
        <w:t>”</w:t>
      </w:r>
      <w:r w:rsidR="00857646">
        <w:rPr>
          <w:rStyle w:val="FootnoteReference"/>
          <w:rFonts w:ascii="Times New Roman" w:eastAsia="Times New Roman" w:hAnsi="Times New Roman" w:cs="Times New Roman"/>
          <w:sz w:val="24"/>
          <w:szCs w:val="24"/>
          <w:lang w:eastAsia="en-GB"/>
        </w:rPr>
        <w:footnoteReference w:id="6"/>
      </w:r>
      <w:r w:rsidR="00857646">
        <w:rPr>
          <w:rFonts w:ascii="Times New Roman" w:eastAsia="Times New Roman" w:hAnsi="Times New Roman" w:cs="Times New Roman"/>
          <w:sz w:val="24"/>
          <w:szCs w:val="24"/>
          <w:lang w:eastAsia="en-GB"/>
        </w:rPr>
        <w:t xml:space="preserve"> as well as their “</w:t>
      </w:r>
      <w:bookmarkStart w:id="2" w:name="_Hlk84786394"/>
      <w:r w:rsidR="00857646">
        <w:rPr>
          <w:rFonts w:ascii="Times New Roman" w:eastAsia="Times New Roman" w:hAnsi="Times New Roman" w:cs="Times New Roman"/>
          <w:sz w:val="24"/>
          <w:szCs w:val="24"/>
          <w:lang w:eastAsia="en-GB"/>
        </w:rPr>
        <w:t>Quickness and Sharpness of Understanding</w:t>
      </w:r>
      <w:bookmarkEnd w:id="2"/>
      <w:r w:rsidR="00857646">
        <w:rPr>
          <w:rFonts w:ascii="Times New Roman" w:eastAsia="Times New Roman" w:hAnsi="Times New Roman" w:cs="Times New Roman"/>
          <w:sz w:val="24"/>
          <w:szCs w:val="24"/>
          <w:lang w:eastAsia="en-GB"/>
        </w:rPr>
        <w:t>”</w:t>
      </w:r>
      <w:r w:rsidR="00857646">
        <w:rPr>
          <w:rStyle w:val="FootnoteReference"/>
          <w:rFonts w:ascii="Times New Roman" w:eastAsia="Times New Roman" w:hAnsi="Times New Roman" w:cs="Times New Roman"/>
          <w:sz w:val="24"/>
          <w:szCs w:val="24"/>
          <w:lang w:eastAsia="en-GB"/>
        </w:rPr>
        <w:footnoteReference w:id="7"/>
      </w:r>
      <w:r w:rsidR="00857646">
        <w:rPr>
          <w:rFonts w:ascii="Times New Roman" w:eastAsia="Times New Roman" w:hAnsi="Times New Roman" w:cs="Times New Roman"/>
          <w:sz w:val="24"/>
          <w:szCs w:val="24"/>
          <w:lang w:eastAsia="en-GB"/>
        </w:rPr>
        <w:t xml:space="preserve">. This may suggest a biased opinion of the Welsh which would call into question Gerald’s overall reliability were it not for the second book which </w:t>
      </w:r>
      <w:r w:rsidR="001539A2">
        <w:rPr>
          <w:rFonts w:ascii="Times New Roman" w:eastAsia="Times New Roman" w:hAnsi="Times New Roman" w:cs="Times New Roman"/>
          <w:sz w:val="24"/>
          <w:szCs w:val="24"/>
          <w:lang w:eastAsia="en-GB"/>
        </w:rPr>
        <w:t>makes comments “</w:t>
      </w:r>
      <w:bookmarkStart w:id="3" w:name="_Hlk84786405"/>
      <w:r w:rsidR="001539A2" w:rsidRPr="001539A2">
        <w:rPr>
          <w:rFonts w:ascii="Times New Roman" w:hAnsi="Times New Roman" w:cs="Times New Roman"/>
          <w:color w:val="000000"/>
          <w:sz w:val="24"/>
          <w:szCs w:val="24"/>
        </w:rPr>
        <w:t xml:space="preserve">Concerning the Inconstancy and Instability of this Nation, and their Want of Reverence for </w:t>
      </w:r>
      <w:r w:rsidR="001539A2">
        <w:rPr>
          <w:rFonts w:ascii="Times New Roman" w:hAnsi="Times New Roman" w:cs="Times New Roman"/>
          <w:color w:val="000000"/>
          <w:sz w:val="24"/>
          <w:szCs w:val="24"/>
        </w:rPr>
        <w:t>G</w:t>
      </w:r>
      <w:r w:rsidR="001539A2" w:rsidRPr="001539A2">
        <w:rPr>
          <w:rFonts w:ascii="Times New Roman" w:hAnsi="Times New Roman" w:cs="Times New Roman"/>
          <w:color w:val="000000"/>
          <w:sz w:val="24"/>
          <w:szCs w:val="24"/>
        </w:rPr>
        <w:t>ood Faith and Oaths</w:t>
      </w:r>
      <w:bookmarkEnd w:id="3"/>
      <w:r w:rsidR="001539A2">
        <w:rPr>
          <w:rFonts w:ascii="Times New Roman" w:hAnsi="Times New Roman" w:cs="Times New Roman"/>
          <w:color w:val="000000"/>
          <w:sz w:val="24"/>
          <w:szCs w:val="24"/>
        </w:rPr>
        <w:t>”</w:t>
      </w:r>
      <w:r w:rsidR="001539A2">
        <w:rPr>
          <w:rStyle w:val="FootnoteReference"/>
          <w:rFonts w:ascii="Times New Roman" w:hAnsi="Times New Roman" w:cs="Times New Roman"/>
          <w:color w:val="000000"/>
          <w:sz w:val="24"/>
          <w:szCs w:val="24"/>
        </w:rPr>
        <w:footnoteReference w:id="8"/>
      </w:r>
      <w:r w:rsidR="001539A2" w:rsidRPr="001539A2">
        <w:rPr>
          <w:rFonts w:ascii="Times New Roman" w:eastAsia="Times New Roman" w:hAnsi="Times New Roman" w:cs="Times New Roman"/>
          <w:sz w:val="24"/>
          <w:szCs w:val="24"/>
          <w:lang w:eastAsia="en-GB"/>
        </w:rPr>
        <w:t xml:space="preserve"> </w:t>
      </w:r>
      <w:r w:rsidR="00857646" w:rsidRPr="00857646">
        <w:rPr>
          <w:rFonts w:ascii="Times New Roman" w:eastAsia="Times New Roman" w:hAnsi="Times New Roman" w:cs="Times New Roman"/>
          <w:sz w:val="24"/>
          <w:szCs w:val="24"/>
          <w:lang w:eastAsia="en-GB"/>
        </w:rPr>
        <w:t>their “</w:t>
      </w:r>
      <w:bookmarkStart w:id="4" w:name="_Hlk84786418"/>
      <w:r w:rsidR="00857646" w:rsidRPr="00857646">
        <w:rPr>
          <w:rFonts w:ascii="Times New Roman" w:hAnsi="Times New Roman" w:cs="Times New Roman"/>
          <w:color w:val="000000"/>
          <w:sz w:val="24"/>
          <w:szCs w:val="24"/>
        </w:rPr>
        <w:t>living by Plunder, and Disregard of the Bonds of Peace and Friendship</w:t>
      </w:r>
      <w:bookmarkEnd w:id="4"/>
      <w:r w:rsidR="00857646">
        <w:rPr>
          <w:rFonts w:ascii="Times New Roman" w:hAnsi="Times New Roman" w:cs="Times New Roman"/>
          <w:color w:val="000000"/>
          <w:sz w:val="24"/>
          <w:szCs w:val="24"/>
        </w:rPr>
        <w:t>”</w:t>
      </w:r>
      <w:r w:rsidR="00857646">
        <w:rPr>
          <w:rStyle w:val="FootnoteReference"/>
          <w:rFonts w:ascii="Times New Roman" w:hAnsi="Times New Roman" w:cs="Times New Roman"/>
          <w:color w:val="000000"/>
          <w:sz w:val="24"/>
          <w:szCs w:val="24"/>
        </w:rPr>
        <w:footnoteReference w:id="9"/>
      </w:r>
      <w:r w:rsidR="001539A2">
        <w:rPr>
          <w:rFonts w:ascii="Times New Roman" w:hAnsi="Times New Roman" w:cs="Times New Roman"/>
          <w:color w:val="000000"/>
          <w:sz w:val="24"/>
          <w:szCs w:val="24"/>
        </w:rPr>
        <w:t xml:space="preserve">. The considerable difference in the tone of each volume – the one regaling the reader with virtues of the Welsh and the other criticising their shortcomings – places great impetus behind the argument that Gerald’s witness is reliable. This point is further corroborated by segments of his writings which offer up incredibly specific details on the Welsh, their society and their culture. Observations </w:t>
      </w:r>
      <w:r w:rsidR="005F4821">
        <w:rPr>
          <w:rFonts w:ascii="Times New Roman" w:hAnsi="Times New Roman" w:cs="Times New Roman"/>
          <w:color w:val="000000"/>
          <w:sz w:val="24"/>
          <w:szCs w:val="24"/>
        </w:rPr>
        <w:t xml:space="preserve">are made on the playing of harps; their sleeping habits; and the </w:t>
      </w:r>
      <w:proofErr w:type="gramStart"/>
      <w:r w:rsidR="005F4821">
        <w:rPr>
          <w:rFonts w:ascii="Times New Roman" w:hAnsi="Times New Roman" w:cs="Times New Roman"/>
          <w:color w:val="000000"/>
          <w:sz w:val="24"/>
          <w:szCs w:val="24"/>
        </w:rPr>
        <w:t>manner in which</w:t>
      </w:r>
      <w:proofErr w:type="gramEnd"/>
      <w:r w:rsidR="005F4821">
        <w:rPr>
          <w:rFonts w:ascii="Times New Roman" w:hAnsi="Times New Roman" w:cs="Times New Roman"/>
          <w:color w:val="000000"/>
          <w:sz w:val="24"/>
          <w:szCs w:val="24"/>
        </w:rPr>
        <w:t xml:space="preserve"> both sexes cut their hair all of which bolster the extent to which Gerald can be considered reliable given that someone inventing information might not be inclined to go into such depth of detail, especially not on some fairly obscure subjects. What’s more, Gerald also draws comparisons between the Welsh and other cultures, remarking upon the veils Welsh women wear “</w:t>
      </w:r>
      <w:r w:rsidR="005F4821" w:rsidRPr="005F4821">
        <w:rPr>
          <w:rFonts w:ascii="Times New Roman" w:hAnsi="Times New Roman" w:cs="Times New Roman"/>
          <w:color w:val="000000"/>
          <w:sz w:val="24"/>
          <w:szCs w:val="24"/>
        </w:rPr>
        <w:t>after the manner of the</w:t>
      </w:r>
      <w:bookmarkStart w:id="5" w:name="page171"/>
      <w:bookmarkEnd w:id="5"/>
      <w:r w:rsidR="005F4821" w:rsidRPr="005F4821">
        <w:rPr>
          <w:rFonts w:ascii="Times New Roman" w:hAnsi="Times New Roman" w:cs="Times New Roman"/>
          <w:color w:val="000000"/>
          <w:sz w:val="24"/>
          <w:szCs w:val="24"/>
        </w:rPr>
        <w:t xml:space="preserve"> </w:t>
      </w:r>
      <w:r w:rsidR="005F4821" w:rsidRPr="005F4821">
        <w:rPr>
          <w:rFonts w:ascii="Times New Roman" w:hAnsi="Times New Roman" w:cs="Times New Roman"/>
          <w:color w:val="000000"/>
          <w:sz w:val="24"/>
          <w:szCs w:val="24"/>
        </w:rPr>
        <w:t>Parthians</w:t>
      </w:r>
      <w:r w:rsidR="005F4821">
        <w:rPr>
          <w:rFonts w:ascii="Times New Roman" w:hAnsi="Times New Roman" w:cs="Times New Roman"/>
          <w:color w:val="000000"/>
          <w:sz w:val="24"/>
          <w:szCs w:val="24"/>
        </w:rPr>
        <w:t>”</w:t>
      </w:r>
      <w:r w:rsidR="005F4821">
        <w:rPr>
          <w:rStyle w:val="FootnoteReference"/>
          <w:rFonts w:ascii="Times New Roman" w:hAnsi="Times New Roman" w:cs="Times New Roman"/>
          <w:color w:val="000000"/>
          <w:sz w:val="24"/>
          <w:szCs w:val="24"/>
        </w:rPr>
        <w:footnoteReference w:id="10"/>
      </w:r>
      <w:r w:rsidR="005F4821">
        <w:rPr>
          <w:rFonts w:ascii="Times New Roman" w:hAnsi="Times New Roman" w:cs="Times New Roman"/>
          <w:color w:val="000000"/>
          <w:sz w:val="24"/>
          <w:szCs w:val="24"/>
        </w:rPr>
        <w:t xml:space="preserve"> and the fact that at meals guests are seated in triplets rather than pairs as in other places.</w:t>
      </w:r>
      <w:r w:rsidR="005F4821">
        <w:rPr>
          <w:rStyle w:val="FootnoteReference"/>
          <w:rFonts w:ascii="Times New Roman" w:hAnsi="Times New Roman" w:cs="Times New Roman"/>
          <w:color w:val="000000"/>
          <w:sz w:val="24"/>
          <w:szCs w:val="24"/>
        </w:rPr>
        <w:footnoteReference w:id="11"/>
      </w:r>
      <w:r w:rsidR="005F4821">
        <w:rPr>
          <w:rFonts w:ascii="Times New Roman" w:hAnsi="Times New Roman" w:cs="Times New Roman"/>
          <w:color w:val="000000"/>
          <w:sz w:val="24"/>
          <w:szCs w:val="24"/>
        </w:rPr>
        <w:t xml:space="preserve"> Again these specifics corroborate Gerald’s credibility and therefore reliability</w:t>
      </w:r>
      <w:r w:rsidR="00F85862">
        <w:rPr>
          <w:rFonts w:ascii="Times New Roman" w:hAnsi="Times New Roman" w:cs="Times New Roman"/>
          <w:color w:val="000000"/>
          <w:sz w:val="24"/>
          <w:szCs w:val="24"/>
        </w:rPr>
        <w:t xml:space="preserve"> as a source on the twelfth century.</w:t>
      </w:r>
    </w:p>
    <w:p w14:paraId="76965B77" w14:textId="4E3D1ED0" w:rsidR="0071363C" w:rsidRDefault="0071363C" w:rsidP="000C5576">
      <w:pPr>
        <w:shd w:val="clear" w:color="auto" w:fill="FFFFFF"/>
        <w:spacing w:before="100" w:beforeAutospacing="1" w:after="100" w:afterAutospacing="1"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Furthermore, it should also be noted that Gerald of Wales lived from around 1146 until circ</w:t>
      </w:r>
      <w:r w:rsidR="006B32DA">
        <w:rPr>
          <w:rFonts w:ascii="Times New Roman" w:hAnsi="Times New Roman" w:cs="Times New Roman"/>
          <w:color w:val="000000"/>
          <w:sz w:val="24"/>
          <w:szCs w:val="24"/>
        </w:rPr>
        <w:t>a</w:t>
      </w:r>
      <w:r>
        <w:rPr>
          <w:rFonts w:ascii="Times New Roman" w:hAnsi="Times New Roman" w:cs="Times New Roman"/>
          <w:color w:val="000000"/>
          <w:sz w:val="24"/>
          <w:szCs w:val="24"/>
        </w:rPr>
        <w:t xml:space="preserve"> 1223</w:t>
      </w:r>
      <w:r w:rsidR="006B32DA">
        <w:rPr>
          <w:rFonts w:ascii="Times New Roman" w:hAnsi="Times New Roman" w:cs="Times New Roman"/>
          <w:color w:val="000000"/>
          <w:sz w:val="24"/>
          <w:szCs w:val="24"/>
        </w:rPr>
        <w:t xml:space="preserve"> </w:t>
      </w:r>
      <w:r w:rsidR="00094E68">
        <w:rPr>
          <w:rFonts w:ascii="Times New Roman" w:hAnsi="Times New Roman" w:cs="Times New Roman"/>
          <w:color w:val="000000"/>
          <w:sz w:val="24"/>
          <w:szCs w:val="24"/>
        </w:rPr>
        <w:t xml:space="preserve">and, </w:t>
      </w:r>
      <w:r w:rsidR="00A62CCF">
        <w:rPr>
          <w:rFonts w:ascii="Times New Roman" w:hAnsi="Times New Roman" w:cs="Times New Roman"/>
          <w:color w:val="000000"/>
          <w:sz w:val="24"/>
          <w:szCs w:val="24"/>
        </w:rPr>
        <w:t xml:space="preserve">as such, </w:t>
      </w:r>
      <w:r w:rsidR="00A62CCF">
        <w:rPr>
          <w:rFonts w:ascii="Times New Roman" w:hAnsi="Times New Roman" w:cs="Times New Roman"/>
          <w:color w:val="000000"/>
          <w:sz w:val="24"/>
          <w:szCs w:val="24"/>
        </w:rPr>
        <w:t>b</w:t>
      </w:r>
      <w:r w:rsidR="00A62CCF">
        <w:rPr>
          <w:rFonts w:ascii="Times New Roman" w:hAnsi="Times New Roman" w:cs="Times New Roman"/>
          <w:color w:val="000000"/>
          <w:sz w:val="24"/>
          <w:szCs w:val="24"/>
        </w:rPr>
        <w:t>ore w</w:t>
      </w:r>
      <w:r w:rsidR="00A62CCF">
        <w:rPr>
          <w:rFonts w:ascii="Times New Roman" w:hAnsi="Times New Roman" w:cs="Times New Roman"/>
          <w:color w:val="000000"/>
          <w:sz w:val="24"/>
          <w:szCs w:val="24"/>
        </w:rPr>
        <w:t>itness to event</w:t>
      </w:r>
      <w:r w:rsidR="00A62CCF">
        <w:rPr>
          <w:rFonts w:ascii="Times New Roman" w:hAnsi="Times New Roman" w:cs="Times New Roman"/>
          <w:color w:val="000000"/>
          <w:sz w:val="24"/>
          <w:szCs w:val="24"/>
        </w:rPr>
        <w:t>s</w:t>
      </w:r>
      <w:r w:rsidR="00A62CCF">
        <w:rPr>
          <w:rFonts w:ascii="Times New Roman" w:hAnsi="Times New Roman" w:cs="Times New Roman"/>
          <w:color w:val="000000"/>
          <w:sz w:val="24"/>
          <w:szCs w:val="24"/>
        </w:rPr>
        <w:t xml:space="preserve"> from the Anarchy under Stephen right up to the early part of Henry III’s reign</w:t>
      </w:r>
      <w:r w:rsidR="006B32DA">
        <w:rPr>
          <w:rFonts w:ascii="Times New Roman" w:hAnsi="Times New Roman" w:cs="Times New Roman"/>
          <w:color w:val="000000"/>
          <w:sz w:val="24"/>
          <w:szCs w:val="24"/>
        </w:rPr>
        <w:t>. This crucial point should not be disregarded as it means Gerald’s accounts can be considered particularly reliable because he is writing as a spectator</w:t>
      </w:r>
      <w:r w:rsidR="00A62CCF">
        <w:rPr>
          <w:rFonts w:ascii="Times New Roman" w:hAnsi="Times New Roman" w:cs="Times New Roman"/>
          <w:color w:val="000000"/>
          <w:sz w:val="24"/>
          <w:szCs w:val="24"/>
        </w:rPr>
        <w:t xml:space="preserve"> who has seen what he wrote about happen</w:t>
      </w:r>
      <w:r w:rsidR="006B32DA">
        <w:rPr>
          <w:rFonts w:ascii="Times New Roman" w:hAnsi="Times New Roman" w:cs="Times New Roman"/>
          <w:color w:val="000000"/>
          <w:sz w:val="24"/>
          <w:szCs w:val="24"/>
        </w:rPr>
        <w:t xml:space="preserve"> and consequently does not rely upon hearsay or conflicting accounts of past events</w:t>
      </w:r>
      <w:r w:rsidR="00A62CCF">
        <w:rPr>
          <w:rFonts w:ascii="Times New Roman" w:hAnsi="Times New Roman" w:cs="Times New Roman"/>
          <w:color w:val="000000"/>
          <w:sz w:val="24"/>
          <w:szCs w:val="24"/>
        </w:rPr>
        <w:t xml:space="preserve"> – presenting a mostly</w:t>
      </w:r>
      <w:r w:rsidR="006B32DA">
        <w:rPr>
          <w:rFonts w:ascii="Times New Roman" w:hAnsi="Times New Roman" w:cs="Times New Roman"/>
          <w:color w:val="000000"/>
          <w:sz w:val="24"/>
          <w:szCs w:val="24"/>
        </w:rPr>
        <w:t>. A prime example of this is Gerald’s Description of Wales</w:t>
      </w:r>
      <w:r w:rsidR="00A62CCF">
        <w:rPr>
          <w:rFonts w:ascii="Times New Roman" w:hAnsi="Times New Roman" w:cs="Times New Roman"/>
          <w:color w:val="000000"/>
          <w:sz w:val="24"/>
          <w:szCs w:val="24"/>
        </w:rPr>
        <w:t>.</w:t>
      </w:r>
      <w:r w:rsidR="006B32DA">
        <w:rPr>
          <w:rFonts w:ascii="Times New Roman" w:hAnsi="Times New Roman" w:cs="Times New Roman"/>
          <w:color w:val="000000"/>
          <w:sz w:val="24"/>
          <w:szCs w:val="24"/>
        </w:rPr>
        <w:t xml:space="preserve"> </w:t>
      </w:r>
      <w:r w:rsidR="00A62CCF">
        <w:rPr>
          <w:rFonts w:ascii="Times New Roman" w:hAnsi="Times New Roman" w:cs="Times New Roman"/>
          <w:color w:val="000000"/>
          <w:sz w:val="24"/>
          <w:szCs w:val="24"/>
        </w:rPr>
        <w:t>W</w:t>
      </w:r>
      <w:r w:rsidR="006B32DA">
        <w:rPr>
          <w:rFonts w:ascii="Times New Roman" w:hAnsi="Times New Roman" w:cs="Times New Roman"/>
          <w:color w:val="000000"/>
          <w:sz w:val="24"/>
          <w:szCs w:val="24"/>
        </w:rPr>
        <w:t>ritten after he travelled through the country with Baldwin Archbishop of Canterbury in 1188</w:t>
      </w:r>
      <w:r w:rsidR="00A62CCF">
        <w:rPr>
          <w:rFonts w:ascii="Times New Roman" w:hAnsi="Times New Roman" w:cs="Times New Roman"/>
          <w:color w:val="000000"/>
          <w:sz w:val="24"/>
          <w:szCs w:val="24"/>
        </w:rPr>
        <w:t>,</w:t>
      </w:r>
      <w:r w:rsidR="00D86513">
        <w:rPr>
          <w:rStyle w:val="FootnoteReference"/>
          <w:rFonts w:ascii="Times New Roman" w:hAnsi="Times New Roman" w:cs="Times New Roman"/>
          <w:color w:val="000000"/>
          <w:sz w:val="24"/>
          <w:szCs w:val="24"/>
        </w:rPr>
        <w:footnoteReference w:id="12"/>
      </w:r>
      <w:r w:rsidR="0007738E">
        <w:rPr>
          <w:rFonts w:ascii="Times New Roman" w:hAnsi="Times New Roman" w:cs="Times New Roman"/>
          <w:color w:val="000000"/>
          <w:sz w:val="24"/>
          <w:szCs w:val="24"/>
        </w:rPr>
        <w:t xml:space="preserve"> </w:t>
      </w:r>
      <w:r w:rsidR="00A62CCF">
        <w:rPr>
          <w:rFonts w:ascii="Times New Roman" w:hAnsi="Times New Roman" w:cs="Times New Roman"/>
          <w:color w:val="000000"/>
          <w:sz w:val="24"/>
          <w:szCs w:val="24"/>
        </w:rPr>
        <w:t>t</w:t>
      </w:r>
      <w:r w:rsidR="0007738E">
        <w:rPr>
          <w:rFonts w:ascii="Times New Roman" w:hAnsi="Times New Roman" w:cs="Times New Roman"/>
          <w:color w:val="000000"/>
          <w:sz w:val="24"/>
          <w:szCs w:val="24"/>
        </w:rPr>
        <w:t>he purpose of this tour was to raise support for what would become known as the Th</w:t>
      </w:r>
      <w:r w:rsidR="00A62CCF">
        <w:rPr>
          <w:rFonts w:ascii="Times New Roman" w:hAnsi="Times New Roman" w:cs="Times New Roman"/>
          <w:color w:val="000000"/>
          <w:sz w:val="24"/>
          <w:szCs w:val="24"/>
        </w:rPr>
        <w:t>ird Crusade – launched in response to the loss of the holy city of Jerusalem to Islamic forces under the Sultan of Syria and Egypt, Salah ad-Din</w:t>
      </w:r>
      <w:r w:rsidR="0007738E">
        <w:rPr>
          <w:rFonts w:ascii="Times New Roman" w:hAnsi="Times New Roman" w:cs="Times New Roman"/>
          <w:color w:val="000000"/>
          <w:sz w:val="24"/>
          <w:szCs w:val="24"/>
        </w:rPr>
        <w:t xml:space="preserve">. </w:t>
      </w:r>
      <w:proofErr w:type="gramStart"/>
      <w:r w:rsidR="0007738E">
        <w:rPr>
          <w:rFonts w:ascii="Times New Roman" w:hAnsi="Times New Roman" w:cs="Times New Roman"/>
          <w:color w:val="000000"/>
          <w:sz w:val="24"/>
          <w:szCs w:val="24"/>
        </w:rPr>
        <w:t xml:space="preserve">In the </w:t>
      </w:r>
      <w:r w:rsidR="0007738E">
        <w:rPr>
          <w:rFonts w:ascii="Times New Roman" w:hAnsi="Times New Roman" w:cs="Times New Roman"/>
          <w:color w:val="000000"/>
          <w:sz w:val="24"/>
          <w:szCs w:val="24"/>
        </w:rPr>
        <w:lastRenderedPageBreak/>
        <w:t>course of</w:t>
      </w:r>
      <w:proofErr w:type="gramEnd"/>
      <w:r w:rsidR="0007738E">
        <w:rPr>
          <w:rFonts w:ascii="Times New Roman" w:hAnsi="Times New Roman" w:cs="Times New Roman"/>
          <w:color w:val="000000"/>
          <w:sz w:val="24"/>
          <w:szCs w:val="24"/>
        </w:rPr>
        <w:t xml:space="preserve"> their journey, Baldwin and Gerald visited much of Wale</w:t>
      </w:r>
      <w:r w:rsidR="00A62CCF">
        <w:rPr>
          <w:rFonts w:ascii="Times New Roman" w:hAnsi="Times New Roman" w:cs="Times New Roman"/>
          <w:color w:val="000000"/>
          <w:sz w:val="24"/>
          <w:szCs w:val="24"/>
        </w:rPr>
        <w:t>;</w:t>
      </w:r>
      <w:r w:rsidR="0007738E">
        <w:rPr>
          <w:rFonts w:ascii="Times New Roman" w:hAnsi="Times New Roman" w:cs="Times New Roman"/>
          <w:color w:val="000000"/>
          <w:sz w:val="24"/>
          <w:szCs w:val="24"/>
        </w:rPr>
        <w:t xml:space="preserve"> traversing the south coast before heading north by way of Stata Florida Abbey and passing through most of the major northern towns.</w:t>
      </w:r>
      <w:r w:rsidR="0007738E">
        <w:rPr>
          <w:rStyle w:val="FootnoteReference"/>
          <w:rFonts w:ascii="Times New Roman" w:hAnsi="Times New Roman" w:cs="Times New Roman"/>
          <w:color w:val="000000"/>
          <w:sz w:val="24"/>
          <w:szCs w:val="24"/>
        </w:rPr>
        <w:footnoteReference w:id="13"/>
      </w:r>
      <w:r w:rsidR="00E7764C">
        <w:rPr>
          <w:rFonts w:ascii="Times New Roman" w:hAnsi="Times New Roman" w:cs="Times New Roman"/>
          <w:color w:val="000000"/>
          <w:sz w:val="24"/>
          <w:szCs w:val="24"/>
        </w:rPr>
        <w:t xml:space="preserve"> Essentially, Gerald’s writings drew from his own experiences of the entire country </w:t>
      </w:r>
      <w:r w:rsidR="00A62CCF">
        <w:rPr>
          <w:rFonts w:ascii="Times New Roman" w:hAnsi="Times New Roman" w:cs="Times New Roman"/>
          <w:color w:val="000000"/>
          <w:sz w:val="24"/>
          <w:szCs w:val="24"/>
        </w:rPr>
        <w:t>not just one town or isolated pockets</w:t>
      </w:r>
      <w:r w:rsidR="00E7764C">
        <w:rPr>
          <w:rFonts w:ascii="Times New Roman" w:hAnsi="Times New Roman" w:cs="Times New Roman"/>
          <w:color w:val="000000"/>
          <w:sz w:val="24"/>
          <w:szCs w:val="24"/>
        </w:rPr>
        <w:t xml:space="preserve">. Coupled with his own Welsh heritage and </w:t>
      </w:r>
      <w:r w:rsidR="00192C1B">
        <w:rPr>
          <w:rFonts w:ascii="Times New Roman" w:hAnsi="Times New Roman" w:cs="Times New Roman"/>
          <w:color w:val="000000"/>
          <w:sz w:val="24"/>
          <w:szCs w:val="24"/>
        </w:rPr>
        <w:t xml:space="preserve">the many revisions he made to his books </w:t>
      </w:r>
      <w:r w:rsidR="00E7764C">
        <w:rPr>
          <w:rFonts w:ascii="Times New Roman" w:hAnsi="Times New Roman" w:cs="Times New Roman"/>
          <w:color w:val="000000"/>
          <w:sz w:val="24"/>
          <w:szCs w:val="24"/>
        </w:rPr>
        <w:t>throughout his life</w:t>
      </w:r>
      <w:r w:rsidR="00192C1B">
        <w:rPr>
          <w:rFonts w:ascii="Times New Roman" w:hAnsi="Times New Roman" w:cs="Times New Roman"/>
          <w:color w:val="000000"/>
          <w:sz w:val="24"/>
          <w:szCs w:val="24"/>
        </w:rPr>
        <w:t>,</w:t>
      </w:r>
      <w:r w:rsidR="00094E68">
        <w:rPr>
          <w:rStyle w:val="FootnoteReference"/>
          <w:rFonts w:ascii="Times New Roman" w:hAnsi="Times New Roman" w:cs="Times New Roman"/>
          <w:color w:val="000000"/>
          <w:sz w:val="24"/>
          <w:szCs w:val="24"/>
        </w:rPr>
        <w:footnoteReference w:id="14"/>
      </w:r>
      <w:r w:rsidR="00192C1B">
        <w:rPr>
          <w:rFonts w:ascii="Times New Roman" w:hAnsi="Times New Roman" w:cs="Times New Roman"/>
          <w:color w:val="000000"/>
          <w:sz w:val="24"/>
          <w:szCs w:val="24"/>
        </w:rPr>
        <w:t xml:space="preserve"> </w:t>
      </w:r>
      <w:r w:rsidR="00192C1B">
        <w:rPr>
          <w:rFonts w:ascii="Times New Roman" w:hAnsi="Times New Roman" w:cs="Times New Roman"/>
          <w:color w:val="000000"/>
          <w:sz w:val="24"/>
          <w:szCs w:val="24"/>
        </w:rPr>
        <w:t>the likelihood of any major inaccuracies in his work is sligh</w:t>
      </w:r>
      <w:r w:rsidR="00094E68">
        <w:rPr>
          <w:rFonts w:ascii="Times New Roman" w:hAnsi="Times New Roman" w:cs="Times New Roman"/>
          <w:color w:val="000000"/>
          <w:sz w:val="24"/>
          <w:szCs w:val="24"/>
        </w:rPr>
        <w:t xml:space="preserve">t. Much the same is true of his other works, including his autobiography: De Rebus a se </w:t>
      </w:r>
      <w:proofErr w:type="spellStart"/>
      <w:r w:rsidR="00094E68">
        <w:rPr>
          <w:rFonts w:ascii="Times New Roman" w:hAnsi="Times New Roman" w:cs="Times New Roman"/>
          <w:color w:val="000000"/>
          <w:sz w:val="24"/>
          <w:szCs w:val="24"/>
        </w:rPr>
        <w:t>Gestis</w:t>
      </w:r>
      <w:proofErr w:type="spellEnd"/>
      <w:r w:rsidR="00094E68">
        <w:rPr>
          <w:rFonts w:ascii="Times New Roman" w:hAnsi="Times New Roman" w:cs="Times New Roman"/>
          <w:color w:val="000000"/>
          <w:sz w:val="24"/>
          <w:szCs w:val="24"/>
        </w:rPr>
        <w:t xml:space="preserve"> which not only lays out the passage of his own life but also contains accounts of other contemporary events such as the election</w:t>
      </w:r>
      <w:r w:rsidR="00F051EC">
        <w:rPr>
          <w:rFonts w:ascii="Times New Roman" w:hAnsi="Times New Roman" w:cs="Times New Roman"/>
          <w:color w:val="000000"/>
          <w:sz w:val="24"/>
          <w:szCs w:val="24"/>
        </w:rPr>
        <w:t>s</w:t>
      </w:r>
      <w:r w:rsidR="00094E68">
        <w:rPr>
          <w:rFonts w:ascii="Times New Roman" w:hAnsi="Times New Roman" w:cs="Times New Roman"/>
          <w:color w:val="000000"/>
          <w:sz w:val="24"/>
          <w:szCs w:val="24"/>
        </w:rPr>
        <w:t xml:space="preserve"> of the Bishop of Saint David’s See</w:t>
      </w:r>
      <w:r w:rsidR="00F051EC">
        <w:rPr>
          <w:rFonts w:ascii="Times New Roman" w:hAnsi="Times New Roman" w:cs="Times New Roman"/>
          <w:color w:val="000000"/>
          <w:sz w:val="24"/>
          <w:szCs w:val="24"/>
        </w:rPr>
        <w:t xml:space="preserve"> in 1176</w:t>
      </w:r>
      <w:r w:rsidR="00094E68">
        <w:rPr>
          <w:rStyle w:val="FootnoteReference"/>
          <w:rFonts w:ascii="Times New Roman" w:hAnsi="Times New Roman" w:cs="Times New Roman"/>
          <w:color w:val="000000"/>
          <w:sz w:val="24"/>
          <w:szCs w:val="24"/>
        </w:rPr>
        <w:footnoteReference w:id="15"/>
      </w:r>
      <w:r w:rsidR="00094E68">
        <w:rPr>
          <w:rFonts w:ascii="Times New Roman" w:hAnsi="Times New Roman" w:cs="Times New Roman"/>
          <w:color w:val="000000"/>
          <w:sz w:val="24"/>
          <w:szCs w:val="24"/>
        </w:rPr>
        <w:t xml:space="preserve"> </w:t>
      </w:r>
      <w:r w:rsidR="00F051EC">
        <w:rPr>
          <w:rFonts w:ascii="Times New Roman" w:hAnsi="Times New Roman" w:cs="Times New Roman"/>
          <w:color w:val="000000"/>
          <w:sz w:val="24"/>
          <w:szCs w:val="24"/>
        </w:rPr>
        <w:t>and 1199</w:t>
      </w:r>
      <w:r w:rsidR="00F051EC">
        <w:rPr>
          <w:rStyle w:val="FootnoteReference"/>
          <w:rFonts w:ascii="Times New Roman" w:hAnsi="Times New Roman" w:cs="Times New Roman"/>
          <w:color w:val="000000"/>
          <w:sz w:val="24"/>
          <w:szCs w:val="24"/>
        </w:rPr>
        <w:footnoteReference w:id="16"/>
      </w:r>
      <w:r w:rsidR="00F051EC">
        <w:rPr>
          <w:rFonts w:ascii="Times New Roman" w:hAnsi="Times New Roman" w:cs="Times New Roman"/>
          <w:color w:val="000000"/>
          <w:sz w:val="24"/>
          <w:szCs w:val="24"/>
        </w:rPr>
        <w:t xml:space="preserve"> - in both of which Gerald was a nominee but wasn’t selected for the post in either. All in all, the fact that Gerald witnessed that which he wrote about with errors being relatively unlikely makes him </w:t>
      </w:r>
      <w:r w:rsidR="00E2213E">
        <w:rPr>
          <w:rFonts w:ascii="Times New Roman" w:hAnsi="Times New Roman" w:cs="Times New Roman"/>
          <w:color w:val="000000"/>
          <w:sz w:val="24"/>
          <w:szCs w:val="24"/>
        </w:rPr>
        <w:t xml:space="preserve">a </w:t>
      </w:r>
      <w:proofErr w:type="gramStart"/>
      <w:r w:rsidR="00E2213E">
        <w:rPr>
          <w:rFonts w:ascii="Times New Roman" w:hAnsi="Times New Roman" w:cs="Times New Roman"/>
          <w:color w:val="000000"/>
          <w:sz w:val="24"/>
          <w:szCs w:val="24"/>
        </w:rPr>
        <w:t>fairly reliable</w:t>
      </w:r>
      <w:proofErr w:type="gramEnd"/>
      <w:r w:rsidR="00E2213E">
        <w:rPr>
          <w:rFonts w:ascii="Times New Roman" w:hAnsi="Times New Roman" w:cs="Times New Roman"/>
          <w:color w:val="000000"/>
          <w:sz w:val="24"/>
          <w:szCs w:val="24"/>
        </w:rPr>
        <w:t xml:space="preserve"> witness to society and culture in England and Wales during the twelfth century.</w:t>
      </w:r>
    </w:p>
    <w:p w14:paraId="6909A0BE" w14:textId="5F1CB1EC" w:rsidR="00F85862" w:rsidRDefault="00F85862" w:rsidP="000C5576">
      <w:pPr>
        <w:shd w:val="clear" w:color="auto" w:fill="FFFFFF"/>
        <w:spacing w:before="100" w:beforeAutospacing="1" w:after="100" w:afterAutospacing="1"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Therefore, despite his obvious Welsh national loyalties </w:t>
      </w:r>
      <w:r w:rsidR="00FA7298">
        <w:rPr>
          <w:rFonts w:ascii="Times New Roman" w:hAnsi="Times New Roman" w:cs="Times New Roman"/>
          <w:color w:val="000000"/>
          <w:sz w:val="24"/>
          <w:szCs w:val="24"/>
        </w:rPr>
        <w:t xml:space="preserve">– mostly in respect of the bishopric of Saint David’s - </w:t>
      </w:r>
      <w:r>
        <w:rPr>
          <w:rFonts w:ascii="Times New Roman" w:hAnsi="Times New Roman" w:cs="Times New Roman"/>
          <w:color w:val="000000"/>
          <w:sz w:val="24"/>
          <w:szCs w:val="24"/>
        </w:rPr>
        <w:t xml:space="preserve">and </w:t>
      </w:r>
      <w:r w:rsidR="00FA7298">
        <w:rPr>
          <w:rFonts w:ascii="Times New Roman" w:hAnsi="Times New Roman" w:cs="Times New Roman"/>
          <w:color w:val="000000"/>
          <w:sz w:val="24"/>
          <w:szCs w:val="24"/>
        </w:rPr>
        <w:t>the potential for positive bias towards the Welsh in his physical works</w:t>
      </w:r>
      <w:r>
        <w:rPr>
          <w:rFonts w:ascii="Times New Roman" w:hAnsi="Times New Roman" w:cs="Times New Roman"/>
          <w:color w:val="000000"/>
          <w:sz w:val="24"/>
          <w:szCs w:val="24"/>
        </w:rPr>
        <w:t xml:space="preserve">, Gerald of </w:t>
      </w:r>
      <w:proofErr w:type="spellStart"/>
      <w:r>
        <w:rPr>
          <w:rFonts w:ascii="Times New Roman" w:hAnsi="Times New Roman" w:cs="Times New Roman"/>
          <w:color w:val="000000"/>
          <w:sz w:val="24"/>
          <w:szCs w:val="24"/>
        </w:rPr>
        <w:t>Wales’</w:t>
      </w:r>
      <w:proofErr w:type="spellEnd"/>
      <w:r>
        <w:rPr>
          <w:rFonts w:ascii="Times New Roman" w:hAnsi="Times New Roman" w:cs="Times New Roman"/>
          <w:color w:val="000000"/>
          <w:sz w:val="24"/>
          <w:szCs w:val="24"/>
        </w:rPr>
        <w:t xml:space="preserve"> mixed </w:t>
      </w:r>
      <w:proofErr w:type="spellStart"/>
      <w:r>
        <w:rPr>
          <w:rFonts w:ascii="Times New Roman" w:hAnsi="Times New Roman" w:cs="Times New Roman"/>
          <w:color w:val="000000"/>
          <w:sz w:val="24"/>
          <w:szCs w:val="24"/>
        </w:rPr>
        <w:t>Normano</w:t>
      </w:r>
      <w:proofErr w:type="spellEnd"/>
      <w:r>
        <w:rPr>
          <w:rFonts w:ascii="Times New Roman" w:hAnsi="Times New Roman" w:cs="Times New Roman"/>
          <w:color w:val="000000"/>
          <w:sz w:val="24"/>
          <w:szCs w:val="24"/>
        </w:rPr>
        <w:t>-Welsh ancestry</w:t>
      </w:r>
      <w:r w:rsidR="0087729C">
        <w:rPr>
          <w:rFonts w:ascii="Times New Roman" w:hAnsi="Times New Roman" w:cs="Times New Roman"/>
          <w:color w:val="000000"/>
          <w:sz w:val="24"/>
          <w:szCs w:val="24"/>
        </w:rPr>
        <w:t xml:space="preserve"> with blood links to Welsh royalty through his mother and the Anglo-Norman aristocracy of the Marches, of which his father was a member,</w:t>
      </w:r>
      <w:r>
        <w:rPr>
          <w:rFonts w:ascii="Times New Roman" w:hAnsi="Times New Roman" w:cs="Times New Roman"/>
          <w:color w:val="000000"/>
          <w:sz w:val="24"/>
          <w:szCs w:val="24"/>
        </w:rPr>
        <w:t xml:space="preserve"> places him in a unique position to consider the Welsh both as a native and a foreigner</w:t>
      </w:r>
      <w:r w:rsidR="00FA7298">
        <w:rPr>
          <w:rFonts w:ascii="Times New Roman" w:hAnsi="Times New Roman" w:cs="Times New Roman"/>
          <w:color w:val="000000"/>
          <w:sz w:val="24"/>
          <w:szCs w:val="24"/>
        </w:rPr>
        <w:t>. This position grants Gerald the capacity to offer</w:t>
      </w:r>
      <w:r>
        <w:rPr>
          <w:rFonts w:ascii="Times New Roman" w:hAnsi="Times New Roman" w:cs="Times New Roman"/>
          <w:color w:val="000000"/>
          <w:sz w:val="24"/>
          <w:szCs w:val="24"/>
        </w:rPr>
        <w:t xml:space="preserve"> a perspective whose inclination towards </w:t>
      </w:r>
      <w:r w:rsidR="00FA7298">
        <w:rPr>
          <w:rFonts w:ascii="Times New Roman" w:hAnsi="Times New Roman" w:cs="Times New Roman"/>
          <w:color w:val="000000"/>
          <w:sz w:val="24"/>
          <w:szCs w:val="24"/>
        </w:rPr>
        <w:t>his</w:t>
      </w:r>
      <w:r>
        <w:rPr>
          <w:rFonts w:ascii="Times New Roman" w:hAnsi="Times New Roman" w:cs="Times New Roman"/>
          <w:color w:val="000000"/>
          <w:sz w:val="24"/>
          <w:szCs w:val="24"/>
        </w:rPr>
        <w:t xml:space="preserve"> own people is gently balanced by experience outside of </w:t>
      </w:r>
      <w:proofErr w:type="spellStart"/>
      <w:r w:rsidR="00FA7298">
        <w:rPr>
          <w:rFonts w:ascii="Times New Roman" w:hAnsi="Times New Roman" w:cs="Times New Roman"/>
          <w:color w:val="000000"/>
          <w:sz w:val="24"/>
          <w:szCs w:val="24"/>
        </w:rPr>
        <w:t>Wales’</w:t>
      </w:r>
      <w:proofErr w:type="spellEnd"/>
      <w:r>
        <w:rPr>
          <w:rFonts w:ascii="Times New Roman" w:hAnsi="Times New Roman" w:cs="Times New Roman"/>
          <w:color w:val="000000"/>
          <w:sz w:val="24"/>
          <w:szCs w:val="24"/>
        </w:rPr>
        <w:t xml:space="preserve"> national borders</w:t>
      </w:r>
      <w:r w:rsidR="0087729C">
        <w:rPr>
          <w:rFonts w:ascii="Times New Roman" w:hAnsi="Times New Roman" w:cs="Times New Roman"/>
          <w:color w:val="000000"/>
          <w:sz w:val="24"/>
          <w:szCs w:val="24"/>
        </w:rPr>
        <w:t xml:space="preserve"> as a royal clerk in both England and Ireland</w:t>
      </w:r>
      <w:r w:rsidR="00FA7298">
        <w:rPr>
          <w:rFonts w:ascii="Times New Roman" w:hAnsi="Times New Roman" w:cs="Times New Roman"/>
          <w:color w:val="000000"/>
          <w:sz w:val="24"/>
          <w:szCs w:val="24"/>
        </w:rPr>
        <w:t xml:space="preserve"> under Henry II and Prince (later King) John</w:t>
      </w:r>
      <w:r>
        <w:rPr>
          <w:rFonts w:ascii="Times New Roman" w:hAnsi="Times New Roman" w:cs="Times New Roman"/>
          <w:color w:val="000000"/>
          <w:sz w:val="24"/>
          <w:szCs w:val="24"/>
        </w:rPr>
        <w:t xml:space="preserve">. Compounded upon this, his preparedness to view the Welsh in an objective sense – highlighting all their facets, both positive and negative – conveys an air of credibility </w:t>
      </w:r>
      <w:r w:rsidR="0087729C">
        <w:rPr>
          <w:rFonts w:ascii="Times New Roman" w:hAnsi="Times New Roman" w:cs="Times New Roman"/>
          <w:color w:val="000000"/>
          <w:sz w:val="24"/>
          <w:szCs w:val="24"/>
        </w:rPr>
        <w:t xml:space="preserve">which is heavily </w:t>
      </w:r>
      <w:r>
        <w:rPr>
          <w:rFonts w:ascii="Times New Roman" w:hAnsi="Times New Roman" w:cs="Times New Roman"/>
          <w:color w:val="000000"/>
          <w:sz w:val="24"/>
          <w:szCs w:val="24"/>
        </w:rPr>
        <w:t>reinforced by specific detailing</w:t>
      </w:r>
      <w:r w:rsidR="0087729C">
        <w:rPr>
          <w:rFonts w:ascii="Times New Roman" w:hAnsi="Times New Roman" w:cs="Times New Roman"/>
          <w:color w:val="000000"/>
          <w:sz w:val="24"/>
          <w:szCs w:val="24"/>
        </w:rPr>
        <w:t xml:space="preserve"> throughout his work. </w:t>
      </w:r>
      <w:r w:rsidR="00F051EC">
        <w:rPr>
          <w:rFonts w:ascii="Times New Roman" w:hAnsi="Times New Roman" w:cs="Times New Roman"/>
          <w:color w:val="000000"/>
          <w:sz w:val="24"/>
          <w:szCs w:val="24"/>
        </w:rPr>
        <w:t>Moreover</w:t>
      </w:r>
      <w:r w:rsidR="00E7764C">
        <w:rPr>
          <w:rFonts w:ascii="Times New Roman" w:hAnsi="Times New Roman" w:cs="Times New Roman"/>
          <w:color w:val="000000"/>
          <w:sz w:val="24"/>
          <w:szCs w:val="24"/>
        </w:rPr>
        <w:t>,</w:t>
      </w:r>
      <w:r w:rsidR="00F051EC">
        <w:rPr>
          <w:rFonts w:ascii="Times New Roman" w:hAnsi="Times New Roman" w:cs="Times New Roman"/>
          <w:color w:val="000000"/>
          <w:sz w:val="24"/>
          <w:szCs w:val="24"/>
        </w:rPr>
        <w:t xml:space="preserve"> in his many written works (including the Description of Wales; the Itinerary of Archbishop Baldwin through Wales; and his own autobiography, </w:t>
      </w:r>
      <w:r w:rsidR="00F051EC" w:rsidRPr="00F051EC">
        <w:rPr>
          <w:rFonts w:ascii="Times New Roman" w:eastAsia="Times New Roman" w:hAnsi="Times New Roman" w:cs="Times New Roman"/>
          <w:color w:val="000000"/>
          <w:sz w:val="24"/>
          <w:szCs w:val="24"/>
          <w:lang w:eastAsia="en-GB"/>
        </w:rPr>
        <w:t xml:space="preserve">De Rebus a se </w:t>
      </w:r>
      <w:proofErr w:type="spellStart"/>
      <w:r w:rsidR="00F051EC" w:rsidRPr="00F051EC">
        <w:rPr>
          <w:rFonts w:ascii="Times New Roman" w:eastAsia="Times New Roman" w:hAnsi="Times New Roman" w:cs="Times New Roman"/>
          <w:color w:val="000000"/>
          <w:sz w:val="24"/>
          <w:szCs w:val="24"/>
          <w:lang w:eastAsia="en-GB"/>
        </w:rPr>
        <w:t>Gestis</w:t>
      </w:r>
      <w:proofErr w:type="spellEnd"/>
      <w:r w:rsidR="00F051EC">
        <w:rPr>
          <w:rFonts w:ascii="Times New Roman" w:eastAsia="Times New Roman" w:hAnsi="Times New Roman" w:cs="Times New Roman"/>
          <w:color w:val="000000"/>
          <w:sz w:val="24"/>
          <w:szCs w:val="24"/>
          <w:lang w:eastAsia="en-GB"/>
        </w:rPr>
        <w:t>)</w:t>
      </w:r>
      <w:r w:rsidR="00E7764C">
        <w:rPr>
          <w:rFonts w:ascii="Times New Roman" w:hAnsi="Times New Roman" w:cs="Times New Roman"/>
          <w:color w:val="000000"/>
          <w:sz w:val="24"/>
          <w:szCs w:val="24"/>
        </w:rPr>
        <w:t xml:space="preserve"> </w:t>
      </w:r>
      <w:r w:rsidR="00192C1B">
        <w:rPr>
          <w:rFonts w:ascii="Times New Roman" w:hAnsi="Times New Roman" w:cs="Times New Roman"/>
          <w:color w:val="000000"/>
          <w:sz w:val="24"/>
          <w:szCs w:val="24"/>
        </w:rPr>
        <w:t>Gerald wrote about events and places contemporary to his lifetime, most of</w:t>
      </w:r>
      <w:r w:rsidR="00E7764C">
        <w:rPr>
          <w:rFonts w:ascii="Times New Roman" w:hAnsi="Times New Roman" w:cs="Times New Roman"/>
          <w:color w:val="000000"/>
          <w:sz w:val="24"/>
          <w:szCs w:val="24"/>
        </w:rPr>
        <w:t xml:space="preserve"> </w:t>
      </w:r>
      <w:r w:rsidR="00192C1B">
        <w:rPr>
          <w:rFonts w:ascii="Times New Roman" w:hAnsi="Times New Roman" w:cs="Times New Roman"/>
          <w:color w:val="000000"/>
          <w:sz w:val="24"/>
          <w:szCs w:val="24"/>
        </w:rPr>
        <w:t xml:space="preserve">which he was present for or visited with the </w:t>
      </w:r>
      <w:r w:rsidR="0087729C">
        <w:rPr>
          <w:rFonts w:ascii="Times New Roman" w:hAnsi="Times New Roman" w:cs="Times New Roman"/>
          <w:color w:val="000000"/>
          <w:sz w:val="24"/>
          <w:szCs w:val="24"/>
        </w:rPr>
        <w:t>overall consequence</w:t>
      </w:r>
      <w:r>
        <w:rPr>
          <w:rFonts w:ascii="Times New Roman" w:hAnsi="Times New Roman" w:cs="Times New Roman"/>
          <w:color w:val="000000"/>
          <w:sz w:val="24"/>
          <w:szCs w:val="24"/>
        </w:rPr>
        <w:t xml:space="preserve"> </w:t>
      </w:r>
      <w:r w:rsidR="0087729C">
        <w:rPr>
          <w:rFonts w:ascii="Times New Roman" w:hAnsi="Times New Roman" w:cs="Times New Roman"/>
          <w:color w:val="000000"/>
          <w:sz w:val="24"/>
          <w:szCs w:val="24"/>
        </w:rPr>
        <w:t xml:space="preserve">of this potent amalgamation </w:t>
      </w:r>
      <w:r w:rsidR="00192C1B">
        <w:rPr>
          <w:rFonts w:ascii="Times New Roman" w:hAnsi="Times New Roman" w:cs="Times New Roman"/>
          <w:color w:val="000000"/>
          <w:sz w:val="24"/>
          <w:szCs w:val="24"/>
        </w:rPr>
        <w:t>being</w:t>
      </w:r>
      <w:r w:rsidR="0087729C">
        <w:rPr>
          <w:rFonts w:ascii="Times New Roman" w:hAnsi="Times New Roman" w:cs="Times New Roman"/>
          <w:color w:val="000000"/>
          <w:sz w:val="24"/>
          <w:szCs w:val="24"/>
        </w:rPr>
        <w:t xml:space="preserve"> a</w:t>
      </w:r>
      <w:r>
        <w:rPr>
          <w:rFonts w:ascii="Times New Roman" w:hAnsi="Times New Roman" w:cs="Times New Roman"/>
          <w:color w:val="000000"/>
          <w:sz w:val="24"/>
          <w:szCs w:val="24"/>
        </w:rPr>
        <w:t xml:space="preserve"> witness of Welsh and English culture and society in the twelfth </w:t>
      </w:r>
      <w:r w:rsidR="0087729C">
        <w:rPr>
          <w:rFonts w:ascii="Times New Roman" w:hAnsi="Times New Roman" w:cs="Times New Roman"/>
          <w:color w:val="000000"/>
          <w:sz w:val="24"/>
          <w:szCs w:val="24"/>
        </w:rPr>
        <w:t>century which is, to a considerable extent, reliable.</w:t>
      </w:r>
    </w:p>
    <w:p w14:paraId="1DB08089" w14:textId="173FCE94" w:rsidR="001539A2" w:rsidRDefault="001539A2" w:rsidP="000C5576">
      <w:pPr>
        <w:shd w:val="clear" w:color="auto" w:fill="FFFFFF"/>
        <w:spacing w:before="100" w:beforeAutospacing="1" w:after="100" w:afterAutospacing="1" w:line="240" w:lineRule="auto"/>
        <w:rPr>
          <w:rFonts w:ascii="Times New Roman" w:hAnsi="Times New Roman" w:cs="Times New Roman"/>
          <w:color w:val="000000"/>
          <w:sz w:val="24"/>
          <w:szCs w:val="24"/>
        </w:rPr>
      </w:pPr>
    </w:p>
    <w:p w14:paraId="05E4D032" w14:textId="12301650" w:rsidR="001539A2" w:rsidRDefault="001539A2" w:rsidP="000C5576">
      <w:pPr>
        <w:shd w:val="clear" w:color="auto" w:fill="FFFFFF"/>
        <w:spacing w:before="100" w:beforeAutospacing="1" w:after="100" w:afterAutospacing="1"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Word Count: </w:t>
      </w:r>
      <w:r w:rsidR="0087729C">
        <w:rPr>
          <w:rFonts w:ascii="Times New Roman" w:hAnsi="Times New Roman" w:cs="Times New Roman"/>
          <w:color w:val="000000"/>
          <w:sz w:val="24"/>
          <w:szCs w:val="24"/>
        </w:rPr>
        <w:t>1</w:t>
      </w:r>
      <w:r w:rsidR="00E2213E">
        <w:rPr>
          <w:rFonts w:ascii="Times New Roman" w:hAnsi="Times New Roman" w:cs="Times New Roman"/>
          <w:color w:val="000000"/>
          <w:sz w:val="24"/>
          <w:szCs w:val="24"/>
        </w:rPr>
        <w:t>421</w:t>
      </w:r>
    </w:p>
    <w:p w14:paraId="59D4B4FB" w14:textId="502FEAAF" w:rsidR="00E2213E" w:rsidRDefault="00E2213E" w:rsidP="000C5576">
      <w:pPr>
        <w:shd w:val="clear" w:color="auto" w:fill="FFFFFF"/>
        <w:spacing w:before="100" w:beforeAutospacing="1" w:after="100" w:afterAutospacing="1" w:line="240" w:lineRule="auto"/>
        <w:rPr>
          <w:rFonts w:ascii="Times New Roman" w:hAnsi="Times New Roman" w:cs="Times New Roman"/>
          <w:color w:val="000000"/>
          <w:sz w:val="24"/>
          <w:szCs w:val="24"/>
        </w:rPr>
      </w:pPr>
    </w:p>
    <w:p w14:paraId="6C7B65F3" w14:textId="77777777" w:rsidR="00E2213E" w:rsidRDefault="00E2213E" w:rsidP="00E2213E">
      <w:pPr>
        <w:jc w:val="center"/>
        <w:rPr>
          <w:rFonts w:ascii="Times New Roman" w:eastAsia="Times New Roman" w:hAnsi="Times New Roman" w:cs="Times New Roman"/>
          <w:b/>
          <w:bCs/>
          <w:color w:val="000000"/>
          <w:sz w:val="36"/>
          <w:szCs w:val="36"/>
          <w:lang w:eastAsia="en-GB"/>
        </w:rPr>
      </w:pPr>
    </w:p>
    <w:p w14:paraId="71312739" w14:textId="77777777" w:rsidR="00E2213E" w:rsidRDefault="00E2213E" w:rsidP="00E2213E">
      <w:pPr>
        <w:jc w:val="center"/>
        <w:rPr>
          <w:rFonts w:ascii="Times New Roman" w:eastAsia="Times New Roman" w:hAnsi="Times New Roman" w:cs="Times New Roman"/>
          <w:b/>
          <w:bCs/>
          <w:color w:val="000000"/>
          <w:sz w:val="36"/>
          <w:szCs w:val="36"/>
          <w:lang w:eastAsia="en-GB"/>
        </w:rPr>
      </w:pPr>
    </w:p>
    <w:p w14:paraId="6682A1BB" w14:textId="77777777" w:rsidR="00E2213E" w:rsidRDefault="00E2213E" w:rsidP="00E2213E">
      <w:pPr>
        <w:jc w:val="center"/>
        <w:rPr>
          <w:rFonts w:ascii="Times New Roman" w:eastAsia="Times New Roman" w:hAnsi="Times New Roman" w:cs="Times New Roman"/>
          <w:b/>
          <w:bCs/>
          <w:color w:val="000000"/>
          <w:sz w:val="36"/>
          <w:szCs w:val="36"/>
          <w:lang w:eastAsia="en-GB"/>
        </w:rPr>
      </w:pPr>
    </w:p>
    <w:p w14:paraId="2F1165BC" w14:textId="05BAB371" w:rsidR="00E2213E" w:rsidRPr="00D26331" w:rsidRDefault="00E2213E" w:rsidP="00E2213E">
      <w:pPr>
        <w:jc w:val="center"/>
        <w:rPr>
          <w:rFonts w:ascii="Times New Roman" w:eastAsia="Times New Roman" w:hAnsi="Times New Roman" w:cs="Times New Roman"/>
          <w:b/>
          <w:bCs/>
          <w:color w:val="000000"/>
          <w:sz w:val="36"/>
          <w:szCs w:val="36"/>
          <w:lang w:eastAsia="en-GB"/>
        </w:rPr>
      </w:pPr>
      <w:r w:rsidRPr="00D26331">
        <w:rPr>
          <w:rFonts w:ascii="Times New Roman" w:eastAsia="Times New Roman" w:hAnsi="Times New Roman" w:cs="Times New Roman"/>
          <w:b/>
          <w:bCs/>
          <w:color w:val="000000"/>
          <w:sz w:val="36"/>
          <w:szCs w:val="36"/>
          <w:lang w:eastAsia="en-GB"/>
        </w:rPr>
        <w:lastRenderedPageBreak/>
        <w:t>Bibliography</w:t>
      </w:r>
    </w:p>
    <w:p w14:paraId="4978AD18" w14:textId="77777777" w:rsidR="00E2213E" w:rsidRPr="00D26331" w:rsidRDefault="00E2213E" w:rsidP="00E2213E">
      <w:pPr>
        <w:rPr>
          <w:rFonts w:ascii="Times New Roman" w:eastAsia="Times New Roman" w:hAnsi="Times New Roman" w:cs="Times New Roman"/>
          <w:b/>
          <w:bCs/>
          <w:color w:val="000000"/>
          <w:sz w:val="28"/>
          <w:szCs w:val="28"/>
          <w:lang w:eastAsia="en-GB"/>
        </w:rPr>
      </w:pPr>
    </w:p>
    <w:p w14:paraId="35955CB8" w14:textId="77777777" w:rsidR="00E2213E" w:rsidRPr="00D26331" w:rsidRDefault="00E2213E" w:rsidP="00E2213E">
      <w:pPr>
        <w:rPr>
          <w:rFonts w:ascii="Times New Roman" w:eastAsia="Times New Roman" w:hAnsi="Times New Roman" w:cs="Times New Roman"/>
          <w:b/>
          <w:bCs/>
          <w:color w:val="000000"/>
          <w:sz w:val="28"/>
          <w:szCs w:val="28"/>
          <w:lang w:eastAsia="en-GB"/>
        </w:rPr>
      </w:pPr>
      <w:r w:rsidRPr="00D26331">
        <w:rPr>
          <w:rFonts w:ascii="Times New Roman" w:eastAsia="Times New Roman" w:hAnsi="Times New Roman" w:cs="Times New Roman"/>
          <w:b/>
          <w:bCs/>
          <w:color w:val="000000"/>
          <w:sz w:val="28"/>
          <w:szCs w:val="28"/>
          <w:lang w:eastAsia="en-GB"/>
        </w:rPr>
        <w:t>Primary Sources</w:t>
      </w:r>
    </w:p>
    <w:p w14:paraId="3E12C102" w14:textId="77777777" w:rsidR="00E2213E" w:rsidRPr="00BA3581" w:rsidRDefault="00E2213E" w:rsidP="00E2213E">
      <w:pPr>
        <w:rPr>
          <w:rFonts w:ascii="Times New Roman" w:eastAsia="Times New Roman" w:hAnsi="Times New Roman" w:cs="Times New Roman"/>
          <w:color w:val="000000"/>
          <w:sz w:val="24"/>
          <w:szCs w:val="24"/>
          <w:lang w:eastAsia="en-GB"/>
        </w:rPr>
      </w:pPr>
      <w:bookmarkStart w:id="6" w:name="_Hlk84780392"/>
      <w:r>
        <w:rPr>
          <w:rFonts w:ascii="Times New Roman" w:eastAsia="Times New Roman" w:hAnsi="Times New Roman" w:cs="Times New Roman"/>
          <w:color w:val="000000"/>
          <w:sz w:val="24"/>
          <w:szCs w:val="24"/>
          <w:lang w:eastAsia="en-GB"/>
        </w:rPr>
        <w:t xml:space="preserve">Cambrensis, Giraldus, </w:t>
      </w:r>
      <w:r>
        <w:rPr>
          <w:rFonts w:ascii="Times New Roman" w:eastAsia="Times New Roman" w:hAnsi="Times New Roman" w:cs="Times New Roman"/>
          <w:i/>
          <w:iCs/>
          <w:color w:val="000000"/>
          <w:sz w:val="24"/>
          <w:szCs w:val="24"/>
          <w:lang w:eastAsia="en-GB"/>
        </w:rPr>
        <w:t xml:space="preserve">De Rebus a se </w:t>
      </w:r>
      <w:proofErr w:type="spellStart"/>
      <w:r>
        <w:rPr>
          <w:rFonts w:ascii="Times New Roman" w:eastAsia="Times New Roman" w:hAnsi="Times New Roman" w:cs="Times New Roman"/>
          <w:i/>
          <w:iCs/>
          <w:color w:val="000000"/>
          <w:sz w:val="24"/>
          <w:szCs w:val="24"/>
          <w:lang w:eastAsia="en-GB"/>
        </w:rPr>
        <w:t>Gestis</w:t>
      </w:r>
      <w:proofErr w:type="spellEnd"/>
      <w:r>
        <w:rPr>
          <w:rFonts w:ascii="Times New Roman" w:eastAsia="Times New Roman" w:hAnsi="Times New Roman" w:cs="Times New Roman"/>
          <w:color w:val="000000"/>
          <w:sz w:val="24"/>
          <w:szCs w:val="24"/>
          <w:lang w:eastAsia="en-GB"/>
        </w:rPr>
        <w:t>, ed. and trans. H. E. Butler, (London, 1937).</w:t>
      </w:r>
    </w:p>
    <w:p w14:paraId="70832C1C" w14:textId="77777777" w:rsidR="00E2213E" w:rsidRDefault="00E2213E" w:rsidP="00E2213E">
      <w:pPr>
        <w:rPr>
          <w:rFonts w:ascii="Times New Roman" w:eastAsia="Times New Roman" w:hAnsi="Times New Roman" w:cs="Times New Roman"/>
          <w:color w:val="000000"/>
          <w:sz w:val="24"/>
          <w:szCs w:val="24"/>
          <w:lang w:eastAsia="en-GB"/>
        </w:rPr>
      </w:pPr>
      <w:bookmarkStart w:id="7" w:name="_Hlk84785405"/>
      <w:bookmarkEnd w:id="6"/>
      <w:r>
        <w:rPr>
          <w:rFonts w:ascii="Times New Roman" w:eastAsia="Times New Roman" w:hAnsi="Times New Roman" w:cs="Times New Roman"/>
          <w:color w:val="000000"/>
          <w:sz w:val="24"/>
          <w:szCs w:val="24"/>
          <w:lang w:eastAsia="en-GB"/>
        </w:rPr>
        <w:t xml:space="preserve">Cambrensis, Giraldus, </w:t>
      </w:r>
      <w:r>
        <w:rPr>
          <w:rFonts w:ascii="Times New Roman" w:eastAsia="Times New Roman" w:hAnsi="Times New Roman" w:cs="Times New Roman"/>
          <w:i/>
          <w:iCs/>
          <w:color w:val="000000"/>
          <w:sz w:val="24"/>
          <w:szCs w:val="24"/>
          <w:lang w:eastAsia="en-GB"/>
        </w:rPr>
        <w:t>The Description of Wales</w:t>
      </w:r>
      <w:r>
        <w:rPr>
          <w:rFonts w:ascii="Times New Roman" w:eastAsia="Times New Roman" w:hAnsi="Times New Roman" w:cs="Times New Roman"/>
          <w:color w:val="000000"/>
          <w:sz w:val="24"/>
          <w:szCs w:val="24"/>
          <w:lang w:eastAsia="en-GB"/>
        </w:rPr>
        <w:t>, 1194, 2</w:t>
      </w:r>
      <w:r w:rsidRPr="00761F4B">
        <w:rPr>
          <w:rFonts w:ascii="Times New Roman" w:eastAsia="Times New Roman" w:hAnsi="Times New Roman" w:cs="Times New Roman"/>
          <w:color w:val="000000"/>
          <w:sz w:val="24"/>
          <w:szCs w:val="24"/>
          <w:vertAlign w:val="superscript"/>
          <w:lang w:eastAsia="en-GB"/>
        </w:rPr>
        <w:t>nd</w:t>
      </w:r>
      <w:r>
        <w:rPr>
          <w:rFonts w:ascii="Times New Roman" w:eastAsia="Times New Roman" w:hAnsi="Times New Roman" w:cs="Times New Roman"/>
          <w:color w:val="000000"/>
          <w:sz w:val="24"/>
          <w:szCs w:val="24"/>
          <w:lang w:eastAsia="en-GB"/>
        </w:rPr>
        <w:t xml:space="preserve"> </w:t>
      </w:r>
      <w:proofErr w:type="spellStart"/>
      <w:r>
        <w:rPr>
          <w:rFonts w:ascii="Times New Roman" w:eastAsia="Times New Roman" w:hAnsi="Times New Roman" w:cs="Times New Roman"/>
          <w:color w:val="000000"/>
          <w:sz w:val="24"/>
          <w:szCs w:val="24"/>
          <w:lang w:eastAsia="en-GB"/>
        </w:rPr>
        <w:t>edn</w:t>
      </w:r>
      <w:proofErr w:type="spellEnd"/>
      <w:r>
        <w:rPr>
          <w:rFonts w:ascii="Times New Roman" w:eastAsia="Times New Roman" w:hAnsi="Times New Roman" w:cs="Times New Roman"/>
          <w:color w:val="000000"/>
          <w:sz w:val="24"/>
          <w:szCs w:val="24"/>
          <w:lang w:eastAsia="en-GB"/>
        </w:rPr>
        <w:t>., trans. R. C. Hoare, revised by T. Wright, (London, 1912).</w:t>
      </w:r>
    </w:p>
    <w:p w14:paraId="73402BD3" w14:textId="77777777" w:rsidR="00E2213E" w:rsidRPr="007D40BF" w:rsidRDefault="00E2213E" w:rsidP="00E2213E">
      <w:pPr>
        <w:rPr>
          <w:rFonts w:ascii="Times New Roman" w:eastAsia="Times New Roman" w:hAnsi="Times New Roman" w:cs="Times New Roman"/>
          <w:color w:val="000000"/>
          <w:sz w:val="24"/>
          <w:szCs w:val="24"/>
          <w:lang w:eastAsia="en-GB"/>
        </w:rPr>
      </w:pPr>
      <w:bookmarkStart w:id="8" w:name="_Hlk84794340"/>
      <w:bookmarkEnd w:id="7"/>
      <w:r>
        <w:rPr>
          <w:rFonts w:ascii="Times New Roman" w:eastAsia="Times New Roman" w:hAnsi="Times New Roman" w:cs="Times New Roman"/>
          <w:color w:val="000000"/>
          <w:sz w:val="24"/>
          <w:szCs w:val="24"/>
          <w:lang w:eastAsia="en-GB"/>
        </w:rPr>
        <w:t xml:space="preserve">Cambrensis, Giraldus, </w:t>
      </w:r>
      <w:r>
        <w:rPr>
          <w:rFonts w:ascii="Times New Roman" w:eastAsia="Times New Roman" w:hAnsi="Times New Roman" w:cs="Times New Roman"/>
          <w:i/>
          <w:iCs/>
          <w:color w:val="000000"/>
          <w:sz w:val="24"/>
          <w:szCs w:val="24"/>
          <w:lang w:eastAsia="en-GB"/>
        </w:rPr>
        <w:t>The Itinerary of Archbishop Baldwin through Wales</w:t>
      </w:r>
      <w:r>
        <w:rPr>
          <w:rFonts w:ascii="Times New Roman" w:eastAsia="Times New Roman" w:hAnsi="Times New Roman" w:cs="Times New Roman"/>
          <w:color w:val="000000"/>
          <w:sz w:val="24"/>
          <w:szCs w:val="24"/>
          <w:lang w:eastAsia="en-GB"/>
        </w:rPr>
        <w:t>, 2</w:t>
      </w:r>
      <w:r w:rsidRPr="007D40BF">
        <w:rPr>
          <w:rFonts w:ascii="Times New Roman" w:eastAsia="Times New Roman" w:hAnsi="Times New Roman" w:cs="Times New Roman"/>
          <w:color w:val="000000"/>
          <w:sz w:val="24"/>
          <w:szCs w:val="24"/>
          <w:vertAlign w:val="superscript"/>
          <w:lang w:eastAsia="en-GB"/>
        </w:rPr>
        <w:t>nd</w:t>
      </w:r>
      <w:r>
        <w:rPr>
          <w:rFonts w:ascii="Times New Roman" w:eastAsia="Times New Roman" w:hAnsi="Times New Roman" w:cs="Times New Roman"/>
          <w:color w:val="000000"/>
          <w:sz w:val="24"/>
          <w:szCs w:val="24"/>
          <w:lang w:eastAsia="en-GB"/>
        </w:rPr>
        <w:t xml:space="preserve"> </w:t>
      </w:r>
      <w:proofErr w:type="spellStart"/>
      <w:r>
        <w:rPr>
          <w:rFonts w:ascii="Times New Roman" w:eastAsia="Times New Roman" w:hAnsi="Times New Roman" w:cs="Times New Roman"/>
          <w:color w:val="000000"/>
          <w:sz w:val="24"/>
          <w:szCs w:val="24"/>
          <w:lang w:eastAsia="en-GB"/>
        </w:rPr>
        <w:t>edn</w:t>
      </w:r>
      <w:proofErr w:type="spellEnd"/>
      <w:r>
        <w:rPr>
          <w:rFonts w:ascii="Times New Roman" w:eastAsia="Times New Roman" w:hAnsi="Times New Roman" w:cs="Times New Roman"/>
          <w:color w:val="000000"/>
          <w:sz w:val="24"/>
          <w:szCs w:val="24"/>
          <w:lang w:eastAsia="en-GB"/>
        </w:rPr>
        <w:t>., trans. R. C. Hoare, revised by T. Wright, (London, 1912)</w:t>
      </w:r>
    </w:p>
    <w:bookmarkEnd w:id="8"/>
    <w:p w14:paraId="7FDE2F04" w14:textId="77777777" w:rsidR="00E2213E" w:rsidRPr="00922825" w:rsidRDefault="00E2213E" w:rsidP="00E2213E">
      <w:pPr>
        <w:rPr>
          <w:rFonts w:ascii="Times New Roman" w:eastAsia="Times New Roman" w:hAnsi="Times New Roman" w:cs="Times New Roman"/>
          <w:color w:val="000000"/>
          <w:sz w:val="24"/>
          <w:szCs w:val="24"/>
          <w:lang w:eastAsia="en-GB"/>
        </w:rPr>
      </w:pPr>
    </w:p>
    <w:p w14:paraId="09BEA5EA" w14:textId="77777777" w:rsidR="00E2213E" w:rsidRDefault="00E2213E" w:rsidP="00E2213E">
      <w:pPr>
        <w:rPr>
          <w:rFonts w:ascii="Times New Roman" w:hAnsi="Times New Roman" w:cs="Times New Roman"/>
          <w:b/>
          <w:bCs/>
          <w:sz w:val="28"/>
          <w:szCs w:val="28"/>
        </w:rPr>
      </w:pPr>
      <w:r w:rsidRPr="00D26331">
        <w:rPr>
          <w:rFonts w:ascii="Times New Roman" w:hAnsi="Times New Roman" w:cs="Times New Roman"/>
          <w:b/>
          <w:bCs/>
          <w:sz w:val="28"/>
          <w:szCs w:val="28"/>
        </w:rPr>
        <w:t>Secondary Sources</w:t>
      </w:r>
    </w:p>
    <w:p w14:paraId="71EFC66A" w14:textId="77777777" w:rsidR="00E2213E" w:rsidRPr="003D3754" w:rsidRDefault="00E2213E" w:rsidP="00E2213E">
      <w:pPr>
        <w:rPr>
          <w:rFonts w:ascii="Times New Roman" w:hAnsi="Times New Roman" w:cs="Times New Roman"/>
          <w:sz w:val="24"/>
          <w:szCs w:val="24"/>
        </w:rPr>
      </w:pPr>
      <w:bookmarkStart w:id="9" w:name="_Hlk84710647"/>
      <w:r>
        <w:rPr>
          <w:rFonts w:ascii="Times New Roman" w:hAnsi="Times New Roman" w:cs="Times New Roman"/>
          <w:sz w:val="24"/>
          <w:szCs w:val="24"/>
        </w:rPr>
        <w:t xml:space="preserve">Henley G. and Joseph McMullen A., ‘Gerald of Wales: Interpretation and Innovation in Medieval Britain’, in G. Henley and A. Joseph McMullen (eds.), </w:t>
      </w:r>
      <w:r w:rsidRPr="003D3754">
        <w:rPr>
          <w:rFonts w:ascii="Times New Roman" w:hAnsi="Times New Roman" w:cs="Times New Roman"/>
          <w:i/>
          <w:iCs/>
          <w:sz w:val="24"/>
          <w:szCs w:val="24"/>
        </w:rPr>
        <w:t>G</w:t>
      </w:r>
      <w:r w:rsidRPr="003D3754">
        <w:rPr>
          <w:rFonts w:ascii="Times New Roman" w:hAnsi="Times New Roman" w:cs="Times New Roman"/>
          <w:i/>
          <w:iCs/>
          <w:sz w:val="24"/>
          <w:szCs w:val="24"/>
          <w:shd w:val="clear" w:color="auto" w:fill="F8F8F8"/>
        </w:rPr>
        <w:t xml:space="preserve">erald of </w:t>
      </w:r>
      <w:proofErr w:type="gramStart"/>
      <w:r w:rsidRPr="003D3754">
        <w:rPr>
          <w:rFonts w:ascii="Times New Roman" w:hAnsi="Times New Roman" w:cs="Times New Roman"/>
          <w:i/>
          <w:iCs/>
          <w:sz w:val="24"/>
          <w:szCs w:val="24"/>
          <w:shd w:val="clear" w:color="auto" w:fill="F8F8F8"/>
        </w:rPr>
        <w:t>Wales :</w:t>
      </w:r>
      <w:proofErr w:type="gramEnd"/>
      <w:r w:rsidRPr="003D3754">
        <w:rPr>
          <w:rFonts w:ascii="Times New Roman" w:hAnsi="Times New Roman" w:cs="Times New Roman"/>
          <w:i/>
          <w:iCs/>
          <w:sz w:val="24"/>
          <w:szCs w:val="24"/>
          <w:shd w:val="clear" w:color="auto" w:fill="F8F8F8"/>
        </w:rPr>
        <w:t xml:space="preserve"> New Perspectives on a Medieval Writer and Critic</w:t>
      </w:r>
      <w:r>
        <w:rPr>
          <w:rFonts w:ascii="Times New Roman" w:hAnsi="Times New Roman" w:cs="Times New Roman"/>
          <w:sz w:val="24"/>
          <w:szCs w:val="24"/>
          <w:shd w:val="clear" w:color="auto" w:fill="F8F8F8"/>
        </w:rPr>
        <w:t>, (University of Wales Press, 2018), pp. 20-32</w:t>
      </w:r>
    </w:p>
    <w:p w14:paraId="169BCA7E" w14:textId="77777777" w:rsidR="00E2213E" w:rsidRPr="003D3754" w:rsidRDefault="00E2213E" w:rsidP="00E2213E">
      <w:pPr>
        <w:rPr>
          <w:rFonts w:ascii="Times New Roman" w:hAnsi="Times New Roman" w:cs="Times New Roman"/>
          <w:color w:val="000000"/>
          <w:spacing w:val="-5"/>
          <w:sz w:val="24"/>
          <w:szCs w:val="24"/>
          <w:shd w:val="clear" w:color="auto" w:fill="FFFFFF"/>
        </w:rPr>
      </w:pPr>
      <w:bookmarkStart w:id="10" w:name="_Hlk84775820"/>
      <w:bookmarkEnd w:id="9"/>
      <w:r>
        <w:rPr>
          <w:rFonts w:ascii="Times New Roman" w:hAnsi="Times New Roman" w:cs="Times New Roman"/>
          <w:sz w:val="24"/>
          <w:szCs w:val="24"/>
        </w:rPr>
        <w:t>Richter, M</w:t>
      </w:r>
      <w:r w:rsidRPr="002445F9">
        <w:rPr>
          <w:rFonts w:ascii="Times New Roman" w:hAnsi="Times New Roman" w:cs="Times New Roman"/>
          <w:sz w:val="24"/>
          <w:szCs w:val="24"/>
        </w:rPr>
        <w:t>.</w:t>
      </w:r>
      <w:proofErr w:type="gramStart"/>
      <w:r w:rsidRPr="002445F9">
        <w:rPr>
          <w:rFonts w:ascii="Times New Roman" w:hAnsi="Times New Roman" w:cs="Times New Roman"/>
          <w:sz w:val="24"/>
          <w:szCs w:val="24"/>
        </w:rPr>
        <w:t>,</w:t>
      </w:r>
      <w:r w:rsidRPr="002445F9">
        <w:rPr>
          <w:rFonts w:ascii="Times New Roman" w:hAnsi="Times New Roman" w:cs="Times New Roman"/>
          <w:color w:val="000000"/>
          <w:spacing w:val="-5"/>
          <w:sz w:val="24"/>
          <w:szCs w:val="24"/>
          <w:shd w:val="clear" w:color="auto" w:fill="FFFFFF"/>
        </w:rPr>
        <w:t xml:space="preserve">  </w:t>
      </w:r>
      <w:r>
        <w:rPr>
          <w:rFonts w:ascii="Times New Roman" w:hAnsi="Times New Roman" w:cs="Times New Roman"/>
          <w:color w:val="000000"/>
          <w:spacing w:val="-5"/>
          <w:sz w:val="24"/>
          <w:szCs w:val="24"/>
          <w:shd w:val="clear" w:color="auto" w:fill="FFFFFF"/>
        </w:rPr>
        <w:t>‘</w:t>
      </w:r>
      <w:proofErr w:type="gramEnd"/>
      <w:r w:rsidRPr="002445F9">
        <w:rPr>
          <w:rFonts w:ascii="Times New Roman" w:hAnsi="Times New Roman" w:cs="Times New Roman"/>
          <w:color w:val="000000"/>
          <w:spacing w:val="-5"/>
          <w:sz w:val="24"/>
          <w:szCs w:val="24"/>
          <w:shd w:val="clear" w:color="auto" w:fill="FFFFFF"/>
        </w:rPr>
        <w:t>GERALD OF WALES: A Reassessment on the 750th Anniversary of His Death.</w:t>
      </w:r>
      <w:r>
        <w:rPr>
          <w:rFonts w:ascii="Times New Roman" w:hAnsi="Times New Roman" w:cs="Times New Roman"/>
          <w:color w:val="000000"/>
          <w:spacing w:val="-5"/>
          <w:sz w:val="24"/>
          <w:szCs w:val="24"/>
          <w:shd w:val="clear" w:color="auto" w:fill="FFFFFF"/>
        </w:rPr>
        <w:t>’</w:t>
      </w:r>
      <w:r w:rsidRPr="002445F9">
        <w:rPr>
          <w:rFonts w:ascii="Times New Roman" w:hAnsi="Times New Roman" w:cs="Times New Roman"/>
          <w:color w:val="000000"/>
          <w:spacing w:val="-5"/>
          <w:sz w:val="24"/>
          <w:szCs w:val="24"/>
          <w:shd w:val="clear" w:color="auto" w:fill="FFFFFF"/>
        </w:rPr>
        <w:t> </w:t>
      </w:r>
      <w:proofErr w:type="spellStart"/>
      <w:r w:rsidRPr="002445F9">
        <w:rPr>
          <w:rFonts w:ascii="Times New Roman" w:hAnsi="Times New Roman" w:cs="Times New Roman"/>
          <w:i/>
          <w:iCs/>
          <w:color w:val="000000"/>
          <w:spacing w:val="-5"/>
          <w:sz w:val="24"/>
          <w:szCs w:val="24"/>
          <w:shd w:val="clear" w:color="auto" w:fill="FFFFFF"/>
        </w:rPr>
        <w:t>Traditio</w:t>
      </w:r>
      <w:proofErr w:type="spellEnd"/>
      <w:r w:rsidRPr="002445F9">
        <w:rPr>
          <w:rFonts w:ascii="Times New Roman" w:hAnsi="Times New Roman" w:cs="Times New Roman"/>
          <w:color w:val="000000"/>
          <w:spacing w:val="-5"/>
          <w:sz w:val="24"/>
          <w:szCs w:val="24"/>
          <w:shd w:val="clear" w:color="auto" w:fill="FFFFFF"/>
        </w:rPr>
        <w:t>, vol. 29, Fordham University, 1973, pp. 379–</w:t>
      </w:r>
      <w:r>
        <w:rPr>
          <w:rFonts w:ascii="Times New Roman" w:hAnsi="Times New Roman" w:cs="Times New Roman"/>
          <w:color w:val="000000"/>
          <w:spacing w:val="-5"/>
          <w:sz w:val="24"/>
          <w:szCs w:val="24"/>
          <w:shd w:val="clear" w:color="auto" w:fill="FFFFFF"/>
        </w:rPr>
        <w:t>3</w:t>
      </w:r>
      <w:r w:rsidRPr="002445F9">
        <w:rPr>
          <w:rFonts w:ascii="Times New Roman" w:hAnsi="Times New Roman" w:cs="Times New Roman"/>
          <w:color w:val="000000"/>
          <w:spacing w:val="-5"/>
          <w:sz w:val="24"/>
          <w:szCs w:val="24"/>
          <w:shd w:val="clear" w:color="auto" w:fill="FFFFFF"/>
        </w:rPr>
        <w:t>90</w:t>
      </w:r>
      <w:r>
        <w:rPr>
          <w:rFonts w:ascii="Times New Roman" w:hAnsi="Times New Roman" w:cs="Times New Roman"/>
          <w:color w:val="000000"/>
          <w:spacing w:val="-5"/>
          <w:sz w:val="24"/>
          <w:szCs w:val="24"/>
          <w:shd w:val="clear" w:color="auto" w:fill="FFFFFF"/>
        </w:rPr>
        <w:t>.</w:t>
      </w:r>
    </w:p>
    <w:bookmarkEnd w:id="10"/>
    <w:p w14:paraId="71B41285" w14:textId="77777777" w:rsidR="00E2213E" w:rsidRPr="00922825" w:rsidRDefault="00E2213E" w:rsidP="00E2213E">
      <w:pPr>
        <w:rPr>
          <w:rFonts w:ascii="Times New Roman" w:hAnsi="Times New Roman" w:cs="Times New Roman"/>
          <w:sz w:val="24"/>
          <w:szCs w:val="24"/>
        </w:rPr>
      </w:pPr>
    </w:p>
    <w:p w14:paraId="243774D9" w14:textId="77777777" w:rsidR="00E2213E" w:rsidRDefault="00E2213E" w:rsidP="00E2213E">
      <w:pPr>
        <w:rPr>
          <w:rFonts w:ascii="Times New Roman" w:hAnsi="Times New Roman" w:cs="Times New Roman"/>
          <w:b/>
          <w:bCs/>
          <w:sz w:val="28"/>
          <w:szCs w:val="28"/>
        </w:rPr>
      </w:pPr>
      <w:r>
        <w:rPr>
          <w:rFonts w:ascii="Times New Roman" w:hAnsi="Times New Roman" w:cs="Times New Roman"/>
          <w:b/>
          <w:bCs/>
          <w:sz w:val="28"/>
          <w:szCs w:val="28"/>
        </w:rPr>
        <w:t>Electronic Sources</w:t>
      </w:r>
    </w:p>
    <w:p w14:paraId="7E8A7E79" w14:textId="77777777" w:rsidR="00E2213E" w:rsidRPr="00922825" w:rsidRDefault="00E2213E" w:rsidP="00E2213E">
      <w:pPr>
        <w:rPr>
          <w:rFonts w:ascii="Times New Roman" w:hAnsi="Times New Roman" w:cs="Times New Roman"/>
          <w:sz w:val="24"/>
          <w:szCs w:val="24"/>
        </w:rPr>
      </w:pPr>
      <w:r>
        <w:rPr>
          <w:rFonts w:ascii="Times New Roman" w:hAnsi="Times New Roman" w:cs="Times New Roman"/>
          <w:sz w:val="24"/>
          <w:szCs w:val="24"/>
        </w:rPr>
        <w:t xml:space="preserve">The editors of Encyclopaedia Britannica, ‘Giraldus Cambrensis’, from </w:t>
      </w:r>
      <w:hyperlink r:id="rId8" w:history="1">
        <w:r w:rsidRPr="00085F04">
          <w:rPr>
            <w:rStyle w:val="Hyperlink"/>
            <w:rFonts w:ascii="Times New Roman" w:hAnsi="Times New Roman" w:cs="Times New Roman"/>
            <w:sz w:val="24"/>
            <w:szCs w:val="24"/>
          </w:rPr>
          <w:t>https://www.britannica.com/biography/Giraldus-Cambrensis</w:t>
        </w:r>
      </w:hyperlink>
      <w:r>
        <w:rPr>
          <w:rFonts w:ascii="Times New Roman" w:hAnsi="Times New Roman" w:cs="Times New Roman"/>
          <w:sz w:val="24"/>
          <w:szCs w:val="24"/>
        </w:rPr>
        <w:t xml:space="preserve"> [accessed 7th October 2021]</w:t>
      </w:r>
    </w:p>
    <w:p w14:paraId="594B0BD2" w14:textId="77777777" w:rsidR="00E2213E" w:rsidRPr="00BA6E27" w:rsidRDefault="00E2213E" w:rsidP="000C5576">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p>
    <w:sectPr w:rsidR="00E2213E" w:rsidRPr="00BA6E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2ED59" w14:textId="77777777" w:rsidR="00190872" w:rsidRDefault="00190872" w:rsidP="004207D0">
      <w:pPr>
        <w:spacing w:after="0" w:line="240" w:lineRule="auto"/>
      </w:pPr>
      <w:r>
        <w:separator/>
      </w:r>
    </w:p>
  </w:endnote>
  <w:endnote w:type="continuationSeparator" w:id="0">
    <w:p w14:paraId="477778B1" w14:textId="77777777" w:rsidR="00190872" w:rsidRDefault="00190872" w:rsidP="00420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5323A" w14:textId="77777777" w:rsidR="00190872" w:rsidRDefault="00190872" w:rsidP="004207D0">
      <w:pPr>
        <w:spacing w:after="0" w:line="240" w:lineRule="auto"/>
      </w:pPr>
      <w:r>
        <w:separator/>
      </w:r>
    </w:p>
  </w:footnote>
  <w:footnote w:type="continuationSeparator" w:id="0">
    <w:p w14:paraId="367B49C2" w14:textId="77777777" w:rsidR="00190872" w:rsidRDefault="00190872" w:rsidP="004207D0">
      <w:pPr>
        <w:spacing w:after="0" w:line="240" w:lineRule="auto"/>
      </w:pPr>
      <w:r>
        <w:continuationSeparator/>
      </w:r>
    </w:p>
  </w:footnote>
  <w:footnote w:id="1">
    <w:p w14:paraId="1D7EB289" w14:textId="50269109" w:rsidR="004207D0" w:rsidRPr="001A1C91" w:rsidRDefault="004207D0">
      <w:pPr>
        <w:pStyle w:val="FootnoteText"/>
        <w:rPr>
          <w:rFonts w:ascii="Times New Roman" w:hAnsi="Times New Roman" w:cs="Times New Roman"/>
        </w:rPr>
      </w:pPr>
      <w:r w:rsidRPr="005A1CBA">
        <w:rPr>
          <w:rStyle w:val="FootnoteReference"/>
          <w:rFonts w:ascii="Times New Roman" w:hAnsi="Times New Roman" w:cs="Times New Roman"/>
        </w:rPr>
        <w:footnoteRef/>
      </w:r>
      <w:r w:rsidRPr="005A1CBA">
        <w:rPr>
          <w:rFonts w:ascii="Times New Roman" w:hAnsi="Times New Roman" w:cs="Times New Roman"/>
        </w:rPr>
        <w:t xml:space="preserve"> </w:t>
      </w:r>
      <w:r w:rsidRPr="001A1C91">
        <w:rPr>
          <w:rFonts w:ascii="Times New Roman" w:hAnsi="Times New Roman" w:cs="Times New Roman"/>
        </w:rPr>
        <w:t>Sometimes Giraldus or Geraldus Cambrensis</w:t>
      </w:r>
    </w:p>
  </w:footnote>
  <w:footnote w:id="2">
    <w:p w14:paraId="6D5A270F" w14:textId="5DFD7EA6" w:rsidR="005A1CBA" w:rsidRPr="001A1C91" w:rsidRDefault="005A1CBA" w:rsidP="001A1C91">
      <w:pPr>
        <w:rPr>
          <w:rFonts w:ascii="Times New Roman" w:hAnsi="Times New Roman" w:cs="Times New Roman"/>
          <w:sz w:val="20"/>
          <w:szCs w:val="20"/>
        </w:rPr>
      </w:pPr>
      <w:r w:rsidRPr="001A1C91">
        <w:rPr>
          <w:rStyle w:val="FootnoteReference"/>
          <w:rFonts w:ascii="Times New Roman" w:hAnsi="Times New Roman" w:cs="Times New Roman"/>
          <w:sz w:val="20"/>
          <w:szCs w:val="20"/>
        </w:rPr>
        <w:footnoteRef/>
      </w:r>
      <w:r w:rsidRPr="001A1C91">
        <w:rPr>
          <w:rFonts w:ascii="Times New Roman" w:hAnsi="Times New Roman" w:cs="Times New Roman"/>
          <w:sz w:val="20"/>
          <w:szCs w:val="20"/>
        </w:rPr>
        <w:t xml:space="preserve"> G. </w:t>
      </w:r>
      <w:r w:rsidRPr="001A1C91">
        <w:rPr>
          <w:rFonts w:ascii="Times New Roman" w:hAnsi="Times New Roman" w:cs="Times New Roman"/>
          <w:sz w:val="20"/>
          <w:szCs w:val="20"/>
        </w:rPr>
        <w:t xml:space="preserve">Henley and </w:t>
      </w:r>
      <w:r w:rsidRPr="001A1C91">
        <w:rPr>
          <w:rFonts w:ascii="Times New Roman" w:hAnsi="Times New Roman" w:cs="Times New Roman"/>
          <w:sz w:val="20"/>
          <w:szCs w:val="20"/>
        </w:rPr>
        <w:t xml:space="preserve">A. </w:t>
      </w:r>
      <w:r w:rsidRPr="001A1C91">
        <w:rPr>
          <w:rFonts w:ascii="Times New Roman" w:hAnsi="Times New Roman" w:cs="Times New Roman"/>
          <w:sz w:val="20"/>
          <w:szCs w:val="20"/>
        </w:rPr>
        <w:t xml:space="preserve">Joseph McMullen, ‘Gerald of Wales: Interpretation and Innovation in Medieval Britain’, in G. Henley and A. Joseph McMullen (eds.), </w:t>
      </w:r>
      <w:r w:rsidRPr="001A1C91">
        <w:rPr>
          <w:rFonts w:ascii="Times New Roman" w:hAnsi="Times New Roman" w:cs="Times New Roman"/>
          <w:i/>
          <w:iCs/>
          <w:sz w:val="20"/>
          <w:szCs w:val="20"/>
        </w:rPr>
        <w:t>G</w:t>
      </w:r>
      <w:r w:rsidRPr="001A1C91">
        <w:rPr>
          <w:rFonts w:ascii="Times New Roman" w:hAnsi="Times New Roman" w:cs="Times New Roman"/>
          <w:i/>
          <w:iCs/>
          <w:sz w:val="20"/>
          <w:szCs w:val="20"/>
          <w:shd w:val="clear" w:color="auto" w:fill="F8F8F8"/>
        </w:rPr>
        <w:t xml:space="preserve">erald of </w:t>
      </w:r>
      <w:proofErr w:type="gramStart"/>
      <w:r w:rsidRPr="001A1C91">
        <w:rPr>
          <w:rFonts w:ascii="Times New Roman" w:hAnsi="Times New Roman" w:cs="Times New Roman"/>
          <w:i/>
          <w:iCs/>
          <w:sz w:val="20"/>
          <w:szCs w:val="20"/>
          <w:shd w:val="clear" w:color="auto" w:fill="F8F8F8"/>
        </w:rPr>
        <w:t>Wales :</w:t>
      </w:r>
      <w:proofErr w:type="gramEnd"/>
      <w:r w:rsidRPr="001A1C91">
        <w:rPr>
          <w:rFonts w:ascii="Times New Roman" w:hAnsi="Times New Roman" w:cs="Times New Roman"/>
          <w:i/>
          <w:iCs/>
          <w:sz w:val="20"/>
          <w:szCs w:val="20"/>
          <w:shd w:val="clear" w:color="auto" w:fill="F8F8F8"/>
        </w:rPr>
        <w:t xml:space="preserve"> New Perspectives on a Medieval Writer and Critic</w:t>
      </w:r>
      <w:r w:rsidRPr="001A1C91">
        <w:rPr>
          <w:rFonts w:ascii="Times New Roman" w:hAnsi="Times New Roman" w:cs="Times New Roman"/>
          <w:sz w:val="20"/>
          <w:szCs w:val="20"/>
          <w:shd w:val="clear" w:color="auto" w:fill="F8F8F8"/>
        </w:rPr>
        <w:t>, (University of Wales Press, 2018), pp. 20-32</w:t>
      </w:r>
      <w:r w:rsidRPr="001A1C91">
        <w:rPr>
          <w:rFonts w:ascii="Times New Roman" w:hAnsi="Times New Roman" w:cs="Times New Roman"/>
          <w:sz w:val="20"/>
          <w:szCs w:val="20"/>
          <w:shd w:val="clear" w:color="auto" w:fill="F8F8F8"/>
        </w:rPr>
        <w:t xml:space="preserve"> (p. 21)</w:t>
      </w:r>
    </w:p>
  </w:footnote>
  <w:footnote w:id="3">
    <w:p w14:paraId="0132B682" w14:textId="53292DE8" w:rsidR="00E91960" w:rsidRPr="00E91960" w:rsidRDefault="00E91960" w:rsidP="00E91960">
      <w:pPr>
        <w:rPr>
          <w:rFonts w:ascii="Times New Roman" w:eastAsia="Times New Roman" w:hAnsi="Times New Roman" w:cs="Times New Roman"/>
          <w:color w:val="000000"/>
          <w:sz w:val="24"/>
          <w:szCs w:val="24"/>
          <w:lang w:eastAsia="en-GB"/>
        </w:rPr>
      </w:pPr>
      <w:r>
        <w:rPr>
          <w:rStyle w:val="FootnoteReference"/>
        </w:rPr>
        <w:footnoteRef/>
      </w:r>
      <w:r w:rsidRPr="00E91960">
        <w:rPr>
          <w:rFonts w:ascii="Times New Roman" w:eastAsia="Times New Roman" w:hAnsi="Times New Roman" w:cs="Times New Roman"/>
          <w:color w:val="000000"/>
          <w:sz w:val="20"/>
          <w:szCs w:val="20"/>
          <w:lang w:eastAsia="en-GB"/>
        </w:rPr>
        <w:t xml:space="preserve"> Giraldus</w:t>
      </w:r>
      <w:r>
        <w:rPr>
          <w:rFonts w:ascii="Times New Roman" w:eastAsia="Times New Roman" w:hAnsi="Times New Roman" w:cs="Times New Roman"/>
          <w:color w:val="000000"/>
          <w:sz w:val="20"/>
          <w:szCs w:val="20"/>
          <w:lang w:eastAsia="en-GB"/>
        </w:rPr>
        <w:t xml:space="preserve"> </w:t>
      </w:r>
      <w:r w:rsidRPr="00E91960">
        <w:rPr>
          <w:rFonts w:ascii="Times New Roman" w:eastAsia="Times New Roman" w:hAnsi="Times New Roman" w:cs="Times New Roman"/>
          <w:color w:val="000000"/>
          <w:sz w:val="20"/>
          <w:szCs w:val="20"/>
          <w:lang w:eastAsia="en-GB"/>
        </w:rPr>
        <w:t xml:space="preserve">Cambrensis, </w:t>
      </w:r>
      <w:r w:rsidRPr="00E91960">
        <w:rPr>
          <w:rFonts w:ascii="Times New Roman" w:eastAsia="Times New Roman" w:hAnsi="Times New Roman" w:cs="Times New Roman"/>
          <w:i/>
          <w:iCs/>
          <w:color w:val="000000"/>
          <w:sz w:val="20"/>
          <w:szCs w:val="20"/>
          <w:lang w:eastAsia="en-GB"/>
        </w:rPr>
        <w:t xml:space="preserve">De Rebus a se </w:t>
      </w:r>
      <w:proofErr w:type="spellStart"/>
      <w:r w:rsidRPr="00E91960">
        <w:rPr>
          <w:rFonts w:ascii="Times New Roman" w:eastAsia="Times New Roman" w:hAnsi="Times New Roman" w:cs="Times New Roman"/>
          <w:i/>
          <w:iCs/>
          <w:color w:val="000000"/>
          <w:sz w:val="20"/>
          <w:szCs w:val="20"/>
          <w:lang w:eastAsia="en-GB"/>
        </w:rPr>
        <w:t>Gestis</w:t>
      </w:r>
      <w:proofErr w:type="spellEnd"/>
      <w:r w:rsidRPr="00E91960">
        <w:rPr>
          <w:rFonts w:ascii="Times New Roman" w:eastAsia="Times New Roman" w:hAnsi="Times New Roman" w:cs="Times New Roman"/>
          <w:color w:val="000000"/>
          <w:sz w:val="20"/>
          <w:szCs w:val="20"/>
          <w:lang w:eastAsia="en-GB"/>
        </w:rPr>
        <w:t>, ed. and trans. H. E. Butler, (London, 1937).</w:t>
      </w:r>
      <w:r w:rsidR="00DE1E3E">
        <w:rPr>
          <w:rFonts w:ascii="Times New Roman" w:eastAsia="Times New Roman" w:hAnsi="Times New Roman" w:cs="Times New Roman"/>
          <w:color w:val="000000"/>
          <w:sz w:val="20"/>
          <w:szCs w:val="20"/>
          <w:lang w:eastAsia="en-GB"/>
        </w:rPr>
        <w:t xml:space="preserve"> pp. 130-158</w:t>
      </w:r>
    </w:p>
  </w:footnote>
  <w:footnote w:id="4">
    <w:p w14:paraId="64D85C0A" w14:textId="2339FE7D" w:rsidR="00BD548F" w:rsidRPr="001A1C91" w:rsidRDefault="00BD548F">
      <w:pPr>
        <w:pStyle w:val="FootnoteText"/>
        <w:rPr>
          <w:rFonts w:ascii="Times New Roman" w:hAnsi="Times New Roman" w:cs="Times New Roman"/>
        </w:rPr>
      </w:pPr>
      <w:r w:rsidRPr="001A1C91">
        <w:rPr>
          <w:rStyle w:val="FootnoteReference"/>
          <w:rFonts w:ascii="Times New Roman" w:hAnsi="Times New Roman" w:cs="Times New Roman"/>
        </w:rPr>
        <w:footnoteRef/>
      </w:r>
      <w:r w:rsidRPr="001A1C91">
        <w:rPr>
          <w:rFonts w:ascii="Times New Roman" w:hAnsi="Times New Roman" w:cs="Times New Roman"/>
        </w:rPr>
        <w:t xml:space="preserve"> </w:t>
      </w:r>
      <w:r w:rsidR="00E91960">
        <w:rPr>
          <w:rFonts w:ascii="Times New Roman" w:hAnsi="Times New Roman" w:cs="Times New Roman"/>
        </w:rPr>
        <w:t>Henley and Joseph McMullen</w:t>
      </w:r>
      <w:r w:rsidR="001A1C91" w:rsidRPr="001A1C91">
        <w:rPr>
          <w:rFonts w:ascii="Times New Roman" w:hAnsi="Times New Roman" w:cs="Times New Roman"/>
        </w:rPr>
        <w:t>,</w:t>
      </w:r>
      <w:r w:rsidR="00DE1E3E" w:rsidRPr="001A1C91">
        <w:rPr>
          <w:rFonts w:ascii="Times New Roman" w:hAnsi="Times New Roman" w:cs="Times New Roman"/>
        </w:rPr>
        <w:t xml:space="preserve"> ‘Gerald of Wales: Interpretation and Innovation in Medieval Britain’</w:t>
      </w:r>
      <w:r w:rsidR="00DE1E3E">
        <w:rPr>
          <w:rFonts w:ascii="Times New Roman" w:hAnsi="Times New Roman" w:cs="Times New Roman"/>
        </w:rPr>
        <w:t xml:space="preserve">, </w:t>
      </w:r>
      <w:r w:rsidR="00D86513">
        <w:rPr>
          <w:rFonts w:ascii="Times New Roman" w:hAnsi="Times New Roman" w:cs="Times New Roman"/>
        </w:rPr>
        <w:t>(</w:t>
      </w:r>
      <w:r w:rsidR="001A1C91" w:rsidRPr="001A1C91">
        <w:rPr>
          <w:rFonts w:ascii="Times New Roman" w:hAnsi="Times New Roman" w:cs="Times New Roman"/>
        </w:rPr>
        <w:t>p.21</w:t>
      </w:r>
      <w:r w:rsidR="00D86513">
        <w:rPr>
          <w:rFonts w:ascii="Times New Roman" w:hAnsi="Times New Roman" w:cs="Times New Roman"/>
        </w:rPr>
        <w:t>)</w:t>
      </w:r>
    </w:p>
  </w:footnote>
  <w:footnote w:id="5">
    <w:p w14:paraId="6C3859EA" w14:textId="2C93A067" w:rsidR="001A1C91" w:rsidRPr="001A1C91" w:rsidRDefault="001A1C91" w:rsidP="001A1C91">
      <w:pPr>
        <w:rPr>
          <w:rFonts w:ascii="Times New Roman" w:hAnsi="Times New Roman" w:cs="Times New Roman"/>
          <w:color w:val="000000"/>
          <w:spacing w:val="-5"/>
          <w:sz w:val="24"/>
          <w:szCs w:val="24"/>
          <w:shd w:val="clear" w:color="auto" w:fill="FFFFFF"/>
        </w:rPr>
      </w:pPr>
      <w:r w:rsidRPr="001A1C91">
        <w:rPr>
          <w:rStyle w:val="FootnoteReference"/>
          <w:rFonts w:ascii="Times New Roman" w:hAnsi="Times New Roman" w:cs="Times New Roman"/>
          <w:sz w:val="20"/>
          <w:szCs w:val="20"/>
        </w:rPr>
        <w:footnoteRef/>
      </w:r>
      <w:r w:rsidRPr="001A1C91">
        <w:rPr>
          <w:rFonts w:ascii="Times New Roman" w:hAnsi="Times New Roman" w:cs="Times New Roman"/>
          <w:sz w:val="20"/>
          <w:szCs w:val="20"/>
        </w:rPr>
        <w:t xml:space="preserve"> </w:t>
      </w:r>
      <w:r>
        <w:rPr>
          <w:rFonts w:ascii="Times New Roman" w:hAnsi="Times New Roman" w:cs="Times New Roman"/>
          <w:sz w:val="20"/>
          <w:szCs w:val="20"/>
        </w:rPr>
        <w:t xml:space="preserve">M. </w:t>
      </w:r>
      <w:r w:rsidRPr="001A1C91">
        <w:rPr>
          <w:rFonts w:ascii="Times New Roman" w:hAnsi="Times New Roman" w:cs="Times New Roman"/>
          <w:sz w:val="20"/>
          <w:szCs w:val="20"/>
        </w:rPr>
        <w:t>Richter,</w:t>
      </w:r>
      <w:r w:rsidRPr="001A1C91">
        <w:rPr>
          <w:rFonts w:ascii="Times New Roman" w:hAnsi="Times New Roman" w:cs="Times New Roman"/>
          <w:color w:val="000000"/>
          <w:spacing w:val="-5"/>
          <w:sz w:val="20"/>
          <w:szCs w:val="20"/>
          <w:shd w:val="clear" w:color="auto" w:fill="FFFFFF"/>
        </w:rPr>
        <w:t xml:space="preserve"> ‘GERALD OF WALES: A Reassessment on the 750th Anniversary of His Death.’ </w:t>
      </w:r>
      <w:proofErr w:type="spellStart"/>
      <w:r w:rsidRPr="001A1C91">
        <w:rPr>
          <w:rFonts w:ascii="Times New Roman" w:hAnsi="Times New Roman" w:cs="Times New Roman"/>
          <w:i/>
          <w:iCs/>
          <w:color w:val="000000"/>
          <w:spacing w:val="-5"/>
          <w:sz w:val="20"/>
          <w:szCs w:val="20"/>
          <w:shd w:val="clear" w:color="auto" w:fill="FFFFFF"/>
        </w:rPr>
        <w:t>Traditio</w:t>
      </w:r>
      <w:proofErr w:type="spellEnd"/>
      <w:r w:rsidRPr="001A1C91">
        <w:rPr>
          <w:rFonts w:ascii="Times New Roman" w:hAnsi="Times New Roman" w:cs="Times New Roman"/>
          <w:color w:val="000000"/>
          <w:spacing w:val="-5"/>
          <w:sz w:val="20"/>
          <w:szCs w:val="20"/>
          <w:shd w:val="clear" w:color="auto" w:fill="FFFFFF"/>
        </w:rPr>
        <w:t>, vol. 29, Fordham University, 1973, pp. 379–390</w:t>
      </w:r>
      <w:r>
        <w:rPr>
          <w:rFonts w:ascii="Times New Roman" w:hAnsi="Times New Roman" w:cs="Times New Roman"/>
          <w:color w:val="000000"/>
          <w:spacing w:val="-5"/>
          <w:sz w:val="20"/>
          <w:szCs w:val="20"/>
          <w:shd w:val="clear" w:color="auto" w:fill="FFFFFF"/>
        </w:rPr>
        <w:t xml:space="preserve"> (p. 381)</w:t>
      </w:r>
    </w:p>
  </w:footnote>
  <w:footnote w:id="6">
    <w:p w14:paraId="6E4998D8" w14:textId="6815098D" w:rsidR="00857646" w:rsidRPr="00857646" w:rsidRDefault="00857646" w:rsidP="00857646">
      <w:pPr>
        <w:rPr>
          <w:rFonts w:ascii="Times New Roman" w:eastAsia="Times New Roman" w:hAnsi="Times New Roman" w:cs="Times New Roman"/>
          <w:color w:val="000000"/>
          <w:sz w:val="20"/>
          <w:szCs w:val="20"/>
          <w:lang w:eastAsia="en-GB"/>
        </w:rPr>
      </w:pPr>
      <w:r w:rsidRPr="00857646">
        <w:rPr>
          <w:rStyle w:val="FootnoteReference"/>
          <w:rFonts w:ascii="Times New Roman" w:hAnsi="Times New Roman" w:cs="Times New Roman"/>
          <w:sz w:val="20"/>
          <w:szCs w:val="20"/>
        </w:rPr>
        <w:footnoteRef/>
      </w:r>
      <w:r w:rsidRPr="00857646">
        <w:rPr>
          <w:rFonts w:ascii="Times New Roman" w:hAnsi="Times New Roman" w:cs="Times New Roman"/>
          <w:sz w:val="20"/>
          <w:szCs w:val="20"/>
        </w:rPr>
        <w:t xml:space="preserve"> </w:t>
      </w:r>
      <w:r w:rsidRPr="00857646">
        <w:rPr>
          <w:rFonts w:ascii="Times New Roman" w:eastAsia="Times New Roman" w:hAnsi="Times New Roman" w:cs="Times New Roman"/>
          <w:color w:val="000000"/>
          <w:sz w:val="20"/>
          <w:szCs w:val="20"/>
          <w:lang w:eastAsia="en-GB"/>
        </w:rPr>
        <w:t>Giraldus</w:t>
      </w:r>
      <w:r w:rsidRPr="00857646">
        <w:rPr>
          <w:rFonts w:ascii="Times New Roman" w:eastAsia="Times New Roman" w:hAnsi="Times New Roman" w:cs="Times New Roman"/>
          <w:color w:val="000000"/>
          <w:sz w:val="20"/>
          <w:szCs w:val="20"/>
          <w:lang w:eastAsia="en-GB"/>
        </w:rPr>
        <w:t xml:space="preserve"> </w:t>
      </w:r>
      <w:r w:rsidRPr="00857646">
        <w:rPr>
          <w:rFonts w:ascii="Times New Roman" w:eastAsia="Times New Roman" w:hAnsi="Times New Roman" w:cs="Times New Roman"/>
          <w:color w:val="000000"/>
          <w:sz w:val="20"/>
          <w:szCs w:val="20"/>
          <w:lang w:eastAsia="en-GB"/>
        </w:rPr>
        <w:t xml:space="preserve">Cambrensis, </w:t>
      </w:r>
      <w:r w:rsidRPr="00857646">
        <w:rPr>
          <w:rFonts w:ascii="Times New Roman" w:eastAsia="Times New Roman" w:hAnsi="Times New Roman" w:cs="Times New Roman"/>
          <w:i/>
          <w:iCs/>
          <w:color w:val="000000"/>
          <w:sz w:val="20"/>
          <w:szCs w:val="20"/>
          <w:lang w:eastAsia="en-GB"/>
        </w:rPr>
        <w:t>The Description of Wales</w:t>
      </w:r>
      <w:r w:rsidRPr="00857646">
        <w:rPr>
          <w:rFonts w:ascii="Times New Roman" w:eastAsia="Times New Roman" w:hAnsi="Times New Roman" w:cs="Times New Roman"/>
          <w:color w:val="000000"/>
          <w:sz w:val="20"/>
          <w:szCs w:val="20"/>
          <w:lang w:eastAsia="en-GB"/>
        </w:rPr>
        <w:t>, 1194, 2</w:t>
      </w:r>
      <w:r w:rsidRPr="00857646">
        <w:rPr>
          <w:rFonts w:ascii="Times New Roman" w:eastAsia="Times New Roman" w:hAnsi="Times New Roman" w:cs="Times New Roman"/>
          <w:color w:val="000000"/>
          <w:sz w:val="20"/>
          <w:szCs w:val="20"/>
          <w:vertAlign w:val="superscript"/>
          <w:lang w:eastAsia="en-GB"/>
        </w:rPr>
        <w:t>nd</w:t>
      </w:r>
      <w:r w:rsidRPr="00857646">
        <w:rPr>
          <w:rFonts w:ascii="Times New Roman" w:eastAsia="Times New Roman" w:hAnsi="Times New Roman" w:cs="Times New Roman"/>
          <w:color w:val="000000"/>
          <w:sz w:val="20"/>
          <w:szCs w:val="20"/>
          <w:lang w:eastAsia="en-GB"/>
        </w:rPr>
        <w:t xml:space="preserve"> </w:t>
      </w:r>
      <w:proofErr w:type="spellStart"/>
      <w:r w:rsidRPr="00857646">
        <w:rPr>
          <w:rFonts w:ascii="Times New Roman" w:eastAsia="Times New Roman" w:hAnsi="Times New Roman" w:cs="Times New Roman"/>
          <w:color w:val="000000"/>
          <w:sz w:val="20"/>
          <w:szCs w:val="20"/>
          <w:lang w:eastAsia="en-GB"/>
        </w:rPr>
        <w:t>edn</w:t>
      </w:r>
      <w:proofErr w:type="spellEnd"/>
      <w:r w:rsidRPr="00857646">
        <w:rPr>
          <w:rFonts w:ascii="Times New Roman" w:eastAsia="Times New Roman" w:hAnsi="Times New Roman" w:cs="Times New Roman"/>
          <w:color w:val="000000"/>
          <w:sz w:val="20"/>
          <w:szCs w:val="20"/>
          <w:lang w:eastAsia="en-GB"/>
        </w:rPr>
        <w:t>., trans. R. C. Hoare, revised by T. Wright, (London, 1912).</w:t>
      </w:r>
      <w:r>
        <w:rPr>
          <w:rFonts w:ascii="Times New Roman" w:eastAsia="Times New Roman" w:hAnsi="Times New Roman" w:cs="Times New Roman"/>
          <w:color w:val="000000"/>
          <w:sz w:val="20"/>
          <w:szCs w:val="20"/>
          <w:lang w:eastAsia="en-GB"/>
        </w:rPr>
        <w:t xml:space="preserve"> (p. 154)</w:t>
      </w:r>
    </w:p>
  </w:footnote>
  <w:footnote w:id="7">
    <w:p w14:paraId="27873155" w14:textId="606E289D" w:rsidR="00857646" w:rsidRPr="00857646" w:rsidRDefault="0085764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Ibid. (p. 154)</w:t>
      </w:r>
    </w:p>
  </w:footnote>
  <w:footnote w:id="8">
    <w:p w14:paraId="07582F4F" w14:textId="1FF00450" w:rsidR="001539A2" w:rsidRPr="001539A2" w:rsidRDefault="001539A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Ibid. (p. 154)</w:t>
      </w:r>
    </w:p>
  </w:footnote>
  <w:footnote w:id="9">
    <w:p w14:paraId="143AEC52" w14:textId="14B2AB07" w:rsidR="00857646" w:rsidRPr="00857646" w:rsidRDefault="0085764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Ibid. (p. 154)</w:t>
      </w:r>
    </w:p>
  </w:footnote>
  <w:footnote w:id="10">
    <w:p w14:paraId="71DA8ABD" w14:textId="2280406D" w:rsidR="005F4821" w:rsidRPr="005F4821" w:rsidRDefault="005F4821">
      <w:pPr>
        <w:pStyle w:val="FootnoteText"/>
        <w:rPr>
          <w:rFonts w:ascii="Times New Roman" w:hAnsi="Times New Roman" w:cs="Times New Roman"/>
        </w:rPr>
      </w:pPr>
      <w:r w:rsidRPr="005F4821">
        <w:rPr>
          <w:rStyle w:val="FootnoteReference"/>
          <w:rFonts w:ascii="Times New Roman" w:hAnsi="Times New Roman" w:cs="Times New Roman"/>
        </w:rPr>
        <w:footnoteRef/>
      </w:r>
      <w:r w:rsidRPr="005F4821">
        <w:rPr>
          <w:rFonts w:ascii="Times New Roman" w:hAnsi="Times New Roman" w:cs="Times New Roman"/>
        </w:rPr>
        <w:t xml:space="preserve"> Ibid. (p. 171)</w:t>
      </w:r>
    </w:p>
  </w:footnote>
  <w:footnote w:id="11">
    <w:p w14:paraId="1B852075" w14:textId="0CA5FF8D" w:rsidR="005F4821" w:rsidRPr="005F4821" w:rsidRDefault="005F482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Ibid. (p. 170)</w:t>
      </w:r>
    </w:p>
  </w:footnote>
  <w:footnote w:id="12">
    <w:p w14:paraId="1A353B60" w14:textId="38BE2ECA" w:rsidR="00D86513" w:rsidRDefault="00D86513">
      <w:pPr>
        <w:pStyle w:val="FootnoteText"/>
      </w:pPr>
      <w:r>
        <w:rPr>
          <w:rStyle w:val="FootnoteReference"/>
        </w:rPr>
        <w:footnoteRef/>
      </w:r>
      <w:r>
        <w:t xml:space="preserve"> </w:t>
      </w:r>
      <w:r>
        <w:rPr>
          <w:rFonts w:ascii="Times New Roman" w:hAnsi="Times New Roman" w:cs="Times New Roman"/>
        </w:rPr>
        <w:t xml:space="preserve">M. </w:t>
      </w:r>
      <w:r w:rsidRPr="001A1C91">
        <w:rPr>
          <w:rFonts w:ascii="Times New Roman" w:hAnsi="Times New Roman" w:cs="Times New Roman"/>
        </w:rPr>
        <w:t>Richter,</w:t>
      </w:r>
      <w:r w:rsidRPr="001A1C91">
        <w:rPr>
          <w:rFonts w:ascii="Times New Roman" w:hAnsi="Times New Roman" w:cs="Times New Roman"/>
          <w:color w:val="000000"/>
          <w:spacing w:val="-5"/>
          <w:shd w:val="clear" w:color="auto" w:fill="FFFFFF"/>
        </w:rPr>
        <w:t xml:space="preserve"> ‘GERALD OF WALES.’</w:t>
      </w:r>
      <w:r>
        <w:rPr>
          <w:rFonts w:ascii="Times New Roman" w:hAnsi="Times New Roman" w:cs="Times New Roman"/>
          <w:color w:val="000000"/>
          <w:spacing w:val="-5"/>
          <w:shd w:val="clear" w:color="auto" w:fill="FFFFFF"/>
        </w:rPr>
        <w:t xml:space="preserve"> </w:t>
      </w:r>
      <w:r>
        <w:rPr>
          <w:rFonts w:ascii="Times New Roman" w:hAnsi="Times New Roman" w:cs="Times New Roman"/>
          <w:color w:val="000000"/>
          <w:spacing w:val="-5"/>
          <w:shd w:val="clear" w:color="auto" w:fill="FFFFFF"/>
        </w:rPr>
        <w:t>(p. 381)</w:t>
      </w:r>
    </w:p>
  </w:footnote>
  <w:footnote w:id="13">
    <w:p w14:paraId="0957F47C" w14:textId="6734AD7D" w:rsidR="0007738E" w:rsidRPr="00E7764C" w:rsidRDefault="0007738E" w:rsidP="00E7764C">
      <w:pPr>
        <w:rPr>
          <w:rFonts w:ascii="Times New Roman" w:eastAsia="Times New Roman" w:hAnsi="Times New Roman" w:cs="Times New Roman"/>
          <w:color w:val="000000"/>
          <w:sz w:val="20"/>
          <w:szCs w:val="20"/>
          <w:lang w:eastAsia="en-GB"/>
        </w:rPr>
      </w:pPr>
      <w:r w:rsidRPr="00E7764C">
        <w:rPr>
          <w:rStyle w:val="FootnoteReference"/>
          <w:rFonts w:ascii="Times New Roman" w:hAnsi="Times New Roman" w:cs="Times New Roman"/>
          <w:sz w:val="20"/>
          <w:szCs w:val="20"/>
        </w:rPr>
        <w:footnoteRef/>
      </w:r>
      <w:r w:rsidRPr="00E7764C">
        <w:rPr>
          <w:rFonts w:ascii="Times New Roman" w:hAnsi="Times New Roman" w:cs="Times New Roman"/>
          <w:sz w:val="20"/>
          <w:szCs w:val="20"/>
        </w:rPr>
        <w:t xml:space="preserve"> </w:t>
      </w:r>
      <w:r w:rsidR="00E7764C" w:rsidRPr="00E7764C">
        <w:rPr>
          <w:rFonts w:ascii="Times New Roman" w:hAnsi="Times New Roman" w:cs="Times New Roman"/>
          <w:sz w:val="20"/>
          <w:szCs w:val="20"/>
        </w:rPr>
        <w:t xml:space="preserve">Giraldus </w:t>
      </w:r>
      <w:r w:rsidR="00E7764C" w:rsidRPr="00E7764C">
        <w:rPr>
          <w:rFonts w:ascii="Times New Roman" w:eastAsia="Times New Roman" w:hAnsi="Times New Roman" w:cs="Times New Roman"/>
          <w:color w:val="000000"/>
          <w:sz w:val="20"/>
          <w:szCs w:val="20"/>
          <w:lang w:eastAsia="en-GB"/>
        </w:rPr>
        <w:t xml:space="preserve">Cambrensis, </w:t>
      </w:r>
      <w:r w:rsidR="00E7764C" w:rsidRPr="00E7764C">
        <w:rPr>
          <w:rFonts w:ascii="Times New Roman" w:eastAsia="Times New Roman" w:hAnsi="Times New Roman" w:cs="Times New Roman"/>
          <w:i/>
          <w:iCs/>
          <w:color w:val="000000"/>
          <w:sz w:val="20"/>
          <w:szCs w:val="20"/>
          <w:lang w:eastAsia="en-GB"/>
        </w:rPr>
        <w:t>The Itinerary of Archbishop Baldwin through Wales</w:t>
      </w:r>
      <w:r w:rsidR="00E7764C" w:rsidRPr="00E7764C">
        <w:rPr>
          <w:rFonts w:ascii="Times New Roman" w:eastAsia="Times New Roman" w:hAnsi="Times New Roman" w:cs="Times New Roman"/>
          <w:color w:val="000000"/>
          <w:sz w:val="20"/>
          <w:szCs w:val="20"/>
          <w:lang w:eastAsia="en-GB"/>
        </w:rPr>
        <w:t>, 2</w:t>
      </w:r>
      <w:r w:rsidR="00E7764C" w:rsidRPr="00E7764C">
        <w:rPr>
          <w:rFonts w:ascii="Times New Roman" w:eastAsia="Times New Roman" w:hAnsi="Times New Roman" w:cs="Times New Roman"/>
          <w:color w:val="000000"/>
          <w:sz w:val="20"/>
          <w:szCs w:val="20"/>
          <w:vertAlign w:val="superscript"/>
          <w:lang w:eastAsia="en-GB"/>
        </w:rPr>
        <w:t>nd</w:t>
      </w:r>
      <w:r w:rsidR="00E7764C" w:rsidRPr="00E7764C">
        <w:rPr>
          <w:rFonts w:ascii="Times New Roman" w:eastAsia="Times New Roman" w:hAnsi="Times New Roman" w:cs="Times New Roman"/>
          <w:color w:val="000000"/>
          <w:sz w:val="20"/>
          <w:szCs w:val="20"/>
          <w:lang w:eastAsia="en-GB"/>
        </w:rPr>
        <w:t xml:space="preserve"> </w:t>
      </w:r>
      <w:proofErr w:type="spellStart"/>
      <w:r w:rsidR="00E7764C" w:rsidRPr="00E7764C">
        <w:rPr>
          <w:rFonts w:ascii="Times New Roman" w:eastAsia="Times New Roman" w:hAnsi="Times New Roman" w:cs="Times New Roman"/>
          <w:color w:val="000000"/>
          <w:sz w:val="20"/>
          <w:szCs w:val="20"/>
          <w:lang w:eastAsia="en-GB"/>
        </w:rPr>
        <w:t>edn</w:t>
      </w:r>
      <w:proofErr w:type="spellEnd"/>
      <w:r w:rsidR="00E7764C" w:rsidRPr="00E7764C">
        <w:rPr>
          <w:rFonts w:ascii="Times New Roman" w:eastAsia="Times New Roman" w:hAnsi="Times New Roman" w:cs="Times New Roman"/>
          <w:color w:val="000000"/>
          <w:sz w:val="20"/>
          <w:szCs w:val="20"/>
          <w:lang w:eastAsia="en-GB"/>
        </w:rPr>
        <w:t>., trans. R. C. Hoare, revised by T. Wright, (London, 1912)</w:t>
      </w:r>
      <w:r w:rsidR="00E7764C">
        <w:rPr>
          <w:rFonts w:ascii="Times New Roman" w:eastAsia="Times New Roman" w:hAnsi="Times New Roman" w:cs="Times New Roman"/>
          <w:color w:val="000000"/>
          <w:sz w:val="20"/>
          <w:szCs w:val="20"/>
          <w:lang w:eastAsia="en-GB"/>
        </w:rPr>
        <w:t xml:space="preserve"> (p.21)</w:t>
      </w:r>
    </w:p>
  </w:footnote>
  <w:footnote w:id="14">
    <w:p w14:paraId="0A8D1044" w14:textId="0A078FFD" w:rsidR="00094E68" w:rsidRDefault="00094E68">
      <w:pPr>
        <w:pStyle w:val="FootnoteText"/>
      </w:pPr>
      <w:r>
        <w:rPr>
          <w:rStyle w:val="FootnoteReference"/>
        </w:rPr>
        <w:footnoteRef/>
      </w:r>
      <w:r>
        <w:t xml:space="preserve"> </w:t>
      </w:r>
      <w:r>
        <w:rPr>
          <w:rFonts w:ascii="Times New Roman" w:hAnsi="Times New Roman" w:cs="Times New Roman"/>
        </w:rPr>
        <w:t>Henley and Joseph McMullen</w:t>
      </w:r>
      <w:r w:rsidRPr="001A1C91">
        <w:rPr>
          <w:rFonts w:ascii="Times New Roman" w:hAnsi="Times New Roman" w:cs="Times New Roman"/>
        </w:rPr>
        <w:t>, ‘Gerald of Wales: Interpretation and Innovation in Medieval Britain’</w:t>
      </w:r>
      <w:r>
        <w:rPr>
          <w:rFonts w:ascii="Times New Roman" w:hAnsi="Times New Roman" w:cs="Times New Roman"/>
        </w:rPr>
        <w:t>, (</w:t>
      </w:r>
      <w:r w:rsidRPr="001A1C91">
        <w:rPr>
          <w:rFonts w:ascii="Times New Roman" w:hAnsi="Times New Roman" w:cs="Times New Roman"/>
        </w:rPr>
        <w:t>p.2</w:t>
      </w:r>
      <w:r>
        <w:rPr>
          <w:rFonts w:ascii="Times New Roman" w:hAnsi="Times New Roman" w:cs="Times New Roman"/>
        </w:rPr>
        <w:t>0)</w:t>
      </w:r>
    </w:p>
  </w:footnote>
  <w:footnote w:id="15">
    <w:p w14:paraId="005DCB84" w14:textId="3DBF6B49" w:rsidR="00094E68" w:rsidRDefault="00094E68">
      <w:pPr>
        <w:pStyle w:val="FootnoteText"/>
      </w:pPr>
      <w:r>
        <w:rPr>
          <w:rStyle w:val="FootnoteReference"/>
        </w:rPr>
        <w:footnoteRef/>
      </w:r>
      <w:r>
        <w:t xml:space="preserve"> </w:t>
      </w:r>
      <w:r w:rsidRPr="00E91960">
        <w:rPr>
          <w:rFonts w:ascii="Times New Roman" w:eastAsia="Times New Roman" w:hAnsi="Times New Roman" w:cs="Times New Roman"/>
          <w:color w:val="000000"/>
          <w:lang w:eastAsia="en-GB"/>
        </w:rPr>
        <w:t>Giraldus</w:t>
      </w:r>
      <w:r>
        <w:rPr>
          <w:rFonts w:ascii="Times New Roman" w:eastAsia="Times New Roman" w:hAnsi="Times New Roman" w:cs="Times New Roman"/>
          <w:color w:val="000000"/>
          <w:lang w:eastAsia="en-GB"/>
        </w:rPr>
        <w:t xml:space="preserve"> </w:t>
      </w:r>
      <w:r w:rsidRPr="00E91960">
        <w:rPr>
          <w:rFonts w:ascii="Times New Roman" w:eastAsia="Times New Roman" w:hAnsi="Times New Roman" w:cs="Times New Roman"/>
          <w:color w:val="000000"/>
          <w:lang w:eastAsia="en-GB"/>
        </w:rPr>
        <w:t xml:space="preserve">Cambrensis, </w:t>
      </w:r>
      <w:r w:rsidRPr="00E91960">
        <w:rPr>
          <w:rFonts w:ascii="Times New Roman" w:eastAsia="Times New Roman" w:hAnsi="Times New Roman" w:cs="Times New Roman"/>
          <w:i/>
          <w:iCs/>
          <w:color w:val="000000"/>
          <w:lang w:eastAsia="en-GB"/>
        </w:rPr>
        <w:t xml:space="preserve">De Rebus a se </w:t>
      </w:r>
      <w:proofErr w:type="spellStart"/>
      <w:r w:rsidRPr="00E91960">
        <w:rPr>
          <w:rFonts w:ascii="Times New Roman" w:eastAsia="Times New Roman" w:hAnsi="Times New Roman" w:cs="Times New Roman"/>
          <w:i/>
          <w:iCs/>
          <w:color w:val="000000"/>
          <w:lang w:eastAsia="en-GB"/>
        </w:rPr>
        <w:t>Gestis</w:t>
      </w:r>
      <w:proofErr w:type="spellEnd"/>
      <w:r>
        <w:rPr>
          <w:rFonts w:ascii="Times New Roman" w:eastAsia="Times New Roman" w:hAnsi="Times New Roman" w:cs="Times New Roman"/>
          <w:i/>
          <w:iCs/>
          <w:color w:val="000000"/>
          <w:lang w:eastAsia="en-GB"/>
        </w:rPr>
        <w:t>, (p.59)</w:t>
      </w:r>
    </w:p>
  </w:footnote>
  <w:footnote w:id="16">
    <w:p w14:paraId="27D94C3F" w14:textId="6C00B1B1" w:rsidR="00F051EC" w:rsidRDefault="00F051EC">
      <w:pPr>
        <w:pStyle w:val="FootnoteText"/>
      </w:pPr>
      <w:r>
        <w:rPr>
          <w:rStyle w:val="FootnoteReference"/>
        </w:rPr>
        <w:footnoteRef/>
      </w:r>
      <w:r>
        <w:t xml:space="preserve"> </w:t>
      </w:r>
      <w:r w:rsidRPr="00E91960">
        <w:rPr>
          <w:rFonts w:ascii="Times New Roman" w:eastAsia="Times New Roman" w:hAnsi="Times New Roman" w:cs="Times New Roman"/>
          <w:color w:val="000000"/>
          <w:lang w:eastAsia="en-GB"/>
        </w:rPr>
        <w:t>Giraldus</w:t>
      </w:r>
      <w:r>
        <w:rPr>
          <w:rFonts w:ascii="Times New Roman" w:eastAsia="Times New Roman" w:hAnsi="Times New Roman" w:cs="Times New Roman"/>
          <w:color w:val="000000"/>
          <w:lang w:eastAsia="en-GB"/>
        </w:rPr>
        <w:t xml:space="preserve"> </w:t>
      </w:r>
      <w:r w:rsidRPr="00E91960">
        <w:rPr>
          <w:rFonts w:ascii="Times New Roman" w:eastAsia="Times New Roman" w:hAnsi="Times New Roman" w:cs="Times New Roman"/>
          <w:color w:val="000000"/>
          <w:lang w:eastAsia="en-GB"/>
        </w:rPr>
        <w:t xml:space="preserve">Cambrensis, </w:t>
      </w:r>
      <w:r w:rsidRPr="00E91960">
        <w:rPr>
          <w:rFonts w:ascii="Times New Roman" w:eastAsia="Times New Roman" w:hAnsi="Times New Roman" w:cs="Times New Roman"/>
          <w:i/>
          <w:iCs/>
          <w:color w:val="000000"/>
          <w:lang w:eastAsia="en-GB"/>
        </w:rPr>
        <w:t xml:space="preserve">De Rebus a se </w:t>
      </w:r>
      <w:proofErr w:type="spellStart"/>
      <w:r w:rsidRPr="00E91960">
        <w:rPr>
          <w:rFonts w:ascii="Times New Roman" w:eastAsia="Times New Roman" w:hAnsi="Times New Roman" w:cs="Times New Roman"/>
          <w:i/>
          <w:iCs/>
          <w:color w:val="000000"/>
          <w:lang w:eastAsia="en-GB"/>
        </w:rPr>
        <w:t>Gestis</w:t>
      </w:r>
      <w:proofErr w:type="spellEnd"/>
      <w:r>
        <w:rPr>
          <w:rFonts w:ascii="Times New Roman" w:eastAsia="Times New Roman" w:hAnsi="Times New Roman" w:cs="Times New Roman"/>
          <w:i/>
          <w:iCs/>
          <w:color w:val="000000"/>
          <w:lang w:eastAsia="en-GB"/>
        </w:rPr>
        <w:t>, (p.129)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E710C"/>
    <w:multiLevelType w:val="multilevel"/>
    <w:tmpl w:val="54081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177"/>
    <w:rsid w:val="0007738E"/>
    <w:rsid w:val="00094E68"/>
    <w:rsid w:val="000C5576"/>
    <w:rsid w:val="001228A9"/>
    <w:rsid w:val="001539A2"/>
    <w:rsid w:val="00190872"/>
    <w:rsid w:val="00192C1B"/>
    <w:rsid w:val="001A1C91"/>
    <w:rsid w:val="002C0177"/>
    <w:rsid w:val="003A4402"/>
    <w:rsid w:val="004207D0"/>
    <w:rsid w:val="0045505A"/>
    <w:rsid w:val="00502658"/>
    <w:rsid w:val="005A1CBA"/>
    <w:rsid w:val="005F4821"/>
    <w:rsid w:val="006B32DA"/>
    <w:rsid w:val="006B5102"/>
    <w:rsid w:val="006E0125"/>
    <w:rsid w:val="0071363C"/>
    <w:rsid w:val="007536AE"/>
    <w:rsid w:val="00857646"/>
    <w:rsid w:val="0087729C"/>
    <w:rsid w:val="00927DCF"/>
    <w:rsid w:val="00951C66"/>
    <w:rsid w:val="009D2089"/>
    <w:rsid w:val="00A62CCF"/>
    <w:rsid w:val="00A73B3C"/>
    <w:rsid w:val="00AC7DEB"/>
    <w:rsid w:val="00AF5DA0"/>
    <w:rsid w:val="00B142A3"/>
    <w:rsid w:val="00B61CF9"/>
    <w:rsid w:val="00B91734"/>
    <w:rsid w:val="00BA6E27"/>
    <w:rsid w:val="00BA76D5"/>
    <w:rsid w:val="00BD548F"/>
    <w:rsid w:val="00D30F30"/>
    <w:rsid w:val="00D86513"/>
    <w:rsid w:val="00DA08AF"/>
    <w:rsid w:val="00DE1E3E"/>
    <w:rsid w:val="00E2213E"/>
    <w:rsid w:val="00E7764C"/>
    <w:rsid w:val="00E91960"/>
    <w:rsid w:val="00F051EC"/>
    <w:rsid w:val="00F82E69"/>
    <w:rsid w:val="00F85862"/>
    <w:rsid w:val="00FA7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CDB7E5"/>
  <w15:chartTrackingRefBased/>
  <w15:docId w15:val="{B6BC7F18-9FE4-4134-89AB-264DF93E2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207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07D0"/>
    <w:rPr>
      <w:sz w:val="20"/>
      <w:szCs w:val="20"/>
    </w:rPr>
  </w:style>
  <w:style w:type="character" w:styleId="FootnoteReference">
    <w:name w:val="footnote reference"/>
    <w:basedOn w:val="DefaultParagraphFont"/>
    <w:uiPriority w:val="99"/>
    <w:semiHidden/>
    <w:unhideWhenUsed/>
    <w:rsid w:val="004207D0"/>
    <w:rPr>
      <w:vertAlign w:val="superscript"/>
    </w:rPr>
  </w:style>
  <w:style w:type="character" w:customStyle="1" w:styleId="pagenum">
    <w:name w:val="pagenum"/>
    <w:basedOn w:val="DefaultParagraphFont"/>
    <w:rsid w:val="005F4821"/>
  </w:style>
  <w:style w:type="paragraph" w:styleId="EndnoteText">
    <w:name w:val="endnote text"/>
    <w:basedOn w:val="Normal"/>
    <w:link w:val="EndnoteTextChar"/>
    <w:uiPriority w:val="99"/>
    <w:semiHidden/>
    <w:unhideWhenUsed/>
    <w:rsid w:val="00192C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92C1B"/>
    <w:rPr>
      <w:sz w:val="20"/>
      <w:szCs w:val="20"/>
    </w:rPr>
  </w:style>
  <w:style w:type="character" w:styleId="EndnoteReference">
    <w:name w:val="endnote reference"/>
    <w:basedOn w:val="DefaultParagraphFont"/>
    <w:uiPriority w:val="99"/>
    <w:semiHidden/>
    <w:unhideWhenUsed/>
    <w:rsid w:val="00192C1B"/>
    <w:rPr>
      <w:vertAlign w:val="superscript"/>
    </w:rPr>
  </w:style>
  <w:style w:type="character" w:styleId="Hyperlink">
    <w:name w:val="Hyperlink"/>
    <w:basedOn w:val="DefaultParagraphFont"/>
    <w:uiPriority w:val="99"/>
    <w:unhideWhenUsed/>
    <w:rsid w:val="00E221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58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Giraldus-Cambrensi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74087-D39A-4BB8-B06B-7933F84B5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2823</TotalTime>
  <Pages>4</Pages>
  <Words>1681</Words>
  <Characters>8444</Characters>
  <Application>Microsoft Office Word</Application>
  <DocSecurity>0</DocSecurity>
  <Lines>118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Law (2103525)</dc:creator>
  <cp:keywords/>
  <dc:description/>
  <cp:lastModifiedBy>Isaac Law (2103525)</cp:lastModifiedBy>
  <cp:revision>9</cp:revision>
  <dcterms:created xsi:type="dcterms:W3CDTF">2021-10-08T18:00:00Z</dcterms:created>
  <dcterms:modified xsi:type="dcterms:W3CDTF">2021-10-10T21:31:00Z</dcterms:modified>
</cp:coreProperties>
</file>